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39695AF">
      <w:pPr>
        <w:bidi w:val="0"/>
        <w:rPr>
          <w:rFonts w:hint="eastAsia"/>
          <w:highlight w:val="none"/>
          <w:lang w:val="en-US" w:eastAsia="zh-CN"/>
        </w:rPr>
      </w:pPr>
    </w:p>
    <w:p w14:paraId="04DAB493">
      <w:pPr>
        <w:bidi w:val="0"/>
        <w:rPr>
          <w:rFonts w:hint="eastAsia"/>
          <w:highlight w:val="none"/>
          <w:lang w:val="en-US" w:eastAsia="zh-CN"/>
        </w:rPr>
      </w:pPr>
    </w:p>
    <w:p w14:paraId="52592CC7">
      <w:pPr>
        <w:bidi w:val="0"/>
        <w:rPr>
          <w:rFonts w:hint="eastAsia"/>
          <w:highlight w:val="none"/>
          <w:lang w:val="en-US" w:eastAsia="zh-CN"/>
        </w:rPr>
      </w:pPr>
    </w:p>
    <w:p w14:paraId="07079953">
      <w:pPr>
        <w:bidi w:val="0"/>
        <w:rPr>
          <w:rFonts w:hint="eastAsia"/>
          <w:highlight w:val="none"/>
          <w:lang w:val="en-US" w:eastAsia="zh-CN"/>
        </w:rPr>
      </w:pPr>
    </w:p>
    <w:p w14:paraId="395FD6EE">
      <w:pPr>
        <w:bidi w:val="0"/>
        <w:rPr>
          <w:rFonts w:hint="eastAsia"/>
          <w:highlight w:val="none"/>
          <w:lang w:val="en-US" w:eastAsia="zh-CN"/>
        </w:rPr>
      </w:pPr>
    </w:p>
    <w:p w14:paraId="41C2CA88">
      <w:pPr>
        <w:bidi w:val="0"/>
        <w:rPr>
          <w:rFonts w:hint="eastAsia" w:eastAsia="宋体"/>
          <w:highlight w:val="none"/>
          <w:lang w:val="en-US" w:eastAsia="zh-CN"/>
        </w:rPr>
      </w:pPr>
    </w:p>
    <w:p w14:paraId="3B9209A2">
      <w:pPr>
        <w:bidi w:val="0"/>
        <w:rPr>
          <w:rFonts w:hint="eastAsia"/>
          <w:highlight w:val="none"/>
        </w:rPr>
      </w:pPr>
    </w:p>
    <w:p w14:paraId="4D2D78B5">
      <w:pPr>
        <w:adjustRightInd w:val="0"/>
        <w:snapToGrid w:val="0"/>
        <w:jc w:val="center"/>
        <w:outlineLvl w:val="0"/>
        <w:rPr>
          <w:rFonts w:hint="default" w:ascii="Times New Roman" w:hAnsi="Times New Roman" w:eastAsia="宋体" w:cs="Times New Roman"/>
          <w:bCs/>
          <w:color w:val="000000" w:themeColor="text1"/>
          <w:sz w:val="72"/>
          <w:szCs w:val="72"/>
          <w:highlight w:val="none"/>
          <w14:textFill>
            <w14:solidFill>
              <w14:schemeClr w14:val="tx1"/>
            </w14:solidFill>
          </w14:textFill>
        </w:rPr>
      </w:pPr>
      <w:r>
        <w:rPr>
          <w:rFonts w:hint="default" w:ascii="Times New Roman" w:hAnsi="Times New Roman" w:eastAsia="宋体" w:cs="Times New Roman"/>
          <w:bCs/>
          <w:color w:val="000000" w:themeColor="text1"/>
          <w:sz w:val="72"/>
          <w:szCs w:val="72"/>
          <w:highlight w:val="none"/>
          <w14:textFill>
            <w14:solidFill>
              <w14:schemeClr w14:val="tx1"/>
            </w14:solidFill>
          </w14:textFill>
        </w:rPr>
        <w:t>建设项目环境影响报告表</w:t>
      </w:r>
    </w:p>
    <w:p w14:paraId="4651F4E1">
      <w:pPr>
        <w:adjustRightInd w:val="0"/>
        <w:snapToGrid w:val="0"/>
        <w:spacing w:before="192" w:beforeLines="80"/>
        <w:jc w:val="center"/>
        <w:rPr>
          <w:rFonts w:hint="default" w:ascii="Times New Roman" w:hAnsi="Times New Roman" w:eastAsia="宋体" w:cs="Times New Roman"/>
          <w:bCs/>
          <w:color w:val="000000" w:themeColor="text1"/>
          <w:sz w:val="48"/>
          <w:szCs w:val="48"/>
          <w:highlight w:val="none"/>
          <w14:textFill>
            <w14:solidFill>
              <w14:schemeClr w14:val="tx1"/>
            </w14:solidFill>
          </w14:textFill>
        </w:rPr>
      </w:pPr>
      <w:r>
        <w:rPr>
          <w:rFonts w:hint="default" w:ascii="Times New Roman" w:hAnsi="Times New Roman" w:eastAsia="宋体" w:cs="Times New Roman"/>
          <w:bCs/>
          <w:color w:val="000000" w:themeColor="text1"/>
          <w:sz w:val="48"/>
          <w:szCs w:val="48"/>
          <w:highlight w:val="none"/>
          <w14:textFill>
            <w14:solidFill>
              <w14:schemeClr w14:val="tx1"/>
            </w14:solidFill>
          </w14:textFill>
        </w:rPr>
        <w:t>（污染影响类）</w:t>
      </w:r>
    </w:p>
    <w:p w14:paraId="03ACBD08">
      <w:pPr>
        <w:bidi w:val="0"/>
        <w:rPr>
          <w:rFonts w:hint="default" w:ascii="Times New Roman" w:hAnsi="Times New Roman" w:eastAsia="宋体" w:cs="Times New Roman"/>
          <w:color w:val="000000" w:themeColor="text1"/>
          <w:highlight w:val="none"/>
          <w14:textFill>
            <w14:solidFill>
              <w14:schemeClr w14:val="tx1"/>
            </w14:solidFill>
          </w14:textFill>
        </w:rPr>
      </w:pPr>
    </w:p>
    <w:p w14:paraId="3E43A3C1">
      <w:pPr>
        <w:jc w:val="center"/>
        <w:rPr>
          <w:rFonts w:hint="default" w:ascii="Times New Roman" w:hAnsi="Times New Roman" w:eastAsia="宋体" w:cs="Times New Roman"/>
          <w:color w:val="000000" w:themeColor="text1"/>
          <w:sz w:val="52"/>
          <w:szCs w:val="52"/>
          <w:highlight w:val="none"/>
          <w14:textFill>
            <w14:solidFill>
              <w14:schemeClr w14:val="tx1"/>
            </w14:solidFill>
          </w14:textFill>
        </w:rPr>
      </w:pPr>
    </w:p>
    <w:p w14:paraId="27DB9183">
      <w:pPr>
        <w:ind w:firstLine="1040"/>
        <w:rPr>
          <w:rFonts w:hint="default" w:ascii="Times New Roman" w:hAnsi="Times New Roman" w:eastAsia="宋体" w:cs="Times New Roman"/>
          <w:color w:val="000000" w:themeColor="text1"/>
          <w:sz w:val="44"/>
          <w:szCs w:val="44"/>
          <w:highlight w:val="none"/>
          <w14:textFill>
            <w14:solidFill>
              <w14:schemeClr w14:val="tx1"/>
            </w14:solidFill>
          </w14:textFill>
        </w:rPr>
      </w:pPr>
    </w:p>
    <w:p w14:paraId="4088858C">
      <w:pPr>
        <w:ind w:firstLine="1040"/>
        <w:rPr>
          <w:rFonts w:hint="default" w:ascii="Times New Roman" w:hAnsi="Times New Roman" w:eastAsia="宋体" w:cs="Times New Roman"/>
          <w:color w:val="000000" w:themeColor="text1"/>
          <w:sz w:val="44"/>
          <w:szCs w:val="44"/>
          <w:highlight w:val="none"/>
          <w14:textFill>
            <w14:solidFill>
              <w14:schemeClr w14:val="tx1"/>
            </w14:solidFill>
          </w14:textFill>
        </w:rPr>
      </w:pPr>
    </w:p>
    <w:p w14:paraId="6946B3B7">
      <w:pPr>
        <w:ind w:firstLine="1040"/>
        <w:rPr>
          <w:rFonts w:hint="default" w:ascii="Times New Roman" w:hAnsi="Times New Roman" w:eastAsia="宋体" w:cs="Times New Roman"/>
          <w:color w:val="000000" w:themeColor="text1"/>
          <w:sz w:val="44"/>
          <w:szCs w:val="44"/>
          <w:highlight w:val="none"/>
          <w14:textFill>
            <w14:solidFill>
              <w14:schemeClr w14:val="tx1"/>
            </w14:solidFill>
          </w14:textFill>
        </w:rPr>
      </w:pPr>
    </w:p>
    <w:p w14:paraId="0C95E0B8">
      <w:pPr>
        <w:ind w:firstLine="1040"/>
        <w:rPr>
          <w:rFonts w:hint="default" w:ascii="Times New Roman" w:hAnsi="Times New Roman" w:eastAsia="宋体" w:cs="Times New Roman"/>
          <w:color w:val="000000" w:themeColor="text1"/>
          <w:sz w:val="44"/>
          <w:szCs w:val="44"/>
          <w:highlight w:val="none"/>
          <w14:textFill>
            <w14:solidFill>
              <w14:schemeClr w14:val="tx1"/>
            </w14:solidFill>
          </w14:textFill>
        </w:rPr>
      </w:pPr>
    </w:p>
    <w:p w14:paraId="316149F9">
      <w:pPr>
        <w:adjustRightInd w:val="0"/>
        <w:snapToGrid w:val="0"/>
        <w:spacing w:line="360" w:lineRule="auto"/>
        <w:ind w:left="2238" w:leftChars="304" w:hanging="1600" w:hangingChars="500"/>
        <w:rPr>
          <w:rFonts w:hint="default" w:ascii="Times New Roman" w:hAnsi="Times New Roman" w:eastAsia="宋体" w:cs="Times New Roman"/>
          <w:color w:val="000000" w:themeColor="text1"/>
          <w:sz w:val="32"/>
          <w:szCs w:val="32"/>
          <w:highlight w:val="none"/>
          <w14:textFill>
            <w14:solidFill>
              <w14:schemeClr w14:val="tx1"/>
            </w14:solidFill>
          </w14:textFill>
        </w:rPr>
      </w:pPr>
    </w:p>
    <w:p w14:paraId="3AC91096">
      <w:pPr>
        <w:adjustRightInd w:val="0"/>
        <w:snapToGrid w:val="0"/>
        <w:spacing w:line="360" w:lineRule="auto"/>
        <w:rPr>
          <w:rFonts w:hint="default" w:ascii="Times New Roman" w:hAnsi="Times New Roman" w:eastAsia="宋体" w:cs="Times New Roman"/>
          <w:color w:val="000000" w:themeColor="text1"/>
          <w:sz w:val="32"/>
          <w:szCs w:val="32"/>
          <w:highlight w:val="none"/>
          <w14:textFill>
            <w14:solidFill>
              <w14:schemeClr w14:val="tx1"/>
            </w14:solidFill>
          </w14:textFill>
        </w:rPr>
      </w:pPr>
    </w:p>
    <w:p w14:paraId="64E81030">
      <w:pPr>
        <w:adjustRightInd w:val="0"/>
        <w:snapToGrid w:val="0"/>
        <w:spacing w:line="360" w:lineRule="auto"/>
        <w:ind w:left="2238" w:leftChars="304" w:hanging="1600" w:hangingChars="500"/>
        <w:rPr>
          <w:rFonts w:hint="default" w:ascii="Times New Roman" w:hAnsi="Times New Roman" w:eastAsia="宋体" w:cs="Times New Roman"/>
          <w:color w:val="000000" w:themeColor="text1"/>
          <w:sz w:val="32"/>
          <w:szCs w:val="32"/>
          <w:highlight w:val="none"/>
          <w14:textFill>
            <w14:solidFill>
              <w14:schemeClr w14:val="tx1"/>
            </w14:solidFill>
          </w14:textFill>
        </w:rPr>
      </w:pPr>
    </w:p>
    <w:p w14:paraId="443E9A02">
      <w:pPr>
        <w:adjustRightInd w:val="0"/>
        <w:snapToGrid w:val="0"/>
        <w:spacing w:line="360" w:lineRule="auto"/>
        <w:ind w:left="2238" w:leftChars="304" w:hanging="1600" w:hangingChars="500"/>
        <w:rPr>
          <w:rFonts w:hint="default" w:ascii="Times New Roman" w:hAnsi="Times New Roman" w:eastAsia="宋体" w:cs="Times New Roman"/>
          <w:color w:val="000000" w:themeColor="text1"/>
          <w:sz w:val="32"/>
          <w:szCs w:val="32"/>
          <w:highlight w:val="none"/>
          <w:u w:val="single"/>
          <w14:textFill>
            <w14:solidFill>
              <w14:schemeClr w14:val="tx1"/>
            </w14:solidFill>
          </w14:textFill>
        </w:rPr>
      </w:pPr>
      <w:r>
        <w:rPr>
          <w:rFonts w:hint="default" w:ascii="Times New Roman" w:hAnsi="Times New Roman" w:eastAsia="宋体" w:cs="Times New Roman"/>
          <w:color w:val="000000" w:themeColor="text1"/>
          <w:sz w:val="32"/>
          <w:szCs w:val="32"/>
          <w:highlight w:val="none"/>
          <w14:textFill>
            <w14:solidFill>
              <w14:schemeClr w14:val="tx1"/>
            </w14:solidFill>
          </w14:textFill>
        </w:rPr>
        <w:t>项目名称：</w:t>
      </w:r>
      <w:r>
        <w:rPr>
          <w:rFonts w:hint="eastAsia" w:cs="Times New Roman"/>
          <w:color w:val="000000" w:themeColor="text1"/>
          <w:sz w:val="32"/>
          <w:szCs w:val="32"/>
          <w:highlight w:val="none"/>
          <w:u w:val="single"/>
          <w:lang w:val="en-US" w:eastAsia="zh-CN"/>
          <w14:textFill>
            <w14:solidFill>
              <w14:schemeClr w14:val="tx1"/>
            </w14:solidFill>
          </w14:textFill>
        </w:rPr>
        <w:t>年生产30万吨沥青混合料项目</w:t>
      </w:r>
      <w:r>
        <w:rPr>
          <w:rFonts w:hint="default" w:ascii="Times New Roman" w:hAnsi="Times New Roman" w:eastAsia="宋体" w:cs="Times New Roman"/>
          <w:color w:val="000000" w:themeColor="text1"/>
          <w:sz w:val="32"/>
          <w:szCs w:val="32"/>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32"/>
          <w:szCs w:val="32"/>
          <w:highlight w:val="none"/>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32"/>
          <w:szCs w:val="32"/>
          <w:highlight w:val="none"/>
          <w:u w:val="single"/>
          <w14:textFill>
            <w14:solidFill>
              <w14:schemeClr w14:val="tx1"/>
            </w14:solidFill>
          </w14:textFill>
        </w:rPr>
        <w:t xml:space="preserve">   </w:t>
      </w:r>
    </w:p>
    <w:p w14:paraId="6E06AE47">
      <w:pPr>
        <w:adjustRightInd w:val="0"/>
        <w:snapToGrid w:val="0"/>
        <w:spacing w:line="360" w:lineRule="auto"/>
        <w:ind w:left="2238" w:leftChars="304" w:hanging="1600" w:hangingChars="500"/>
        <w:rPr>
          <w:rFonts w:hint="default" w:ascii="Times New Roman" w:hAnsi="Times New Roman" w:eastAsia="宋体" w:cs="Times New Roman"/>
          <w:color w:val="000000" w:themeColor="text1"/>
          <w:sz w:val="32"/>
          <w:szCs w:val="32"/>
          <w:highlight w:val="none"/>
          <w:u w:val="single"/>
          <w14:textFill>
            <w14:solidFill>
              <w14:schemeClr w14:val="tx1"/>
            </w14:solidFill>
          </w14:textFill>
        </w:rPr>
      </w:pPr>
      <w:r>
        <w:rPr>
          <w:rFonts w:hint="default" w:ascii="Times New Roman" w:hAnsi="Times New Roman" w:eastAsia="宋体" w:cs="Times New Roman"/>
          <w:color w:val="000000" w:themeColor="text1"/>
          <w:sz w:val="32"/>
          <w:szCs w:val="32"/>
          <w:highlight w:val="none"/>
          <w14:textFill>
            <w14:solidFill>
              <w14:schemeClr w14:val="tx1"/>
            </w14:solidFill>
          </w14:textFill>
        </w:rPr>
        <w:t>建设单位：</w:t>
      </w:r>
      <w:r>
        <w:rPr>
          <w:rFonts w:hint="eastAsia" w:cs="Times New Roman"/>
          <w:color w:val="000000" w:themeColor="text1"/>
          <w:sz w:val="32"/>
          <w:szCs w:val="32"/>
          <w:highlight w:val="none"/>
          <w:u w:val="single"/>
          <w:lang w:eastAsia="zh-CN"/>
          <w14:textFill>
            <w14:solidFill>
              <w14:schemeClr w14:val="tx1"/>
            </w14:solidFill>
          </w14:textFill>
        </w:rPr>
        <w:t>陕西瑞鼎绰建筑材料有限公司</w:t>
      </w:r>
      <w:r>
        <w:rPr>
          <w:rFonts w:hint="default" w:ascii="Times New Roman" w:hAnsi="Times New Roman" w:eastAsia="宋体" w:cs="Times New Roman"/>
          <w:color w:val="000000" w:themeColor="text1"/>
          <w:sz w:val="32"/>
          <w:szCs w:val="32"/>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32"/>
          <w:szCs w:val="32"/>
          <w:highlight w:val="none"/>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32"/>
          <w:szCs w:val="32"/>
          <w:highlight w:val="none"/>
          <w:u w:val="single"/>
          <w14:textFill>
            <w14:solidFill>
              <w14:schemeClr w14:val="tx1"/>
            </w14:solidFill>
          </w14:textFill>
        </w:rPr>
        <w:t xml:space="preserve"> </w:t>
      </w:r>
    </w:p>
    <w:p w14:paraId="665121DB">
      <w:pPr>
        <w:adjustRightInd w:val="0"/>
        <w:snapToGrid w:val="0"/>
        <w:spacing w:line="360" w:lineRule="auto"/>
        <w:ind w:firstLine="640" w:firstLineChars="200"/>
        <w:rPr>
          <w:rFonts w:hint="default" w:ascii="Times New Roman" w:hAnsi="Times New Roman" w:eastAsia="宋体" w:cs="Times New Roman"/>
          <w:color w:val="000000" w:themeColor="text1"/>
          <w:sz w:val="32"/>
          <w:szCs w:val="32"/>
          <w:highlight w:val="none"/>
          <w:u w:val="single"/>
          <w:lang w:val="en-US" w:eastAsia="zh-CN"/>
          <w14:textFill>
            <w14:solidFill>
              <w14:schemeClr w14:val="tx1"/>
            </w14:solidFill>
          </w14:textFill>
        </w:rPr>
      </w:pPr>
      <w:r>
        <w:rPr>
          <w:rFonts w:hint="default" w:ascii="Times New Roman" w:hAnsi="Times New Roman" w:eastAsia="宋体" w:cs="Times New Roman"/>
          <w:color w:val="000000" w:themeColor="text1"/>
          <w:sz w:val="32"/>
          <w:szCs w:val="32"/>
          <w:highlight w:val="none"/>
          <w14:textFill>
            <w14:solidFill>
              <w14:schemeClr w14:val="tx1"/>
            </w14:solidFill>
          </w14:textFill>
        </w:rPr>
        <w:t>编制日期：</w:t>
      </w:r>
      <w:r>
        <w:rPr>
          <w:rFonts w:hint="default" w:ascii="Times New Roman" w:hAnsi="Times New Roman" w:eastAsia="宋体" w:cs="Times New Roman"/>
          <w:color w:val="000000" w:themeColor="text1"/>
          <w:sz w:val="32"/>
          <w:szCs w:val="32"/>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32"/>
          <w:szCs w:val="32"/>
          <w:highlight w:val="none"/>
          <w:u w:val="single"/>
          <w:lang w:val="en-US" w:eastAsia="zh-CN"/>
          <w14:textFill>
            <w14:solidFill>
              <w14:schemeClr w14:val="tx1"/>
            </w14:solidFill>
          </w14:textFill>
        </w:rPr>
        <w:t xml:space="preserve"> 2025年</w:t>
      </w:r>
      <w:r>
        <w:rPr>
          <w:rFonts w:hint="eastAsia" w:cs="Times New Roman"/>
          <w:color w:val="000000" w:themeColor="text1"/>
          <w:sz w:val="32"/>
          <w:szCs w:val="32"/>
          <w:highlight w:val="none"/>
          <w:u w:val="single"/>
          <w:lang w:val="en-US" w:eastAsia="zh-CN"/>
          <w14:textFill>
            <w14:solidFill>
              <w14:schemeClr w14:val="tx1"/>
            </w14:solidFill>
          </w14:textFill>
        </w:rPr>
        <w:t>7</w:t>
      </w:r>
      <w:r>
        <w:rPr>
          <w:rFonts w:hint="default" w:ascii="Times New Roman" w:hAnsi="Times New Roman" w:eastAsia="宋体" w:cs="Times New Roman"/>
          <w:color w:val="000000" w:themeColor="text1"/>
          <w:sz w:val="32"/>
          <w:szCs w:val="32"/>
          <w:highlight w:val="none"/>
          <w:u w:val="single"/>
          <w:lang w:val="en-US" w:eastAsia="zh-CN"/>
          <w14:textFill>
            <w14:solidFill>
              <w14:schemeClr w14:val="tx1"/>
            </w14:solidFill>
          </w14:textFill>
        </w:rPr>
        <w:t xml:space="preserve">月         </w:t>
      </w:r>
      <w:r>
        <w:rPr>
          <w:rFonts w:hint="default" w:ascii="Times New Roman" w:hAnsi="Times New Roman" w:eastAsia="宋体" w:cs="Times New Roman"/>
          <w:color w:val="000000" w:themeColor="text1"/>
          <w:sz w:val="32"/>
          <w:szCs w:val="32"/>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32"/>
          <w:szCs w:val="32"/>
          <w:highlight w:val="none"/>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32"/>
          <w:szCs w:val="32"/>
          <w:highlight w:val="none"/>
          <w:u w:val="single"/>
          <w14:textFill>
            <w14:solidFill>
              <w14:schemeClr w14:val="tx1"/>
            </w14:solidFill>
          </w14:textFill>
        </w:rPr>
        <w:t xml:space="preserve">  </w:t>
      </w:r>
      <w:r>
        <w:rPr>
          <w:rFonts w:hint="eastAsia" w:cs="Times New Roman"/>
          <w:color w:val="000000" w:themeColor="text1"/>
          <w:sz w:val="32"/>
          <w:szCs w:val="32"/>
          <w:highlight w:val="none"/>
          <w:u w:val="singl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32"/>
          <w:szCs w:val="32"/>
          <w:highlight w:val="none"/>
          <w:u w:val="single"/>
          <w14:textFill>
            <w14:solidFill>
              <w14:schemeClr w14:val="tx1"/>
            </w14:solidFill>
          </w14:textFill>
        </w:rPr>
        <w:t xml:space="preserve">     </w:t>
      </w:r>
      <w:r>
        <w:rPr>
          <w:rFonts w:hint="default" w:ascii="Times New Roman" w:hAnsi="Times New Roman" w:eastAsia="宋体" w:cs="Times New Roman"/>
          <w:color w:val="000000" w:themeColor="text1"/>
          <w:sz w:val="32"/>
          <w:szCs w:val="32"/>
          <w:highlight w:val="none"/>
          <w:u w:val="single"/>
          <w:lang w:val="en-US" w:eastAsia="zh-CN"/>
          <w14:textFill>
            <w14:solidFill>
              <w14:schemeClr w14:val="tx1"/>
            </w14:solidFill>
          </w14:textFill>
        </w:rPr>
        <w:t xml:space="preserve"> </w:t>
      </w:r>
    </w:p>
    <w:p w14:paraId="6BA6E2BD">
      <w:pPr>
        <w:adjustRightInd w:val="0"/>
        <w:snapToGrid w:val="0"/>
        <w:spacing w:line="288" w:lineRule="auto"/>
        <w:ind w:firstLine="1040"/>
        <w:rPr>
          <w:rFonts w:hint="default" w:ascii="Times New Roman" w:hAnsi="Times New Roman" w:eastAsia="宋体" w:cs="Times New Roman"/>
          <w:color w:val="000000" w:themeColor="text1"/>
          <w:sz w:val="36"/>
          <w:szCs w:val="36"/>
          <w:highlight w:val="none"/>
          <w:u w:val="single"/>
          <w14:textFill>
            <w14:solidFill>
              <w14:schemeClr w14:val="tx1"/>
            </w14:solidFill>
          </w14:textFill>
        </w:rPr>
      </w:pPr>
      <w:bookmarkStart w:id="0" w:name="_Hlk57884087"/>
    </w:p>
    <w:p w14:paraId="7BB4FDEE">
      <w:pPr>
        <w:adjustRightInd w:val="0"/>
        <w:snapToGrid w:val="0"/>
        <w:spacing w:line="288" w:lineRule="auto"/>
        <w:ind w:firstLine="1040"/>
        <w:rPr>
          <w:rFonts w:hint="default" w:ascii="Times New Roman" w:hAnsi="Times New Roman" w:eastAsia="宋体" w:cs="Times New Roman"/>
          <w:color w:val="000000" w:themeColor="text1"/>
          <w:sz w:val="36"/>
          <w:szCs w:val="36"/>
          <w:highlight w:val="none"/>
          <w:u w:val="single"/>
          <w14:textFill>
            <w14:solidFill>
              <w14:schemeClr w14:val="tx1"/>
            </w14:solidFill>
          </w14:textFill>
        </w:rPr>
      </w:pPr>
    </w:p>
    <w:p w14:paraId="31985B77">
      <w:pPr>
        <w:adjustRightInd w:val="0"/>
        <w:snapToGrid w:val="0"/>
        <w:spacing w:line="288" w:lineRule="auto"/>
        <w:ind w:firstLine="1040"/>
        <w:rPr>
          <w:rFonts w:hint="default" w:ascii="Times New Roman" w:hAnsi="Times New Roman" w:eastAsia="宋体" w:cs="Times New Roman"/>
          <w:color w:val="000000" w:themeColor="text1"/>
          <w:sz w:val="36"/>
          <w:szCs w:val="36"/>
          <w:highlight w:val="none"/>
          <w:u w:val="single"/>
          <w14:textFill>
            <w14:solidFill>
              <w14:schemeClr w14:val="tx1"/>
            </w14:solidFill>
          </w14:textFill>
        </w:rPr>
      </w:pPr>
    </w:p>
    <w:p w14:paraId="007B9E17">
      <w:pPr>
        <w:adjustRightInd w:val="0"/>
        <w:snapToGrid w:val="0"/>
        <w:spacing w:line="288" w:lineRule="auto"/>
        <w:ind w:firstLine="1040"/>
        <w:rPr>
          <w:rFonts w:hint="default" w:ascii="Times New Roman" w:hAnsi="Times New Roman" w:eastAsia="宋体" w:cs="Times New Roman"/>
          <w:color w:val="000000" w:themeColor="text1"/>
          <w:sz w:val="36"/>
          <w:szCs w:val="36"/>
          <w:highlight w:val="none"/>
          <w:u w:val="single"/>
          <w14:textFill>
            <w14:solidFill>
              <w14:schemeClr w14:val="tx1"/>
            </w14:solidFill>
          </w14:textFill>
        </w:rPr>
      </w:pPr>
    </w:p>
    <w:bookmarkEnd w:id="0"/>
    <w:p w14:paraId="4E54A9EE">
      <w:pPr>
        <w:adjustRightInd w:val="0"/>
        <w:snapToGrid w:val="0"/>
        <w:spacing w:line="288" w:lineRule="auto"/>
        <w:jc w:val="center"/>
        <w:rPr>
          <w:rFonts w:hint="default" w:ascii="Times New Roman" w:hAnsi="Times New Roman" w:eastAsia="宋体" w:cs="Times New Roman"/>
          <w:color w:val="000000" w:themeColor="text1"/>
          <w:sz w:val="36"/>
          <w:szCs w:val="36"/>
          <w:highlight w:val="none"/>
          <w14:textFill>
            <w14:solidFill>
              <w14:schemeClr w14:val="tx1"/>
            </w14:solidFill>
          </w14:textFill>
        </w:rPr>
      </w:pPr>
      <w:r>
        <w:rPr>
          <w:rFonts w:hint="default" w:ascii="Times New Roman" w:hAnsi="Times New Roman" w:eastAsia="宋体" w:cs="Times New Roman"/>
          <w:color w:val="000000" w:themeColor="text1"/>
          <w:sz w:val="36"/>
          <w:szCs w:val="36"/>
          <w:highlight w:val="none"/>
          <w14:textFill>
            <w14:solidFill>
              <w14:schemeClr w14:val="tx1"/>
            </w14:solidFill>
          </w14:textFill>
        </w:rPr>
        <w:t>中华人民共和国生态环境部制</w:t>
      </w:r>
    </w:p>
    <w:p w14:paraId="4FA24CD9">
      <w:pPr>
        <w:pStyle w:val="3"/>
        <w:bidi w:val="0"/>
        <w:jc w:val="center"/>
        <w:rPr>
          <w:rFonts w:hint="eastAsia"/>
          <w:highlight w:val="green"/>
        </w:rPr>
        <w:sectPr>
          <w:pgSz w:w="11906" w:h="16838"/>
          <w:pgMar w:top="1701" w:right="1531" w:bottom="1701" w:left="1531" w:header="851" w:footer="1077" w:gutter="0"/>
          <w:pgBorders>
            <w:top w:val="none" w:sz="0" w:space="0"/>
            <w:left w:val="none" w:sz="0" w:space="0"/>
            <w:bottom w:val="none" w:sz="0" w:space="0"/>
            <w:right w:val="none" w:sz="0" w:space="0"/>
          </w:pgBorders>
          <w:pgNumType w:fmt="decimal"/>
          <w:cols w:space="720" w:num="1"/>
          <w:docGrid w:linePitch="312" w:charSpace="0"/>
        </w:sectPr>
      </w:pPr>
    </w:p>
    <w:p w14:paraId="65082A0C">
      <w:pPr>
        <w:pStyle w:val="3"/>
        <w:bidi w:val="0"/>
        <w:jc w:val="center"/>
        <w:rPr>
          <w:highlight w:val="none"/>
        </w:rPr>
      </w:pPr>
      <w:r>
        <w:rPr>
          <w:rFonts w:hint="eastAsia"/>
          <w:highlight w:val="none"/>
        </w:rPr>
        <w:t>一、建设项目基本情况</w:t>
      </w:r>
    </w:p>
    <w:tbl>
      <w:tblPr>
        <w:tblStyle w:val="41"/>
        <w:tblW w:w="9179"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0" w:type="dxa"/>
          <w:bottom w:w="0" w:type="dxa"/>
          <w:right w:w="0" w:type="dxa"/>
        </w:tblCellMar>
      </w:tblPr>
      <w:tblGrid>
        <w:gridCol w:w="1100"/>
        <w:gridCol w:w="2779"/>
        <w:gridCol w:w="1887"/>
        <w:gridCol w:w="3413"/>
      </w:tblGrid>
      <w:tr w14:paraId="159BA1D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61" w:hRule="atLeast"/>
          <w:jc w:val="center"/>
        </w:trPr>
        <w:tc>
          <w:tcPr>
            <w:tcW w:w="1100" w:type="dxa"/>
            <w:tcBorders>
              <w:top w:val="single" w:color="auto" w:sz="8" w:space="0"/>
            </w:tcBorders>
            <w:tcMar>
              <w:top w:w="16" w:type="dxa"/>
              <w:left w:w="16" w:type="dxa"/>
              <w:right w:w="16" w:type="dxa"/>
            </w:tcMar>
            <w:vAlign w:val="center"/>
          </w:tcPr>
          <w:p w14:paraId="082B15EE">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建设项目名称</w:t>
            </w:r>
          </w:p>
        </w:tc>
        <w:tc>
          <w:tcPr>
            <w:tcW w:w="8079" w:type="dxa"/>
            <w:gridSpan w:val="3"/>
            <w:tcBorders>
              <w:top w:val="single" w:color="auto" w:sz="8" w:space="0"/>
            </w:tcBorders>
            <w:vAlign w:val="center"/>
          </w:tcPr>
          <w:p w14:paraId="7AAAA622">
            <w:pPr>
              <w:keepNext w:val="0"/>
              <w:keepLines w:val="0"/>
              <w:suppressLineNumbers w:val="0"/>
              <w:adjustRightInd w:val="0"/>
              <w:snapToGrid w:val="0"/>
              <w:spacing w:before="0" w:beforeAutospacing="0" w:after="0" w:afterAutospacing="0" w:line="400" w:lineRule="exact"/>
              <w:ind w:left="0" w:right="0"/>
              <w:jc w:val="center"/>
              <w:rPr>
                <w:rFonts w:hint="eastAsia" w:eastAsia="宋体"/>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eastAsia="zh-CN"/>
                <w14:textFill>
                  <w14:solidFill>
                    <w14:schemeClr w14:val="tx1"/>
                  </w14:solidFill>
                </w14:textFill>
              </w:rPr>
              <w:t>年生产30万吨沥青混合料项目</w:t>
            </w:r>
          </w:p>
        </w:tc>
      </w:tr>
      <w:tr w14:paraId="39BEC04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396" w:hRule="atLeast"/>
          <w:jc w:val="center"/>
        </w:trPr>
        <w:tc>
          <w:tcPr>
            <w:tcW w:w="1100" w:type="dxa"/>
            <w:tcMar>
              <w:top w:w="16" w:type="dxa"/>
              <w:left w:w="16" w:type="dxa"/>
              <w:right w:w="16" w:type="dxa"/>
            </w:tcMar>
            <w:vAlign w:val="center"/>
          </w:tcPr>
          <w:p w14:paraId="21182585">
            <w:pPr>
              <w:keepNext w:val="0"/>
              <w:keepLines w:val="0"/>
              <w:suppressLineNumbers w:val="0"/>
              <w:adjustRightInd w:val="0"/>
              <w:snapToGrid w:val="0"/>
              <w:spacing w:before="0" w:beforeAutospacing="0" w:after="0" w:afterAutospacing="0" w:line="400" w:lineRule="exact"/>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项目代码</w:t>
            </w:r>
          </w:p>
        </w:tc>
        <w:tc>
          <w:tcPr>
            <w:tcW w:w="8079" w:type="dxa"/>
            <w:gridSpan w:val="3"/>
            <w:vAlign w:val="center"/>
          </w:tcPr>
          <w:p w14:paraId="20C07A8D">
            <w:pPr>
              <w:keepNext w:val="0"/>
              <w:keepLines w:val="0"/>
              <w:suppressLineNumbers w:val="0"/>
              <w:adjustRightInd w:val="0"/>
              <w:snapToGrid w:val="0"/>
              <w:spacing w:before="0" w:beforeAutospacing="0" w:after="0" w:afterAutospacing="0" w:line="400" w:lineRule="exact"/>
              <w:ind w:left="0" w:right="0"/>
              <w:jc w:val="center"/>
              <w:rPr>
                <w:rFonts w:hint="default" w:eastAsia="宋体"/>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w:t>
            </w:r>
          </w:p>
        </w:tc>
      </w:tr>
      <w:tr w14:paraId="02EC38D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00" w:type="dxa"/>
            <w:tcMar>
              <w:top w:w="16" w:type="dxa"/>
              <w:left w:w="16" w:type="dxa"/>
              <w:right w:w="16" w:type="dxa"/>
            </w:tcMar>
            <w:vAlign w:val="center"/>
          </w:tcPr>
          <w:p w14:paraId="08AEBC9F">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建设单位联系人</w:t>
            </w:r>
          </w:p>
        </w:tc>
        <w:tc>
          <w:tcPr>
            <w:tcW w:w="2779" w:type="dxa"/>
            <w:vAlign w:val="center"/>
          </w:tcPr>
          <w:p w14:paraId="4D8E88FE">
            <w:pPr>
              <w:keepNext w:val="0"/>
              <w:keepLines w:val="0"/>
              <w:suppressLineNumbers w:val="0"/>
              <w:adjustRightInd w:val="0"/>
              <w:snapToGrid w:val="0"/>
              <w:spacing w:before="0" w:beforeAutospacing="0" w:after="0" w:afterAutospacing="0" w:line="400" w:lineRule="exact"/>
              <w:ind w:left="0" w:right="0"/>
              <w:jc w:val="center"/>
              <w:rPr>
                <w:rFonts w:hint="default" w:eastAsia="宋体"/>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徐峰</w:t>
            </w:r>
          </w:p>
        </w:tc>
        <w:tc>
          <w:tcPr>
            <w:tcW w:w="1887" w:type="dxa"/>
            <w:vAlign w:val="center"/>
          </w:tcPr>
          <w:p w14:paraId="56C9223D">
            <w:pPr>
              <w:keepNext w:val="0"/>
              <w:keepLines w:val="0"/>
              <w:suppressLineNumbers w:val="0"/>
              <w:adjustRightInd w:val="0"/>
              <w:snapToGrid w:val="0"/>
              <w:spacing w:before="0" w:beforeAutospacing="0" w:after="0" w:afterAutospacing="0" w:line="400" w:lineRule="exact"/>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联系方式</w:t>
            </w:r>
          </w:p>
        </w:tc>
        <w:tc>
          <w:tcPr>
            <w:tcW w:w="3413" w:type="dxa"/>
            <w:vAlign w:val="center"/>
          </w:tcPr>
          <w:p w14:paraId="2A84BA10">
            <w:pPr>
              <w:keepNext w:val="0"/>
              <w:keepLines w:val="0"/>
              <w:suppressLineNumbers w:val="0"/>
              <w:adjustRightInd w:val="0"/>
              <w:snapToGrid w:val="0"/>
              <w:spacing w:before="0" w:beforeAutospacing="0" w:after="0" w:afterAutospacing="0" w:line="400" w:lineRule="exact"/>
              <w:ind w:left="0" w:right="0"/>
              <w:jc w:val="center"/>
              <w:rPr>
                <w:rFonts w:hint="default" w:eastAsia="宋体"/>
                <w:color w:val="000000" w:themeColor="text1"/>
                <w:sz w:val="24"/>
                <w:szCs w:val="24"/>
                <w:highlight w:val="none"/>
                <w:lang w:val="en-US" w:eastAsia="zh-CN"/>
                <w14:textFill>
                  <w14:solidFill>
                    <w14:schemeClr w14:val="tx1"/>
                  </w14:solidFill>
                </w14:textFill>
              </w:rPr>
            </w:pPr>
            <w:r>
              <w:rPr>
                <w:rFonts w:hint="default" w:eastAsia="宋体"/>
                <w:color w:val="000000" w:themeColor="text1"/>
                <w:sz w:val="24"/>
                <w:szCs w:val="24"/>
                <w:highlight w:val="none"/>
                <w:lang w:val="en-US" w:eastAsia="zh-CN"/>
                <w14:textFill>
                  <w14:solidFill>
                    <w14:schemeClr w14:val="tx1"/>
                  </w14:solidFill>
                </w14:textFill>
              </w:rPr>
              <w:t>13369127333</w:t>
            </w:r>
          </w:p>
        </w:tc>
      </w:tr>
      <w:tr w14:paraId="4B8F53B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00" w:type="dxa"/>
            <w:tcMar>
              <w:top w:w="16" w:type="dxa"/>
              <w:left w:w="16" w:type="dxa"/>
              <w:right w:w="16" w:type="dxa"/>
            </w:tcMar>
            <w:vAlign w:val="center"/>
          </w:tcPr>
          <w:p w14:paraId="722C0DE8">
            <w:pPr>
              <w:keepNext w:val="0"/>
              <w:keepLines w:val="0"/>
              <w:suppressLineNumbers w:val="0"/>
              <w:adjustRightInd w:val="0"/>
              <w:snapToGrid w:val="0"/>
              <w:spacing w:before="0" w:beforeAutospacing="0" w:after="0" w:afterAutospacing="0" w:line="400" w:lineRule="exact"/>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建设地点</w:t>
            </w:r>
          </w:p>
        </w:tc>
        <w:tc>
          <w:tcPr>
            <w:tcW w:w="8079" w:type="dxa"/>
            <w:gridSpan w:val="3"/>
            <w:vAlign w:val="center"/>
          </w:tcPr>
          <w:p w14:paraId="5F167055">
            <w:pPr>
              <w:keepNext w:val="0"/>
              <w:keepLines w:val="0"/>
              <w:suppressLineNumbers w:val="0"/>
              <w:adjustRightInd w:val="0"/>
              <w:snapToGrid w:val="0"/>
              <w:spacing w:before="0" w:beforeAutospacing="0" w:after="0" w:afterAutospacing="0" w:line="400" w:lineRule="exact"/>
              <w:ind w:left="0" w:right="0"/>
              <w:jc w:val="center"/>
              <w:rPr>
                <w:rFonts w:hint="default" w:eastAsia="宋体"/>
                <w:color w:val="000000" w:themeColor="text1"/>
                <w:sz w:val="24"/>
                <w:szCs w:val="24"/>
                <w:highlight w:val="none"/>
                <w:lang w:val="en-US" w:eastAsia="zh-CN"/>
                <w14:textFill>
                  <w14:solidFill>
                    <w14:schemeClr w14:val="tx1"/>
                  </w14:solidFill>
                </w14:textFill>
              </w:rPr>
            </w:pPr>
            <w:r>
              <w:rPr>
                <w:rFonts w:hint="default" w:eastAsia="宋体"/>
                <w:color w:val="000000" w:themeColor="text1"/>
                <w:sz w:val="24"/>
                <w:szCs w:val="24"/>
                <w:highlight w:val="none"/>
                <w:lang w:val="en-US" w:eastAsia="zh-CN"/>
                <w14:textFill>
                  <w14:solidFill>
                    <w14:schemeClr w14:val="tx1"/>
                  </w14:solidFill>
                </w14:textFill>
              </w:rPr>
              <w:t>西咸新区泾河新城永乐镇尚家村尚家三街与原点东四路交叉口东南角</w:t>
            </w:r>
          </w:p>
        </w:tc>
      </w:tr>
      <w:tr w14:paraId="6447ED6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00" w:type="dxa"/>
            <w:tcMar>
              <w:top w:w="16" w:type="dxa"/>
              <w:left w:w="16" w:type="dxa"/>
              <w:right w:w="16" w:type="dxa"/>
            </w:tcMar>
            <w:vAlign w:val="center"/>
          </w:tcPr>
          <w:p w14:paraId="7BD0803F">
            <w:pPr>
              <w:keepNext w:val="0"/>
              <w:keepLines w:val="0"/>
              <w:suppressLineNumbers w:val="0"/>
              <w:adjustRightInd w:val="0"/>
              <w:snapToGrid w:val="0"/>
              <w:spacing w:before="0" w:beforeAutospacing="0" w:after="0" w:afterAutospacing="0" w:line="400" w:lineRule="exact"/>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地理坐标</w:t>
            </w:r>
          </w:p>
        </w:tc>
        <w:tc>
          <w:tcPr>
            <w:tcW w:w="8079" w:type="dxa"/>
            <w:gridSpan w:val="3"/>
            <w:vAlign w:val="center"/>
          </w:tcPr>
          <w:p w14:paraId="5997BE3F">
            <w:pPr>
              <w:keepNext w:val="0"/>
              <w:keepLines w:val="0"/>
              <w:suppressLineNumbers w:val="0"/>
              <w:adjustRightInd w:val="0"/>
              <w:snapToGrid w:val="0"/>
              <w:spacing w:before="0" w:beforeAutospacing="0" w:after="0" w:afterAutospacing="0" w:line="400" w:lineRule="exact"/>
              <w:ind w:left="0" w:right="0"/>
              <w:jc w:val="center"/>
              <w:rPr>
                <w:rFonts w:hint="default"/>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E108°</w:t>
            </w:r>
            <w:r>
              <w:rPr>
                <w:rFonts w:hint="eastAsia"/>
                <w:color w:val="000000" w:themeColor="text1"/>
                <w:sz w:val="24"/>
                <w:szCs w:val="24"/>
                <w:highlight w:val="none"/>
                <w:lang w:val="en-US" w:eastAsia="zh-CN"/>
                <w14:textFill>
                  <w14:solidFill>
                    <w14:schemeClr w14:val="tx1"/>
                  </w14:solidFill>
                </w14:textFill>
              </w:rPr>
              <w:t>56</w:t>
            </w:r>
            <w:r>
              <w:rPr>
                <w:rFonts w:hint="eastAsia"/>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51.662</w:t>
            </w:r>
            <w:r>
              <w:rPr>
                <w:rFonts w:hint="eastAsia"/>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eastAsia="zh-CN"/>
                <w14:textFill>
                  <w14:solidFill>
                    <w14:schemeClr w14:val="tx1"/>
                  </w14:solidFill>
                </w14:textFill>
              </w:rPr>
              <w:t>，</w:t>
            </w:r>
            <w:r>
              <w:rPr>
                <w:rFonts w:hint="eastAsia"/>
                <w:color w:val="000000" w:themeColor="text1"/>
                <w:sz w:val="24"/>
                <w:szCs w:val="24"/>
                <w:highlight w:val="none"/>
                <w14:textFill>
                  <w14:solidFill>
                    <w14:schemeClr w14:val="tx1"/>
                  </w14:solidFill>
                </w14:textFill>
              </w:rPr>
              <w:t>N34°</w:t>
            </w:r>
            <w:r>
              <w:rPr>
                <w:rFonts w:hint="eastAsia"/>
                <w:color w:val="000000" w:themeColor="text1"/>
                <w:sz w:val="24"/>
                <w:szCs w:val="24"/>
                <w:highlight w:val="none"/>
                <w:lang w:val="en-US" w:eastAsia="zh-CN"/>
                <w14:textFill>
                  <w14:solidFill>
                    <w14:schemeClr w14:val="tx1"/>
                  </w14:solidFill>
                </w14:textFill>
              </w:rPr>
              <w:t>32</w:t>
            </w:r>
            <w:r>
              <w:rPr>
                <w:rFonts w:hint="eastAsia"/>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15.335</w:t>
            </w:r>
            <w:r>
              <w:rPr>
                <w:rFonts w:hint="eastAsia"/>
                <w:color w:val="000000" w:themeColor="text1"/>
                <w:sz w:val="24"/>
                <w:szCs w:val="24"/>
                <w:highlight w:val="none"/>
                <w14:textFill>
                  <w14:solidFill>
                    <w14:schemeClr w14:val="tx1"/>
                  </w14:solidFill>
                </w14:textFill>
              </w:rPr>
              <w:t>"</w:t>
            </w:r>
          </w:p>
        </w:tc>
      </w:tr>
      <w:tr w14:paraId="1C0D3A0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00" w:type="dxa"/>
            <w:tcMar>
              <w:top w:w="16" w:type="dxa"/>
              <w:left w:w="16" w:type="dxa"/>
              <w:right w:w="16" w:type="dxa"/>
            </w:tcMar>
            <w:vAlign w:val="center"/>
          </w:tcPr>
          <w:p w14:paraId="4C4CA746">
            <w:pPr>
              <w:keepNext w:val="0"/>
              <w:keepLines w:val="0"/>
              <w:suppressLineNumbers w:val="0"/>
              <w:adjustRightInd w:val="0"/>
              <w:snapToGrid w:val="0"/>
              <w:spacing w:before="0" w:beforeAutospacing="0" w:after="0" w:afterAutospacing="0" w:line="240" w:lineRule="auto"/>
              <w:ind w:left="0" w:right="0"/>
              <w:jc w:val="left"/>
              <w:rPr>
                <w:rFonts w:hint="default"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国民经济</w:t>
            </w:r>
          </w:p>
          <w:p w14:paraId="6A81E186">
            <w:pPr>
              <w:keepNext w:val="0"/>
              <w:keepLines w:val="0"/>
              <w:suppressLineNumbers w:val="0"/>
              <w:adjustRightInd w:val="0"/>
              <w:snapToGrid w:val="0"/>
              <w:spacing w:before="0" w:beforeAutospacing="0" w:after="0" w:afterAutospacing="0" w:line="240" w:lineRule="auto"/>
              <w:ind w:left="0" w:right="0"/>
              <w:jc w:val="left"/>
              <w:rPr>
                <w:rFonts w:hint="default"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行业类别</w:t>
            </w:r>
          </w:p>
        </w:tc>
        <w:tc>
          <w:tcPr>
            <w:tcW w:w="2779" w:type="dxa"/>
            <w:vAlign w:val="center"/>
          </w:tcPr>
          <w:p w14:paraId="1EC24CE7">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宋体"/>
                <w:color w:val="000000" w:themeColor="text1"/>
                <w:kern w:val="2"/>
                <w:sz w:val="24"/>
                <w:szCs w:val="24"/>
                <w:highlight w:val="none"/>
                <w:lang w:val="en-US" w:eastAsia="zh-CN" w:bidi="ar-SA"/>
                <w14:textFill>
                  <w14:solidFill>
                    <w14:schemeClr w14:val="tx1"/>
                  </w14:solidFill>
                </w14:textFill>
              </w:rPr>
            </w:pPr>
            <w:r>
              <w:rPr>
                <w:rFonts w:hint="default"/>
                <w:sz w:val="24"/>
                <w:highlight w:val="none"/>
              </w:rPr>
              <w:t>C3099其他非金属矿物制品制造</w:t>
            </w:r>
          </w:p>
        </w:tc>
        <w:tc>
          <w:tcPr>
            <w:tcW w:w="1887" w:type="dxa"/>
            <w:vAlign w:val="center"/>
          </w:tcPr>
          <w:p w14:paraId="18ED2DDC">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建设项目行业</w:t>
            </w:r>
          </w:p>
          <w:p w14:paraId="4EEB36F0">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类别</w:t>
            </w:r>
          </w:p>
        </w:tc>
        <w:tc>
          <w:tcPr>
            <w:tcW w:w="3413" w:type="dxa"/>
            <w:vAlign w:val="center"/>
          </w:tcPr>
          <w:p w14:paraId="5A807127">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color w:val="000000" w:themeColor="text1"/>
                <w:kern w:val="2"/>
                <w:sz w:val="24"/>
                <w:szCs w:val="24"/>
                <w:highlight w:val="none"/>
                <w:lang w:val="en-US" w:eastAsia="zh-CN" w:bidi="ar-SA"/>
                <w14:textFill>
                  <w14:solidFill>
                    <w14:schemeClr w14:val="tx1"/>
                  </w14:solidFill>
                </w14:textFill>
              </w:rPr>
            </w:pPr>
            <w:r>
              <w:rPr>
                <w:rFonts w:hint="eastAsia"/>
                <w:color w:val="000000"/>
                <w:sz w:val="24"/>
                <w:szCs w:val="24"/>
                <w:highlight w:val="none"/>
                <w:lang w:eastAsia="zh-CN"/>
              </w:rPr>
              <w:t>二十七</w:t>
            </w:r>
            <w:r>
              <w:rPr>
                <w:rFonts w:hint="eastAsia"/>
                <w:color w:val="000000"/>
                <w:sz w:val="24"/>
                <w:szCs w:val="24"/>
                <w:highlight w:val="none"/>
              </w:rPr>
              <w:t>、非金属矿物制造业</w:t>
            </w:r>
            <w:r>
              <w:rPr>
                <w:rFonts w:hint="eastAsia"/>
                <w:color w:val="000000"/>
                <w:sz w:val="24"/>
                <w:szCs w:val="24"/>
                <w:highlight w:val="none"/>
                <w:lang w:val="en-US" w:eastAsia="zh-CN"/>
              </w:rPr>
              <w:t>60</w:t>
            </w:r>
            <w:r>
              <w:rPr>
                <w:rFonts w:hint="eastAsia"/>
                <w:color w:val="000000"/>
                <w:sz w:val="24"/>
                <w:szCs w:val="24"/>
                <w:highlight w:val="none"/>
              </w:rPr>
              <w:t>、</w:t>
            </w:r>
            <w:r>
              <w:rPr>
                <w:rFonts w:hint="eastAsia"/>
                <w:color w:val="000000"/>
                <w:sz w:val="24"/>
                <w:szCs w:val="24"/>
                <w:highlight w:val="none"/>
                <w:lang w:eastAsia="zh-CN"/>
              </w:rPr>
              <w:t>石墨及其他非金属矿物制品制造</w:t>
            </w:r>
            <w:r>
              <w:rPr>
                <w:rFonts w:hint="eastAsia"/>
                <w:color w:val="000000"/>
                <w:sz w:val="24"/>
                <w:szCs w:val="24"/>
                <w:highlight w:val="none"/>
                <w:lang w:val="en-US" w:eastAsia="zh-CN"/>
              </w:rPr>
              <w:t>309</w:t>
            </w:r>
          </w:p>
        </w:tc>
      </w:tr>
      <w:tr w14:paraId="3878D04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00" w:type="dxa"/>
            <w:tcMar>
              <w:top w:w="16" w:type="dxa"/>
              <w:left w:w="16" w:type="dxa"/>
              <w:right w:w="16" w:type="dxa"/>
            </w:tcMar>
            <w:vAlign w:val="center"/>
          </w:tcPr>
          <w:p w14:paraId="71B0AEE7">
            <w:pPr>
              <w:keepNext w:val="0"/>
              <w:keepLines w:val="0"/>
              <w:suppressLineNumbers w:val="0"/>
              <w:adjustRightInd w:val="0"/>
              <w:snapToGrid w:val="0"/>
              <w:spacing w:before="0" w:beforeAutospacing="0" w:after="0" w:afterAutospacing="0" w:line="400" w:lineRule="exact"/>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建设性质</w:t>
            </w:r>
          </w:p>
        </w:tc>
        <w:tc>
          <w:tcPr>
            <w:tcW w:w="2779" w:type="dxa"/>
            <w:vAlign w:val="center"/>
          </w:tcPr>
          <w:p w14:paraId="5A3A4B39">
            <w:pPr>
              <w:keepNext w:val="0"/>
              <w:keepLines w:val="0"/>
              <w:suppressLineNumbers w:val="0"/>
              <w:adjustRightInd w:val="0"/>
              <w:snapToGrid w:val="0"/>
              <w:spacing w:before="0" w:beforeAutospacing="0" w:after="0" w:afterAutospacing="0" w:line="400" w:lineRule="exact"/>
              <w:ind w:left="0" w:right="0"/>
              <w:jc w:val="left"/>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w:t>
            </w:r>
            <w:r>
              <w:rPr>
                <w:rFonts w:hint="eastAsia" w:cs="宋体"/>
                <w:color w:val="000000" w:themeColor="text1"/>
                <w:sz w:val="24"/>
                <w:szCs w:val="24"/>
                <w:highlight w:val="none"/>
                <w14:textFill>
                  <w14:solidFill>
                    <w14:schemeClr w14:val="tx1"/>
                  </w14:solidFill>
                </w14:textFill>
              </w:rPr>
              <w:t>新建（迁建）</w:t>
            </w:r>
          </w:p>
          <w:p w14:paraId="2A2F22AC">
            <w:pPr>
              <w:keepNext w:val="0"/>
              <w:keepLines w:val="0"/>
              <w:suppressLineNumbers w:val="0"/>
              <w:adjustRightInd w:val="0"/>
              <w:snapToGrid w:val="0"/>
              <w:spacing w:before="0" w:beforeAutospacing="0" w:after="0" w:afterAutospacing="0" w:line="400" w:lineRule="exact"/>
              <w:ind w:left="0" w:right="0"/>
              <w:jc w:val="left"/>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w:t>
            </w:r>
            <w:r>
              <w:rPr>
                <w:rFonts w:hint="eastAsia" w:cs="宋体"/>
                <w:color w:val="000000" w:themeColor="text1"/>
                <w:sz w:val="24"/>
                <w:szCs w:val="24"/>
                <w:highlight w:val="none"/>
                <w14:textFill>
                  <w14:solidFill>
                    <w14:schemeClr w14:val="tx1"/>
                  </w14:solidFill>
                </w14:textFill>
              </w:rPr>
              <w:t>改建</w:t>
            </w:r>
          </w:p>
          <w:p w14:paraId="34C160AB">
            <w:pPr>
              <w:keepNext w:val="0"/>
              <w:keepLines w:val="0"/>
              <w:suppressLineNumbers w:val="0"/>
              <w:adjustRightInd w:val="0"/>
              <w:snapToGrid w:val="0"/>
              <w:spacing w:before="0" w:beforeAutospacing="0" w:after="0" w:afterAutospacing="0" w:line="400" w:lineRule="exact"/>
              <w:ind w:left="0" w:right="0"/>
              <w:jc w:val="left"/>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w:t>
            </w:r>
            <w:r>
              <w:rPr>
                <w:rFonts w:hint="eastAsia" w:cs="宋体"/>
                <w:color w:val="000000" w:themeColor="text1"/>
                <w:sz w:val="24"/>
                <w:szCs w:val="24"/>
                <w:highlight w:val="none"/>
                <w14:textFill>
                  <w14:solidFill>
                    <w14:schemeClr w14:val="tx1"/>
                  </w14:solidFill>
                </w14:textFill>
              </w:rPr>
              <w:t>扩建</w:t>
            </w:r>
          </w:p>
          <w:p w14:paraId="49984609">
            <w:pPr>
              <w:keepNext w:val="0"/>
              <w:keepLines w:val="0"/>
              <w:suppressLineNumbers w:val="0"/>
              <w:adjustRightInd w:val="0"/>
              <w:snapToGrid w:val="0"/>
              <w:spacing w:before="0" w:beforeAutospacing="0" w:after="0" w:afterAutospacing="0" w:line="400" w:lineRule="exact"/>
              <w:ind w:left="0" w:right="0"/>
              <w:jc w:val="left"/>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w:t>
            </w:r>
            <w:r>
              <w:rPr>
                <w:rFonts w:hint="eastAsia" w:cs="宋体"/>
                <w:color w:val="000000" w:themeColor="text1"/>
                <w:sz w:val="24"/>
                <w:szCs w:val="24"/>
                <w:highlight w:val="none"/>
                <w14:textFill>
                  <w14:solidFill>
                    <w14:schemeClr w14:val="tx1"/>
                  </w14:solidFill>
                </w14:textFill>
              </w:rPr>
              <w:t>技术改造</w:t>
            </w:r>
          </w:p>
        </w:tc>
        <w:tc>
          <w:tcPr>
            <w:tcW w:w="1887" w:type="dxa"/>
            <w:vAlign w:val="center"/>
          </w:tcPr>
          <w:p w14:paraId="52A33DEB">
            <w:pPr>
              <w:keepNext w:val="0"/>
              <w:keepLines w:val="0"/>
              <w:suppressLineNumbers w:val="0"/>
              <w:adjustRightInd w:val="0"/>
              <w:snapToGrid w:val="0"/>
              <w:spacing w:before="0" w:beforeAutospacing="0" w:after="0" w:afterAutospacing="0" w:line="400" w:lineRule="exact"/>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建设项目</w:t>
            </w:r>
          </w:p>
          <w:p w14:paraId="3D6DEF45">
            <w:pPr>
              <w:keepNext w:val="0"/>
              <w:keepLines w:val="0"/>
              <w:suppressLineNumbers w:val="0"/>
              <w:adjustRightInd w:val="0"/>
              <w:snapToGrid w:val="0"/>
              <w:spacing w:before="0" w:beforeAutospacing="0" w:after="0" w:afterAutospacing="0" w:line="400" w:lineRule="exact"/>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申报情形</w:t>
            </w:r>
          </w:p>
        </w:tc>
        <w:tc>
          <w:tcPr>
            <w:tcW w:w="3413" w:type="dxa"/>
            <w:vAlign w:val="center"/>
          </w:tcPr>
          <w:p w14:paraId="7F781A08">
            <w:pPr>
              <w:keepNext w:val="0"/>
              <w:keepLines w:val="0"/>
              <w:suppressLineNumbers w:val="0"/>
              <w:adjustRightInd w:val="0"/>
              <w:snapToGrid w:val="0"/>
              <w:spacing w:before="0" w:beforeAutospacing="0" w:after="0" w:afterAutospacing="0" w:line="400" w:lineRule="exact"/>
              <w:ind w:left="0" w:right="0"/>
              <w:jc w:val="left"/>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w:t>
            </w:r>
            <w:r>
              <w:rPr>
                <w:rFonts w:hint="eastAsia" w:cs="宋体"/>
                <w:color w:val="000000" w:themeColor="text1"/>
                <w:sz w:val="24"/>
                <w:szCs w:val="24"/>
                <w:highlight w:val="none"/>
                <w14:textFill>
                  <w14:solidFill>
                    <w14:schemeClr w14:val="tx1"/>
                  </w14:solidFill>
                </w14:textFill>
              </w:rPr>
              <w:t>首次申报项目</w:t>
            </w:r>
          </w:p>
          <w:p w14:paraId="07783B86">
            <w:pPr>
              <w:keepNext w:val="0"/>
              <w:keepLines w:val="0"/>
              <w:suppressLineNumbers w:val="0"/>
              <w:adjustRightInd w:val="0"/>
              <w:snapToGrid w:val="0"/>
              <w:spacing w:before="0" w:beforeAutospacing="0" w:after="0" w:afterAutospacing="0" w:line="400" w:lineRule="exact"/>
              <w:ind w:left="0" w:right="0"/>
              <w:jc w:val="left"/>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□不予批准后再次申报项目</w:t>
            </w:r>
          </w:p>
          <w:p w14:paraId="2A9EF24C">
            <w:pPr>
              <w:keepNext w:val="0"/>
              <w:keepLines w:val="0"/>
              <w:suppressLineNumbers w:val="0"/>
              <w:adjustRightInd w:val="0"/>
              <w:snapToGrid w:val="0"/>
              <w:spacing w:before="0" w:beforeAutospacing="0" w:after="0" w:afterAutospacing="0" w:line="400" w:lineRule="exact"/>
              <w:ind w:left="0" w:right="0"/>
              <w:jc w:val="left"/>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□超五年重新审核项目</w:t>
            </w:r>
          </w:p>
          <w:p w14:paraId="459909A3">
            <w:pPr>
              <w:keepNext w:val="0"/>
              <w:keepLines w:val="0"/>
              <w:suppressLineNumbers w:val="0"/>
              <w:adjustRightInd w:val="0"/>
              <w:snapToGrid w:val="0"/>
              <w:spacing w:before="0" w:beforeAutospacing="0" w:after="0" w:afterAutospacing="0" w:line="400" w:lineRule="exact"/>
              <w:ind w:left="0" w:right="0"/>
              <w:jc w:val="left"/>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w:t>
            </w:r>
            <w:r>
              <w:rPr>
                <w:rFonts w:hint="eastAsia" w:cs="宋体"/>
                <w:color w:val="000000" w:themeColor="text1"/>
                <w:sz w:val="24"/>
                <w:szCs w:val="24"/>
                <w:highlight w:val="none"/>
                <w14:textFill>
                  <w14:solidFill>
                    <w14:schemeClr w14:val="tx1"/>
                  </w14:solidFill>
                </w14:textFill>
              </w:rPr>
              <w:t>重大变动重新报批项目</w:t>
            </w:r>
          </w:p>
        </w:tc>
      </w:tr>
      <w:tr w14:paraId="42C9B8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00" w:type="dxa"/>
            <w:tcMar>
              <w:top w:w="16" w:type="dxa"/>
              <w:left w:w="16" w:type="dxa"/>
              <w:right w:w="16" w:type="dxa"/>
            </w:tcMar>
            <w:vAlign w:val="center"/>
          </w:tcPr>
          <w:p w14:paraId="72334E92">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项目审批（核准</w:t>
            </w:r>
            <w:r>
              <w:rPr>
                <w:rFonts w:hint="default"/>
                <w:color w:val="000000" w:themeColor="text1"/>
                <w:sz w:val="24"/>
                <w:szCs w:val="24"/>
                <w:highlight w:val="none"/>
                <w14:textFill>
                  <w14:solidFill>
                    <w14:schemeClr w14:val="tx1"/>
                  </w14:solidFill>
                </w14:textFill>
              </w:rPr>
              <w:t>/</w:t>
            </w:r>
            <w:r>
              <w:rPr>
                <w:rFonts w:hint="eastAsia" w:cs="宋体"/>
                <w:color w:val="000000" w:themeColor="text1"/>
                <w:sz w:val="24"/>
                <w:szCs w:val="24"/>
                <w:highlight w:val="none"/>
                <w14:textFill>
                  <w14:solidFill>
                    <w14:schemeClr w14:val="tx1"/>
                  </w14:solidFill>
                </w14:textFill>
              </w:rPr>
              <w:t>备案）部门（选填）</w:t>
            </w:r>
          </w:p>
        </w:tc>
        <w:tc>
          <w:tcPr>
            <w:tcW w:w="2779" w:type="dxa"/>
            <w:vAlign w:val="center"/>
          </w:tcPr>
          <w:p w14:paraId="10F0DA11">
            <w:pPr>
              <w:keepNext w:val="0"/>
              <w:keepLines w:val="0"/>
              <w:suppressLineNumbers w:val="0"/>
              <w:adjustRightInd w:val="0"/>
              <w:snapToGrid w:val="0"/>
              <w:spacing w:before="0" w:beforeAutospacing="0" w:after="0" w:afterAutospacing="0" w:line="240" w:lineRule="auto"/>
              <w:ind w:left="0" w:right="0"/>
              <w:jc w:val="center"/>
              <w:rPr>
                <w:rFonts w:hint="eastAsia" w:eastAsia="宋体"/>
                <w:color w:val="000000" w:themeColor="text1"/>
                <w:sz w:val="24"/>
                <w:szCs w:val="24"/>
                <w:highlight w:val="none"/>
                <w:lang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w:t>
            </w:r>
          </w:p>
        </w:tc>
        <w:tc>
          <w:tcPr>
            <w:tcW w:w="1887" w:type="dxa"/>
            <w:vAlign w:val="center"/>
          </w:tcPr>
          <w:p w14:paraId="02DF484F">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项目审批（核准</w:t>
            </w:r>
            <w:r>
              <w:rPr>
                <w:rFonts w:hint="default"/>
                <w:color w:val="000000" w:themeColor="text1"/>
                <w:sz w:val="24"/>
                <w:szCs w:val="24"/>
                <w:highlight w:val="none"/>
                <w14:textFill>
                  <w14:solidFill>
                    <w14:schemeClr w14:val="tx1"/>
                  </w14:solidFill>
                </w14:textFill>
              </w:rPr>
              <w:t>/</w:t>
            </w:r>
            <w:r>
              <w:rPr>
                <w:rFonts w:hint="eastAsia" w:cs="宋体"/>
                <w:color w:val="000000" w:themeColor="text1"/>
                <w:sz w:val="24"/>
                <w:szCs w:val="24"/>
                <w:highlight w:val="none"/>
                <w14:textFill>
                  <w14:solidFill>
                    <w14:schemeClr w14:val="tx1"/>
                  </w14:solidFill>
                </w14:textFill>
              </w:rPr>
              <w:t>备案）文号（选填）</w:t>
            </w:r>
          </w:p>
        </w:tc>
        <w:tc>
          <w:tcPr>
            <w:tcW w:w="3413" w:type="dxa"/>
            <w:vAlign w:val="center"/>
          </w:tcPr>
          <w:p w14:paraId="707EEB8C">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highlight w:val="none"/>
                <w14:textFill>
                  <w14:solidFill>
                    <w14:schemeClr w14:val="tx1"/>
                  </w14:solidFill>
                </w14:textFill>
              </w:rPr>
            </w:pPr>
            <w:r>
              <w:rPr>
                <w:rFonts w:hint="eastAsia"/>
                <w:color w:val="000000" w:themeColor="text1"/>
                <w:sz w:val="24"/>
                <w:szCs w:val="24"/>
                <w:highlight w:val="none"/>
                <w14:textFill>
                  <w14:solidFill>
                    <w14:schemeClr w14:val="tx1"/>
                  </w14:solidFill>
                </w14:textFill>
              </w:rPr>
              <w:t>/</w:t>
            </w:r>
          </w:p>
        </w:tc>
      </w:tr>
      <w:tr w14:paraId="4990EB9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00" w:type="dxa"/>
            <w:tcMar>
              <w:top w:w="16" w:type="dxa"/>
              <w:left w:w="16" w:type="dxa"/>
              <w:right w:w="16" w:type="dxa"/>
            </w:tcMar>
            <w:vAlign w:val="center"/>
          </w:tcPr>
          <w:p w14:paraId="429349BD">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总投资（万元）</w:t>
            </w:r>
          </w:p>
        </w:tc>
        <w:tc>
          <w:tcPr>
            <w:tcW w:w="2779" w:type="dxa"/>
            <w:vAlign w:val="center"/>
          </w:tcPr>
          <w:p w14:paraId="7833AA60">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1000</w:t>
            </w:r>
          </w:p>
        </w:tc>
        <w:tc>
          <w:tcPr>
            <w:tcW w:w="1887" w:type="dxa"/>
            <w:tcMar>
              <w:top w:w="16" w:type="dxa"/>
              <w:left w:w="16" w:type="dxa"/>
              <w:right w:w="16" w:type="dxa"/>
            </w:tcMar>
            <w:vAlign w:val="center"/>
          </w:tcPr>
          <w:p w14:paraId="017CB464">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环保投资</w:t>
            </w:r>
          </w:p>
          <w:p w14:paraId="15420C78">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（万元）</w:t>
            </w:r>
          </w:p>
        </w:tc>
        <w:tc>
          <w:tcPr>
            <w:tcW w:w="3413" w:type="dxa"/>
            <w:vAlign w:val="center"/>
          </w:tcPr>
          <w:p w14:paraId="2002FEEF">
            <w:pPr>
              <w:keepNext w:val="0"/>
              <w:keepLines w:val="0"/>
              <w:suppressLineNumbers w:val="0"/>
              <w:adjustRightInd w:val="0"/>
              <w:snapToGrid w:val="0"/>
              <w:spacing w:before="0" w:beforeAutospacing="0" w:after="0" w:afterAutospacing="0" w:line="240" w:lineRule="auto"/>
              <w:ind w:left="0" w:right="0"/>
              <w:jc w:val="center"/>
              <w:rPr>
                <w:rFonts w:hint="default" w:eastAsia="宋体"/>
                <w:color w:val="000000" w:themeColor="text1"/>
                <w:sz w:val="24"/>
                <w:szCs w:val="24"/>
                <w:highlight w:val="none"/>
                <w:lang w:val="en-US" w:eastAsia="zh-CN"/>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48.5</w:t>
            </w:r>
          </w:p>
        </w:tc>
      </w:tr>
      <w:tr w14:paraId="582AF69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jc w:val="center"/>
        </w:trPr>
        <w:tc>
          <w:tcPr>
            <w:tcW w:w="1100" w:type="dxa"/>
            <w:tcMar>
              <w:top w:w="16" w:type="dxa"/>
              <w:left w:w="16" w:type="dxa"/>
              <w:right w:w="16" w:type="dxa"/>
            </w:tcMar>
            <w:vAlign w:val="center"/>
          </w:tcPr>
          <w:p w14:paraId="39FD836B">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环保投资占比（</w:t>
            </w:r>
            <w:r>
              <w:rPr>
                <w:rFonts w:hint="default"/>
                <w:color w:val="000000" w:themeColor="text1"/>
                <w:sz w:val="24"/>
                <w:szCs w:val="24"/>
                <w:highlight w:val="none"/>
                <w14:textFill>
                  <w14:solidFill>
                    <w14:schemeClr w14:val="tx1"/>
                  </w14:solidFill>
                </w14:textFill>
              </w:rPr>
              <w:t>%</w:t>
            </w:r>
            <w:r>
              <w:rPr>
                <w:rFonts w:hint="eastAsia" w:cs="宋体"/>
                <w:color w:val="000000" w:themeColor="text1"/>
                <w:sz w:val="24"/>
                <w:szCs w:val="24"/>
                <w:highlight w:val="none"/>
                <w14:textFill>
                  <w14:solidFill>
                    <w14:schemeClr w14:val="tx1"/>
                  </w14:solidFill>
                </w14:textFill>
              </w:rPr>
              <w:t>）</w:t>
            </w:r>
          </w:p>
        </w:tc>
        <w:tc>
          <w:tcPr>
            <w:tcW w:w="2779" w:type="dxa"/>
            <w:vAlign w:val="center"/>
          </w:tcPr>
          <w:p w14:paraId="05DAEFA9">
            <w:pPr>
              <w:keepNext w:val="0"/>
              <w:keepLines w:val="0"/>
              <w:suppressLineNumbers w:val="0"/>
              <w:adjustRightInd w:val="0"/>
              <w:snapToGrid w:val="0"/>
              <w:spacing w:before="0" w:beforeAutospacing="0" w:after="0" w:afterAutospacing="0" w:line="400" w:lineRule="exact"/>
              <w:ind w:left="0" w:right="0"/>
              <w:jc w:val="center"/>
              <w:rPr>
                <w:rFonts w:hint="default" w:eastAsia="宋体"/>
                <w:color w:val="000000" w:themeColor="text1"/>
                <w:sz w:val="24"/>
                <w:szCs w:val="24"/>
                <w:highlight w:val="none"/>
                <w:lang w:val="en-US" w:eastAsia="zh-CN"/>
                <w14:textFill>
                  <w14:solidFill>
                    <w14:schemeClr w14:val="tx1"/>
                  </w14:solidFill>
                </w14:textFill>
              </w:rPr>
            </w:pPr>
            <w:r>
              <w:rPr>
                <w:rFonts w:hint="eastAsia" w:cs="Times New Roman"/>
                <w:bCs/>
                <w:color w:val="000000" w:themeColor="text1"/>
                <w:kern w:val="0"/>
                <w:sz w:val="24"/>
                <w:szCs w:val="32"/>
                <w:highlight w:val="none"/>
                <w:lang w:val="en-US" w:eastAsia="zh-CN"/>
                <w14:textFill>
                  <w14:solidFill>
                    <w14:schemeClr w14:val="tx1"/>
                  </w14:solidFill>
                </w14:textFill>
              </w:rPr>
              <w:t>4.85</w:t>
            </w:r>
          </w:p>
        </w:tc>
        <w:tc>
          <w:tcPr>
            <w:tcW w:w="1887" w:type="dxa"/>
            <w:tcMar>
              <w:top w:w="16" w:type="dxa"/>
              <w:left w:w="16" w:type="dxa"/>
              <w:right w:w="16" w:type="dxa"/>
            </w:tcMar>
            <w:vAlign w:val="center"/>
          </w:tcPr>
          <w:p w14:paraId="7A394488">
            <w:pPr>
              <w:keepNext w:val="0"/>
              <w:keepLines w:val="0"/>
              <w:suppressLineNumbers w:val="0"/>
              <w:adjustRightInd w:val="0"/>
              <w:snapToGrid w:val="0"/>
              <w:spacing w:before="0" w:beforeAutospacing="0" w:after="0" w:afterAutospacing="0" w:line="400" w:lineRule="exact"/>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施工工期</w:t>
            </w:r>
          </w:p>
        </w:tc>
        <w:tc>
          <w:tcPr>
            <w:tcW w:w="3413" w:type="dxa"/>
            <w:vAlign w:val="center"/>
          </w:tcPr>
          <w:p w14:paraId="2C6AEEA3">
            <w:pPr>
              <w:keepNext w:val="0"/>
              <w:keepLines w:val="0"/>
              <w:suppressLineNumbers w:val="0"/>
              <w:adjustRightInd w:val="0"/>
              <w:snapToGrid w:val="0"/>
              <w:spacing w:before="0" w:beforeAutospacing="0" w:after="0" w:afterAutospacing="0" w:line="400" w:lineRule="exact"/>
              <w:ind w:left="0" w:right="0"/>
              <w:jc w:val="center"/>
              <w:rPr>
                <w:rFonts w:hint="default" w:eastAsia="宋体"/>
                <w:color w:val="000000" w:themeColor="text1"/>
                <w:sz w:val="24"/>
                <w:szCs w:val="24"/>
                <w:highlight w:val="none"/>
                <w:lang w:val="en-US" w:eastAsia="zh-CN"/>
                <w14:textFill>
                  <w14:solidFill>
                    <w14:schemeClr w14:val="tx1"/>
                  </w14:solidFill>
                </w14:textFill>
              </w:rPr>
            </w:pPr>
            <w:r>
              <w:rPr>
                <w:rFonts w:hint="eastAsia"/>
                <w:strike w:val="0"/>
                <w:dstrike w:val="0"/>
                <w:color w:val="000000" w:themeColor="text1"/>
                <w:sz w:val="24"/>
                <w:szCs w:val="24"/>
                <w:highlight w:val="none"/>
                <w:lang w:val="en-US" w:eastAsia="zh-CN"/>
                <w14:textFill>
                  <w14:solidFill>
                    <w14:schemeClr w14:val="tx1"/>
                  </w14:solidFill>
                </w14:textFill>
              </w:rPr>
              <w:t>2025年9月~2025年10月</w:t>
            </w:r>
          </w:p>
        </w:tc>
      </w:tr>
      <w:tr w14:paraId="69ABB0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17" w:hRule="atLeast"/>
          <w:jc w:val="center"/>
        </w:trPr>
        <w:tc>
          <w:tcPr>
            <w:tcW w:w="1100" w:type="dxa"/>
            <w:tcMar>
              <w:top w:w="16" w:type="dxa"/>
              <w:left w:w="16" w:type="dxa"/>
              <w:right w:w="16" w:type="dxa"/>
            </w:tcMar>
            <w:vAlign w:val="center"/>
          </w:tcPr>
          <w:p w14:paraId="651A3625">
            <w:pPr>
              <w:keepNext w:val="0"/>
              <w:keepLines w:val="0"/>
              <w:suppressLineNumbers w:val="0"/>
              <w:adjustRightInd w:val="0"/>
              <w:snapToGrid w:val="0"/>
              <w:spacing w:before="0" w:beforeAutospacing="0" w:after="0" w:afterAutospacing="0" w:line="400" w:lineRule="exact"/>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是否开工建设</w:t>
            </w:r>
          </w:p>
        </w:tc>
        <w:tc>
          <w:tcPr>
            <w:tcW w:w="2779" w:type="dxa"/>
            <w:vAlign w:val="center"/>
          </w:tcPr>
          <w:p w14:paraId="285C880A">
            <w:pPr>
              <w:keepNext w:val="0"/>
              <w:keepLines w:val="0"/>
              <w:suppressLineNumbers w:val="0"/>
              <w:adjustRightInd w:val="0"/>
              <w:snapToGrid w:val="0"/>
              <w:spacing w:before="0" w:beforeAutospacing="0" w:after="0" w:afterAutospacing="0" w:line="400" w:lineRule="exact"/>
              <w:ind w:left="0" w:right="0"/>
              <w:jc w:val="left"/>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eastAsia="zh-CN"/>
                <w14:textFill>
                  <w14:solidFill>
                    <w14:schemeClr w14:val="tx1"/>
                  </w14:solidFill>
                </w14:textFill>
              </w:rPr>
              <w:t>☑</w:t>
            </w:r>
            <w:r>
              <w:rPr>
                <w:rFonts w:hint="eastAsia" w:cs="宋体"/>
                <w:color w:val="000000" w:themeColor="text1"/>
                <w:sz w:val="24"/>
                <w:szCs w:val="24"/>
                <w:highlight w:val="none"/>
                <w14:textFill>
                  <w14:solidFill>
                    <w14:schemeClr w14:val="tx1"/>
                  </w14:solidFill>
                </w14:textFill>
              </w:rPr>
              <w:t>否</w:t>
            </w:r>
          </w:p>
          <w:p w14:paraId="24DD2C17">
            <w:pPr>
              <w:keepNext w:val="0"/>
              <w:keepLines w:val="0"/>
              <w:suppressLineNumbers w:val="0"/>
              <w:adjustRightInd w:val="0"/>
              <w:snapToGrid w:val="0"/>
              <w:spacing w:before="0" w:beforeAutospacing="0" w:after="0" w:afterAutospacing="0" w:line="240" w:lineRule="auto"/>
              <w:ind w:left="0" w:right="0"/>
              <w:jc w:val="left"/>
              <w:rPr>
                <w:rFonts w:hint="default" w:eastAsia="宋体"/>
                <w:color w:val="000000" w:themeColor="text1"/>
                <w:sz w:val="24"/>
                <w:szCs w:val="24"/>
                <w:highlight w:val="none"/>
                <w:lang w:val="en-US" w:eastAsia="zh-CN"/>
                <w14:textFill>
                  <w14:solidFill>
                    <w14:schemeClr w14:val="tx1"/>
                  </w14:solidFill>
                </w14:textFill>
              </w:rPr>
            </w:pPr>
            <w:r>
              <w:rPr>
                <w:rFonts w:hint="eastAsia" w:cs="宋体"/>
                <w:color w:val="000000" w:themeColor="text1"/>
                <w:sz w:val="21"/>
                <w:szCs w:val="21"/>
                <w:highlight w:val="none"/>
                <w:lang w:eastAsia="zh-CN"/>
                <w14:textFill>
                  <w14:solidFill>
                    <w14:schemeClr w14:val="tx1"/>
                  </w14:solidFill>
                </w14:textFill>
              </w:rPr>
              <w:t>□</w:t>
            </w:r>
            <w:r>
              <w:rPr>
                <w:rFonts w:hint="eastAsia" w:ascii="Times New Roman" w:hAnsi="Times New Roman" w:cs="宋体"/>
                <w:color w:val="000000" w:themeColor="text1"/>
                <w:sz w:val="24"/>
                <w:szCs w:val="24"/>
                <w:highlight w:val="none"/>
                <w14:textFill>
                  <w14:solidFill>
                    <w14:schemeClr w14:val="tx1"/>
                  </w14:solidFill>
                </w14:textFill>
              </w:rPr>
              <w:t>是</w:t>
            </w:r>
          </w:p>
        </w:tc>
        <w:tc>
          <w:tcPr>
            <w:tcW w:w="1887" w:type="dxa"/>
            <w:tcMar>
              <w:top w:w="16" w:type="dxa"/>
              <w:left w:w="16" w:type="dxa"/>
              <w:right w:w="16" w:type="dxa"/>
            </w:tcMar>
            <w:vAlign w:val="center"/>
          </w:tcPr>
          <w:p w14:paraId="459B0685">
            <w:pPr>
              <w:keepNext w:val="0"/>
              <w:keepLines w:val="0"/>
              <w:suppressLineNumbers w:val="0"/>
              <w:adjustRightInd w:val="0"/>
              <w:snapToGrid w:val="0"/>
              <w:spacing w:before="0" w:beforeAutospacing="0" w:after="0" w:afterAutospacing="0" w:line="400" w:lineRule="exact"/>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pacing w:val="-6"/>
                <w:sz w:val="24"/>
                <w:szCs w:val="24"/>
                <w:highlight w:val="none"/>
                <w14:textFill>
                  <w14:solidFill>
                    <w14:schemeClr w14:val="tx1"/>
                  </w14:solidFill>
                </w14:textFill>
              </w:rPr>
              <w:t>用地面积（</w:t>
            </w:r>
            <w:r>
              <w:rPr>
                <w:rFonts w:hint="default"/>
                <w:color w:val="000000" w:themeColor="text1"/>
                <w:spacing w:val="-6"/>
                <w:sz w:val="24"/>
                <w:szCs w:val="24"/>
                <w:highlight w:val="none"/>
                <w14:textFill>
                  <w14:solidFill>
                    <w14:schemeClr w14:val="tx1"/>
                  </w14:solidFill>
                </w14:textFill>
              </w:rPr>
              <w:t>m</w:t>
            </w:r>
            <w:r>
              <w:rPr>
                <w:rFonts w:hint="default"/>
                <w:color w:val="000000" w:themeColor="text1"/>
                <w:spacing w:val="-6"/>
                <w:sz w:val="24"/>
                <w:szCs w:val="24"/>
                <w:highlight w:val="none"/>
                <w:vertAlign w:val="superscript"/>
                <w14:textFill>
                  <w14:solidFill>
                    <w14:schemeClr w14:val="tx1"/>
                  </w14:solidFill>
                </w14:textFill>
              </w:rPr>
              <w:t>2</w:t>
            </w:r>
            <w:r>
              <w:rPr>
                <w:rFonts w:hint="eastAsia" w:cs="宋体"/>
                <w:color w:val="000000" w:themeColor="text1"/>
                <w:spacing w:val="-6"/>
                <w:sz w:val="24"/>
                <w:szCs w:val="24"/>
                <w:highlight w:val="none"/>
                <w14:textFill>
                  <w14:solidFill>
                    <w14:schemeClr w14:val="tx1"/>
                  </w14:solidFill>
                </w14:textFill>
              </w:rPr>
              <w:t>）</w:t>
            </w:r>
          </w:p>
        </w:tc>
        <w:tc>
          <w:tcPr>
            <w:tcW w:w="3413" w:type="dxa"/>
            <w:vAlign w:val="center"/>
          </w:tcPr>
          <w:p w14:paraId="420EDD79">
            <w:pPr>
              <w:keepNext w:val="0"/>
              <w:keepLines w:val="0"/>
              <w:suppressLineNumbers w:val="0"/>
              <w:adjustRightInd w:val="0"/>
              <w:snapToGrid w:val="0"/>
              <w:spacing w:before="0" w:beforeAutospacing="0" w:after="0" w:afterAutospacing="0" w:line="400" w:lineRule="exact"/>
              <w:ind w:left="0" w:right="0"/>
              <w:jc w:val="center"/>
              <w:rPr>
                <w:rFonts w:hint="default" w:eastAsia="宋体"/>
                <w:color w:val="000000" w:themeColor="text1"/>
                <w:sz w:val="24"/>
                <w:szCs w:val="24"/>
                <w:highlight w:val="none"/>
                <w:lang w:val="en-US" w:eastAsia="zh-CN"/>
                <w14:textFill>
                  <w14:solidFill>
                    <w14:schemeClr w14:val="tx1"/>
                  </w14:solidFill>
                </w14:textFill>
              </w:rPr>
            </w:pPr>
            <w:r>
              <w:rPr>
                <w:rFonts w:hint="eastAsia"/>
                <w:strike w:val="0"/>
                <w:dstrike w:val="0"/>
                <w:color w:val="000000" w:themeColor="text1"/>
                <w:sz w:val="24"/>
                <w:szCs w:val="24"/>
                <w:highlight w:val="none"/>
                <w:lang w:val="en-US" w:eastAsia="zh-CN"/>
                <w14:textFill>
                  <w14:solidFill>
                    <w14:schemeClr w14:val="tx1"/>
                  </w14:solidFill>
                </w14:textFill>
              </w:rPr>
              <w:t>17500</w:t>
            </w:r>
          </w:p>
        </w:tc>
      </w:tr>
      <w:tr w14:paraId="439C395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00" w:type="dxa"/>
            <w:vAlign w:val="center"/>
          </w:tcPr>
          <w:p w14:paraId="363DD2E6">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kern w:val="0"/>
                <w:sz w:val="24"/>
                <w:szCs w:val="24"/>
                <w:highlight w:val="none"/>
                <w14:textFill>
                  <w14:solidFill>
                    <w14:schemeClr w14:val="tx1"/>
                  </w14:solidFill>
                </w14:textFill>
              </w:rPr>
            </w:pPr>
            <w:r>
              <w:rPr>
                <w:rFonts w:hint="eastAsia" w:cs="宋体"/>
                <w:color w:val="000000" w:themeColor="text1"/>
                <w:kern w:val="0"/>
                <w:sz w:val="24"/>
                <w:szCs w:val="24"/>
                <w:highlight w:val="none"/>
                <w14:textFill>
                  <w14:solidFill>
                    <w14:schemeClr w14:val="tx1"/>
                  </w14:solidFill>
                </w14:textFill>
              </w:rPr>
              <w:t>专项评价设置情况</w:t>
            </w:r>
          </w:p>
        </w:tc>
        <w:tc>
          <w:tcPr>
            <w:tcW w:w="8079" w:type="dxa"/>
            <w:gridSpan w:val="3"/>
            <w:vAlign w:val="center"/>
          </w:tcPr>
          <w:p w14:paraId="5E873B21">
            <w:pPr>
              <w:pStyle w:val="166"/>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textAlignment w:val="auto"/>
              <w:rPr>
                <w:rFonts w:hint="default"/>
                <w:highlight w:val="none"/>
              </w:rPr>
            </w:pPr>
            <w:r>
              <w:rPr>
                <w:rFonts w:hint="default"/>
                <w:highlight w:val="none"/>
              </w:rPr>
              <w:t>表1-1   专项评价设置一览表</w:t>
            </w:r>
          </w:p>
          <w:tbl>
            <w:tblPr>
              <w:tblStyle w:val="41"/>
              <w:tblW w:w="76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4"/>
              <w:gridCol w:w="1133"/>
              <w:gridCol w:w="2488"/>
              <w:gridCol w:w="2546"/>
              <w:gridCol w:w="1084"/>
            </w:tblGrid>
            <w:tr w14:paraId="07A2B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34" w:type="dxa"/>
                  <w:vAlign w:val="center"/>
                </w:tcPr>
                <w:p w14:paraId="48A44D96">
                  <w:pPr>
                    <w:pStyle w:val="167"/>
                    <w:keepNext w:val="0"/>
                    <w:keepLines w:val="0"/>
                    <w:suppressLineNumbers w:val="0"/>
                    <w:spacing w:beforeAutospacing="0" w:afterAutospacing="0"/>
                    <w:ind w:left="0" w:right="0"/>
                    <w:rPr>
                      <w:rFonts w:hint="default"/>
                      <w:b/>
                      <w:bCs w:val="0"/>
                      <w:color w:val="auto"/>
                      <w:sz w:val="21"/>
                      <w:szCs w:val="21"/>
                      <w:highlight w:val="none"/>
                    </w:rPr>
                  </w:pPr>
                  <w:r>
                    <w:rPr>
                      <w:rFonts w:hint="default"/>
                      <w:b/>
                      <w:bCs w:val="0"/>
                      <w:color w:val="auto"/>
                      <w:sz w:val="21"/>
                      <w:szCs w:val="21"/>
                      <w:highlight w:val="none"/>
                    </w:rPr>
                    <w:t>序号</w:t>
                  </w:r>
                </w:p>
              </w:tc>
              <w:tc>
                <w:tcPr>
                  <w:tcW w:w="1133" w:type="dxa"/>
                  <w:vAlign w:val="center"/>
                </w:tcPr>
                <w:p w14:paraId="6300AA0E">
                  <w:pPr>
                    <w:pStyle w:val="167"/>
                    <w:keepNext w:val="0"/>
                    <w:keepLines w:val="0"/>
                    <w:suppressLineNumbers w:val="0"/>
                    <w:spacing w:beforeAutospacing="0" w:afterAutospacing="0"/>
                    <w:ind w:left="0" w:right="0"/>
                    <w:rPr>
                      <w:rFonts w:hint="default"/>
                      <w:b/>
                      <w:bCs w:val="0"/>
                      <w:color w:val="auto"/>
                      <w:sz w:val="21"/>
                      <w:szCs w:val="21"/>
                      <w:highlight w:val="none"/>
                    </w:rPr>
                  </w:pPr>
                  <w:r>
                    <w:rPr>
                      <w:rFonts w:hint="default"/>
                      <w:b/>
                      <w:bCs w:val="0"/>
                      <w:color w:val="auto"/>
                      <w:sz w:val="21"/>
                      <w:szCs w:val="21"/>
                      <w:highlight w:val="none"/>
                    </w:rPr>
                    <w:t>专题评价的类别</w:t>
                  </w:r>
                </w:p>
              </w:tc>
              <w:tc>
                <w:tcPr>
                  <w:tcW w:w="2488" w:type="dxa"/>
                  <w:vAlign w:val="center"/>
                </w:tcPr>
                <w:p w14:paraId="2BC4AA46">
                  <w:pPr>
                    <w:pStyle w:val="167"/>
                    <w:keepNext w:val="0"/>
                    <w:keepLines w:val="0"/>
                    <w:suppressLineNumbers w:val="0"/>
                    <w:spacing w:beforeAutospacing="0" w:afterAutospacing="0"/>
                    <w:ind w:left="0" w:right="0"/>
                    <w:rPr>
                      <w:rFonts w:hint="default"/>
                      <w:b/>
                      <w:bCs w:val="0"/>
                      <w:color w:val="auto"/>
                      <w:sz w:val="21"/>
                      <w:szCs w:val="21"/>
                      <w:highlight w:val="none"/>
                    </w:rPr>
                  </w:pPr>
                  <w:r>
                    <w:rPr>
                      <w:rFonts w:hint="default"/>
                      <w:b/>
                      <w:bCs w:val="0"/>
                      <w:color w:val="auto"/>
                      <w:sz w:val="21"/>
                      <w:szCs w:val="21"/>
                      <w:highlight w:val="none"/>
                    </w:rPr>
                    <w:t>设置原则</w:t>
                  </w:r>
                </w:p>
              </w:tc>
              <w:tc>
                <w:tcPr>
                  <w:tcW w:w="2546" w:type="dxa"/>
                  <w:vAlign w:val="center"/>
                </w:tcPr>
                <w:p w14:paraId="3D19EC68">
                  <w:pPr>
                    <w:pStyle w:val="167"/>
                    <w:keepNext w:val="0"/>
                    <w:keepLines w:val="0"/>
                    <w:suppressLineNumbers w:val="0"/>
                    <w:spacing w:beforeAutospacing="0" w:afterAutospacing="0"/>
                    <w:ind w:left="0" w:right="0"/>
                    <w:rPr>
                      <w:rFonts w:hint="default"/>
                      <w:b/>
                      <w:bCs w:val="0"/>
                      <w:color w:val="auto"/>
                      <w:sz w:val="21"/>
                      <w:szCs w:val="21"/>
                      <w:highlight w:val="none"/>
                    </w:rPr>
                  </w:pPr>
                  <w:r>
                    <w:rPr>
                      <w:rFonts w:hint="default"/>
                      <w:b/>
                      <w:bCs w:val="0"/>
                      <w:color w:val="auto"/>
                      <w:sz w:val="21"/>
                      <w:szCs w:val="21"/>
                      <w:highlight w:val="none"/>
                    </w:rPr>
                    <w:t>本项目建设情况</w:t>
                  </w:r>
                </w:p>
              </w:tc>
              <w:tc>
                <w:tcPr>
                  <w:tcW w:w="1084" w:type="dxa"/>
                  <w:vAlign w:val="center"/>
                </w:tcPr>
                <w:p w14:paraId="41DE4E0B">
                  <w:pPr>
                    <w:pStyle w:val="167"/>
                    <w:keepNext w:val="0"/>
                    <w:keepLines w:val="0"/>
                    <w:suppressLineNumbers w:val="0"/>
                    <w:spacing w:beforeAutospacing="0" w:afterAutospacing="0"/>
                    <w:ind w:left="0" w:right="0"/>
                    <w:rPr>
                      <w:rFonts w:hint="default"/>
                      <w:b/>
                      <w:bCs w:val="0"/>
                      <w:color w:val="auto"/>
                      <w:sz w:val="21"/>
                      <w:szCs w:val="21"/>
                      <w:highlight w:val="none"/>
                    </w:rPr>
                  </w:pPr>
                  <w:r>
                    <w:rPr>
                      <w:rFonts w:hint="default"/>
                      <w:b/>
                      <w:bCs w:val="0"/>
                      <w:color w:val="auto"/>
                      <w:sz w:val="21"/>
                      <w:szCs w:val="21"/>
                      <w:highlight w:val="none"/>
                    </w:rPr>
                    <w:t>专项评价设置情况</w:t>
                  </w:r>
                </w:p>
              </w:tc>
            </w:tr>
            <w:tr w14:paraId="18434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 w:hRule="atLeast"/>
                <w:jc w:val="center"/>
              </w:trPr>
              <w:tc>
                <w:tcPr>
                  <w:tcW w:w="434" w:type="dxa"/>
                  <w:vAlign w:val="center"/>
                </w:tcPr>
                <w:p w14:paraId="111ACF46">
                  <w:pPr>
                    <w:pStyle w:val="167"/>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1</w:t>
                  </w:r>
                </w:p>
              </w:tc>
              <w:tc>
                <w:tcPr>
                  <w:tcW w:w="1133" w:type="dxa"/>
                  <w:vAlign w:val="center"/>
                </w:tcPr>
                <w:p w14:paraId="28DF6C50">
                  <w:pPr>
                    <w:pStyle w:val="167"/>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大气</w:t>
                  </w:r>
                </w:p>
              </w:tc>
              <w:tc>
                <w:tcPr>
                  <w:tcW w:w="2488" w:type="dxa"/>
                  <w:vAlign w:val="center"/>
                </w:tcPr>
                <w:p w14:paraId="6AA8D8D9">
                  <w:pPr>
                    <w:pStyle w:val="167"/>
                    <w:keepNext w:val="0"/>
                    <w:keepLines w:val="0"/>
                    <w:suppressLineNumbers w:val="0"/>
                    <w:spacing w:beforeAutospacing="0" w:afterAutospacing="0"/>
                    <w:ind w:left="0" w:right="0"/>
                    <w:rPr>
                      <w:rFonts w:hint="eastAsia" w:eastAsia="宋体"/>
                      <w:b w:val="0"/>
                      <w:color w:val="auto"/>
                      <w:sz w:val="21"/>
                      <w:szCs w:val="21"/>
                      <w:highlight w:val="none"/>
                      <w:lang w:eastAsia="zh-CN"/>
                    </w:rPr>
                  </w:pPr>
                  <w:r>
                    <w:rPr>
                      <w:rFonts w:hint="default"/>
                      <w:b w:val="0"/>
                      <w:color w:val="auto"/>
                      <w:sz w:val="21"/>
                      <w:szCs w:val="21"/>
                      <w:highlight w:val="none"/>
                    </w:rPr>
                    <w:t>排放废气含有毒有害污染物</w:t>
                  </w:r>
                  <w:r>
                    <w:rPr>
                      <w:rFonts w:hint="default"/>
                      <w:b w:val="0"/>
                      <w:color w:val="auto"/>
                      <w:sz w:val="21"/>
                      <w:szCs w:val="21"/>
                      <w:highlight w:val="none"/>
                      <w:vertAlign w:val="superscript"/>
                    </w:rPr>
                    <w:t>1</w:t>
                  </w:r>
                  <w:r>
                    <w:rPr>
                      <w:rFonts w:hint="default"/>
                      <w:b w:val="0"/>
                      <w:color w:val="auto"/>
                      <w:sz w:val="21"/>
                      <w:szCs w:val="21"/>
                      <w:highlight w:val="none"/>
                    </w:rPr>
                    <w:t>、二噁英、苯并〔a〕芘、氰化物、氯气且厂界外500m范围内有环境空气保护目标</w:t>
                  </w:r>
                  <w:r>
                    <w:rPr>
                      <w:rFonts w:hint="default"/>
                      <w:b w:val="0"/>
                      <w:color w:val="auto"/>
                      <w:sz w:val="21"/>
                      <w:szCs w:val="21"/>
                      <w:highlight w:val="none"/>
                      <w:vertAlign w:val="superscript"/>
                    </w:rPr>
                    <w:t>2</w:t>
                  </w:r>
                  <w:r>
                    <w:rPr>
                      <w:rFonts w:hint="default"/>
                      <w:b w:val="0"/>
                      <w:color w:val="auto"/>
                      <w:sz w:val="21"/>
                      <w:szCs w:val="21"/>
                      <w:highlight w:val="none"/>
                    </w:rPr>
                    <w:t>的建设项目</w:t>
                  </w:r>
                  <w:r>
                    <w:rPr>
                      <w:rFonts w:hint="eastAsia"/>
                      <w:b w:val="0"/>
                      <w:color w:val="auto"/>
                      <w:sz w:val="21"/>
                      <w:szCs w:val="21"/>
                      <w:highlight w:val="none"/>
                      <w:lang w:eastAsia="zh-CN"/>
                    </w:rPr>
                    <w:t>。</w:t>
                  </w:r>
                </w:p>
              </w:tc>
              <w:tc>
                <w:tcPr>
                  <w:tcW w:w="2546" w:type="dxa"/>
                  <w:vAlign w:val="center"/>
                </w:tcPr>
                <w:p w14:paraId="045079D0">
                  <w:pPr>
                    <w:pStyle w:val="167"/>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项目营运期沥青加热以及搅拌过程</w:t>
                  </w:r>
                  <w:r>
                    <w:rPr>
                      <w:rFonts w:hint="eastAsia"/>
                      <w:b w:val="0"/>
                      <w:color w:val="auto"/>
                      <w:sz w:val="21"/>
                      <w:szCs w:val="21"/>
                      <w:highlight w:val="none"/>
                      <w:lang w:val="en-US" w:eastAsia="zh-CN"/>
                    </w:rPr>
                    <w:t>中</w:t>
                  </w:r>
                  <w:r>
                    <w:rPr>
                      <w:rFonts w:hint="default"/>
                      <w:b w:val="0"/>
                      <w:color w:val="auto"/>
                      <w:sz w:val="21"/>
                      <w:szCs w:val="21"/>
                      <w:highlight w:val="none"/>
                    </w:rPr>
                    <w:t>排放</w:t>
                  </w:r>
                  <w:r>
                    <w:rPr>
                      <w:rFonts w:hint="eastAsia"/>
                      <w:b w:val="0"/>
                      <w:color w:val="auto"/>
                      <w:sz w:val="21"/>
                      <w:szCs w:val="21"/>
                      <w:highlight w:val="none"/>
                      <w:lang w:val="en-US" w:eastAsia="zh-CN"/>
                    </w:rPr>
                    <w:t>的</w:t>
                  </w:r>
                  <w:r>
                    <w:rPr>
                      <w:rFonts w:hint="default"/>
                      <w:b w:val="0"/>
                      <w:color w:val="auto"/>
                      <w:sz w:val="21"/>
                      <w:szCs w:val="21"/>
                      <w:highlight w:val="none"/>
                    </w:rPr>
                    <w:t>沥青烟气中含</w:t>
                  </w:r>
                  <w:r>
                    <w:rPr>
                      <w:rFonts w:hint="eastAsia"/>
                      <w:b w:val="0"/>
                      <w:color w:val="auto"/>
                      <w:sz w:val="21"/>
                      <w:szCs w:val="21"/>
                      <w:highlight w:val="none"/>
                      <w:lang w:val="en-US" w:eastAsia="zh-CN"/>
                    </w:rPr>
                    <w:t>有</w:t>
                  </w:r>
                  <w:r>
                    <w:rPr>
                      <w:rFonts w:hint="default"/>
                      <w:b w:val="0"/>
                      <w:color w:val="auto"/>
                      <w:sz w:val="21"/>
                      <w:szCs w:val="21"/>
                      <w:highlight w:val="none"/>
                    </w:rPr>
                    <w:t>苯并[a]芘，苯并[a]芘</w:t>
                  </w:r>
                  <w:r>
                    <w:rPr>
                      <w:rFonts w:hint="eastAsia"/>
                      <w:b w:val="0"/>
                      <w:color w:val="auto"/>
                      <w:sz w:val="21"/>
                      <w:szCs w:val="21"/>
                      <w:highlight w:val="none"/>
                      <w:lang w:val="en-US" w:eastAsia="zh-CN"/>
                    </w:rPr>
                    <w:t>属于</w:t>
                  </w:r>
                  <w:r>
                    <w:rPr>
                      <w:rFonts w:hint="default"/>
                      <w:b w:val="0"/>
                      <w:color w:val="auto"/>
                      <w:sz w:val="21"/>
                      <w:szCs w:val="21"/>
                      <w:highlight w:val="none"/>
                    </w:rPr>
                    <w:t>有毒有害物质，且项目厂界500m范围内</w:t>
                  </w:r>
                  <w:r>
                    <w:rPr>
                      <w:rFonts w:hint="eastAsia"/>
                      <w:b w:val="0"/>
                      <w:color w:val="auto"/>
                      <w:sz w:val="21"/>
                      <w:szCs w:val="21"/>
                      <w:highlight w:val="none"/>
                      <w:lang w:val="en-US" w:eastAsia="zh-CN"/>
                    </w:rPr>
                    <w:t>存在</w:t>
                  </w:r>
                  <w:r>
                    <w:rPr>
                      <w:rFonts w:hint="default"/>
                      <w:b w:val="0"/>
                      <w:color w:val="auto"/>
                      <w:sz w:val="21"/>
                      <w:szCs w:val="21"/>
                      <w:highlight w:val="none"/>
                    </w:rPr>
                    <w:t>环境空气保护目标。因此，项目设置大气专项评价。</w:t>
                  </w:r>
                </w:p>
              </w:tc>
              <w:tc>
                <w:tcPr>
                  <w:tcW w:w="1084" w:type="dxa"/>
                  <w:vAlign w:val="center"/>
                </w:tcPr>
                <w:p w14:paraId="22E9D5A9">
                  <w:pPr>
                    <w:pStyle w:val="167"/>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设置</w:t>
                  </w:r>
                </w:p>
              </w:tc>
            </w:tr>
            <w:tr w14:paraId="4F67C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34" w:type="dxa"/>
                  <w:vAlign w:val="center"/>
                </w:tcPr>
                <w:p w14:paraId="19FD34CA">
                  <w:pPr>
                    <w:pStyle w:val="167"/>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2</w:t>
                  </w:r>
                </w:p>
              </w:tc>
              <w:tc>
                <w:tcPr>
                  <w:tcW w:w="1133" w:type="dxa"/>
                  <w:vAlign w:val="center"/>
                </w:tcPr>
                <w:p w14:paraId="5B06C263">
                  <w:pPr>
                    <w:pStyle w:val="167"/>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地表水</w:t>
                  </w:r>
                </w:p>
              </w:tc>
              <w:tc>
                <w:tcPr>
                  <w:tcW w:w="2488" w:type="dxa"/>
                  <w:vAlign w:val="center"/>
                </w:tcPr>
                <w:p w14:paraId="0B64F4A6">
                  <w:pPr>
                    <w:pStyle w:val="167"/>
                    <w:keepNext w:val="0"/>
                    <w:keepLines w:val="0"/>
                    <w:suppressLineNumbers w:val="0"/>
                    <w:spacing w:beforeAutospacing="0" w:afterAutospacing="0"/>
                    <w:ind w:left="0" w:right="0"/>
                    <w:jc w:val="left"/>
                    <w:rPr>
                      <w:rFonts w:hint="default"/>
                      <w:b w:val="0"/>
                      <w:color w:val="auto"/>
                      <w:sz w:val="21"/>
                      <w:szCs w:val="21"/>
                      <w:highlight w:val="none"/>
                    </w:rPr>
                  </w:pPr>
                  <w:r>
                    <w:rPr>
                      <w:rFonts w:hint="default"/>
                      <w:b w:val="0"/>
                      <w:color w:val="auto"/>
                      <w:sz w:val="21"/>
                      <w:szCs w:val="21"/>
                      <w:highlight w:val="none"/>
                    </w:rPr>
                    <w:t>新增工业废水直排建设项目（槽罐车外送污水处理厂的除外）；新增废水直排的污水集中处理厂</w:t>
                  </w:r>
                </w:p>
              </w:tc>
              <w:tc>
                <w:tcPr>
                  <w:tcW w:w="2546" w:type="dxa"/>
                  <w:vAlign w:val="center"/>
                </w:tcPr>
                <w:p w14:paraId="6C909C25">
                  <w:pPr>
                    <w:pStyle w:val="167"/>
                    <w:keepNext w:val="0"/>
                    <w:keepLines w:val="0"/>
                    <w:suppressLineNumbers w:val="0"/>
                    <w:spacing w:beforeAutospacing="0" w:afterAutospacing="0"/>
                    <w:ind w:left="0" w:right="0"/>
                    <w:jc w:val="left"/>
                    <w:rPr>
                      <w:rFonts w:hint="eastAsia" w:eastAsia="宋体"/>
                      <w:b w:val="0"/>
                      <w:color w:val="auto"/>
                      <w:sz w:val="21"/>
                      <w:szCs w:val="21"/>
                      <w:highlight w:val="none"/>
                      <w:lang w:val="en-US" w:eastAsia="zh-CN"/>
                    </w:rPr>
                  </w:pPr>
                  <w:r>
                    <w:rPr>
                      <w:rFonts w:hint="eastAsia"/>
                      <w:b w:val="0"/>
                      <w:color w:val="auto"/>
                      <w:sz w:val="21"/>
                      <w:szCs w:val="21"/>
                      <w:highlight w:val="none"/>
                      <w:lang w:eastAsia="zh-CN"/>
                    </w:rPr>
                    <w:t>项目运营期车辆冲洗废水经循环沉淀池沉淀后回用；员工生活污水经</w:t>
                  </w:r>
                  <w:r>
                    <w:rPr>
                      <w:rFonts w:hint="eastAsia"/>
                      <w:b w:val="0"/>
                      <w:color w:val="auto"/>
                      <w:sz w:val="21"/>
                      <w:szCs w:val="21"/>
                      <w:highlight w:val="none"/>
                      <w:lang w:val="en-US" w:eastAsia="zh-CN"/>
                    </w:rPr>
                    <w:t>化粪池</w:t>
                  </w:r>
                  <w:r>
                    <w:rPr>
                      <w:rFonts w:hint="eastAsia"/>
                      <w:b w:val="0"/>
                      <w:color w:val="auto"/>
                      <w:sz w:val="21"/>
                      <w:szCs w:val="21"/>
                      <w:highlight w:val="none"/>
                      <w:lang w:eastAsia="zh-CN"/>
                    </w:rPr>
                    <w:t>收集后</w:t>
                  </w:r>
                  <w:r>
                    <w:rPr>
                      <w:rFonts w:hint="eastAsia"/>
                      <w:b w:val="0"/>
                      <w:color w:val="auto"/>
                      <w:sz w:val="21"/>
                      <w:szCs w:val="21"/>
                      <w:highlight w:val="none"/>
                      <w:lang w:val="en-US" w:eastAsia="zh-CN"/>
                    </w:rPr>
                    <w:t>排入市政管网</w:t>
                  </w:r>
                  <w:r>
                    <w:rPr>
                      <w:rFonts w:hint="eastAsia"/>
                      <w:b w:val="0"/>
                      <w:color w:val="auto"/>
                      <w:sz w:val="21"/>
                      <w:szCs w:val="21"/>
                      <w:highlight w:val="none"/>
                      <w:lang w:eastAsia="zh-CN"/>
                    </w:rPr>
                    <w:t>。</w:t>
                  </w:r>
                </w:p>
              </w:tc>
              <w:tc>
                <w:tcPr>
                  <w:tcW w:w="1084" w:type="dxa"/>
                  <w:vAlign w:val="center"/>
                </w:tcPr>
                <w:p w14:paraId="5F0EB7EA">
                  <w:pPr>
                    <w:pStyle w:val="167"/>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不设置</w:t>
                  </w:r>
                </w:p>
              </w:tc>
            </w:tr>
            <w:tr w14:paraId="7F15E7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4" w:hRule="atLeast"/>
                <w:jc w:val="center"/>
              </w:trPr>
              <w:tc>
                <w:tcPr>
                  <w:tcW w:w="434" w:type="dxa"/>
                  <w:vAlign w:val="center"/>
                </w:tcPr>
                <w:p w14:paraId="155AFE43">
                  <w:pPr>
                    <w:pStyle w:val="167"/>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3</w:t>
                  </w:r>
                </w:p>
              </w:tc>
              <w:tc>
                <w:tcPr>
                  <w:tcW w:w="1133" w:type="dxa"/>
                  <w:vAlign w:val="center"/>
                </w:tcPr>
                <w:p w14:paraId="6124CAAB">
                  <w:pPr>
                    <w:pStyle w:val="167"/>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环境风险</w:t>
                  </w:r>
                </w:p>
              </w:tc>
              <w:tc>
                <w:tcPr>
                  <w:tcW w:w="2488" w:type="dxa"/>
                  <w:vAlign w:val="center"/>
                </w:tcPr>
                <w:p w14:paraId="0F04D9C6">
                  <w:pPr>
                    <w:pStyle w:val="167"/>
                    <w:keepNext w:val="0"/>
                    <w:keepLines w:val="0"/>
                    <w:suppressLineNumbers w:val="0"/>
                    <w:spacing w:beforeAutospacing="0" w:afterAutospacing="0"/>
                    <w:ind w:left="0" w:right="0"/>
                    <w:jc w:val="left"/>
                    <w:rPr>
                      <w:rFonts w:hint="default"/>
                      <w:b w:val="0"/>
                      <w:color w:val="auto"/>
                      <w:sz w:val="21"/>
                      <w:szCs w:val="21"/>
                      <w:highlight w:val="none"/>
                    </w:rPr>
                  </w:pPr>
                  <w:r>
                    <w:rPr>
                      <w:rFonts w:hint="default"/>
                      <w:b w:val="0"/>
                      <w:color w:val="auto"/>
                      <w:sz w:val="21"/>
                      <w:szCs w:val="21"/>
                      <w:highlight w:val="none"/>
                    </w:rPr>
                    <w:t>有毒有害和易燃易爆危险物质存储量超过临界量</w:t>
                  </w:r>
                  <w:r>
                    <w:rPr>
                      <w:rFonts w:hint="default"/>
                      <w:b w:val="0"/>
                      <w:color w:val="auto"/>
                      <w:sz w:val="21"/>
                      <w:szCs w:val="21"/>
                      <w:highlight w:val="none"/>
                      <w:vertAlign w:val="superscript"/>
                    </w:rPr>
                    <w:t>3</w:t>
                  </w:r>
                  <w:r>
                    <w:rPr>
                      <w:rFonts w:hint="default"/>
                      <w:b w:val="0"/>
                      <w:color w:val="auto"/>
                      <w:sz w:val="21"/>
                      <w:szCs w:val="21"/>
                      <w:highlight w:val="none"/>
                    </w:rPr>
                    <w:t>的建设项目</w:t>
                  </w:r>
                </w:p>
              </w:tc>
              <w:tc>
                <w:tcPr>
                  <w:tcW w:w="2546" w:type="dxa"/>
                  <w:vAlign w:val="center"/>
                </w:tcPr>
                <w:p w14:paraId="0F00B6FB">
                  <w:pPr>
                    <w:pStyle w:val="167"/>
                    <w:keepNext w:val="0"/>
                    <w:keepLines w:val="0"/>
                    <w:suppressLineNumbers w:val="0"/>
                    <w:spacing w:beforeAutospacing="0" w:afterAutospacing="0"/>
                    <w:ind w:left="0" w:right="0"/>
                    <w:jc w:val="left"/>
                    <w:rPr>
                      <w:rFonts w:hint="default"/>
                      <w:b w:val="0"/>
                      <w:color w:val="auto"/>
                      <w:sz w:val="21"/>
                      <w:szCs w:val="21"/>
                      <w:highlight w:val="none"/>
                    </w:rPr>
                  </w:pPr>
                  <w:r>
                    <w:rPr>
                      <w:rFonts w:hint="default"/>
                      <w:b w:val="0"/>
                      <w:color w:val="auto"/>
                      <w:sz w:val="21"/>
                      <w:szCs w:val="21"/>
                      <w:highlight w:val="none"/>
                    </w:rPr>
                    <w:t>本项目涉及</w:t>
                  </w:r>
                  <w:r>
                    <w:rPr>
                      <w:rFonts w:hint="eastAsia"/>
                      <w:b w:val="0"/>
                      <w:color w:val="auto"/>
                      <w:sz w:val="21"/>
                      <w:szCs w:val="21"/>
                      <w:highlight w:val="none"/>
                      <w:lang w:val="en-US" w:eastAsia="zh-CN"/>
                    </w:rPr>
                    <w:t>的</w:t>
                  </w:r>
                  <w:r>
                    <w:rPr>
                      <w:rFonts w:hint="default"/>
                      <w:b w:val="0"/>
                      <w:color w:val="auto"/>
                      <w:sz w:val="21"/>
                      <w:szCs w:val="21"/>
                      <w:highlight w:val="none"/>
                    </w:rPr>
                    <w:t>环境风险物质最大存储量总计未超过临界量，故不开展环境风险专项评价。</w:t>
                  </w:r>
                </w:p>
              </w:tc>
              <w:tc>
                <w:tcPr>
                  <w:tcW w:w="1084" w:type="dxa"/>
                  <w:vAlign w:val="center"/>
                </w:tcPr>
                <w:p w14:paraId="310E9041">
                  <w:pPr>
                    <w:pStyle w:val="167"/>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不设置</w:t>
                  </w:r>
                </w:p>
              </w:tc>
            </w:tr>
            <w:tr w14:paraId="6752CE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atLeast"/>
                <w:jc w:val="center"/>
              </w:trPr>
              <w:tc>
                <w:tcPr>
                  <w:tcW w:w="434" w:type="dxa"/>
                  <w:vAlign w:val="center"/>
                </w:tcPr>
                <w:p w14:paraId="6D8E679D">
                  <w:pPr>
                    <w:pStyle w:val="167"/>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4</w:t>
                  </w:r>
                </w:p>
              </w:tc>
              <w:tc>
                <w:tcPr>
                  <w:tcW w:w="1133" w:type="dxa"/>
                  <w:vAlign w:val="center"/>
                </w:tcPr>
                <w:p w14:paraId="61F953BD">
                  <w:pPr>
                    <w:pStyle w:val="167"/>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生态</w:t>
                  </w:r>
                </w:p>
              </w:tc>
              <w:tc>
                <w:tcPr>
                  <w:tcW w:w="2488" w:type="dxa"/>
                  <w:vAlign w:val="center"/>
                </w:tcPr>
                <w:p w14:paraId="7A2752D4">
                  <w:pPr>
                    <w:pStyle w:val="167"/>
                    <w:keepNext w:val="0"/>
                    <w:keepLines w:val="0"/>
                    <w:suppressLineNumbers w:val="0"/>
                    <w:spacing w:beforeAutospacing="0" w:afterAutospacing="0"/>
                    <w:ind w:left="0" w:right="0"/>
                    <w:jc w:val="left"/>
                    <w:rPr>
                      <w:rFonts w:hint="eastAsia" w:eastAsia="宋体"/>
                      <w:b w:val="0"/>
                      <w:color w:val="auto"/>
                      <w:sz w:val="21"/>
                      <w:szCs w:val="21"/>
                      <w:highlight w:val="none"/>
                      <w:lang w:eastAsia="zh-CN"/>
                    </w:rPr>
                  </w:pPr>
                  <w:r>
                    <w:rPr>
                      <w:rFonts w:hint="default"/>
                      <w:b w:val="0"/>
                      <w:color w:val="auto"/>
                      <w:sz w:val="21"/>
                      <w:szCs w:val="21"/>
                      <w:highlight w:val="none"/>
                    </w:rPr>
                    <w:t>取水口下游500m范围内有重要水生生物的自然产卵场、索饵场、越冬场和回游通道的新增河道取水的污染类建设项目</w:t>
                  </w:r>
                </w:p>
              </w:tc>
              <w:tc>
                <w:tcPr>
                  <w:tcW w:w="2546" w:type="dxa"/>
                  <w:vAlign w:val="center"/>
                </w:tcPr>
                <w:p w14:paraId="4AC0EA43">
                  <w:pPr>
                    <w:pStyle w:val="167"/>
                    <w:keepNext w:val="0"/>
                    <w:keepLines w:val="0"/>
                    <w:suppressLineNumbers w:val="0"/>
                    <w:spacing w:beforeAutospacing="0" w:afterAutospacing="0"/>
                    <w:ind w:left="0" w:right="0"/>
                    <w:rPr>
                      <w:rFonts w:hint="eastAsia" w:eastAsia="宋体"/>
                      <w:b w:val="0"/>
                      <w:color w:val="auto"/>
                      <w:sz w:val="21"/>
                      <w:szCs w:val="21"/>
                      <w:highlight w:val="none"/>
                      <w:lang w:val="en-US" w:eastAsia="zh-CN"/>
                    </w:rPr>
                  </w:pPr>
                  <w:r>
                    <w:rPr>
                      <w:rFonts w:hint="eastAsia"/>
                      <w:b w:val="0"/>
                      <w:color w:val="auto"/>
                      <w:sz w:val="21"/>
                      <w:szCs w:val="21"/>
                      <w:highlight w:val="none"/>
                      <w:lang w:val="en-US" w:eastAsia="zh-CN"/>
                    </w:rPr>
                    <w:t>不涉及</w:t>
                  </w:r>
                </w:p>
              </w:tc>
              <w:tc>
                <w:tcPr>
                  <w:tcW w:w="1084" w:type="dxa"/>
                  <w:vAlign w:val="center"/>
                </w:tcPr>
                <w:p w14:paraId="3B067C7C">
                  <w:pPr>
                    <w:pStyle w:val="167"/>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不设置</w:t>
                  </w:r>
                </w:p>
              </w:tc>
            </w:tr>
            <w:tr w14:paraId="37A8D5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4" w:hRule="atLeast"/>
                <w:jc w:val="center"/>
              </w:trPr>
              <w:tc>
                <w:tcPr>
                  <w:tcW w:w="434" w:type="dxa"/>
                  <w:vAlign w:val="center"/>
                </w:tcPr>
                <w:p w14:paraId="7FC56D33">
                  <w:pPr>
                    <w:pStyle w:val="167"/>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5</w:t>
                  </w:r>
                </w:p>
              </w:tc>
              <w:tc>
                <w:tcPr>
                  <w:tcW w:w="1133" w:type="dxa"/>
                  <w:vAlign w:val="center"/>
                </w:tcPr>
                <w:p w14:paraId="6C8F252E">
                  <w:pPr>
                    <w:pStyle w:val="167"/>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海洋</w:t>
                  </w:r>
                </w:p>
              </w:tc>
              <w:tc>
                <w:tcPr>
                  <w:tcW w:w="2488" w:type="dxa"/>
                  <w:vAlign w:val="center"/>
                </w:tcPr>
                <w:p w14:paraId="6ACF94E5">
                  <w:pPr>
                    <w:pStyle w:val="167"/>
                    <w:keepNext w:val="0"/>
                    <w:keepLines w:val="0"/>
                    <w:suppressLineNumbers w:val="0"/>
                    <w:spacing w:beforeAutospacing="0" w:afterAutospacing="0"/>
                    <w:ind w:left="0" w:right="0"/>
                    <w:jc w:val="left"/>
                    <w:rPr>
                      <w:rFonts w:hint="default"/>
                      <w:b w:val="0"/>
                      <w:color w:val="auto"/>
                      <w:sz w:val="21"/>
                      <w:szCs w:val="21"/>
                      <w:highlight w:val="none"/>
                    </w:rPr>
                  </w:pPr>
                  <w:r>
                    <w:rPr>
                      <w:rFonts w:hint="default"/>
                      <w:b w:val="0"/>
                      <w:color w:val="auto"/>
                      <w:sz w:val="21"/>
                      <w:szCs w:val="21"/>
                      <w:highlight w:val="none"/>
                    </w:rPr>
                    <w:t>直接向海排放污染物的海洋工程建设项目</w:t>
                  </w:r>
                </w:p>
              </w:tc>
              <w:tc>
                <w:tcPr>
                  <w:tcW w:w="2546" w:type="dxa"/>
                  <w:vAlign w:val="center"/>
                </w:tcPr>
                <w:p w14:paraId="5DE5F364">
                  <w:pPr>
                    <w:pStyle w:val="167"/>
                    <w:keepNext w:val="0"/>
                    <w:keepLines w:val="0"/>
                    <w:suppressLineNumbers w:val="0"/>
                    <w:spacing w:beforeAutospacing="0" w:afterAutospacing="0"/>
                    <w:ind w:left="0" w:right="0"/>
                    <w:rPr>
                      <w:rFonts w:hint="default"/>
                      <w:b w:val="0"/>
                      <w:color w:val="auto"/>
                      <w:sz w:val="21"/>
                      <w:szCs w:val="21"/>
                      <w:highlight w:val="none"/>
                    </w:rPr>
                  </w:pPr>
                  <w:r>
                    <w:rPr>
                      <w:rFonts w:hint="eastAsia"/>
                      <w:b w:val="0"/>
                      <w:color w:val="auto"/>
                      <w:sz w:val="21"/>
                      <w:szCs w:val="21"/>
                      <w:highlight w:val="none"/>
                      <w:lang w:val="en-US" w:eastAsia="zh-CN"/>
                    </w:rPr>
                    <w:t>不涉及</w:t>
                  </w:r>
                </w:p>
              </w:tc>
              <w:tc>
                <w:tcPr>
                  <w:tcW w:w="1084" w:type="dxa"/>
                  <w:vAlign w:val="center"/>
                </w:tcPr>
                <w:p w14:paraId="1FE1F561">
                  <w:pPr>
                    <w:pStyle w:val="167"/>
                    <w:keepNext w:val="0"/>
                    <w:keepLines w:val="0"/>
                    <w:suppressLineNumbers w:val="0"/>
                    <w:spacing w:beforeAutospacing="0" w:afterAutospacing="0"/>
                    <w:ind w:left="0" w:right="0"/>
                    <w:rPr>
                      <w:rFonts w:hint="default"/>
                      <w:b w:val="0"/>
                      <w:color w:val="auto"/>
                      <w:sz w:val="21"/>
                      <w:szCs w:val="21"/>
                      <w:highlight w:val="none"/>
                    </w:rPr>
                  </w:pPr>
                  <w:r>
                    <w:rPr>
                      <w:rFonts w:hint="default"/>
                      <w:b w:val="0"/>
                      <w:color w:val="auto"/>
                      <w:sz w:val="21"/>
                      <w:szCs w:val="21"/>
                      <w:highlight w:val="none"/>
                    </w:rPr>
                    <w:t>不设置</w:t>
                  </w:r>
                </w:p>
              </w:tc>
            </w:tr>
          </w:tbl>
          <w:p w14:paraId="496F0996">
            <w:pPr>
              <w:pStyle w:val="25"/>
              <w:keepNext w:val="0"/>
              <w:keepLines w:val="0"/>
              <w:suppressLineNumbers w:val="0"/>
              <w:spacing w:before="0" w:beforeAutospacing="0" w:after="0" w:afterAutospacing="0"/>
              <w:ind w:left="0" w:leftChars="0" w:right="0" w:firstLine="0" w:firstLineChars="0"/>
              <w:rPr>
                <w:rFonts w:hint="default"/>
                <w:color w:val="000000" w:themeColor="text1"/>
                <w:kern w:val="0"/>
                <w:sz w:val="24"/>
                <w:szCs w:val="24"/>
                <w:highlight w:val="green"/>
                <w14:textFill>
                  <w14:solidFill>
                    <w14:schemeClr w14:val="tx1"/>
                  </w14:solidFill>
                </w14:textFill>
              </w:rPr>
            </w:pPr>
            <w:r>
              <w:rPr>
                <w:rFonts w:hint="eastAsia" w:ascii="Times New Roman" w:hAnsi="Times New Roman" w:eastAsia="宋体" w:cs="Times New Roman"/>
                <w:color w:val="000000"/>
                <w:kern w:val="2"/>
                <w:sz w:val="21"/>
                <w:szCs w:val="18"/>
                <w:highlight w:val="none"/>
                <w:lang w:val="en-US" w:eastAsia="zh-CN" w:bidi="ar-SA"/>
              </w:rPr>
              <w:t>注：1.废气中有毒有害污染物指标纳入《有毒有害大气污染物名录》的污染物（不包括无排放标准的污染物）。2.环境空气保护目标指自然保护区、风景名胜区、居住区、文化区和农村地区中人群较集中的区域。3.临界量及其计算方法可参考《建设项目环境风险评价技术导则》（HJ169）附录B、附录C。</w:t>
            </w:r>
          </w:p>
        </w:tc>
      </w:tr>
      <w:tr w14:paraId="3198CB3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100" w:type="dxa"/>
            <w:vAlign w:val="center"/>
          </w:tcPr>
          <w:p w14:paraId="72AEA6D1">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规划情况</w:t>
            </w:r>
          </w:p>
        </w:tc>
        <w:tc>
          <w:tcPr>
            <w:tcW w:w="8079" w:type="dxa"/>
            <w:gridSpan w:val="3"/>
            <w:vAlign w:val="center"/>
          </w:tcPr>
          <w:p w14:paraId="3D096616">
            <w:pPr>
              <w:keepNext w:val="0"/>
              <w:keepLines w:val="0"/>
              <w:suppressLineNumbers w:val="0"/>
              <w:autoSpaceDE w:val="0"/>
              <w:autoSpaceDN w:val="0"/>
              <w:adjustRightInd w:val="0"/>
              <w:snapToGrid w:val="0"/>
              <w:spacing w:before="0" w:beforeAutospacing="0" w:after="0" w:afterAutospacing="0" w:line="400" w:lineRule="exact"/>
              <w:ind w:left="0" w:right="0"/>
              <w:jc w:val="left"/>
              <w:rPr>
                <w:rFonts w:hint="eastAsia"/>
                <w:color w:val="000000" w:themeColor="text1"/>
                <w:kern w:val="0"/>
                <w:sz w:val="24"/>
                <w:szCs w:val="24"/>
                <w:highlight w:val="none"/>
                <w14:textFill>
                  <w14:solidFill>
                    <w14:schemeClr w14:val="tx1"/>
                  </w14:solidFill>
                </w14:textFill>
              </w:rPr>
            </w:pPr>
            <w:r>
              <w:rPr>
                <w:rFonts w:hint="eastAsia"/>
                <w:color w:val="000000" w:themeColor="text1"/>
                <w:kern w:val="0"/>
                <w:sz w:val="24"/>
                <w:szCs w:val="24"/>
                <w:highlight w:val="none"/>
                <w14:textFill>
                  <w14:solidFill>
                    <w14:schemeClr w14:val="tx1"/>
                  </w14:solidFill>
                </w14:textFill>
              </w:rPr>
              <w:t>《西咸新区泾河新城分区规划修编（2016-2035）》</w:t>
            </w:r>
          </w:p>
          <w:p w14:paraId="29AFFCD4">
            <w:pPr>
              <w:keepNext w:val="0"/>
              <w:keepLines w:val="0"/>
              <w:suppressLineNumbers w:val="0"/>
              <w:autoSpaceDE w:val="0"/>
              <w:autoSpaceDN w:val="0"/>
              <w:adjustRightInd w:val="0"/>
              <w:snapToGrid w:val="0"/>
              <w:spacing w:before="0" w:beforeAutospacing="0" w:after="0" w:afterAutospacing="0" w:line="400" w:lineRule="exact"/>
              <w:ind w:left="0" w:right="0"/>
              <w:jc w:val="left"/>
              <w:rPr>
                <w:rFonts w:hint="default"/>
                <w:color w:val="000000" w:themeColor="text1"/>
                <w:kern w:val="0"/>
                <w:sz w:val="24"/>
                <w:szCs w:val="24"/>
                <w:highlight w:val="none"/>
                <w14:textFill>
                  <w14:solidFill>
                    <w14:schemeClr w14:val="tx1"/>
                  </w14:solidFill>
                </w14:textFill>
              </w:rPr>
            </w:pPr>
            <w:r>
              <w:rPr>
                <w:rFonts w:hint="eastAsia"/>
                <w:color w:val="000000" w:themeColor="text1"/>
                <w:kern w:val="0"/>
                <w:sz w:val="24"/>
                <w:szCs w:val="24"/>
                <w:highlight w:val="none"/>
                <w14:textFill>
                  <w14:solidFill>
                    <w14:schemeClr w14:val="tx1"/>
                  </w14:solidFill>
                </w14:textFill>
              </w:rPr>
              <w:t>《陕西省西咸新区泾河新城控制性详细规划（2016-2035）》</w:t>
            </w:r>
          </w:p>
        </w:tc>
      </w:tr>
      <w:tr w14:paraId="542163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100" w:type="dxa"/>
            <w:vAlign w:val="center"/>
          </w:tcPr>
          <w:p w14:paraId="4E356DEC">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kern w:val="0"/>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规划环境影响评价情况</w:t>
            </w:r>
          </w:p>
        </w:tc>
        <w:tc>
          <w:tcPr>
            <w:tcW w:w="8079" w:type="dxa"/>
            <w:gridSpan w:val="3"/>
            <w:vAlign w:val="center"/>
          </w:tcPr>
          <w:p w14:paraId="59235884">
            <w:pPr>
              <w:keepNext w:val="0"/>
              <w:keepLines w:val="0"/>
              <w:suppressLineNumbers w:val="0"/>
              <w:autoSpaceDE w:val="0"/>
              <w:autoSpaceDN w:val="0"/>
              <w:adjustRightInd w:val="0"/>
              <w:snapToGrid w:val="0"/>
              <w:spacing w:before="0" w:beforeAutospacing="0" w:after="0" w:afterAutospacing="0" w:line="480" w:lineRule="exact"/>
              <w:ind w:left="0" w:right="0"/>
              <w:jc w:val="left"/>
              <w:rPr>
                <w:rFonts w:hint="eastAsia"/>
                <w:color w:val="000000" w:themeColor="text1"/>
                <w:kern w:val="0"/>
                <w:sz w:val="24"/>
                <w:szCs w:val="24"/>
                <w:highlight w:val="none"/>
                <w14:textFill>
                  <w14:solidFill>
                    <w14:schemeClr w14:val="tx1"/>
                  </w14:solidFill>
                </w14:textFill>
              </w:rPr>
            </w:pPr>
            <w:r>
              <w:rPr>
                <w:rFonts w:hint="eastAsia"/>
                <w:color w:val="000000" w:themeColor="text1"/>
                <w:kern w:val="0"/>
                <w:sz w:val="24"/>
                <w:szCs w:val="24"/>
                <w:highlight w:val="none"/>
                <w14:textFill>
                  <w14:solidFill>
                    <w14:schemeClr w14:val="tx1"/>
                  </w14:solidFill>
                </w14:textFill>
              </w:rPr>
              <w:t>文件名称：《西咸新区泾河新城分区规划（2016-2035）环境影响报告书》；</w:t>
            </w:r>
          </w:p>
          <w:p w14:paraId="4116C641">
            <w:pPr>
              <w:keepNext w:val="0"/>
              <w:keepLines w:val="0"/>
              <w:suppressLineNumbers w:val="0"/>
              <w:autoSpaceDE w:val="0"/>
              <w:autoSpaceDN w:val="0"/>
              <w:adjustRightInd w:val="0"/>
              <w:snapToGrid w:val="0"/>
              <w:spacing w:before="0" w:beforeAutospacing="0" w:after="0" w:afterAutospacing="0" w:line="480" w:lineRule="exact"/>
              <w:ind w:left="0" w:right="0"/>
              <w:jc w:val="left"/>
              <w:rPr>
                <w:rFonts w:hint="eastAsia"/>
                <w:color w:val="000000" w:themeColor="text1"/>
                <w:kern w:val="0"/>
                <w:sz w:val="24"/>
                <w:szCs w:val="24"/>
                <w:highlight w:val="none"/>
                <w14:textFill>
                  <w14:solidFill>
                    <w14:schemeClr w14:val="tx1"/>
                  </w14:solidFill>
                </w14:textFill>
              </w:rPr>
            </w:pPr>
            <w:r>
              <w:rPr>
                <w:rFonts w:hint="eastAsia"/>
                <w:color w:val="000000" w:themeColor="text1"/>
                <w:kern w:val="0"/>
                <w:sz w:val="24"/>
                <w:szCs w:val="24"/>
                <w:highlight w:val="none"/>
                <w14:textFill>
                  <w14:solidFill>
                    <w14:schemeClr w14:val="tx1"/>
                  </w14:solidFill>
                </w14:textFill>
              </w:rPr>
              <w:t>审查机关：陕西省西咸新区生态环境局；</w:t>
            </w:r>
          </w:p>
          <w:p w14:paraId="45F21F72">
            <w:pPr>
              <w:keepNext w:val="0"/>
              <w:keepLines w:val="0"/>
              <w:suppressLineNumbers w:val="0"/>
              <w:autoSpaceDE w:val="0"/>
              <w:autoSpaceDN w:val="0"/>
              <w:adjustRightInd w:val="0"/>
              <w:snapToGrid w:val="0"/>
              <w:spacing w:before="0" w:beforeAutospacing="0" w:after="0" w:afterAutospacing="0" w:line="480" w:lineRule="exact"/>
              <w:ind w:left="0" w:right="0"/>
              <w:jc w:val="left"/>
              <w:rPr>
                <w:rFonts w:hint="default"/>
                <w:color w:val="000000" w:themeColor="text1"/>
                <w:kern w:val="0"/>
                <w:sz w:val="24"/>
                <w:szCs w:val="24"/>
                <w:highlight w:val="none"/>
                <w14:textFill>
                  <w14:solidFill>
                    <w14:schemeClr w14:val="tx1"/>
                  </w14:solidFill>
                </w14:textFill>
              </w:rPr>
            </w:pPr>
            <w:r>
              <w:rPr>
                <w:rFonts w:hint="eastAsia"/>
                <w:color w:val="000000" w:themeColor="text1"/>
                <w:kern w:val="0"/>
                <w:sz w:val="24"/>
                <w:szCs w:val="24"/>
                <w:highlight w:val="none"/>
                <w14:textFill>
                  <w14:solidFill>
                    <w14:schemeClr w14:val="tx1"/>
                  </w14:solidFill>
                </w14:textFill>
              </w:rPr>
              <w:t>审查文件名称及文号：陕西省西咸新区生态环境局关于《西咸新区－泾河新城分区规划（2016-2035）环境影响报告书》的审查意见（陕西咸环函〔2021〕41号）</w:t>
            </w:r>
          </w:p>
        </w:tc>
      </w:tr>
      <w:tr w14:paraId="1809DDB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10" w:hRule="atLeast"/>
          <w:jc w:val="center"/>
        </w:trPr>
        <w:tc>
          <w:tcPr>
            <w:tcW w:w="1100" w:type="dxa"/>
            <w:vAlign w:val="center"/>
          </w:tcPr>
          <w:p w14:paraId="4214E9D2">
            <w:pPr>
              <w:keepNext w:val="0"/>
              <w:keepLines w:val="0"/>
              <w:suppressLineNumbers w:val="0"/>
              <w:autoSpaceDE w:val="0"/>
              <w:autoSpaceDN w:val="0"/>
              <w:adjustRightInd w:val="0"/>
              <w:snapToGrid w:val="0"/>
              <w:spacing w:before="0" w:beforeAutospacing="0" w:after="0" w:afterAutospacing="0" w:line="240" w:lineRule="auto"/>
              <w:ind w:left="0" w:right="0"/>
              <w:jc w:val="center"/>
              <w:rPr>
                <w:rFonts w:hint="default"/>
                <w:color w:val="000000" w:themeColor="text1"/>
                <w:kern w:val="0"/>
                <w:sz w:val="24"/>
                <w:szCs w:val="24"/>
                <w:highlight w:val="none"/>
                <w14:textFill>
                  <w14:solidFill>
                    <w14:schemeClr w14:val="tx1"/>
                  </w14:solidFill>
                </w14:textFill>
              </w:rPr>
            </w:pPr>
            <w:r>
              <w:rPr>
                <w:rFonts w:hint="eastAsia" w:cs="宋体"/>
                <w:color w:val="000000" w:themeColor="text1"/>
                <w:kern w:val="0"/>
                <w:sz w:val="24"/>
                <w:szCs w:val="24"/>
                <w:highlight w:val="none"/>
                <w14:textFill>
                  <w14:solidFill>
                    <w14:schemeClr w14:val="tx1"/>
                  </w14:solidFill>
                </w14:textFill>
              </w:rPr>
              <w:t>规划及规划环境影响评价符合性分析</w:t>
            </w:r>
          </w:p>
        </w:tc>
        <w:tc>
          <w:tcPr>
            <w:tcW w:w="8079" w:type="dxa"/>
            <w:gridSpan w:val="3"/>
            <w:vAlign w:val="center"/>
          </w:tcPr>
          <w:p w14:paraId="3A8C8627">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both"/>
              <w:textAlignment w:val="auto"/>
              <w:rPr>
                <w:rFonts w:hint="eastAsia"/>
                <w:color w:val="000000" w:themeColor="text1"/>
                <w:kern w:val="0"/>
                <w:sz w:val="24"/>
                <w:szCs w:val="24"/>
                <w:highlight w:val="none"/>
                <w14:textFill>
                  <w14:solidFill>
                    <w14:schemeClr w14:val="tx1"/>
                  </w14:solidFill>
                </w14:textFill>
              </w:rPr>
            </w:pPr>
            <w:r>
              <w:rPr>
                <w:rFonts w:hint="eastAsia"/>
                <w:color w:val="000000" w:themeColor="text1"/>
                <w:kern w:val="0"/>
                <w:sz w:val="24"/>
                <w:szCs w:val="24"/>
                <w:highlight w:val="none"/>
                <w14:textFill>
                  <w14:solidFill>
                    <w14:schemeClr w14:val="tx1"/>
                  </w14:solidFill>
                </w14:textFill>
              </w:rPr>
              <w:t>根据《西咸新区泾河新城分区规划（2016-2035）》、《西咸新区泾河新城分区规划（2016-2035）环境影响报告书》及审查意见，项目与规划及规划环评相关要求的符合性见表1-</w:t>
            </w:r>
            <w:r>
              <w:rPr>
                <w:rFonts w:hint="eastAsia"/>
                <w:color w:val="000000" w:themeColor="text1"/>
                <w:kern w:val="0"/>
                <w:sz w:val="24"/>
                <w:szCs w:val="24"/>
                <w:highlight w:val="none"/>
                <w:lang w:val="en-US" w:eastAsia="zh-CN"/>
                <w14:textFill>
                  <w14:solidFill>
                    <w14:schemeClr w14:val="tx1"/>
                  </w14:solidFill>
                </w14:textFill>
              </w:rPr>
              <w:t>2</w:t>
            </w:r>
            <w:r>
              <w:rPr>
                <w:rFonts w:hint="eastAsia"/>
                <w:color w:val="000000" w:themeColor="text1"/>
                <w:kern w:val="0"/>
                <w:sz w:val="24"/>
                <w:szCs w:val="24"/>
                <w:highlight w:val="none"/>
                <w14:textFill>
                  <w14:solidFill>
                    <w14:schemeClr w14:val="tx1"/>
                  </w14:solidFill>
                </w14:textFill>
              </w:rPr>
              <w:t>。</w:t>
            </w:r>
          </w:p>
          <w:p w14:paraId="7C1C177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eastAsia"/>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b/>
                <w:color w:val="auto"/>
                <w:kern w:val="2"/>
                <w:sz w:val="24"/>
                <w:szCs w:val="24"/>
                <w:highlight w:val="none"/>
                <w:lang w:val="en-US" w:eastAsia="zh-CN" w:bidi="ar-SA"/>
              </w:rPr>
              <w:t>表</w:t>
            </w:r>
            <w:r>
              <w:rPr>
                <w:rFonts w:hint="default" w:ascii="Times New Roman" w:hAnsi="Times New Roman" w:eastAsia="宋体" w:cs="Times New Roman"/>
                <w:b/>
                <w:color w:val="auto"/>
                <w:kern w:val="2"/>
                <w:sz w:val="24"/>
                <w:szCs w:val="24"/>
                <w:highlight w:val="none"/>
                <w:lang w:val="en-US" w:eastAsia="zh-CN" w:bidi="ar-SA"/>
              </w:rPr>
              <w:fldChar w:fldCharType="begin"/>
            </w:r>
            <w:r>
              <w:rPr>
                <w:rFonts w:hint="default" w:ascii="Times New Roman" w:hAnsi="Times New Roman" w:eastAsia="宋体" w:cs="Times New Roman"/>
                <w:b/>
                <w:color w:val="auto"/>
                <w:kern w:val="2"/>
                <w:sz w:val="24"/>
                <w:szCs w:val="24"/>
                <w:highlight w:val="none"/>
                <w:lang w:val="en-US" w:eastAsia="zh-CN" w:bidi="ar-SA"/>
              </w:rPr>
              <w:instrText xml:space="preserve"> SEQ 表 \* ARABIC </w:instrText>
            </w:r>
            <w:r>
              <w:rPr>
                <w:rFonts w:hint="default" w:ascii="Times New Roman" w:hAnsi="Times New Roman" w:eastAsia="宋体" w:cs="Times New Roman"/>
                <w:b/>
                <w:color w:val="auto"/>
                <w:kern w:val="2"/>
                <w:sz w:val="24"/>
                <w:szCs w:val="24"/>
                <w:highlight w:val="none"/>
                <w:lang w:val="en-US" w:eastAsia="zh-CN" w:bidi="ar-SA"/>
              </w:rPr>
              <w:fldChar w:fldCharType="separate"/>
            </w:r>
            <w:r>
              <w:rPr>
                <w:rFonts w:hint="default" w:ascii="Times New Roman" w:hAnsi="Times New Roman" w:eastAsia="宋体" w:cs="Times New Roman"/>
                <w:b/>
                <w:color w:val="auto"/>
                <w:kern w:val="2"/>
                <w:sz w:val="24"/>
                <w:szCs w:val="24"/>
                <w:highlight w:val="none"/>
                <w:lang w:val="en-US" w:eastAsia="zh-CN" w:bidi="ar-SA"/>
              </w:rPr>
              <w:t>1</w:t>
            </w:r>
            <w:r>
              <w:rPr>
                <w:rFonts w:hint="default" w:ascii="Times New Roman" w:hAnsi="Times New Roman" w:eastAsia="宋体" w:cs="Times New Roman"/>
                <w:b/>
                <w:color w:val="auto"/>
                <w:kern w:val="2"/>
                <w:sz w:val="24"/>
                <w:szCs w:val="24"/>
                <w:highlight w:val="none"/>
                <w:lang w:val="en-US" w:eastAsia="zh-CN" w:bidi="ar-SA"/>
              </w:rPr>
              <w:fldChar w:fldCharType="end"/>
            </w:r>
            <w:r>
              <w:rPr>
                <w:rFonts w:hint="eastAsia" w:ascii="Times New Roman" w:hAnsi="Times New Roman" w:eastAsia="宋体" w:cs="Times New Roman"/>
                <w:b/>
                <w:color w:val="auto"/>
                <w:kern w:val="2"/>
                <w:sz w:val="24"/>
                <w:szCs w:val="24"/>
                <w:highlight w:val="none"/>
                <w:lang w:val="en-US" w:eastAsia="zh-CN" w:bidi="ar-SA"/>
              </w:rPr>
              <w:t>-</w:t>
            </w:r>
            <w:r>
              <w:rPr>
                <w:rFonts w:hint="eastAsia" w:ascii="Times New Roman" w:hAnsi="Times New Roman" w:cs="Times New Roman"/>
                <w:b/>
                <w:color w:val="auto"/>
                <w:kern w:val="2"/>
                <w:sz w:val="24"/>
                <w:szCs w:val="24"/>
                <w:highlight w:val="none"/>
                <w:lang w:val="en-US" w:eastAsia="zh-CN" w:bidi="ar-SA"/>
              </w:rPr>
              <w:t>2</w:t>
            </w:r>
            <w:r>
              <w:rPr>
                <w:rFonts w:hint="default" w:ascii="Times New Roman" w:hAnsi="Times New Roman" w:eastAsia="宋体" w:cs="Times New Roman"/>
                <w:b/>
                <w:color w:val="auto"/>
                <w:kern w:val="2"/>
                <w:sz w:val="24"/>
                <w:szCs w:val="24"/>
                <w:highlight w:val="none"/>
                <w:lang w:val="en-US" w:eastAsia="zh-CN" w:bidi="ar-SA"/>
              </w:rPr>
              <w:t xml:space="preserve">  项目与</w:t>
            </w:r>
            <w:r>
              <w:rPr>
                <w:rFonts w:hint="eastAsia" w:ascii="Times New Roman" w:hAnsi="Times New Roman" w:eastAsia="宋体" w:cs="Times New Roman"/>
                <w:b/>
                <w:color w:val="auto"/>
                <w:kern w:val="2"/>
                <w:sz w:val="24"/>
                <w:szCs w:val="24"/>
                <w:highlight w:val="none"/>
                <w:lang w:val="en-US" w:eastAsia="zh-CN" w:bidi="ar-SA"/>
              </w:rPr>
              <w:t>开发区</w:t>
            </w:r>
            <w:r>
              <w:rPr>
                <w:rFonts w:hint="default" w:ascii="Times New Roman" w:hAnsi="Times New Roman" w:eastAsia="宋体" w:cs="Times New Roman"/>
                <w:b/>
                <w:color w:val="auto"/>
                <w:kern w:val="2"/>
                <w:sz w:val="24"/>
                <w:szCs w:val="24"/>
                <w:highlight w:val="none"/>
                <w:lang w:val="en-US" w:eastAsia="zh-CN" w:bidi="ar-SA"/>
              </w:rPr>
              <w:t>规划及规划环境影响评价符合性分析</w:t>
            </w:r>
          </w:p>
          <w:tbl>
            <w:tblPr>
              <w:tblStyle w:val="41"/>
              <w:tblW w:w="76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56"/>
              <w:gridCol w:w="3390"/>
              <w:gridCol w:w="1829"/>
              <w:gridCol w:w="664"/>
            </w:tblGrid>
            <w:tr w14:paraId="78DE4B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1756" w:type="dxa"/>
                  <w:noWrap w:val="0"/>
                  <w:vAlign w:val="center"/>
                </w:tcPr>
                <w:p w14:paraId="32D4ECC8">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文件</w:t>
                  </w:r>
                </w:p>
              </w:tc>
              <w:tc>
                <w:tcPr>
                  <w:tcW w:w="3390" w:type="dxa"/>
                  <w:noWrap w:val="0"/>
                  <w:vAlign w:val="center"/>
                </w:tcPr>
                <w:p w14:paraId="5A6592C5">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政策要求</w:t>
                  </w:r>
                </w:p>
              </w:tc>
              <w:tc>
                <w:tcPr>
                  <w:tcW w:w="1829" w:type="dxa"/>
                  <w:noWrap w:val="0"/>
                  <w:vAlign w:val="center"/>
                </w:tcPr>
                <w:p w14:paraId="1F85D4A8">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本项目情况</w:t>
                  </w:r>
                </w:p>
              </w:tc>
              <w:tc>
                <w:tcPr>
                  <w:tcW w:w="664" w:type="dxa"/>
                  <w:noWrap w:val="0"/>
                  <w:vAlign w:val="center"/>
                </w:tcPr>
                <w:p w14:paraId="751A145D">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相符性</w:t>
                  </w:r>
                </w:p>
              </w:tc>
            </w:tr>
            <w:tr w14:paraId="023386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4" w:hRule="atLeast"/>
                <w:jc w:val="center"/>
              </w:trPr>
              <w:tc>
                <w:tcPr>
                  <w:tcW w:w="1756" w:type="dxa"/>
                  <w:vMerge w:val="restart"/>
                  <w:noWrap w:val="0"/>
                  <w:vAlign w:val="center"/>
                </w:tcPr>
                <w:p w14:paraId="615207A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《西咸新区-泾河新城分区规划修编（2016-2035）》</w:t>
                  </w:r>
                </w:p>
              </w:tc>
              <w:tc>
                <w:tcPr>
                  <w:tcW w:w="3390" w:type="dxa"/>
                  <w:noWrap w:val="0"/>
                  <w:vAlign w:val="center"/>
                </w:tcPr>
                <w:p w14:paraId="2A1C910A">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规划范围：</w:t>
                  </w:r>
                  <w:r>
                    <w:rPr>
                      <w:rFonts w:hint="default" w:ascii="Times New Roman" w:hAnsi="Times New Roman" w:eastAsia="宋体" w:cs="Times New Roman"/>
                      <w:color w:val="auto"/>
                    </w:rPr>
                    <w:t>北临西咸北环线、东接渭北工业走廊、南临秦汉新城、西临空港新城，总面积132.97km</w:t>
                  </w:r>
                  <w:r>
                    <w:rPr>
                      <w:rFonts w:hint="default" w:ascii="Times New Roman" w:hAnsi="Times New Roman" w:eastAsia="宋体" w:cs="Times New Roman"/>
                      <w:color w:val="auto"/>
                      <w:vertAlign w:val="superscript"/>
                    </w:rPr>
                    <w:t>2</w:t>
                  </w:r>
                  <w:r>
                    <w:rPr>
                      <w:rFonts w:hint="default" w:ascii="Times New Roman" w:hAnsi="Times New Roman" w:eastAsia="宋体" w:cs="Times New Roman"/>
                      <w:color w:val="auto"/>
                    </w:rPr>
                    <w:t>。</w:t>
                  </w:r>
                </w:p>
              </w:tc>
              <w:tc>
                <w:tcPr>
                  <w:tcW w:w="1829" w:type="dxa"/>
                  <w:noWrap w:val="0"/>
                  <w:vAlign w:val="center"/>
                </w:tcPr>
                <w:p w14:paraId="371AE8DF">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本</w:t>
                  </w:r>
                  <w:r>
                    <w:rPr>
                      <w:rFonts w:hint="default" w:ascii="Times New Roman" w:hAnsi="Times New Roman" w:eastAsia="宋体" w:cs="Times New Roman"/>
                      <w:color w:val="auto"/>
                    </w:rPr>
                    <w:t>项目位于</w:t>
                  </w:r>
                  <w:r>
                    <w:rPr>
                      <w:rFonts w:hint="default" w:ascii="宋体" w:hAnsi="宋体" w:eastAsia="宋体" w:cs="Times New Roman"/>
                      <w:szCs w:val="21"/>
                      <w:lang w:val="en-US" w:eastAsia="zh-CN"/>
                    </w:rPr>
                    <w:t>陕西省西咸新区</w:t>
                  </w:r>
                  <w:r>
                    <w:rPr>
                      <w:rFonts w:hint="eastAsia" w:ascii="宋体" w:hAnsi="宋体"/>
                      <w:szCs w:val="21"/>
                    </w:rPr>
                    <w:t>泾河新城永乐镇尚家村</w:t>
                  </w:r>
                  <w:r>
                    <w:rPr>
                      <w:rFonts w:hint="eastAsia" w:ascii="宋体" w:hAnsi="宋体"/>
                      <w:szCs w:val="21"/>
                      <w:lang w:val="en-US" w:eastAsia="zh-CN"/>
                    </w:rPr>
                    <w:t>尚家三街与原点东四路交叉口东南角</w:t>
                  </w:r>
                  <w:r>
                    <w:rPr>
                      <w:rFonts w:hint="eastAsia" w:ascii="Times New Roman" w:hAnsi="Times New Roman" w:eastAsia="宋体" w:cs="Times New Roman"/>
                      <w:color w:val="auto"/>
                      <w:lang w:val="en-US" w:eastAsia="zh-CN"/>
                    </w:rPr>
                    <w:t>，位于规划范围内。</w:t>
                  </w:r>
                </w:p>
              </w:tc>
              <w:tc>
                <w:tcPr>
                  <w:tcW w:w="664" w:type="dxa"/>
                  <w:noWrap w:val="0"/>
                  <w:vAlign w:val="center"/>
                </w:tcPr>
                <w:p w14:paraId="46D42519">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rPr>
                  </w:pPr>
                  <w:r>
                    <w:rPr>
                      <w:rFonts w:hint="default" w:ascii="Times New Roman" w:hAnsi="Times New Roman" w:eastAsia="宋体" w:cs="Times New Roman"/>
                      <w:color w:val="auto"/>
                    </w:rPr>
                    <w:t>相符</w:t>
                  </w:r>
                </w:p>
              </w:tc>
            </w:tr>
            <w:tr w14:paraId="7F43F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91" w:hRule="atLeast"/>
                <w:jc w:val="center"/>
              </w:trPr>
              <w:tc>
                <w:tcPr>
                  <w:tcW w:w="1756" w:type="dxa"/>
                  <w:vMerge w:val="continue"/>
                  <w:noWrap w:val="0"/>
                  <w:vAlign w:val="center"/>
                </w:tcPr>
                <w:p w14:paraId="61785EE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3390" w:type="dxa"/>
                  <w:noWrap w:val="0"/>
                  <w:vAlign w:val="center"/>
                </w:tcPr>
                <w:p w14:paraId="13FBD7F1">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规划定位：以先进制造业、现代服务业、现代农业为主导产业，以智能制造、生产性服务、文化旅游和茯茶产业为特色产业，具有浓厚古今文化韵味、智慧宜居氛围的大西安北部生态休闲示范区和渭北创新产业服务高地。</w:t>
                  </w:r>
                </w:p>
              </w:tc>
              <w:tc>
                <w:tcPr>
                  <w:tcW w:w="1829" w:type="dxa"/>
                  <w:noWrap w:val="0"/>
                  <w:vAlign w:val="center"/>
                </w:tcPr>
                <w:p w14:paraId="110EE132">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本项目主要进行沥青混凝土的生产，属于制造业，基本符合总体定位。</w:t>
                  </w:r>
                </w:p>
              </w:tc>
              <w:tc>
                <w:tcPr>
                  <w:tcW w:w="664" w:type="dxa"/>
                  <w:noWrap w:val="0"/>
                  <w:vAlign w:val="center"/>
                </w:tcPr>
                <w:p w14:paraId="2C273865">
                  <w:pPr>
                    <w:keepNext w:val="0"/>
                    <w:keepLines w:val="0"/>
                    <w:suppressLineNumbers w:val="0"/>
                    <w:autoSpaceDE w:val="0"/>
                    <w:autoSpaceDN w:val="0"/>
                    <w:spacing w:before="0" w:beforeAutospacing="0" w:after="0" w:afterAutospacing="0"/>
                    <w:ind w:left="0" w:leftChars="0" w:right="0" w:rightChars="0"/>
                    <w:contextualSpacing/>
                    <w:jc w:val="both"/>
                    <w:rPr>
                      <w:rFonts w:hint="eastAsia"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相符</w:t>
                  </w:r>
                </w:p>
              </w:tc>
            </w:tr>
            <w:tr w14:paraId="15C877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3" w:hRule="atLeast"/>
                <w:jc w:val="center"/>
              </w:trPr>
              <w:tc>
                <w:tcPr>
                  <w:tcW w:w="1756" w:type="dxa"/>
                  <w:vMerge w:val="continue"/>
                  <w:noWrap w:val="0"/>
                  <w:vAlign w:val="center"/>
                </w:tcPr>
                <w:p w14:paraId="2ED5446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p>
              </w:tc>
              <w:tc>
                <w:tcPr>
                  <w:tcW w:w="3390" w:type="dxa"/>
                  <w:noWrap w:val="0"/>
                  <w:vAlign w:val="center"/>
                </w:tcPr>
                <w:p w14:paraId="121C92A7">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空间布局：</w:t>
                  </w:r>
                  <w:r>
                    <w:rPr>
                      <w:rFonts w:hint="default" w:ascii="Times New Roman" w:hAnsi="Times New Roman" w:eastAsia="宋体" w:cs="Times New Roman"/>
                      <w:color w:val="auto"/>
                      <w:lang w:val="en-US" w:eastAsia="zh-CN"/>
                    </w:rPr>
                    <w:t>规划根据各片区主导功能的不同，将泾河新城划分为“ 大西安中轴线渭河北岸城市核心区”、“一河两岸生态景观区”、“崇文尚学国际生活服务区”、“中国原点智慧科创产业区”、“茯茶农业旅游示范区”、“乐华娱乐康体体验区”、“泾阳秦商文化生活服务区”、“泾阳科教创新创业区”等八个功能分区，每个片区配置完备的生活服务设施。</w:t>
                  </w:r>
                </w:p>
                <w:p w14:paraId="7CFCDD89">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用地性质：规划工业用地主要分布在中国原点智慧科创产业区。</w:t>
                  </w:r>
                </w:p>
              </w:tc>
              <w:tc>
                <w:tcPr>
                  <w:tcW w:w="1829" w:type="dxa"/>
                  <w:noWrap w:val="0"/>
                  <w:vAlign w:val="center"/>
                </w:tcPr>
                <w:p w14:paraId="5A3ED5DC">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本项目位于“</w:t>
                  </w:r>
                  <w:r>
                    <w:rPr>
                      <w:rFonts w:hint="default" w:ascii="Times New Roman" w:hAnsi="Times New Roman" w:eastAsia="宋体" w:cs="Times New Roman"/>
                      <w:color w:val="auto"/>
                      <w:lang w:val="en-US" w:eastAsia="zh-CN"/>
                    </w:rPr>
                    <w:t>中国原点智慧科创产业区</w:t>
                  </w:r>
                  <w:r>
                    <w:rPr>
                      <w:rFonts w:hint="eastAsia" w:ascii="Times New Roman" w:hAnsi="Times New Roman" w:eastAsia="宋体" w:cs="Times New Roman"/>
                      <w:color w:val="auto"/>
                      <w:lang w:val="en-US" w:eastAsia="zh-CN"/>
                    </w:rPr>
                    <w:t>”内，利用现有厂房，土地性质为工业用地，园区内</w:t>
                  </w:r>
                  <w:r>
                    <w:rPr>
                      <w:rFonts w:hint="default" w:ascii="Times New Roman" w:hAnsi="Times New Roman" w:eastAsia="宋体" w:cs="Times New Roman"/>
                      <w:color w:val="auto"/>
                      <w:lang w:val="en-US" w:eastAsia="zh-CN"/>
                    </w:rPr>
                    <w:t>生活服务设施配置</w:t>
                  </w:r>
                  <w:r>
                    <w:rPr>
                      <w:rFonts w:hint="eastAsia" w:ascii="Times New Roman" w:hAnsi="Times New Roman" w:eastAsia="宋体" w:cs="Times New Roman"/>
                      <w:color w:val="auto"/>
                      <w:lang w:val="en-US" w:eastAsia="zh-CN"/>
                    </w:rPr>
                    <w:t>完善。</w:t>
                  </w:r>
                </w:p>
              </w:tc>
              <w:tc>
                <w:tcPr>
                  <w:tcW w:w="664" w:type="dxa"/>
                  <w:noWrap w:val="0"/>
                  <w:vAlign w:val="center"/>
                </w:tcPr>
                <w:p w14:paraId="06AC1134">
                  <w:pPr>
                    <w:keepNext w:val="0"/>
                    <w:keepLines w:val="0"/>
                    <w:suppressLineNumbers w:val="0"/>
                    <w:autoSpaceDE w:val="0"/>
                    <w:autoSpaceDN w:val="0"/>
                    <w:spacing w:before="0" w:beforeAutospacing="0" w:after="0" w:afterAutospacing="0"/>
                    <w:ind w:left="0" w:leftChars="0" w:right="0" w:rightChars="0"/>
                    <w:contextualSpacing/>
                    <w:jc w:val="both"/>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相符</w:t>
                  </w:r>
                </w:p>
              </w:tc>
            </w:tr>
            <w:tr w14:paraId="6EA50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1756" w:type="dxa"/>
                  <w:vMerge w:val="restart"/>
                  <w:noWrap w:val="0"/>
                  <w:vAlign w:val="center"/>
                </w:tcPr>
                <w:p w14:paraId="306FE1B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《陕西省西咸新区泾河新城分区规划（2016-2035）环境影响报告书》</w:t>
                  </w:r>
                </w:p>
              </w:tc>
              <w:tc>
                <w:tcPr>
                  <w:tcW w:w="3390" w:type="dxa"/>
                  <w:noWrap w:val="0"/>
                  <w:vAlign w:val="center"/>
                </w:tcPr>
                <w:p w14:paraId="1971AC86">
                  <w:pPr>
                    <w:keepNext w:val="0"/>
                    <w:keepLines w:val="0"/>
                    <w:suppressLineNumbers w:val="0"/>
                    <w:autoSpaceDE w:val="0"/>
                    <w:autoSpaceDN w:val="0"/>
                    <w:spacing w:before="0" w:beforeAutospacing="0" w:after="0" w:afterAutospacing="0"/>
                    <w:ind w:left="0" w:leftChars="0" w:right="0" w:rightChars="0"/>
                    <w:contextualSpacing/>
                    <w:jc w:val="both"/>
                    <w:rPr>
                      <w:rFonts w:hint="default" w:eastAsia="宋体"/>
                      <w:color w:val="auto"/>
                      <w:lang w:val="en-US" w:eastAsia="zh-CN"/>
                    </w:rPr>
                  </w:pPr>
                  <w:r>
                    <w:rPr>
                      <w:rFonts w:hint="eastAsia"/>
                      <w:color w:val="auto"/>
                    </w:rPr>
                    <w:t>规划区内废水收集应坚持“雨污分流”“清污分流”的原则，工业废水和生活污水统一纳入排污管网系统，经规划区内污水处理厂处理后达标排放，确保外排废水满足出水水质达到《陕西省黄河流域污水综合排放标准》表1中A标准（其中TN根据《西咸新区城镇污水处理厂再生水化提标改造和加盖除臭工程三年行动方案（2018—2020年）》“陕西咸办字</w:t>
                  </w:r>
                  <w:r>
                    <w:rPr>
                      <w:rFonts w:hint="eastAsia"/>
                      <w:color w:val="auto"/>
                      <w:lang w:eastAsia="zh-CN"/>
                    </w:rPr>
                    <w:t>〔2018〕81号</w:t>
                  </w:r>
                  <w:r>
                    <w:rPr>
                      <w:rFonts w:hint="eastAsia"/>
                      <w:color w:val="auto"/>
                    </w:rPr>
                    <w:t>”要求执行12mg/L）后排入泾河</w:t>
                  </w:r>
                  <w:r>
                    <w:rPr>
                      <w:rFonts w:hint="eastAsia"/>
                      <w:color w:val="auto"/>
                      <w:lang w:eastAsia="zh-CN"/>
                    </w:rPr>
                    <w:t>。</w:t>
                  </w:r>
                </w:p>
              </w:tc>
              <w:tc>
                <w:tcPr>
                  <w:tcW w:w="1829" w:type="dxa"/>
                  <w:noWrap w:val="0"/>
                  <w:vAlign w:val="center"/>
                </w:tcPr>
                <w:p w14:paraId="1B99301E">
                  <w:pPr>
                    <w:keepNext w:val="0"/>
                    <w:keepLines w:val="0"/>
                    <w:suppressLineNumbers w:val="0"/>
                    <w:autoSpaceDE w:val="0"/>
                    <w:autoSpaceDN w:val="0"/>
                    <w:spacing w:before="0" w:beforeAutospacing="0" w:after="0" w:afterAutospacing="0"/>
                    <w:ind w:left="0" w:leftChars="0" w:right="0" w:rightChars="0"/>
                    <w:contextualSpacing/>
                    <w:jc w:val="both"/>
                    <w:rPr>
                      <w:rFonts w:hint="default" w:eastAsia="宋体"/>
                      <w:color w:val="auto"/>
                      <w:lang w:val="en-US" w:eastAsia="zh-CN"/>
                    </w:rPr>
                  </w:pPr>
                  <w:r>
                    <w:rPr>
                      <w:rFonts w:hint="default" w:ascii="Times New Roman" w:hAnsi="Times New Roman" w:eastAsia="宋体" w:cs="Times New Roman"/>
                      <w:color w:val="auto"/>
                      <w:sz w:val="21"/>
                      <w:szCs w:val="21"/>
                      <w:lang w:val="en-US" w:eastAsia="zh-CN"/>
                    </w:rPr>
                    <w:t>本项目</w:t>
                  </w:r>
                  <w:r>
                    <w:rPr>
                      <w:rFonts w:hint="eastAsia" w:cs="Times New Roman"/>
                      <w:color w:val="auto"/>
                      <w:sz w:val="21"/>
                      <w:szCs w:val="21"/>
                      <w:lang w:val="en-US" w:eastAsia="zh-CN"/>
                    </w:rPr>
                    <w:t>无生产废水产生，</w:t>
                  </w:r>
                  <w:r>
                    <w:rPr>
                      <w:rFonts w:hint="default"/>
                      <w:color w:val="auto"/>
                      <w:szCs w:val="21"/>
                      <w:highlight w:val="none"/>
                    </w:rPr>
                    <w:t>生活污水</w:t>
                  </w:r>
                  <w:r>
                    <w:rPr>
                      <w:rFonts w:hint="eastAsia"/>
                      <w:color w:val="auto"/>
                      <w:szCs w:val="21"/>
                      <w:highlight w:val="none"/>
                      <w:lang w:val="en-US" w:eastAsia="zh-CN"/>
                    </w:rPr>
                    <w:t>依托园区化粪池处理后</w:t>
                  </w:r>
                  <w:r>
                    <w:rPr>
                      <w:rFonts w:hint="default"/>
                      <w:color w:val="auto"/>
                      <w:sz w:val="21"/>
                      <w:szCs w:val="21"/>
                      <w:highlight w:val="none"/>
                    </w:rPr>
                    <w:t>经市政</w:t>
                  </w:r>
                  <w:r>
                    <w:rPr>
                      <w:rFonts w:hint="eastAsia"/>
                      <w:color w:val="auto"/>
                      <w:sz w:val="21"/>
                      <w:szCs w:val="21"/>
                      <w:highlight w:val="none"/>
                      <w:lang w:val="en-US" w:eastAsia="zh-CN"/>
                    </w:rPr>
                    <w:t>污水</w:t>
                  </w:r>
                  <w:r>
                    <w:rPr>
                      <w:rFonts w:hint="default"/>
                      <w:color w:val="auto"/>
                      <w:sz w:val="21"/>
                      <w:szCs w:val="21"/>
                      <w:highlight w:val="none"/>
                    </w:rPr>
                    <w:t>管网排</w:t>
                  </w:r>
                  <w:r>
                    <w:rPr>
                      <w:rFonts w:hint="eastAsia"/>
                      <w:color w:val="auto"/>
                      <w:sz w:val="21"/>
                      <w:szCs w:val="21"/>
                      <w:highlight w:val="none"/>
                      <w:lang w:val="en-US" w:eastAsia="zh-CN"/>
                    </w:rPr>
                    <w:t>入</w:t>
                  </w:r>
                  <w:r>
                    <w:rPr>
                      <w:rFonts w:hint="default"/>
                      <w:color w:val="auto"/>
                      <w:sz w:val="21"/>
                      <w:szCs w:val="21"/>
                      <w:highlight w:val="none"/>
                    </w:rPr>
                    <w:t>泾河新城第二污水处理厂</w:t>
                  </w:r>
                  <w:r>
                    <w:rPr>
                      <w:rFonts w:hint="eastAsia"/>
                      <w:color w:val="auto"/>
                      <w:sz w:val="21"/>
                      <w:szCs w:val="21"/>
                      <w:highlight w:val="none"/>
                      <w:lang w:val="en-US" w:eastAsia="zh-CN"/>
                    </w:rPr>
                    <w:t>集中</w:t>
                  </w:r>
                  <w:r>
                    <w:rPr>
                      <w:rFonts w:hint="default"/>
                      <w:color w:val="auto"/>
                      <w:sz w:val="21"/>
                      <w:szCs w:val="21"/>
                      <w:highlight w:val="none"/>
                    </w:rPr>
                    <w:t>处理</w:t>
                  </w:r>
                  <w:r>
                    <w:rPr>
                      <w:rFonts w:hint="eastAsia" w:cs="Times New Roman"/>
                      <w:color w:val="auto"/>
                      <w:sz w:val="21"/>
                      <w:szCs w:val="21"/>
                      <w:lang w:val="en-US" w:eastAsia="zh-CN"/>
                    </w:rPr>
                    <w:t>。</w:t>
                  </w:r>
                </w:p>
              </w:tc>
              <w:tc>
                <w:tcPr>
                  <w:tcW w:w="664" w:type="dxa"/>
                  <w:noWrap w:val="0"/>
                  <w:vAlign w:val="center"/>
                </w:tcPr>
                <w:p w14:paraId="0B4EEE8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相符</w:t>
                  </w:r>
                </w:p>
              </w:tc>
            </w:tr>
            <w:tr w14:paraId="177206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8" w:hRule="atLeast"/>
                <w:jc w:val="center"/>
              </w:trPr>
              <w:tc>
                <w:tcPr>
                  <w:tcW w:w="1756" w:type="dxa"/>
                  <w:vMerge w:val="continue"/>
                  <w:noWrap w:val="0"/>
                  <w:vAlign w:val="center"/>
                </w:tcPr>
                <w:p w14:paraId="66C32705">
                  <w:pPr>
                    <w:keepNext w:val="0"/>
                    <w:keepLines w:val="0"/>
                    <w:widowControl/>
                    <w:suppressLineNumbers w:val="0"/>
                    <w:spacing w:before="0" w:beforeAutospacing="0" w:after="0" w:afterAutospacing="0"/>
                    <w:ind w:left="0" w:right="0" w:firstLine="420" w:firstLineChars="200"/>
                    <w:rPr>
                      <w:rFonts w:hint="default" w:ascii="Times New Roman" w:hAnsi="Times New Roman" w:eastAsia="宋体" w:cs="Times New Roman"/>
                      <w:color w:val="auto"/>
                      <w:sz w:val="21"/>
                      <w:szCs w:val="21"/>
                    </w:rPr>
                  </w:pPr>
                </w:p>
              </w:tc>
              <w:tc>
                <w:tcPr>
                  <w:tcW w:w="3390" w:type="dxa"/>
                  <w:noWrap w:val="0"/>
                  <w:vAlign w:val="center"/>
                </w:tcPr>
                <w:p w14:paraId="338FC033">
                  <w:pPr>
                    <w:keepNext w:val="0"/>
                    <w:keepLines w:val="0"/>
                    <w:suppressLineNumbers w:val="0"/>
                    <w:autoSpaceDE w:val="0"/>
                    <w:autoSpaceDN w:val="0"/>
                    <w:spacing w:before="0" w:beforeAutospacing="0" w:after="0" w:afterAutospacing="0"/>
                    <w:ind w:left="0" w:leftChars="0" w:right="0" w:rightChars="0"/>
                    <w:contextualSpacing/>
                    <w:jc w:val="both"/>
                    <w:rPr>
                      <w:rFonts w:hint="default"/>
                      <w:color w:val="auto"/>
                    </w:rPr>
                  </w:pPr>
                  <w:r>
                    <w:rPr>
                      <w:rFonts w:hint="eastAsia"/>
                      <w:color w:val="auto"/>
                    </w:rPr>
                    <w:t>提高工业固体废料的回收使用率，实行废弃物分类制度，提高综合利用率。工业固体废弃物综合利用和处置率达到95%；危险废物无害化处理处置率100%；城市生活垃圾无害化处理率大于90%</w:t>
                  </w:r>
                  <w:r>
                    <w:rPr>
                      <w:rFonts w:hint="eastAsia"/>
                      <w:color w:val="auto"/>
                      <w:lang w:eastAsia="zh-CN"/>
                    </w:rPr>
                    <w:t>。</w:t>
                  </w:r>
                </w:p>
              </w:tc>
              <w:tc>
                <w:tcPr>
                  <w:tcW w:w="1829" w:type="dxa"/>
                  <w:noWrap w:val="0"/>
                  <w:vAlign w:val="center"/>
                </w:tcPr>
                <w:p w14:paraId="4C7A958D">
                  <w:pPr>
                    <w:keepNext w:val="0"/>
                    <w:keepLines w:val="0"/>
                    <w:suppressLineNumbers w:val="0"/>
                    <w:autoSpaceDE w:val="0"/>
                    <w:autoSpaceDN w:val="0"/>
                    <w:spacing w:before="0" w:beforeAutospacing="0" w:after="0" w:afterAutospacing="0"/>
                    <w:ind w:left="0" w:leftChars="0" w:right="0" w:rightChars="0"/>
                    <w:contextualSpacing/>
                    <w:jc w:val="both"/>
                    <w:rPr>
                      <w:rFonts w:hint="default"/>
                      <w:color w:val="auto"/>
                      <w:lang w:val="en-US" w:eastAsia="zh-CN"/>
                    </w:rPr>
                  </w:pPr>
                  <w:r>
                    <w:rPr>
                      <w:rFonts w:hint="eastAsia" w:cs="Times New Roman"/>
                      <w:color w:val="auto"/>
                      <w:sz w:val="21"/>
                      <w:szCs w:val="21"/>
                      <w:highlight w:val="none"/>
                      <w:lang w:val="en-US" w:eastAsia="zh-CN"/>
                    </w:rPr>
                    <w:t>项目产生的</w:t>
                  </w:r>
                  <w:r>
                    <w:rPr>
                      <w:rFonts w:hint="eastAsia"/>
                      <w:color w:val="auto"/>
                      <w:szCs w:val="21"/>
                      <w:highlight w:val="none"/>
                      <w:lang w:val="en-US" w:eastAsia="zh-CN"/>
                    </w:rPr>
                    <w:t>一般工业固体废物</w:t>
                  </w:r>
                  <w:r>
                    <w:rPr>
                      <w:rFonts w:hint="eastAsia" w:cs="Times New Roman"/>
                      <w:color w:val="auto"/>
                      <w:sz w:val="21"/>
                      <w:szCs w:val="21"/>
                      <w:highlight w:val="none"/>
                      <w:lang w:val="en-US" w:eastAsia="zh-CN"/>
                    </w:rPr>
                    <w:t>分类收集后外售物资回收单位，危险废物暂存于危废贮存库内，定期交由有资质单位处置，生活垃圾</w:t>
                  </w:r>
                  <w:r>
                    <w:rPr>
                      <w:rFonts w:hint="default" w:ascii="Times New Roman" w:hAnsi="Times New Roman" w:eastAsia="宋体" w:cs="Times New Roman"/>
                      <w:color w:val="auto"/>
                      <w:kern w:val="0"/>
                      <w:sz w:val="21"/>
                      <w:szCs w:val="21"/>
                      <w:highlight w:val="none"/>
                      <w:lang w:val="en-US" w:eastAsia="zh-CN" w:bidi="ar"/>
                    </w:rPr>
                    <w:t>由环卫部门定期清运</w:t>
                  </w:r>
                  <w:r>
                    <w:rPr>
                      <w:rFonts w:hint="eastAsia" w:ascii="Times New Roman" w:hAnsi="Times New Roman" w:eastAsia="宋体" w:cs="Times New Roman"/>
                      <w:color w:val="auto"/>
                      <w:kern w:val="0"/>
                      <w:sz w:val="21"/>
                      <w:szCs w:val="21"/>
                      <w:highlight w:val="none"/>
                      <w:lang w:val="en-US" w:eastAsia="zh-CN" w:bidi="ar"/>
                    </w:rPr>
                    <w:t>，固、危废处置率可达100%。</w:t>
                  </w:r>
                </w:p>
              </w:tc>
              <w:tc>
                <w:tcPr>
                  <w:tcW w:w="664" w:type="dxa"/>
                  <w:noWrap w:val="0"/>
                  <w:vAlign w:val="center"/>
                </w:tcPr>
                <w:p w14:paraId="20F6A9D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相符</w:t>
                  </w:r>
                </w:p>
              </w:tc>
            </w:tr>
            <w:tr w14:paraId="1C856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1756" w:type="dxa"/>
                  <w:vMerge w:val="continue"/>
                  <w:noWrap w:val="0"/>
                  <w:vAlign w:val="center"/>
                </w:tcPr>
                <w:p w14:paraId="3891342F">
                  <w:pPr>
                    <w:keepNext w:val="0"/>
                    <w:keepLines w:val="0"/>
                    <w:widowControl/>
                    <w:suppressLineNumbers w:val="0"/>
                    <w:spacing w:before="0" w:beforeAutospacing="0" w:after="0" w:afterAutospacing="0"/>
                    <w:ind w:left="0" w:right="0" w:firstLine="420" w:firstLineChars="200"/>
                    <w:rPr>
                      <w:rFonts w:hint="default" w:ascii="Times New Roman" w:hAnsi="Times New Roman" w:eastAsia="宋体" w:cs="Times New Roman"/>
                      <w:color w:val="auto"/>
                      <w:sz w:val="21"/>
                      <w:szCs w:val="21"/>
                    </w:rPr>
                  </w:pPr>
                </w:p>
              </w:tc>
              <w:tc>
                <w:tcPr>
                  <w:tcW w:w="3390" w:type="dxa"/>
                  <w:noWrap w:val="0"/>
                  <w:vAlign w:val="center"/>
                </w:tcPr>
                <w:p w14:paraId="1FF5811B">
                  <w:pPr>
                    <w:keepNext w:val="0"/>
                    <w:keepLines w:val="0"/>
                    <w:suppressLineNumbers w:val="0"/>
                    <w:bidi w:val="0"/>
                    <w:spacing w:before="0" w:beforeAutospacing="0" w:after="0" w:afterAutospacing="0"/>
                    <w:ind w:left="0" w:right="0"/>
                    <w:jc w:val="both"/>
                    <w:rPr>
                      <w:rFonts w:hint="eastAsia"/>
                      <w:color w:val="auto"/>
                    </w:rPr>
                  </w:pPr>
                  <w:r>
                    <w:rPr>
                      <w:rFonts w:hint="eastAsia"/>
                      <w:color w:val="auto"/>
                    </w:rPr>
                    <w:t>采用低噪声设施设备；合理作业时间；高噪声的作业场所、主要运输路线远离或避让敏感点，对无法避让或已经存在的噪声敏感区，采取措施并避免夜间运输。</w:t>
                  </w:r>
                </w:p>
              </w:tc>
              <w:tc>
                <w:tcPr>
                  <w:tcW w:w="1829" w:type="dxa"/>
                  <w:noWrap w:val="0"/>
                  <w:vAlign w:val="center"/>
                </w:tcPr>
                <w:p w14:paraId="4E984DE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color w:val="auto"/>
                      <w:lang w:val="en-US" w:eastAsia="zh-CN"/>
                    </w:rPr>
                  </w:pPr>
                  <w:r>
                    <w:rPr>
                      <w:rFonts w:hint="default" w:ascii="Times New Roman" w:hAnsi="Times New Roman" w:eastAsia="宋体" w:cs="Times New Roman"/>
                      <w:color w:val="auto"/>
                      <w:sz w:val="21"/>
                      <w:szCs w:val="21"/>
                      <w:lang w:val="en-US" w:eastAsia="zh-CN"/>
                    </w:rPr>
                    <w:t>本项目</w:t>
                  </w:r>
                  <w:r>
                    <w:rPr>
                      <w:rFonts w:hint="eastAsia" w:cs="Times New Roman"/>
                      <w:color w:val="auto"/>
                      <w:sz w:val="21"/>
                      <w:szCs w:val="21"/>
                      <w:lang w:val="en-US" w:eastAsia="zh-CN"/>
                    </w:rPr>
                    <w:t>在</w:t>
                  </w:r>
                  <w:r>
                    <w:rPr>
                      <w:rFonts w:hint="default" w:ascii="Times New Roman" w:hAnsi="Times New Roman" w:eastAsia="宋体" w:cs="Times New Roman"/>
                      <w:color w:val="auto"/>
                      <w:sz w:val="21"/>
                      <w:szCs w:val="21"/>
                      <w:lang w:val="en-US" w:eastAsia="zh-CN"/>
                    </w:rPr>
                    <w:t>采用低噪声设备</w:t>
                  </w:r>
                  <w:r>
                    <w:rPr>
                      <w:rFonts w:hint="eastAsia" w:cs="Times New Roman"/>
                      <w:color w:val="auto"/>
                      <w:sz w:val="21"/>
                      <w:szCs w:val="21"/>
                      <w:lang w:val="en-US" w:eastAsia="zh-CN"/>
                    </w:rPr>
                    <w:t>、厂房隔声及其他减振</w:t>
                  </w:r>
                  <w:r>
                    <w:rPr>
                      <w:rFonts w:hint="default" w:ascii="Times New Roman" w:hAnsi="Times New Roman" w:eastAsia="宋体" w:cs="Times New Roman"/>
                      <w:color w:val="auto"/>
                      <w:sz w:val="21"/>
                      <w:szCs w:val="21"/>
                      <w:lang w:val="en-US" w:eastAsia="zh-CN"/>
                    </w:rPr>
                    <w:t>措施后，厂界噪声可满足相应标准要求。</w:t>
                  </w:r>
                </w:p>
              </w:tc>
              <w:tc>
                <w:tcPr>
                  <w:tcW w:w="664" w:type="dxa"/>
                  <w:noWrap w:val="0"/>
                  <w:vAlign w:val="center"/>
                </w:tcPr>
                <w:p w14:paraId="3D6BE8D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相符</w:t>
                  </w:r>
                </w:p>
              </w:tc>
            </w:tr>
            <w:tr w14:paraId="67B51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9" w:hRule="atLeast"/>
                <w:jc w:val="center"/>
              </w:trPr>
              <w:tc>
                <w:tcPr>
                  <w:tcW w:w="1756" w:type="dxa"/>
                  <w:vMerge w:val="continue"/>
                  <w:noWrap w:val="0"/>
                  <w:vAlign w:val="center"/>
                </w:tcPr>
                <w:p w14:paraId="4086D539">
                  <w:pPr>
                    <w:keepNext w:val="0"/>
                    <w:keepLines w:val="0"/>
                    <w:widowControl/>
                    <w:suppressLineNumbers w:val="0"/>
                    <w:spacing w:before="0" w:beforeAutospacing="0" w:after="0" w:afterAutospacing="0"/>
                    <w:ind w:left="0" w:right="0" w:firstLine="420" w:firstLineChars="200"/>
                    <w:rPr>
                      <w:rFonts w:hint="default" w:ascii="Times New Roman" w:hAnsi="Times New Roman" w:eastAsia="宋体" w:cs="Times New Roman"/>
                      <w:color w:val="auto"/>
                      <w:sz w:val="21"/>
                      <w:szCs w:val="21"/>
                    </w:rPr>
                  </w:pPr>
                </w:p>
              </w:tc>
              <w:tc>
                <w:tcPr>
                  <w:tcW w:w="3390" w:type="dxa"/>
                  <w:noWrap w:val="0"/>
                  <w:vAlign w:val="center"/>
                </w:tcPr>
                <w:p w14:paraId="00F45093">
                  <w:pPr>
                    <w:keepNext w:val="0"/>
                    <w:keepLines w:val="0"/>
                    <w:suppressLineNumbers w:val="0"/>
                    <w:bidi w:val="0"/>
                    <w:spacing w:before="0" w:beforeAutospacing="0" w:after="0" w:afterAutospacing="0"/>
                    <w:ind w:left="0" w:right="0"/>
                    <w:jc w:val="both"/>
                    <w:rPr>
                      <w:rFonts w:hint="eastAsia"/>
                      <w:color w:val="auto"/>
                    </w:rPr>
                  </w:pPr>
                  <w:r>
                    <w:rPr>
                      <w:rFonts w:hint="eastAsia"/>
                      <w:color w:val="auto"/>
                    </w:rPr>
                    <w:t>存储危险化学品及产生大量废水的企业，应配套有效措施，严格落实项目环评报告提出事故池、分区防渗要求，防止因泄露污染地下水，土壤，以及因事故废水直接污染地表水体；产生固体废物（含危险废物）的企业，在贮存固体废物过程中，需要满足环评提出的防扬散、防流失、防渗漏及其他防止污染环境的措施</w:t>
                  </w:r>
                  <w:r>
                    <w:rPr>
                      <w:rFonts w:hint="eastAsia"/>
                      <w:color w:val="auto"/>
                      <w:lang w:eastAsia="zh-CN"/>
                    </w:rPr>
                    <w:t>。</w:t>
                  </w:r>
                </w:p>
              </w:tc>
              <w:tc>
                <w:tcPr>
                  <w:tcW w:w="1829" w:type="dxa"/>
                  <w:noWrap w:val="0"/>
                  <w:vAlign w:val="center"/>
                </w:tcPr>
                <w:p w14:paraId="3E4C2006">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color w:val="auto"/>
                      <w:lang w:val="en-US" w:eastAsia="zh-CN"/>
                    </w:rPr>
                  </w:pPr>
                  <w:r>
                    <w:rPr>
                      <w:rFonts w:hint="default" w:ascii="Times New Roman" w:hAnsi="Times New Roman" w:eastAsia="宋体" w:cs="Times New Roman"/>
                      <w:color w:val="auto"/>
                      <w:sz w:val="21"/>
                      <w:szCs w:val="21"/>
                      <w:lang w:val="en-US" w:eastAsia="zh-CN"/>
                    </w:rPr>
                    <w:t>本</w:t>
                  </w:r>
                  <w:r>
                    <w:rPr>
                      <w:rFonts w:hint="eastAsia" w:cs="Times New Roman"/>
                      <w:color w:val="auto"/>
                      <w:sz w:val="21"/>
                      <w:szCs w:val="21"/>
                      <w:lang w:val="en-US" w:eastAsia="zh-CN"/>
                    </w:rPr>
                    <w:t>项目设有危废贮存库，同时采取防风、防晒、防雨、防漏、防渗、防腐等措施，产生的危险废物暂存于危废贮存库内，定期交有资质单位处置。</w:t>
                  </w:r>
                </w:p>
              </w:tc>
              <w:tc>
                <w:tcPr>
                  <w:tcW w:w="664" w:type="dxa"/>
                  <w:noWrap w:val="0"/>
                  <w:vAlign w:val="center"/>
                </w:tcPr>
                <w:p w14:paraId="6F00A9B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相符</w:t>
                  </w:r>
                </w:p>
              </w:tc>
            </w:tr>
            <w:tr w14:paraId="77AC55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1756" w:type="dxa"/>
                  <w:vMerge w:val="restart"/>
                  <w:noWrap w:val="0"/>
                  <w:vAlign w:val="center"/>
                </w:tcPr>
                <w:p w14:paraId="47C71E9B">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auto"/>
                      <w:sz w:val="21"/>
                      <w:szCs w:val="21"/>
                    </w:rPr>
                  </w:pPr>
                  <w:r>
                    <w:rPr>
                      <w:rFonts w:hint="default"/>
                      <w:color w:val="auto"/>
                    </w:rPr>
                    <w:t>陕西省西咸新区生态环境局关于《西咸新区泾河新城分区规划（2016-2035）环境影响报告书》审查意见的函（陕西咸环函〔2021〕41号）</w:t>
                  </w:r>
                </w:p>
              </w:tc>
              <w:tc>
                <w:tcPr>
                  <w:tcW w:w="3390" w:type="dxa"/>
                  <w:noWrap w:val="0"/>
                  <w:vAlign w:val="center"/>
                </w:tcPr>
                <w:p w14:paraId="6D384AAC">
                  <w:pPr>
                    <w:keepNext w:val="0"/>
                    <w:keepLines w:val="0"/>
                    <w:suppressLineNumbers w:val="0"/>
                    <w:bidi w:val="0"/>
                    <w:spacing w:before="0" w:beforeAutospacing="0" w:after="0" w:afterAutospacing="0"/>
                    <w:ind w:left="0" w:right="0"/>
                    <w:jc w:val="both"/>
                    <w:rPr>
                      <w:rFonts w:hint="eastAsia"/>
                      <w:color w:val="auto"/>
                    </w:rPr>
                  </w:pPr>
                  <w:r>
                    <w:rPr>
                      <w:rFonts w:hint="default"/>
                      <w:color w:val="auto"/>
                      <w:szCs w:val="21"/>
                      <w:highlight w:val="none"/>
                    </w:rPr>
                    <w:t>加强规划引导，牢固树立生态优先、绿色发展理念，坚持创新城市发展方式，推动城市与产业协调发展。严格落实生态保护红线、环境质量底线、资源利用上线和生态环境准入清单管控要求。强化“三线一单”在优化布局、控制规模及对项目环境准入的强制约束作用。限制大气污染物及水污染物排放量大的项目入区。引进项目的生产工艺、设备、污染治理技术，以及单位产品能耗、物耗、污染物排放和资源利用率等达到同行业先进水平，落实《报告书》提出的生态环境保护要求。</w:t>
                  </w:r>
                </w:p>
              </w:tc>
              <w:tc>
                <w:tcPr>
                  <w:tcW w:w="1829" w:type="dxa"/>
                  <w:noWrap w:val="0"/>
                  <w:vAlign w:val="center"/>
                </w:tcPr>
                <w:p w14:paraId="39921B1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color w:val="auto"/>
                      <w:lang w:val="en-US" w:eastAsia="zh-CN"/>
                    </w:rPr>
                  </w:pPr>
                  <w:r>
                    <w:rPr>
                      <w:rFonts w:hint="default"/>
                      <w:color w:val="auto"/>
                      <w:szCs w:val="21"/>
                    </w:rPr>
                    <w:t>本项目符合泾河新城产业规划，</w:t>
                  </w:r>
                  <w:r>
                    <w:rPr>
                      <w:rFonts w:hint="eastAsia"/>
                      <w:color w:val="auto"/>
                      <w:szCs w:val="21"/>
                      <w:lang w:val="en-US" w:eastAsia="zh-CN"/>
                    </w:rPr>
                    <w:t>项目所在</w:t>
                  </w:r>
                  <w:r>
                    <w:rPr>
                      <w:rFonts w:hint="default"/>
                      <w:color w:val="auto"/>
                      <w:szCs w:val="21"/>
                    </w:rPr>
                    <w:t>地属于西安市生态环境管控单元中的重点管控单元，并符合《西安市人民政府关于印发“三线一单”生态环境分区管控方案的通知》（市政发</w:t>
                  </w:r>
                  <w:r>
                    <w:rPr>
                      <w:rFonts w:hint="eastAsia"/>
                      <w:color w:val="auto"/>
                      <w:szCs w:val="21"/>
                      <w:lang w:eastAsia="zh-CN"/>
                    </w:rPr>
                    <w:t>〔</w:t>
                  </w:r>
                  <w:r>
                    <w:rPr>
                      <w:rFonts w:hint="default"/>
                      <w:color w:val="auto"/>
                      <w:szCs w:val="21"/>
                    </w:rPr>
                    <w:t>2021</w:t>
                  </w:r>
                  <w:r>
                    <w:rPr>
                      <w:rFonts w:hint="eastAsia"/>
                      <w:color w:val="auto"/>
                      <w:szCs w:val="21"/>
                      <w:lang w:eastAsia="zh-CN"/>
                    </w:rPr>
                    <w:t>〕</w:t>
                  </w:r>
                  <w:r>
                    <w:rPr>
                      <w:rFonts w:hint="default"/>
                      <w:color w:val="auto"/>
                      <w:szCs w:val="21"/>
                    </w:rPr>
                    <w:t>22号）中的准入要求。项目不属于大气污染物和水污染物排放量大的项目，采用</w:t>
                  </w:r>
                  <w:r>
                    <w:rPr>
                      <w:rFonts w:hint="eastAsia"/>
                      <w:color w:val="auto"/>
                      <w:szCs w:val="21"/>
                      <w:lang w:val="en-US" w:eastAsia="zh-CN"/>
                    </w:rPr>
                    <w:t>成熟的生产技术和先进设备</w:t>
                  </w:r>
                  <w:r>
                    <w:rPr>
                      <w:rFonts w:hint="default"/>
                      <w:color w:val="auto"/>
                      <w:szCs w:val="21"/>
                    </w:rPr>
                    <w:t>。</w:t>
                  </w:r>
                </w:p>
              </w:tc>
              <w:tc>
                <w:tcPr>
                  <w:tcW w:w="664" w:type="dxa"/>
                  <w:noWrap w:val="0"/>
                  <w:vAlign w:val="center"/>
                </w:tcPr>
                <w:p w14:paraId="71A1ABD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相符</w:t>
                  </w:r>
                </w:p>
              </w:tc>
            </w:tr>
            <w:tr w14:paraId="1AED60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5" w:hRule="atLeast"/>
                <w:jc w:val="center"/>
              </w:trPr>
              <w:tc>
                <w:tcPr>
                  <w:tcW w:w="1756" w:type="dxa"/>
                  <w:vMerge w:val="continue"/>
                  <w:noWrap w:val="0"/>
                  <w:vAlign w:val="center"/>
                </w:tcPr>
                <w:p w14:paraId="59A56ECD">
                  <w:pPr>
                    <w:keepNext w:val="0"/>
                    <w:keepLines w:val="0"/>
                    <w:widowControl/>
                    <w:suppressLineNumbers w:val="0"/>
                    <w:spacing w:before="0" w:beforeAutospacing="0" w:after="0" w:afterAutospacing="0"/>
                    <w:ind w:left="0" w:right="0"/>
                    <w:rPr>
                      <w:rFonts w:hint="default" w:ascii="Times New Roman" w:hAnsi="Times New Roman" w:eastAsia="宋体" w:cs="Times New Roman"/>
                      <w:color w:val="auto"/>
                      <w:sz w:val="21"/>
                      <w:szCs w:val="21"/>
                    </w:rPr>
                  </w:pPr>
                </w:p>
              </w:tc>
              <w:tc>
                <w:tcPr>
                  <w:tcW w:w="3390" w:type="dxa"/>
                  <w:noWrap w:val="0"/>
                  <w:vAlign w:val="center"/>
                </w:tcPr>
                <w:p w14:paraId="19975720">
                  <w:pPr>
                    <w:keepNext w:val="0"/>
                    <w:keepLines w:val="0"/>
                    <w:suppressLineNumbers w:val="0"/>
                    <w:bidi w:val="0"/>
                    <w:spacing w:before="0" w:beforeAutospacing="0" w:after="0" w:afterAutospacing="0"/>
                    <w:ind w:left="0" w:right="0"/>
                    <w:jc w:val="both"/>
                    <w:rPr>
                      <w:rFonts w:hint="default" w:ascii="Times New Roman" w:hAnsi="Times New Roman" w:eastAsia="宋体" w:cs="Times New Roman"/>
                      <w:color w:val="auto"/>
                      <w:kern w:val="2"/>
                      <w:sz w:val="21"/>
                      <w:szCs w:val="21"/>
                      <w:lang w:val="en-US" w:eastAsia="zh-CN" w:bidi="ar-SA"/>
                    </w:rPr>
                  </w:pPr>
                  <w:r>
                    <w:rPr>
                      <w:rFonts w:hint="default"/>
                      <w:color w:val="auto"/>
                      <w:szCs w:val="21"/>
                      <w:highlight w:val="none"/>
                    </w:rPr>
                    <w:t>完善产业规划内容，进一步细化规划及相关产业版块布局，对现有版块和布局不相符合的企业提出调整方案，对入区项目严格把关，优先引入节水型企业。</w:t>
                  </w:r>
                </w:p>
              </w:tc>
              <w:tc>
                <w:tcPr>
                  <w:tcW w:w="1829" w:type="dxa"/>
                  <w:noWrap w:val="0"/>
                  <w:vAlign w:val="center"/>
                </w:tcPr>
                <w:p w14:paraId="1C456D60">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both"/>
                    <w:textAlignment w:val="auto"/>
                    <w:rPr>
                      <w:rFonts w:hint="default" w:ascii="Times New Roman" w:hAnsi="Times New Roman" w:eastAsia="宋体" w:cs="Times New Roman"/>
                      <w:color w:val="auto"/>
                      <w:kern w:val="2"/>
                      <w:sz w:val="21"/>
                      <w:szCs w:val="21"/>
                      <w:lang w:val="en-US" w:eastAsia="zh-CN" w:bidi="ar-SA"/>
                    </w:rPr>
                  </w:pPr>
                  <w:r>
                    <w:rPr>
                      <w:rFonts w:hint="default"/>
                      <w:color w:val="auto"/>
                      <w:szCs w:val="21"/>
                      <w:highlight w:val="none"/>
                    </w:rPr>
                    <w:t>本项目</w:t>
                  </w:r>
                  <w:r>
                    <w:rPr>
                      <w:rFonts w:hint="eastAsia"/>
                      <w:color w:val="auto"/>
                      <w:szCs w:val="21"/>
                      <w:highlight w:val="none"/>
                      <w:lang w:val="en-US" w:eastAsia="zh-CN"/>
                    </w:rPr>
                    <w:t>仅涉及生活污水，用水量小，</w:t>
                  </w:r>
                  <w:r>
                    <w:rPr>
                      <w:rFonts w:hint="default"/>
                      <w:color w:val="auto"/>
                      <w:szCs w:val="21"/>
                      <w:highlight w:val="none"/>
                    </w:rPr>
                    <w:t>生活污水</w:t>
                  </w:r>
                  <w:r>
                    <w:rPr>
                      <w:rFonts w:hint="eastAsia"/>
                      <w:color w:val="auto"/>
                      <w:szCs w:val="21"/>
                      <w:highlight w:val="none"/>
                      <w:lang w:val="en-US" w:eastAsia="zh-CN"/>
                    </w:rPr>
                    <w:t>依托厂区化粪池收集后</w:t>
                  </w:r>
                  <w:r>
                    <w:rPr>
                      <w:rFonts w:hint="default"/>
                      <w:color w:val="auto"/>
                      <w:sz w:val="21"/>
                      <w:szCs w:val="21"/>
                      <w:highlight w:val="none"/>
                    </w:rPr>
                    <w:t>经市政管网排至泾河新城第二污水处理厂进行处理</w:t>
                  </w:r>
                  <w:r>
                    <w:rPr>
                      <w:rFonts w:hint="eastAsia"/>
                      <w:color w:val="auto"/>
                      <w:szCs w:val="21"/>
                      <w:highlight w:val="none"/>
                    </w:rPr>
                    <w:t>。</w:t>
                  </w:r>
                </w:p>
              </w:tc>
              <w:tc>
                <w:tcPr>
                  <w:tcW w:w="664" w:type="dxa"/>
                  <w:noWrap w:val="0"/>
                  <w:vAlign w:val="center"/>
                </w:tcPr>
                <w:p w14:paraId="29C5E77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相符</w:t>
                  </w:r>
                </w:p>
              </w:tc>
            </w:tr>
          </w:tbl>
          <w:p w14:paraId="5F4EC74C">
            <w:pPr>
              <w:keepNext w:val="0"/>
              <w:keepLines w:val="0"/>
              <w:suppressLineNumbers w:val="0"/>
              <w:autoSpaceDE w:val="0"/>
              <w:autoSpaceDN w:val="0"/>
              <w:adjustRightInd w:val="0"/>
              <w:snapToGrid w:val="0"/>
              <w:spacing w:before="0" w:beforeAutospacing="0" w:after="0" w:afterAutospacing="0" w:line="480" w:lineRule="exact"/>
              <w:ind w:left="0" w:right="0"/>
              <w:jc w:val="center"/>
              <w:rPr>
                <w:rFonts w:hint="default"/>
                <w:color w:val="000000" w:themeColor="text1"/>
                <w:kern w:val="0"/>
                <w:sz w:val="24"/>
                <w:szCs w:val="24"/>
                <w:highlight w:val="green"/>
                <w14:textFill>
                  <w14:solidFill>
                    <w14:schemeClr w14:val="tx1"/>
                  </w14:solidFill>
                </w14:textFill>
              </w:rPr>
            </w:pPr>
          </w:p>
        </w:tc>
      </w:tr>
      <w:tr w14:paraId="141C210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1100" w:type="dxa"/>
            <w:tcBorders>
              <w:bottom w:val="single" w:color="auto" w:sz="8" w:space="0"/>
            </w:tcBorders>
            <w:vAlign w:val="center"/>
          </w:tcPr>
          <w:p w14:paraId="1D683D32">
            <w:pPr>
              <w:keepNext w:val="0"/>
              <w:keepLines w:val="0"/>
              <w:suppressLineNumbers w:val="0"/>
              <w:autoSpaceDE w:val="0"/>
              <w:autoSpaceDN w:val="0"/>
              <w:adjustRightInd w:val="0"/>
              <w:snapToGrid w:val="0"/>
              <w:spacing w:before="0" w:beforeAutospacing="0" w:after="0" w:afterAutospacing="0" w:line="400" w:lineRule="exact"/>
              <w:ind w:left="0" w:right="0"/>
              <w:jc w:val="center"/>
              <w:rPr>
                <w:rFonts w:hint="default"/>
                <w:color w:val="000000" w:themeColor="text1"/>
                <w:kern w:val="0"/>
                <w:sz w:val="24"/>
                <w:szCs w:val="24"/>
                <w:highlight w:val="none"/>
                <w14:textFill>
                  <w14:solidFill>
                    <w14:schemeClr w14:val="tx1"/>
                  </w14:solidFill>
                </w14:textFill>
              </w:rPr>
            </w:pPr>
            <w:r>
              <w:rPr>
                <w:rFonts w:hint="eastAsia" w:cs="宋体"/>
                <w:color w:val="000000" w:themeColor="text1"/>
                <w:kern w:val="0"/>
                <w:sz w:val="24"/>
                <w:szCs w:val="24"/>
                <w:highlight w:val="none"/>
                <w14:textFill>
                  <w14:solidFill>
                    <w14:schemeClr w14:val="tx1"/>
                  </w14:solidFill>
                </w14:textFill>
              </w:rPr>
              <w:t>其他符合性分析</w:t>
            </w:r>
          </w:p>
        </w:tc>
        <w:tc>
          <w:tcPr>
            <w:tcW w:w="8079" w:type="dxa"/>
            <w:gridSpan w:val="3"/>
            <w:tcBorders>
              <w:bottom w:val="single" w:color="auto" w:sz="8" w:space="0"/>
            </w:tcBorders>
          </w:tcPr>
          <w:p w14:paraId="06032587">
            <w:pPr>
              <w:keepNext w:val="0"/>
              <w:keepLines w:val="0"/>
              <w:suppressLineNumbers w:val="0"/>
              <w:adjustRightInd w:val="0"/>
              <w:snapToGrid w:val="0"/>
              <w:spacing w:before="0" w:beforeAutospacing="0" w:after="0" w:afterAutospacing="0" w:line="360" w:lineRule="auto"/>
              <w:ind w:left="0" w:right="0"/>
              <w:jc w:val="left"/>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val="en-US" w:eastAsia="zh-CN"/>
                <w14:textFill>
                  <w14:solidFill>
                    <w14:schemeClr w14:val="tx1"/>
                  </w14:solidFill>
                </w14:textFill>
              </w:rPr>
              <w:t>1、</w:t>
            </w:r>
            <w:r>
              <w:rPr>
                <w:rFonts w:hint="eastAsia" w:cs="宋体"/>
                <w:color w:val="000000" w:themeColor="text1"/>
                <w:sz w:val="24"/>
                <w:szCs w:val="24"/>
                <w:highlight w:val="none"/>
                <w14:textFill>
                  <w14:solidFill>
                    <w14:schemeClr w14:val="tx1"/>
                  </w14:solidFill>
                </w14:textFill>
              </w:rPr>
              <w:t>项目产业政策的符合性</w:t>
            </w:r>
          </w:p>
          <w:p w14:paraId="2B061D2D">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hAnsi="宋体"/>
                <w:color w:val="000000" w:themeColor="text1"/>
                <w:sz w:val="24"/>
                <w:szCs w:val="24"/>
                <w:highlight w:val="none"/>
                <w14:textFill>
                  <w14:solidFill>
                    <w14:schemeClr w14:val="tx1"/>
                  </w14:solidFill>
                </w14:textFill>
              </w:rPr>
            </w:pPr>
            <w:r>
              <w:rPr>
                <w:rFonts w:hint="eastAsia" w:hAnsi="宋体" w:cs="宋体"/>
                <w:color w:val="000000" w:themeColor="text1"/>
                <w:sz w:val="24"/>
                <w:szCs w:val="24"/>
                <w:highlight w:val="none"/>
                <w:lang w:val="en-GB"/>
                <w14:textFill>
                  <w14:solidFill>
                    <w14:schemeClr w14:val="tx1"/>
                  </w14:solidFill>
                </w14:textFill>
              </w:rPr>
              <w:t>根据《产业结构调整指导目录（</w:t>
            </w:r>
            <w:r>
              <w:rPr>
                <w:rFonts w:hint="default"/>
                <w:color w:val="000000" w:themeColor="text1"/>
                <w:sz w:val="24"/>
                <w:szCs w:val="24"/>
                <w:highlight w:val="none"/>
                <w:lang w:val="en-GB"/>
                <w14:textFill>
                  <w14:solidFill>
                    <w14:schemeClr w14:val="tx1"/>
                  </w14:solidFill>
                </w14:textFill>
              </w:rPr>
              <w:t>20</w:t>
            </w:r>
            <w:r>
              <w:rPr>
                <w:rFonts w:hint="eastAsia"/>
                <w:color w:val="000000" w:themeColor="text1"/>
                <w:sz w:val="24"/>
                <w:szCs w:val="24"/>
                <w:highlight w:val="none"/>
                <w:lang w:val="en-US" w:eastAsia="zh-CN"/>
                <w14:textFill>
                  <w14:solidFill>
                    <w14:schemeClr w14:val="tx1"/>
                  </w14:solidFill>
                </w14:textFill>
              </w:rPr>
              <w:t>24</w:t>
            </w:r>
            <w:r>
              <w:rPr>
                <w:rFonts w:hint="eastAsia" w:hAnsi="宋体" w:cs="宋体"/>
                <w:color w:val="000000" w:themeColor="text1"/>
                <w:sz w:val="24"/>
                <w:szCs w:val="24"/>
                <w:highlight w:val="none"/>
                <w:lang w:val="en-GB"/>
                <w14:textFill>
                  <w14:solidFill>
                    <w14:schemeClr w14:val="tx1"/>
                  </w14:solidFill>
                </w14:textFill>
              </w:rPr>
              <w:t>年本）》，</w:t>
            </w:r>
            <w:r>
              <w:rPr>
                <w:rFonts w:hint="eastAsia" w:hAnsi="宋体" w:cs="宋体"/>
                <w:color w:val="000000" w:themeColor="text1"/>
                <w:sz w:val="24"/>
                <w:szCs w:val="24"/>
                <w:highlight w:val="none"/>
                <w14:textFill>
                  <w14:solidFill>
                    <w14:schemeClr w14:val="tx1"/>
                  </w14:solidFill>
                </w14:textFill>
              </w:rPr>
              <w:t>本项目不属于鼓励类、限制类以及淘汰类项目，</w:t>
            </w:r>
            <w:r>
              <w:rPr>
                <w:rFonts w:hint="eastAsia" w:hAnsi="宋体" w:cs="宋体"/>
                <w:color w:val="000000" w:themeColor="text1"/>
                <w:sz w:val="24"/>
                <w:szCs w:val="24"/>
                <w:highlight w:val="none"/>
                <w:lang w:val="en-GB"/>
                <w14:textFill>
                  <w14:solidFill>
                    <w14:schemeClr w14:val="tx1"/>
                  </w14:solidFill>
                </w14:textFill>
              </w:rPr>
              <w:t>本项目属于允许类</w:t>
            </w:r>
            <w:r>
              <w:rPr>
                <w:rFonts w:hint="eastAsia" w:hAnsi="宋体" w:cs="宋体"/>
                <w:color w:val="000000" w:themeColor="text1"/>
                <w:sz w:val="24"/>
                <w:szCs w:val="24"/>
                <w:highlight w:val="none"/>
                <w:lang w:val="en-GB" w:eastAsia="zh-CN"/>
                <w14:textFill>
                  <w14:solidFill>
                    <w14:schemeClr w14:val="tx1"/>
                  </w14:solidFill>
                </w14:textFill>
              </w:rPr>
              <w:t>；根据《市场准入负面清单（202</w:t>
            </w:r>
            <w:r>
              <w:rPr>
                <w:rFonts w:hint="eastAsia" w:hAnsi="宋体" w:cs="宋体"/>
                <w:color w:val="000000" w:themeColor="text1"/>
                <w:sz w:val="24"/>
                <w:szCs w:val="24"/>
                <w:highlight w:val="none"/>
                <w:lang w:val="en-US" w:eastAsia="zh-CN"/>
                <w14:textFill>
                  <w14:solidFill>
                    <w14:schemeClr w14:val="tx1"/>
                  </w14:solidFill>
                </w14:textFill>
              </w:rPr>
              <w:t>5</w:t>
            </w:r>
            <w:r>
              <w:rPr>
                <w:rFonts w:hint="eastAsia" w:hAnsi="宋体" w:cs="宋体"/>
                <w:color w:val="000000" w:themeColor="text1"/>
                <w:sz w:val="24"/>
                <w:szCs w:val="24"/>
                <w:highlight w:val="none"/>
                <w:lang w:val="en-GB" w:eastAsia="zh-CN"/>
                <w14:textFill>
                  <w14:solidFill>
                    <w14:schemeClr w14:val="tx1"/>
                  </w14:solidFill>
                </w14:textFill>
              </w:rPr>
              <w:t>年版）》，项目不在限制类和负面清单之列；</w:t>
            </w:r>
            <w:r>
              <w:rPr>
                <w:rFonts w:hint="eastAsia" w:hAnsi="宋体" w:cs="宋体"/>
                <w:color w:val="000000" w:themeColor="text1"/>
                <w:sz w:val="24"/>
                <w:szCs w:val="24"/>
                <w:highlight w:val="none"/>
                <w:lang w:val="en-US" w:eastAsia="zh-CN"/>
                <w14:textFill>
                  <w14:solidFill>
                    <w14:schemeClr w14:val="tx1"/>
                  </w14:solidFill>
                </w14:textFill>
              </w:rPr>
              <w:t>项目</w:t>
            </w:r>
            <w:r>
              <w:rPr>
                <w:rFonts w:hint="eastAsia"/>
                <w:color w:val="000000" w:themeColor="text1"/>
                <w:kern w:val="0"/>
                <w:sz w:val="24"/>
                <w:szCs w:val="24"/>
                <w:highlight w:val="none"/>
                <w14:textFill>
                  <w14:solidFill>
                    <w14:schemeClr w14:val="tx1"/>
                  </w14:solidFill>
                </w14:textFill>
              </w:rPr>
              <w:t>不在《陕西省限制投资类产业指导目录》（陕发改产业[2007]97号）内</w:t>
            </w:r>
            <w:r>
              <w:rPr>
                <w:rFonts w:hint="eastAsia" w:hAnsi="宋体"/>
                <w:color w:val="000000" w:themeColor="text1"/>
                <w:sz w:val="24"/>
                <w:szCs w:val="24"/>
                <w:highlight w:val="none"/>
                <w14:textFill>
                  <w14:solidFill>
                    <w14:schemeClr w14:val="tx1"/>
                  </w14:solidFill>
                </w14:textFill>
              </w:rPr>
              <w:t>。</w:t>
            </w:r>
          </w:p>
          <w:p w14:paraId="7D316CCB">
            <w:pPr>
              <w:keepNext w:val="0"/>
              <w:keepLines w:val="0"/>
              <w:suppressLineNumbers w:val="0"/>
              <w:autoSpaceDE w:val="0"/>
              <w:autoSpaceDN w:val="0"/>
              <w:adjustRightInd w:val="0"/>
              <w:snapToGrid w:val="0"/>
              <w:spacing w:before="0" w:beforeAutospacing="0" w:after="0" w:afterAutospacing="0" w:line="360" w:lineRule="auto"/>
              <w:ind w:left="0" w:right="0" w:firstLine="480" w:firstLineChars="200"/>
              <w:jc w:val="left"/>
              <w:rPr>
                <w:rFonts w:hint="default" w:hAnsi="宋体"/>
                <w:color w:val="000000" w:themeColor="text1"/>
                <w:sz w:val="24"/>
                <w:szCs w:val="24"/>
                <w:highlight w:val="none"/>
                <w14:textFill>
                  <w14:solidFill>
                    <w14:schemeClr w14:val="tx1"/>
                  </w14:solidFill>
                </w14:textFill>
              </w:rPr>
            </w:pPr>
            <w:r>
              <w:rPr>
                <w:rFonts w:hint="eastAsia"/>
                <w:color w:val="000000" w:themeColor="text1"/>
                <w:kern w:val="0"/>
                <w:sz w:val="24"/>
                <w:szCs w:val="24"/>
                <w:highlight w:val="none"/>
                <w14:textFill>
                  <w14:solidFill>
                    <w14:schemeClr w14:val="tx1"/>
                  </w14:solidFill>
                </w14:textFill>
              </w:rPr>
              <w:t>因此本项目符合国家及陕西省现行的有关</w:t>
            </w:r>
            <w:r>
              <w:rPr>
                <w:rFonts w:hint="eastAsia" w:hAnsi="宋体" w:cs="宋体"/>
                <w:color w:val="000000" w:themeColor="text1"/>
                <w:sz w:val="24"/>
                <w:szCs w:val="24"/>
                <w:highlight w:val="none"/>
                <w:lang w:val="en-GB"/>
                <w14:textFill>
                  <w14:solidFill>
                    <w14:schemeClr w14:val="tx1"/>
                  </w14:solidFill>
                </w14:textFill>
              </w:rPr>
              <w:t>产业政策</w:t>
            </w:r>
            <w:r>
              <w:rPr>
                <w:rFonts w:hint="eastAsia" w:hAnsi="宋体"/>
                <w:color w:val="000000" w:themeColor="text1"/>
                <w:sz w:val="24"/>
                <w:szCs w:val="24"/>
                <w:highlight w:val="none"/>
                <w:lang w:val="en-GB"/>
                <w14:textFill>
                  <w14:solidFill>
                    <w14:schemeClr w14:val="tx1"/>
                  </w14:solidFill>
                </w14:textFill>
              </w:rPr>
              <w:t>。</w:t>
            </w:r>
          </w:p>
          <w:p w14:paraId="1B2976F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0" w:firstLineChars="0"/>
              <w:jc w:val="left"/>
              <w:textAlignment w:val="auto"/>
              <w:rPr>
                <w:rFonts w:hint="default" w:ascii="Times New Roman" w:hAnsi="Times New Roman" w:eastAsia="宋体" w:cs="Times New Roman"/>
                <w:bCs/>
                <w:color w:val="000000" w:themeColor="text1"/>
                <w:sz w:val="24"/>
                <w:szCs w:val="24"/>
                <w:highlight w:val="none"/>
                <w:lang w:val="en-US" w:eastAsia="zh-CN"/>
                <w14:textFill>
                  <w14:solidFill>
                    <w14:schemeClr w14:val="tx1"/>
                  </w14:solidFill>
                </w14:textFill>
              </w:rPr>
            </w:pPr>
            <w:r>
              <w:rPr>
                <w:rFonts w:hint="eastAsia" w:cs="宋体"/>
                <w:color w:val="000000" w:themeColor="text1"/>
                <w:sz w:val="24"/>
                <w:szCs w:val="24"/>
                <w:highlight w:val="none"/>
                <w:lang w:val="en-US" w:eastAsia="zh-CN"/>
                <w14:textFill>
                  <w14:solidFill>
                    <w14:schemeClr w14:val="tx1"/>
                  </w14:solidFill>
                </w14:textFill>
              </w:rPr>
              <w:t>2、三线一单符合性分析</w:t>
            </w:r>
          </w:p>
          <w:p w14:paraId="303286BA">
            <w:pPr>
              <w:pStyle w:val="177"/>
              <w:keepLines w:val="0"/>
              <w:widowControl/>
              <w:suppressLineNumbers w:val="0"/>
              <w:spacing w:before="0" w:beforeAutospacing="0" w:after="0" w:afterAutospacing="0"/>
              <w:ind w:left="0" w:right="0" w:firstLine="480"/>
              <w:rPr>
                <w:rFonts w:hint="default" w:ascii="Times New Roman" w:hAnsi="Times New Roman" w:cs="Times New Roman"/>
                <w:color w:val="auto"/>
                <w:highlight w:val="none"/>
              </w:rPr>
            </w:pPr>
            <w:r>
              <w:rPr>
                <w:rFonts w:hint="default" w:ascii="Times New Roman" w:hAnsi="Times New Roman" w:eastAsia="宋体" w:cs="Times New Roman"/>
                <w:color w:val="auto"/>
                <w:sz w:val="24"/>
                <w:szCs w:val="24"/>
                <w:highlight w:val="none"/>
              </w:rPr>
              <w:t>根据陕西省生态环境厅办公室关于印发《陕西省“三线一单”生态环境 分区管控应用技术指南：环境影响评价（试行）》（陕环办发</w:t>
            </w:r>
            <w:r>
              <w:rPr>
                <w:rFonts w:hint="default" w:ascii="Times New Roman" w:hAnsi="Times New Roman" w:eastAsia="宋体" w:cs="Times New Roman"/>
                <w:color w:val="auto"/>
                <w:sz w:val="24"/>
                <w:szCs w:val="24"/>
                <w:highlight w:val="none"/>
                <w:lang w:eastAsia="zh-CN"/>
              </w:rPr>
              <w:t>〔2022〕76号</w:t>
            </w:r>
            <w:r>
              <w:rPr>
                <w:rFonts w:hint="default" w:ascii="Times New Roman" w:hAnsi="Times New Roman" w:eastAsia="宋体" w:cs="Times New Roman"/>
                <w:color w:val="auto"/>
                <w:sz w:val="24"/>
                <w:szCs w:val="24"/>
                <w:highlight w:val="none"/>
              </w:rPr>
              <w:t>）通知中环评文件规范化要求中的规定：环评文件涉及“三线一单”生态环境分区管控符合性分析采取“一图一表一说明”的表达方式，在对照分析结果右侧加列，并论证规划或建设项目的符合性。</w:t>
            </w:r>
          </w:p>
          <w:p w14:paraId="100258CF">
            <w:pPr>
              <w:pStyle w:val="177"/>
              <w:keepLines w:val="0"/>
              <w:widowControl/>
              <w:suppressLineNumbers w:val="0"/>
              <w:spacing w:before="0" w:beforeAutospacing="0" w:after="0" w:afterAutospacing="0"/>
              <w:ind w:left="0" w:right="0" w:firstLine="480"/>
              <w:rPr>
                <w:rFonts w:hint="default" w:ascii="Times New Roman" w:hAnsi="Times New Roman" w:cs="Times New Roman"/>
                <w:color w:val="auto"/>
                <w:highlight w:val="none"/>
              </w:rPr>
            </w:pPr>
            <w:r>
              <w:rPr>
                <w:rFonts w:hint="default" w:ascii="Times New Roman" w:hAnsi="Times New Roman" w:eastAsia="宋体" w:cs="Times New Roman"/>
                <w:color w:val="auto"/>
                <w:sz w:val="24"/>
                <w:szCs w:val="24"/>
                <w:highlight w:val="none"/>
              </w:rPr>
              <w:t>（1）“一图”：指的是规划或建设项目与环境管控单元对照分析示意图</w:t>
            </w:r>
          </w:p>
          <w:p w14:paraId="2F6B199B">
            <w:pPr>
              <w:pStyle w:val="177"/>
              <w:keepLines w:val="0"/>
              <w:widowControl/>
              <w:suppressLineNumbers w:val="0"/>
              <w:spacing w:before="0" w:beforeAutospacing="0" w:after="0" w:afterAutospacing="0"/>
              <w:ind w:left="0" w:right="0" w:firstLine="480"/>
              <w:rPr>
                <w:rFonts w:hint="default" w:ascii="Times New Roman" w:hAnsi="Times New Roman" w:cs="Times New Roman"/>
                <w:color w:val="000000"/>
                <w:highlight w:val="none"/>
              </w:rPr>
            </w:pPr>
            <w:r>
              <w:rPr>
                <w:rFonts w:hint="default" w:ascii="Times New Roman" w:hAnsi="Times New Roman" w:cs="Times New Roman"/>
                <w:color w:val="auto"/>
                <w:highlight w:val="none"/>
              </w:rPr>
              <w:t>本次评价在陕西省“三线一单”数据应用系统获取项目三线一单分析报</w:t>
            </w:r>
            <w:r>
              <w:rPr>
                <w:rFonts w:hint="default" w:ascii="Times New Roman" w:hAnsi="Times New Roman" w:cs="Times New Roman"/>
                <w:color w:val="000000"/>
                <w:highlight w:val="none"/>
              </w:rPr>
              <w:t>告</w:t>
            </w:r>
            <w:r>
              <w:rPr>
                <w:rFonts w:hint="default" w:ascii="Times New Roman" w:hAnsi="Times New Roman" w:cs="Times New Roman"/>
                <w:color w:val="000000"/>
                <w:highlight w:val="none"/>
                <w:lang w:eastAsia="zh-CN"/>
              </w:rPr>
              <w:t>。</w:t>
            </w:r>
            <w:r>
              <w:rPr>
                <w:rFonts w:hint="default" w:ascii="Times New Roman" w:hAnsi="Times New Roman" w:cs="Times New Roman"/>
                <w:color w:val="000000"/>
                <w:highlight w:val="none"/>
              </w:rPr>
              <w:t>根据查询结果，项目位于陕西省咸阳市泾阳县重点管控单元11（西咸新区）</w:t>
            </w:r>
            <w:r>
              <w:rPr>
                <w:rFonts w:hint="default" w:ascii="Times New Roman" w:hAnsi="Times New Roman" w:cs="Times New Roman"/>
                <w:color w:val="000000"/>
                <w:highlight w:val="none"/>
                <w:lang w:eastAsia="zh-CN"/>
              </w:rPr>
              <w:t>：</w:t>
            </w:r>
            <w:r>
              <w:rPr>
                <w:rFonts w:hint="default" w:ascii="Times New Roman" w:hAnsi="Times New Roman" w:cs="Times New Roman"/>
                <w:color w:val="000000"/>
                <w:highlight w:val="none"/>
              </w:rPr>
              <w:t>实施过程中应落实《</w:t>
            </w:r>
            <w:r>
              <w:rPr>
                <w:rFonts w:hint="eastAsia" w:cs="Times New Roman"/>
                <w:color w:val="000000"/>
                <w:highlight w:val="none"/>
                <w:lang w:val="en-US" w:eastAsia="zh-CN"/>
              </w:rPr>
              <w:t>西安</w:t>
            </w:r>
            <w:r>
              <w:rPr>
                <w:rFonts w:hint="default" w:ascii="Times New Roman" w:hAnsi="Times New Roman" w:cs="Times New Roman"/>
                <w:color w:val="000000"/>
                <w:highlight w:val="none"/>
              </w:rPr>
              <w:t>市“三</w:t>
            </w:r>
            <w:r>
              <w:rPr>
                <w:rFonts w:hint="default" w:ascii="Times New Roman" w:hAnsi="Times New Roman" w:cs="Times New Roman"/>
                <w:color w:val="000000"/>
                <w:highlight w:val="none"/>
                <w:lang w:eastAsia="zh-CN"/>
              </w:rPr>
              <w:t>线一</w:t>
            </w:r>
            <w:r>
              <w:rPr>
                <w:rFonts w:hint="default" w:ascii="Times New Roman" w:hAnsi="Times New Roman" w:eastAsia="宋体" w:cs="Times New Roman"/>
                <w:color w:val="000000"/>
                <w:sz w:val="24"/>
                <w:szCs w:val="24"/>
                <w:highlight w:val="none"/>
              </w:rPr>
              <w:t>单”生态环境分区管控方案》重点管控单元的相关要求，项目与</w:t>
            </w:r>
            <w:r>
              <w:rPr>
                <w:rFonts w:hint="eastAsia" w:cs="Times New Roman"/>
                <w:color w:val="000000"/>
                <w:sz w:val="24"/>
                <w:szCs w:val="24"/>
                <w:highlight w:val="none"/>
                <w:lang w:val="en-US" w:eastAsia="zh-CN"/>
              </w:rPr>
              <w:t>西安</w:t>
            </w:r>
            <w:r>
              <w:rPr>
                <w:rFonts w:hint="default" w:ascii="Times New Roman" w:hAnsi="Times New Roman" w:eastAsia="宋体" w:cs="Times New Roman"/>
                <w:color w:val="000000"/>
                <w:sz w:val="24"/>
                <w:szCs w:val="24"/>
                <w:highlight w:val="none"/>
              </w:rPr>
              <w:t>市生态环境管控单元比对示意图如下图所示。</w:t>
            </w:r>
          </w:p>
          <w:p w14:paraId="0A155921">
            <w:pPr>
              <w:pStyle w:val="177"/>
              <w:keepLines w:val="0"/>
              <w:widowControl/>
              <w:suppressLineNumbers w:val="0"/>
              <w:spacing w:before="0" w:beforeAutospacing="0" w:after="0" w:afterAutospacing="0"/>
              <w:ind w:left="0" w:leftChars="0" w:right="0" w:firstLine="0" w:firstLineChars="0"/>
              <w:jc w:val="center"/>
              <w:rPr>
                <w:rFonts w:hint="default" w:ascii="Times New Roman" w:hAnsi="Times New Roman" w:cs="Times New Roman"/>
                <w:color w:val="auto"/>
                <w:highlight w:val="none"/>
              </w:rPr>
            </w:pPr>
            <w:r>
              <w:drawing>
                <wp:inline distT="0" distB="0" distL="114300" distR="114300">
                  <wp:extent cx="3297555" cy="4664075"/>
                  <wp:effectExtent l="0" t="0" r="17145" b="3175"/>
                  <wp:docPr id="6"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0"/>
                          <pic:cNvPicPr>
                            <a:picLocks noChangeAspect="1"/>
                          </pic:cNvPicPr>
                        </pic:nvPicPr>
                        <pic:blipFill>
                          <a:blip r:embed="rId8"/>
                          <a:stretch>
                            <a:fillRect/>
                          </a:stretch>
                        </pic:blipFill>
                        <pic:spPr>
                          <a:xfrm>
                            <a:off x="0" y="0"/>
                            <a:ext cx="3297555" cy="4664075"/>
                          </a:xfrm>
                          <a:prstGeom prst="rect">
                            <a:avLst/>
                          </a:prstGeom>
                          <a:noFill/>
                          <a:ln>
                            <a:noFill/>
                          </a:ln>
                        </pic:spPr>
                      </pic:pic>
                    </a:graphicData>
                  </a:graphic>
                </wp:inline>
              </w:drawing>
            </w:r>
          </w:p>
          <w:p w14:paraId="72E5F724">
            <w:pPr>
              <w:pStyle w:val="177"/>
              <w:keepLines w:val="0"/>
              <w:widowControl/>
              <w:suppressLineNumbers w:val="0"/>
              <w:spacing w:before="0" w:beforeAutospacing="0" w:after="0" w:afterAutospacing="0"/>
              <w:ind w:left="0" w:leftChars="0" w:right="0" w:firstLine="0" w:firstLineChars="0"/>
              <w:jc w:val="center"/>
              <w:rPr>
                <w:rFonts w:hint="default" w:ascii="Times New Roman" w:hAnsi="Times New Roman" w:cs="Times New Roman"/>
                <w:color w:val="auto"/>
                <w:highlight w:val="none"/>
              </w:rPr>
            </w:pPr>
            <w:r>
              <w:rPr>
                <w:rFonts w:hint="default" w:ascii="Times New Roman" w:hAnsi="Times New Roman" w:cs="Times New Roman"/>
                <w:b/>
                <w:bCs w:val="0"/>
                <w:color w:val="auto"/>
                <w:sz w:val="21"/>
                <w:szCs w:val="21"/>
                <w:highlight w:val="none"/>
              </w:rPr>
              <w:t>图1  项目与生态环境管控单元对照分析示意图</w:t>
            </w:r>
          </w:p>
          <w:p w14:paraId="5FDD88EF">
            <w:pPr>
              <w:pStyle w:val="177"/>
              <w:keepLines w:val="0"/>
              <w:widowControl/>
              <w:suppressLineNumbers w:val="0"/>
              <w:spacing w:before="0" w:beforeAutospacing="0" w:after="0" w:afterAutospacing="0"/>
              <w:ind w:left="0" w:right="0" w:firstLine="480"/>
              <w:rPr>
                <w:rFonts w:hint="default" w:ascii="Times New Roman" w:hAnsi="Times New Roman" w:cs="Times New Roman"/>
                <w:color w:val="auto"/>
                <w:highlight w:val="none"/>
              </w:rPr>
            </w:pP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lang w:val="en-US" w:eastAsia="zh-CN"/>
              </w:rPr>
              <w:t>2</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“一表”：指的是项目或规划范围涉及的生态环境管控单元准入清单</w:t>
            </w:r>
          </w:p>
          <w:p w14:paraId="328A2E37">
            <w:pPr>
              <w:pStyle w:val="177"/>
              <w:keepLines w:val="0"/>
              <w:widowControl/>
              <w:suppressLineNumbers w:val="0"/>
              <w:spacing w:before="0" w:beforeAutospacing="0" w:after="0" w:afterAutospacing="0"/>
              <w:ind w:left="0" w:right="0" w:firstLine="480"/>
              <w:rPr>
                <w:rFonts w:hint="default" w:ascii="Times New Roman" w:hAnsi="Times New Roman" w:cs="Times New Roman"/>
                <w:color w:val="auto"/>
                <w:highlight w:val="none"/>
              </w:rPr>
            </w:pPr>
            <w:r>
              <w:rPr>
                <w:rFonts w:hint="default" w:ascii="Times New Roman" w:hAnsi="Times New Roman" w:eastAsia="宋体" w:cs="Times New Roman"/>
                <w:color w:val="000000"/>
                <w:sz w:val="24"/>
                <w:szCs w:val="24"/>
                <w:highlight w:val="none"/>
              </w:rPr>
              <w:t>本项目位于重点管控单元，项目与</w:t>
            </w:r>
            <w:r>
              <w:rPr>
                <w:rFonts w:hint="eastAsia" w:cs="Times New Roman"/>
                <w:color w:val="000000"/>
                <w:sz w:val="24"/>
                <w:szCs w:val="24"/>
                <w:highlight w:val="none"/>
                <w:lang w:val="en-US" w:eastAsia="zh-CN"/>
              </w:rPr>
              <w:t>西安</w:t>
            </w:r>
            <w:r>
              <w:rPr>
                <w:rFonts w:hint="default" w:ascii="Times New Roman" w:hAnsi="Times New Roman" w:eastAsia="宋体" w:cs="Times New Roman"/>
                <w:color w:val="auto"/>
                <w:sz w:val="24"/>
                <w:szCs w:val="24"/>
                <w:highlight w:val="none"/>
              </w:rPr>
              <w:t>市“三线一单”分区管控方案对比结果见</w:t>
            </w:r>
            <w:r>
              <w:rPr>
                <w:rFonts w:hint="default" w:ascii="Times New Roman" w:hAnsi="Times New Roman" w:eastAsia="宋体" w:cs="Times New Roman"/>
                <w:color w:val="auto"/>
                <w:sz w:val="24"/>
                <w:szCs w:val="24"/>
                <w:highlight w:val="none"/>
                <w:lang w:val="en-US" w:eastAsia="zh-CN"/>
              </w:rPr>
              <w:t>下</w:t>
            </w:r>
            <w:r>
              <w:rPr>
                <w:rFonts w:hint="default" w:ascii="Times New Roman" w:hAnsi="Times New Roman" w:cs="Times New Roman"/>
                <w:color w:val="auto"/>
                <w:highlight w:val="none"/>
              </w:rPr>
              <w:t>。</w:t>
            </w:r>
          </w:p>
          <w:p w14:paraId="32996F0D">
            <w:pPr>
              <w:pStyle w:val="9"/>
              <w:keepNext w:val="0"/>
              <w:keepLines w:val="0"/>
              <w:suppressLineNumbers w:val="0"/>
              <w:spacing w:before="0" w:beforeAutospacing="0" w:after="0" w:afterAutospacing="0"/>
              <w:ind w:left="0" w:right="0"/>
              <w:jc w:val="center"/>
              <w:rPr>
                <w:rFonts w:hint="default" w:ascii="Times New Roman" w:hAnsi="Times New Roman" w:cs="Times New Roman"/>
                <w:color w:val="auto"/>
                <w:sz w:val="24"/>
                <w:szCs w:val="24"/>
                <w:highlight w:val="none"/>
              </w:rPr>
            </w:pPr>
            <w:bookmarkStart w:id="1" w:name="_Ref363"/>
            <w:r>
              <w:rPr>
                <w:rFonts w:hint="default" w:ascii="Times New Roman" w:hAnsi="Times New Roman" w:cs="Times New Roman"/>
                <w:color w:val="auto"/>
                <w:sz w:val="24"/>
                <w:szCs w:val="24"/>
                <w:highlight w:val="none"/>
              </w:rPr>
              <w:t>表</w:t>
            </w:r>
            <w:r>
              <w:rPr>
                <w:rFonts w:hint="eastAsia" w:ascii="Times New Roman" w:hAnsi="Times New Roman" w:cs="Times New Roman"/>
                <w:color w:val="auto"/>
                <w:sz w:val="24"/>
                <w:szCs w:val="24"/>
                <w:highlight w:val="none"/>
                <w:lang w:val="en-US" w:eastAsia="zh-CN"/>
              </w:rPr>
              <w:t>1-3</w:t>
            </w:r>
            <w:bookmarkEnd w:id="1"/>
            <w:r>
              <w:rPr>
                <w:rFonts w:hint="default" w:ascii="Times New Roman" w:hAnsi="Times New Roman" w:cs="Times New Roman"/>
                <w:color w:val="auto"/>
                <w:sz w:val="24"/>
                <w:szCs w:val="24"/>
                <w:highlight w:val="none"/>
              </w:rPr>
              <w:t xml:space="preserve">  项目范围涉及的生态环境管控单元准入清单</w:t>
            </w:r>
          </w:p>
          <w:tbl>
            <w:tblPr>
              <w:tblStyle w:val="41"/>
              <w:tblW w:w="78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20"/>
              <w:gridCol w:w="509"/>
              <w:gridCol w:w="360"/>
              <w:gridCol w:w="308"/>
              <w:gridCol w:w="532"/>
              <w:gridCol w:w="476"/>
              <w:gridCol w:w="3124"/>
              <w:gridCol w:w="598"/>
              <w:gridCol w:w="1172"/>
              <w:gridCol w:w="548"/>
            </w:tblGrid>
            <w:tr w14:paraId="62B6AC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20" w:type="dxa"/>
                  <w:noWrap w:val="0"/>
                  <w:vAlign w:val="center"/>
                </w:tcPr>
                <w:p w14:paraId="0D9F5CEC">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序号</w:t>
                  </w:r>
                </w:p>
              </w:tc>
              <w:tc>
                <w:tcPr>
                  <w:tcW w:w="509" w:type="dxa"/>
                  <w:noWrap w:val="0"/>
                  <w:vAlign w:val="center"/>
                </w:tcPr>
                <w:p w14:paraId="482A9DA1">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环境管控单元名称</w:t>
                  </w:r>
                </w:p>
              </w:tc>
              <w:tc>
                <w:tcPr>
                  <w:tcW w:w="360" w:type="dxa"/>
                  <w:noWrap w:val="0"/>
                  <w:vAlign w:val="center"/>
                </w:tcPr>
                <w:p w14:paraId="125AD879">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市(区)</w:t>
                  </w:r>
                </w:p>
              </w:tc>
              <w:tc>
                <w:tcPr>
                  <w:tcW w:w="308" w:type="dxa"/>
                  <w:noWrap w:val="0"/>
                  <w:vAlign w:val="center"/>
                </w:tcPr>
                <w:p w14:paraId="09AC247C">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区县</w:t>
                  </w:r>
                </w:p>
              </w:tc>
              <w:tc>
                <w:tcPr>
                  <w:tcW w:w="532" w:type="dxa"/>
                  <w:noWrap w:val="0"/>
                  <w:vAlign w:val="center"/>
                </w:tcPr>
                <w:p w14:paraId="62C94BA2">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单元要素属性</w:t>
                  </w:r>
                </w:p>
              </w:tc>
              <w:tc>
                <w:tcPr>
                  <w:tcW w:w="476" w:type="dxa"/>
                  <w:noWrap w:val="0"/>
                  <w:vAlign w:val="center"/>
                </w:tcPr>
                <w:p w14:paraId="18A2A54B">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管控要求分类</w:t>
                  </w:r>
                </w:p>
              </w:tc>
              <w:tc>
                <w:tcPr>
                  <w:tcW w:w="3124" w:type="dxa"/>
                  <w:noWrap w:val="0"/>
                  <w:vAlign w:val="center"/>
                </w:tcPr>
                <w:p w14:paraId="7E2DD156">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管控要求</w:t>
                  </w:r>
                </w:p>
              </w:tc>
              <w:tc>
                <w:tcPr>
                  <w:tcW w:w="1770" w:type="dxa"/>
                  <w:gridSpan w:val="2"/>
                  <w:noWrap w:val="0"/>
                  <w:vAlign w:val="center"/>
                </w:tcPr>
                <w:p w14:paraId="35BAE73E">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本项目情况</w:t>
                  </w:r>
                </w:p>
              </w:tc>
              <w:tc>
                <w:tcPr>
                  <w:tcW w:w="548" w:type="dxa"/>
                  <w:noWrap w:val="0"/>
                  <w:vAlign w:val="center"/>
                </w:tcPr>
                <w:p w14:paraId="447DA7F1">
                  <w:pPr>
                    <w:pStyle w:val="67"/>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符合性</w:t>
                  </w:r>
                </w:p>
              </w:tc>
            </w:tr>
            <w:tr w14:paraId="606FA9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1725" w:hRule="atLeast"/>
              </w:trPr>
              <w:tc>
                <w:tcPr>
                  <w:tcW w:w="220" w:type="dxa"/>
                  <w:vMerge w:val="restart"/>
                  <w:noWrap w:val="0"/>
                  <w:vAlign w:val="center"/>
                </w:tcPr>
                <w:p w14:paraId="5E248A76">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509" w:type="dxa"/>
                  <w:vMerge w:val="restart"/>
                  <w:noWrap w:val="0"/>
                  <w:vAlign w:val="center"/>
                </w:tcPr>
                <w:p w14:paraId="6B8B6054">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陕西省咸阳市泾阳县重点管控单元11（西咸新区）</w:t>
                  </w:r>
                </w:p>
              </w:tc>
              <w:tc>
                <w:tcPr>
                  <w:tcW w:w="360" w:type="dxa"/>
                  <w:vMerge w:val="restart"/>
                  <w:noWrap w:val="0"/>
                  <w:vAlign w:val="center"/>
                </w:tcPr>
                <w:p w14:paraId="43BB6BE3">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eastAsia" w:ascii="Times New Roman" w:cs="Times New Roman"/>
                      <w:color w:val="auto"/>
                      <w:sz w:val="21"/>
                      <w:szCs w:val="21"/>
                      <w:highlight w:val="none"/>
                      <w:lang w:val="en-US" w:eastAsia="zh-CN"/>
                    </w:rPr>
                    <w:t>咸阳</w:t>
                  </w:r>
                  <w:r>
                    <w:rPr>
                      <w:rFonts w:hint="default" w:ascii="Times New Roman" w:hAnsi="Times New Roman" w:cs="Times New Roman"/>
                      <w:color w:val="auto"/>
                      <w:sz w:val="21"/>
                      <w:szCs w:val="21"/>
                      <w:highlight w:val="none"/>
                    </w:rPr>
                    <w:t>市</w:t>
                  </w:r>
                </w:p>
              </w:tc>
              <w:tc>
                <w:tcPr>
                  <w:tcW w:w="308" w:type="dxa"/>
                  <w:vMerge w:val="restart"/>
                  <w:noWrap w:val="0"/>
                  <w:vAlign w:val="center"/>
                </w:tcPr>
                <w:p w14:paraId="768AA599">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泾阳县</w:t>
                  </w:r>
                </w:p>
              </w:tc>
              <w:tc>
                <w:tcPr>
                  <w:tcW w:w="532" w:type="dxa"/>
                  <w:vMerge w:val="restart"/>
                  <w:noWrap w:val="0"/>
                  <w:vAlign w:val="center"/>
                </w:tcPr>
                <w:p w14:paraId="152BFBD6">
                  <w:pPr>
                    <w:pStyle w:val="131"/>
                    <w:keepNext w:val="0"/>
                    <w:keepLines w:val="0"/>
                    <w:suppressLineNumbers w:val="0"/>
                    <w:kinsoku w:val="0"/>
                    <w:overflowPunct w:val="0"/>
                    <w:spacing w:before="0" w:beforeLines="0" w:beforeAutospacing="0" w:after="0" w:afterLines="0" w:afterAutospacing="0"/>
                    <w:ind w:left="102" w:right="0"/>
                    <w:jc w:val="both"/>
                    <w:rPr>
                      <w:rFonts w:hint="default" w:ascii="Times New Roman" w:hAnsi="Times New Roman" w:cs="Times New Roman"/>
                      <w:color w:val="auto"/>
                      <w:sz w:val="21"/>
                      <w:szCs w:val="21"/>
                      <w:highlight w:val="none"/>
                    </w:rPr>
                  </w:pPr>
                  <w:r>
                    <w:rPr>
                      <w:rFonts w:hint="default" w:ascii="Times New Roman" w:hAnsi="Times New Roman" w:eastAsia="宋体" w:cs="Times New Roman"/>
                      <w:color w:val="auto"/>
                      <w:sz w:val="21"/>
                      <w:szCs w:val="21"/>
                      <w:highlight w:val="none"/>
                    </w:rPr>
                    <w:t>大气环境受体敏感重点管控区、水环境城镇生活污染重点管控区、高污染燃料禁燃区</w:t>
                  </w:r>
                </w:p>
              </w:tc>
              <w:tc>
                <w:tcPr>
                  <w:tcW w:w="476" w:type="dxa"/>
                  <w:noWrap w:val="0"/>
                  <w:vAlign w:val="center"/>
                </w:tcPr>
                <w:p w14:paraId="1E9CF3F7">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空间布局约束</w:t>
                  </w:r>
                </w:p>
              </w:tc>
              <w:tc>
                <w:tcPr>
                  <w:tcW w:w="3124" w:type="dxa"/>
                  <w:noWrap w:val="0"/>
                  <w:vAlign w:val="center"/>
                </w:tcPr>
                <w:p w14:paraId="5FDC0F42">
                  <w:pPr>
                    <w:pStyle w:val="67"/>
                    <w:keepNext w:val="0"/>
                    <w:keepLines w:val="0"/>
                    <w:suppressLineNumbers w:val="0"/>
                    <w:spacing w:before="0" w:beforeAutospacing="0" w:after="0" w:afterAutospacing="0"/>
                    <w:ind w:left="0" w:right="0"/>
                    <w:jc w:val="both"/>
                    <w:rPr>
                      <w:rFonts w:hint="default" w:ascii="Times New Roman" w:hAnsi="Times New Roman" w:cs="Times New Roman"/>
                      <w:color w:val="auto"/>
                      <w:spacing w:val="-6"/>
                      <w:sz w:val="21"/>
                      <w:szCs w:val="21"/>
                      <w:highlight w:val="none"/>
                    </w:rPr>
                  </w:pPr>
                  <w:r>
                    <w:rPr>
                      <w:rFonts w:hint="default" w:ascii="Times New Roman" w:hAnsi="Times New Roman" w:cs="Times New Roman"/>
                      <w:color w:val="auto"/>
                      <w:spacing w:val="-6"/>
                      <w:sz w:val="21"/>
                      <w:szCs w:val="21"/>
                      <w:highlight w:val="none"/>
                    </w:rPr>
                    <w:t>大气环境受体敏感重点管控区：1.严格控制新增《陕西省</w:t>
                  </w:r>
                  <w:r>
                    <w:rPr>
                      <w:rFonts w:hint="eastAsia" w:ascii="Times New Roman" w:cs="Times New Roman"/>
                      <w:color w:val="auto"/>
                      <w:spacing w:val="-6"/>
                      <w:sz w:val="21"/>
                      <w:szCs w:val="21"/>
                      <w:highlight w:val="none"/>
                      <w:lang w:eastAsia="zh-CN"/>
                    </w:rPr>
                    <w:t>“</w:t>
                  </w:r>
                  <w:r>
                    <w:rPr>
                      <w:rFonts w:hint="default" w:ascii="Times New Roman" w:hAnsi="Times New Roman" w:cs="Times New Roman"/>
                      <w:color w:val="auto"/>
                      <w:spacing w:val="-6"/>
                      <w:sz w:val="21"/>
                      <w:szCs w:val="21"/>
                      <w:highlight w:val="none"/>
                    </w:rPr>
                    <w:t>两高</w:t>
                  </w:r>
                  <w:r>
                    <w:rPr>
                      <w:rFonts w:hint="eastAsia" w:ascii="Times New Roman" w:cs="Times New Roman"/>
                      <w:color w:val="auto"/>
                      <w:spacing w:val="-6"/>
                      <w:sz w:val="21"/>
                      <w:szCs w:val="21"/>
                      <w:highlight w:val="none"/>
                      <w:lang w:eastAsia="zh-CN"/>
                    </w:rPr>
                    <w:t>”</w:t>
                  </w:r>
                  <w:r>
                    <w:rPr>
                      <w:rFonts w:hint="default" w:ascii="Times New Roman" w:hAnsi="Times New Roman" w:cs="Times New Roman"/>
                      <w:color w:val="auto"/>
                      <w:spacing w:val="-6"/>
                      <w:sz w:val="21"/>
                      <w:szCs w:val="21"/>
                      <w:highlight w:val="none"/>
                    </w:rPr>
                    <w:t>项目管理暂行目录》行业项目（民生等项目除外，后续对“两高”范围国家如有新规定的，从其规定）。2.推动重污染企业搬迁入园或依法关闭。</w:t>
                  </w:r>
                </w:p>
              </w:tc>
              <w:tc>
                <w:tcPr>
                  <w:tcW w:w="598" w:type="dxa"/>
                  <w:vMerge w:val="restart"/>
                  <w:noWrap w:val="0"/>
                  <w:vAlign w:val="center"/>
                </w:tcPr>
                <w:p w14:paraId="25010AE2">
                  <w:pPr>
                    <w:pStyle w:val="67"/>
                    <w:keepNext w:val="0"/>
                    <w:keepLines w:val="0"/>
                    <w:suppressLineNumbers w:val="0"/>
                    <w:spacing w:before="0" w:beforeAutospacing="0" w:after="0" w:afterAutospacing="0"/>
                    <w:ind w:left="0" w:right="0"/>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17500.25</w:t>
                  </w:r>
                  <w:r>
                    <w:rPr>
                      <w:rFonts w:hint="eastAsia" w:ascii="Times New Roman" w:cs="Times New Roman"/>
                      <w:color w:val="auto"/>
                      <w:sz w:val="21"/>
                      <w:szCs w:val="21"/>
                      <w:highlight w:val="none"/>
                      <w:lang w:val="en-US" w:eastAsia="zh-CN"/>
                    </w:rPr>
                    <w:t>m</w:t>
                  </w:r>
                  <w:r>
                    <w:rPr>
                      <w:rFonts w:hint="eastAsia" w:ascii="Times New Roman" w:cs="Times New Roman"/>
                      <w:color w:val="auto"/>
                      <w:sz w:val="21"/>
                      <w:szCs w:val="21"/>
                      <w:highlight w:val="none"/>
                      <w:vertAlign w:val="superscript"/>
                      <w:lang w:val="en-US" w:eastAsia="zh-CN"/>
                    </w:rPr>
                    <w:t>2</w:t>
                  </w:r>
                </w:p>
              </w:tc>
              <w:tc>
                <w:tcPr>
                  <w:tcW w:w="1172" w:type="dxa"/>
                  <w:shd w:val="clear"/>
                  <w:noWrap w:val="0"/>
                  <w:vAlign w:val="center"/>
                </w:tcPr>
                <w:p w14:paraId="0F3228FC">
                  <w:pPr>
                    <w:pStyle w:val="67"/>
                    <w:keepNext w:val="0"/>
                    <w:keepLines w:val="0"/>
                    <w:suppressLineNumbers w:val="0"/>
                    <w:spacing w:before="0" w:beforeAutospacing="0" w:after="0" w:afterAutospacing="0"/>
                    <w:ind w:left="0" w:leftChars="0" w:right="0" w:rightChars="0"/>
                    <w:jc w:val="both"/>
                    <w:rPr>
                      <w:rFonts w:hint="default" w:ascii="Times New Roman" w:hAnsi="Times New Roman" w:eastAsia="宋体" w:cs="Times New Roman"/>
                      <w:color w:val="FF0000"/>
                      <w:kern w:val="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本项目不属于</w:t>
                  </w:r>
                  <w:r>
                    <w:rPr>
                      <w:rFonts w:hint="default" w:ascii="Times New Roman" w:hAnsi="Times New Roman" w:cs="Times New Roman"/>
                      <w:color w:val="auto"/>
                      <w:spacing w:val="-6"/>
                      <w:sz w:val="21"/>
                      <w:szCs w:val="21"/>
                      <w:highlight w:val="none"/>
                    </w:rPr>
                    <w:t>《陕西省</w:t>
                  </w:r>
                  <w:r>
                    <w:rPr>
                      <w:rFonts w:hint="eastAsia" w:ascii="Times New Roman" w:cs="Times New Roman"/>
                      <w:color w:val="auto"/>
                      <w:spacing w:val="-6"/>
                      <w:sz w:val="21"/>
                      <w:szCs w:val="21"/>
                      <w:highlight w:val="none"/>
                      <w:lang w:eastAsia="zh-CN"/>
                    </w:rPr>
                    <w:t>“</w:t>
                  </w:r>
                  <w:r>
                    <w:rPr>
                      <w:rFonts w:hint="default" w:ascii="Times New Roman" w:hAnsi="Times New Roman" w:cs="Times New Roman"/>
                      <w:color w:val="auto"/>
                      <w:spacing w:val="-6"/>
                      <w:sz w:val="21"/>
                      <w:szCs w:val="21"/>
                      <w:highlight w:val="none"/>
                    </w:rPr>
                    <w:t>两高</w:t>
                  </w:r>
                  <w:r>
                    <w:rPr>
                      <w:rFonts w:hint="eastAsia" w:ascii="Times New Roman" w:cs="Times New Roman"/>
                      <w:color w:val="auto"/>
                      <w:spacing w:val="-6"/>
                      <w:sz w:val="21"/>
                      <w:szCs w:val="21"/>
                      <w:highlight w:val="none"/>
                      <w:lang w:eastAsia="zh-CN"/>
                    </w:rPr>
                    <w:t>”</w:t>
                  </w:r>
                  <w:r>
                    <w:rPr>
                      <w:rFonts w:hint="default" w:ascii="Times New Roman" w:hAnsi="Times New Roman" w:cs="Times New Roman"/>
                      <w:color w:val="auto"/>
                      <w:spacing w:val="-6"/>
                      <w:sz w:val="21"/>
                      <w:szCs w:val="21"/>
                      <w:highlight w:val="none"/>
                    </w:rPr>
                    <w:t>项目管理暂行目录》行业项目</w:t>
                  </w:r>
                </w:p>
              </w:tc>
              <w:tc>
                <w:tcPr>
                  <w:tcW w:w="548" w:type="dxa"/>
                  <w:noWrap w:val="0"/>
                  <w:vAlign w:val="center"/>
                </w:tcPr>
                <w:p w14:paraId="4746A67A">
                  <w:pPr>
                    <w:pStyle w:val="67"/>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符合</w:t>
                  </w:r>
                </w:p>
              </w:tc>
            </w:tr>
            <w:tr w14:paraId="6F5ADE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562" w:hRule="atLeast"/>
              </w:trPr>
              <w:tc>
                <w:tcPr>
                  <w:tcW w:w="220" w:type="dxa"/>
                  <w:vMerge w:val="continue"/>
                  <w:noWrap w:val="0"/>
                  <w:vAlign w:val="center"/>
                </w:tcPr>
                <w:p w14:paraId="1F0980F1">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509" w:type="dxa"/>
                  <w:vMerge w:val="continue"/>
                  <w:noWrap w:val="0"/>
                  <w:vAlign w:val="center"/>
                </w:tcPr>
                <w:p w14:paraId="746B2453">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360" w:type="dxa"/>
                  <w:vMerge w:val="continue"/>
                  <w:noWrap w:val="0"/>
                  <w:vAlign w:val="center"/>
                </w:tcPr>
                <w:p w14:paraId="684D5F34">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308" w:type="dxa"/>
                  <w:vMerge w:val="continue"/>
                  <w:noWrap w:val="0"/>
                  <w:vAlign w:val="center"/>
                </w:tcPr>
                <w:p w14:paraId="04055F97">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532" w:type="dxa"/>
                  <w:vMerge w:val="continue"/>
                  <w:noWrap w:val="0"/>
                  <w:vAlign w:val="center"/>
                </w:tcPr>
                <w:p w14:paraId="10A0A872">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476" w:type="dxa"/>
                  <w:noWrap w:val="0"/>
                  <w:vAlign w:val="center"/>
                </w:tcPr>
                <w:p w14:paraId="11ABD018">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污染物排放管控</w:t>
                  </w:r>
                </w:p>
              </w:tc>
              <w:tc>
                <w:tcPr>
                  <w:tcW w:w="3124" w:type="dxa"/>
                  <w:noWrap w:val="0"/>
                  <w:vAlign w:val="center"/>
                </w:tcPr>
                <w:p w14:paraId="62806BF5">
                  <w:pPr>
                    <w:pStyle w:val="67"/>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pacing w:val="-4"/>
                      <w:sz w:val="21"/>
                      <w:szCs w:val="21"/>
                      <w:highlight w:val="none"/>
                      <w:lang w:eastAsia="zh-CN"/>
                    </w:rPr>
                  </w:pPr>
                  <w:r>
                    <w:rPr>
                      <w:rFonts w:hint="eastAsia" w:ascii="Times New Roman" w:hAnsi="Times New Roman" w:eastAsia="宋体" w:cs="Times New Roman"/>
                      <w:color w:val="auto"/>
                      <w:spacing w:val="-4"/>
                      <w:sz w:val="21"/>
                      <w:szCs w:val="21"/>
                      <w:highlight w:val="none"/>
                      <w:lang w:eastAsia="zh-CN"/>
                    </w:rPr>
                    <w:t>大气环境受体敏感重点管控区：1.城市建成区产生油烟的餐饮服务单位全部安装油烟净化装置并保持正常运行和定期维护。2.持续因地制宜实施“煤改气”、“油改气”、电能、地热、生物质等清洁能源取暖措施。3. 鼓励将老旧车辆和非道路移动机械替换为清洁能源车辆。推进新能源或清洁能源汽车使用。4.位于大气污染防治重点区域的汾渭平原，特别排放限值行业（钢铁、水泥、焦化、石化、化工、有色等行业）现有企业全面执行二氧化硫、氮氧化物、颗粒物、挥发性有机物（VOCs）特别排放限值。水环境城镇生活污染重点管控区：1.加强城镇污水收集处理设施建设与提标改造。全省黄河流域城镇生活污水处理达到《陕西省黄河流域污水综合排放标准》（DB61/224-2018） 排放限值要求。2.城镇新区管网建设及老旧城区管网升级改造中实行雨污分流，鼓励推进初期雨水收集、处理和资源化利用，建设人工湿地水质净化工程，对处理达标后的尾水进一步净化。3.污水处理厂出水用于绿化、农灌等用途的，合理确定管控要求，确保达到相应污水再生利用标准。4.加强城镇污水收集处理设施建设与提标改造，推进渭河南岸西部污水处理厂建设，提升污水处理能力，因地制宜在污水处理厂出水口处建设人工水质净化工程。推进新建污水处理设施与配套管网的同步设计、同步建设、同步投运，加快污水管网建设与雨污分流改造，完成市区老旧城区管网升级改</w:t>
                  </w:r>
                </w:p>
                <w:p w14:paraId="26F173FB">
                  <w:pPr>
                    <w:pStyle w:val="67"/>
                    <w:keepNext w:val="0"/>
                    <w:keepLines w:val="0"/>
                    <w:suppressLineNumbers w:val="0"/>
                    <w:spacing w:before="0" w:beforeAutospacing="0" w:after="0" w:afterAutospacing="0"/>
                    <w:ind w:left="0" w:right="0"/>
                    <w:jc w:val="both"/>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pacing w:val="-4"/>
                      <w:sz w:val="21"/>
                      <w:szCs w:val="21"/>
                      <w:highlight w:val="none"/>
                      <w:lang w:eastAsia="zh-CN"/>
                    </w:rPr>
                    <w:t>造。</w:t>
                  </w:r>
                </w:p>
              </w:tc>
              <w:tc>
                <w:tcPr>
                  <w:tcW w:w="598" w:type="dxa"/>
                  <w:vMerge w:val="continue"/>
                  <w:tcBorders/>
                  <w:noWrap w:val="0"/>
                  <w:vAlign w:val="center"/>
                </w:tcPr>
                <w:p w14:paraId="53FC5B84">
                  <w:pPr>
                    <w:pStyle w:val="67"/>
                    <w:keepNext w:val="0"/>
                    <w:keepLines w:val="0"/>
                    <w:suppressLineNumbers w:val="0"/>
                    <w:spacing w:before="0" w:beforeAutospacing="0" w:after="0" w:afterAutospacing="0"/>
                    <w:ind w:left="0" w:right="0"/>
                    <w:jc w:val="both"/>
                    <w:rPr>
                      <w:rFonts w:hint="default" w:ascii="Times New Roman" w:hAnsi="Times New Roman" w:eastAsia="宋体" w:cs="Times New Roman"/>
                      <w:color w:val="FF0000"/>
                      <w:sz w:val="21"/>
                      <w:szCs w:val="21"/>
                      <w:highlight w:val="none"/>
                      <w:lang w:val="en-US" w:eastAsia="zh-CN"/>
                    </w:rPr>
                  </w:pPr>
                </w:p>
              </w:tc>
              <w:tc>
                <w:tcPr>
                  <w:tcW w:w="1172" w:type="dxa"/>
                  <w:shd w:val="clear"/>
                  <w:noWrap w:val="0"/>
                  <w:vAlign w:val="center"/>
                </w:tcPr>
                <w:p w14:paraId="3D61F045">
                  <w:pPr>
                    <w:pStyle w:val="67"/>
                    <w:keepNext w:val="0"/>
                    <w:keepLines w:val="0"/>
                    <w:suppressLineNumbers w:val="0"/>
                    <w:spacing w:before="0" w:beforeAutospacing="0" w:after="0" w:afterAutospacing="0"/>
                    <w:ind w:left="0" w:leftChars="0" w:right="0" w:rightChars="0"/>
                    <w:jc w:val="both"/>
                    <w:rPr>
                      <w:rFonts w:hint="default" w:ascii="Times New Roman" w:hAnsi="Times New Roman" w:eastAsia="宋体" w:cs="Times New Roman"/>
                      <w:color w:val="FF0000"/>
                      <w:kern w:val="0"/>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本项目</w:t>
                  </w:r>
                  <w:r>
                    <w:rPr>
                      <w:rFonts w:hint="eastAsia" w:ascii="Times New Roman" w:eastAsia="宋体" w:cs="Times New Roman"/>
                      <w:color w:val="000000"/>
                      <w:sz w:val="21"/>
                      <w:szCs w:val="21"/>
                      <w:highlight w:val="none"/>
                      <w:lang w:val="en-US" w:eastAsia="zh-CN"/>
                    </w:rPr>
                    <w:t>食堂要求安装油烟净化器，项目办公采暖使用电能，厂区内非移动道路机械建议采用清洁能源车辆。本项目不属于重点行业，生活污水经化粪池排入市政污水管网</w:t>
                  </w:r>
                  <w:r>
                    <w:rPr>
                      <w:rFonts w:hint="default" w:ascii="Times New Roman" w:hAnsi="Times New Roman" w:eastAsia="宋体" w:cs="Times New Roman"/>
                      <w:color w:val="000000"/>
                      <w:sz w:val="21"/>
                      <w:szCs w:val="21"/>
                      <w:highlight w:val="none"/>
                      <w:lang w:val="en-US" w:eastAsia="zh-CN"/>
                    </w:rPr>
                    <w:t>。</w:t>
                  </w:r>
                </w:p>
              </w:tc>
              <w:tc>
                <w:tcPr>
                  <w:tcW w:w="548" w:type="dxa"/>
                  <w:noWrap w:val="0"/>
                  <w:vAlign w:val="center"/>
                </w:tcPr>
                <w:p w14:paraId="6B5B8BFF">
                  <w:pPr>
                    <w:pStyle w:val="67"/>
                    <w:keepNext w:val="0"/>
                    <w:keepLines w:val="0"/>
                    <w:suppressLineNumbers w:val="0"/>
                    <w:spacing w:before="0" w:beforeAutospacing="0" w:after="0" w:afterAutospacing="0"/>
                    <w:ind w:left="0" w:right="0"/>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符合</w:t>
                  </w:r>
                </w:p>
              </w:tc>
            </w:tr>
            <w:tr w14:paraId="3F7C81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20" w:type="dxa"/>
                  <w:vMerge w:val="continue"/>
                  <w:noWrap w:val="0"/>
                  <w:vAlign w:val="center"/>
                </w:tcPr>
                <w:p w14:paraId="3E529F05">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509" w:type="dxa"/>
                  <w:vMerge w:val="continue"/>
                  <w:noWrap w:val="0"/>
                  <w:vAlign w:val="center"/>
                </w:tcPr>
                <w:p w14:paraId="7D6D76C7">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360" w:type="dxa"/>
                  <w:vMerge w:val="continue"/>
                  <w:noWrap w:val="0"/>
                  <w:vAlign w:val="center"/>
                </w:tcPr>
                <w:p w14:paraId="0F40C8AD">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308" w:type="dxa"/>
                  <w:vMerge w:val="continue"/>
                  <w:noWrap w:val="0"/>
                  <w:vAlign w:val="center"/>
                </w:tcPr>
                <w:p w14:paraId="025322D1">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532" w:type="dxa"/>
                  <w:vMerge w:val="continue"/>
                  <w:noWrap w:val="0"/>
                  <w:vAlign w:val="center"/>
                </w:tcPr>
                <w:p w14:paraId="405C7B75">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476" w:type="dxa"/>
                  <w:noWrap w:val="0"/>
                  <w:vAlign w:val="center"/>
                </w:tcPr>
                <w:p w14:paraId="794A628C">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环境风险防控</w:t>
                  </w:r>
                </w:p>
              </w:tc>
              <w:tc>
                <w:tcPr>
                  <w:tcW w:w="3124" w:type="dxa"/>
                  <w:noWrap w:val="0"/>
                  <w:vAlign w:val="center"/>
                </w:tcPr>
                <w:p w14:paraId="68E6EA72">
                  <w:pPr>
                    <w:pStyle w:val="67"/>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eastAsia="宋体" w:cs="Times New Roman"/>
                      <w:color w:val="auto"/>
                      <w:spacing w:val="-2"/>
                      <w:sz w:val="21"/>
                      <w:szCs w:val="21"/>
                      <w:highlight w:val="none"/>
                      <w:lang w:val="en-US" w:eastAsia="zh-CN"/>
                    </w:rPr>
                    <w:t>/</w:t>
                  </w:r>
                </w:p>
              </w:tc>
              <w:tc>
                <w:tcPr>
                  <w:tcW w:w="598" w:type="dxa"/>
                  <w:vMerge w:val="continue"/>
                  <w:tcBorders/>
                  <w:noWrap w:val="0"/>
                  <w:vAlign w:val="center"/>
                </w:tcPr>
                <w:p w14:paraId="4AAB46CF">
                  <w:pPr>
                    <w:pStyle w:val="67"/>
                    <w:keepNext w:val="0"/>
                    <w:keepLines w:val="0"/>
                    <w:suppressLineNumbers w:val="0"/>
                    <w:spacing w:before="0" w:beforeAutospacing="0" w:after="0" w:afterAutospacing="0"/>
                    <w:ind w:left="0" w:right="0"/>
                    <w:jc w:val="center"/>
                    <w:rPr>
                      <w:rFonts w:hint="default" w:ascii="Times New Roman" w:hAnsi="Times New Roman" w:eastAsia="宋体" w:cs="Times New Roman"/>
                      <w:color w:val="FF0000"/>
                      <w:sz w:val="21"/>
                      <w:szCs w:val="21"/>
                      <w:highlight w:val="none"/>
                      <w:lang w:val="en-US" w:eastAsia="zh-CN"/>
                    </w:rPr>
                  </w:pPr>
                </w:p>
              </w:tc>
              <w:tc>
                <w:tcPr>
                  <w:tcW w:w="1172" w:type="dxa"/>
                  <w:noWrap w:val="0"/>
                  <w:vAlign w:val="center"/>
                </w:tcPr>
                <w:p w14:paraId="254D4688">
                  <w:pPr>
                    <w:pStyle w:val="67"/>
                    <w:keepNext w:val="0"/>
                    <w:keepLines w:val="0"/>
                    <w:suppressLineNumbers w:val="0"/>
                    <w:spacing w:before="0" w:beforeAutospacing="0" w:after="0" w:afterAutospacing="0"/>
                    <w:ind w:left="0" w:right="0"/>
                    <w:jc w:val="center"/>
                    <w:rPr>
                      <w:rFonts w:hint="eastAsia" w:ascii="Times New Roman" w:eastAsia="宋体" w:cs="Times New Roman"/>
                      <w:color w:val="auto"/>
                      <w:spacing w:val="-2"/>
                      <w:sz w:val="21"/>
                      <w:szCs w:val="21"/>
                      <w:highlight w:val="none"/>
                      <w:lang w:val="en-US" w:eastAsia="zh-CN"/>
                    </w:rPr>
                  </w:pPr>
                  <w:r>
                    <w:rPr>
                      <w:rFonts w:hint="eastAsia" w:ascii="Times New Roman" w:eastAsia="宋体" w:cs="Times New Roman"/>
                      <w:color w:val="auto"/>
                      <w:spacing w:val="-2"/>
                      <w:sz w:val="21"/>
                      <w:szCs w:val="21"/>
                      <w:highlight w:val="none"/>
                      <w:lang w:val="en-US" w:eastAsia="zh-CN"/>
                    </w:rPr>
                    <w:t>/</w:t>
                  </w:r>
                </w:p>
              </w:tc>
              <w:tc>
                <w:tcPr>
                  <w:tcW w:w="548" w:type="dxa"/>
                  <w:noWrap w:val="0"/>
                  <w:vAlign w:val="center"/>
                </w:tcPr>
                <w:p w14:paraId="064BFD42">
                  <w:pPr>
                    <w:pStyle w:val="67"/>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ascii="Times New Roman" w:eastAsia="宋体" w:cs="Times New Roman"/>
                      <w:color w:val="auto"/>
                      <w:spacing w:val="-2"/>
                      <w:sz w:val="21"/>
                      <w:szCs w:val="21"/>
                      <w:highlight w:val="none"/>
                      <w:lang w:val="en-US" w:eastAsia="zh-CN"/>
                    </w:rPr>
                    <w:t>/</w:t>
                  </w:r>
                </w:p>
              </w:tc>
            </w:tr>
            <w:tr w14:paraId="193154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c>
                <w:tcPr>
                  <w:tcW w:w="220" w:type="dxa"/>
                  <w:vMerge w:val="continue"/>
                  <w:noWrap w:val="0"/>
                  <w:vAlign w:val="center"/>
                </w:tcPr>
                <w:p w14:paraId="09AB6FD1">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509" w:type="dxa"/>
                  <w:vMerge w:val="continue"/>
                  <w:noWrap w:val="0"/>
                  <w:vAlign w:val="center"/>
                </w:tcPr>
                <w:p w14:paraId="5641AA16">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360" w:type="dxa"/>
                  <w:vMerge w:val="continue"/>
                  <w:noWrap w:val="0"/>
                  <w:vAlign w:val="center"/>
                </w:tcPr>
                <w:p w14:paraId="1C46723E">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308" w:type="dxa"/>
                  <w:vMerge w:val="continue"/>
                  <w:noWrap w:val="0"/>
                  <w:vAlign w:val="center"/>
                </w:tcPr>
                <w:p w14:paraId="2360F624">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532" w:type="dxa"/>
                  <w:vMerge w:val="continue"/>
                  <w:noWrap w:val="0"/>
                  <w:vAlign w:val="center"/>
                </w:tcPr>
                <w:p w14:paraId="5A913EF7">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p>
              </w:tc>
              <w:tc>
                <w:tcPr>
                  <w:tcW w:w="476" w:type="dxa"/>
                  <w:noWrap w:val="0"/>
                  <w:vAlign w:val="center"/>
                </w:tcPr>
                <w:p w14:paraId="6D973218">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资源开发效率要求</w:t>
                  </w:r>
                </w:p>
              </w:tc>
              <w:tc>
                <w:tcPr>
                  <w:tcW w:w="3124" w:type="dxa"/>
                  <w:noWrap w:val="0"/>
                  <w:vAlign w:val="center"/>
                </w:tcPr>
                <w:p w14:paraId="1BB1E44A">
                  <w:pPr>
                    <w:pStyle w:val="67"/>
                    <w:keepNext w:val="0"/>
                    <w:keepLines w:val="0"/>
                    <w:suppressLineNumbers w:val="0"/>
                    <w:spacing w:before="0" w:beforeAutospacing="0" w:after="0" w:afterAutospacing="0"/>
                    <w:ind w:left="0" w:right="0"/>
                    <w:jc w:val="both"/>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高污染燃料禁燃区：严格禁燃区管控。市区和南六县市全域及北五县市城镇周边划定为高污染燃料禁燃区，禁止销售、使用煤炭及其制品等高污染燃料（35 蒸吨及以上燃煤锅炉、火力发电企业、机组及水泥、砖瓦等原料煤使用企业除外）；各县市区全面退出禁燃区内洁净煤加工中心及配送网点，对配送网点及群众存量煤炭全部有偿回收。北五县市非禁燃区内可采用洁净煤或“生物质成型燃料+专用炉具”兜底。加强对直送、网络等方式销售散煤的监管，严厉打击违法销售行为，同时倒查上游企业责任，从源头杜绝散煤销售。</w:t>
                  </w:r>
                </w:p>
              </w:tc>
              <w:tc>
                <w:tcPr>
                  <w:tcW w:w="598" w:type="dxa"/>
                  <w:vMerge w:val="continue"/>
                  <w:tcBorders/>
                  <w:noWrap w:val="0"/>
                  <w:vAlign w:val="center"/>
                </w:tcPr>
                <w:p w14:paraId="6A1D0D48">
                  <w:pPr>
                    <w:pStyle w:val="67"/>
                    <w:keepNext w:val="0"/>
                    <w:keepLines w:val="0"/>
                    <w:suppressLineNumbers w:val="0"/>
                    <w:spacing w:before="0" w:beforeAutospacing="0" w:after="0" w:afterAutospacing="0"/>
                    <w:ind w:left="0" w:right="0"/>
                    <w:jc w:val="both"/>
                    <w:rPr>
                      <w:rFonts w:hint="default" w:ascii="Times New Roman" w:hAnsi="Times New Roman" w:eastAsia="宋体" w:cs="Times New Roman"/>
                      <w:color w:val="000000"/>
                      <w:sz w:val="21"/>
                      <w:szCs w:val="21"/>
                      <w:highlight w:val="none"/>
                      <w:lang w:val="en-US" w:eastAsia="zh-CN"/>
                    </w:rPr>
                  </w:pPr>
                </w:p>
              </w:tc>
              <w:tc>
                <w:tcPr>
                  <w:tcW w:w="1172" w:type="dxa"/>
                  <w:noWrap w:val="0"/>
                  <w:vAlign w:val="center"/>
                </w:tcPr>
                <w:p w14:paraId="7D8A23BE">
                  <w:pPr>
                    <w:pStyle w:val="67"/>
                    <w:keepNext w:val="0"/>
                    <w:keepLines w:val="0"/>
                    <w:suppressLineNumbers w:val="0"/>
                    <w:spacing w:before="0" w:beforeAutospacing="0" w:after="0" w:afterAutospacing="0"/>
                    <w:ind w:left="0" w:right="0"/>
                    <w:jc w:val="both"/>
                    <w:rPr>
                      <w:rFonts w:hint="default" w:ascii="Times New Roman" w:hAnsi="Times New Roman" w:cs="Times New Roman"/>
                      <w:color w:val="000000"/>
                      <w:sz w:val="21"/>
                      <w:szCs w:val="21"/>
                      <w:highlight w:val="none"/>
                      <w:lang w:val="en-US" w:eastAsia="zh-CN"/>
                    </w:rPr>
                  </w:pPr>
                  <w:r>
                    <w:rPr>
                      <w:rFonts w:hint="default" w:ascii="Times New Roman" w:hAnsi="Times New Roman" w:cs="Times New Roman"/>
                      <w:color w:val="000000"/>
                      <w:sz w:val="21"/>
                      <w:szCs w:val="21"/>
                      <w:highlight w:val="none"/>
                      <w:lang w:val="en-US" w:eastAsia="zh-CN"/>
                    </w:rPr>
                    <w:t>本</w:t>
                  </w:r>
                  <w:r>
                    <w:rPr>
                      <w:rFonts w:hint="eastAsia" w:ascii="Times New Roman" w:cs="Times New Roman"/>
                      <w:color w:val="000000"/>
                      <w:sz w:val="21"/>
                      <w:szCs w:val="21"/>
                      <w:highlight w:val="none"/>
                      <w:lang w:val="en-US" w:eastAsia="zh-CN"/>
                    </w:rPr>
                    <w:t>项目使用天然气燃料，不使用煤</w:t>
                  </w:r>
                  <w:r>
                    <w:rPr>
                      <w:rFonts w:hint="eastAsia" w:ascii="Times New Roman" w:hAnsi="Times New Roman" w:eastAsia="宋体" w:cs="Times New Roman"/>
                      <w:color w:val="000000"/>
                      <w:sz w:val="21"/>
                      <w:szCs w:val="21"/>
                      <w:highlight w:val="none"/>
                      <w:lang w:val="en-US" w:eastAsia="zh-CN"/>
                    </w:rPr>
                    <w:t>。</w:t>
                  </w:r>
                </w:p>
              </w:tc>
              <w:tc>
                <w:tcPr>
                  <w:tcW w:w="548" w:type="dxa"/>
                  <w:noWrap w:val="0"/>
                  <w:vAlign w:val="center"/>
                </w:tcPr>
                <w:p w14:paraId="421810FF">
                  <w:pPr>
                    <w:pStyle w:val="67"/>
                    <w:keepNext w:val="0"/>
                    <w:keepLines w:val="0"/>
                    <w:suppressLineNumbers w:val="0"/>
                    <w:spacing w:before="0" w:beforeAutospacing="0" w:after="0" w:afterAutospacing="0"/>
                    <w:ind w:left="0" w:right="0"/>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符合</w:t>
                  </w:r>
                </w:p>
              </w:tc>
            </w:tr>
          </w:tbl>
          <w:p w14:paraId="249349A7">
            <w:pPr>
              <w:pStyle w:val="177"/>
              <w:keepLines w:val="0"/>
              <w:widowControl/>
              <w:suppressLineNumbers w:val="0"/>
              <w:spacing w:before="0" w:beforeAutospacing="0" w:after="0" w:afterAutospacing="0"/>
              <w:ind w:left="0" w:right="0" w:firstLine="480"/>
              <w:rPr>
                <w:rFonts w:hint="default" w:ascii="Times New Roman" w:hAnsi="Times New Roman" w:cs="Times New Roman"/>
                <w:color w:val="auto"/>
                <w:highlight w:val="none"/>
              </w:rPr>
            </w:pPr>
            <w:bookmarkStart w:id="2" w:name="_Toc5626"/>
            <w:r>
              <w:rPr>
                <w:rFonts w:hint="default" w:ascii="Times New Roman" w:hAnsi="Times New Roman" w:eastAsia="宋体" w:cs="Times New Roman"/>
                <w:color w:val="auto"/>
                <w:sz w:val="24"/>
                <w:szCs w:val="24"/>
                <w:highlight w:val="none"/>
              </w:rPr>
              <w:t>（3）“一说明”：指的是依据“一图”和“一表”结果，论证规划或建设项目符合性的说明。</w:t>
            </w:r>
          </w:p>
          <w:p w14:paraId="26EB1788">
            <w:pPr>
              <w:pStyle w:val="177"/>
              <w:keepLines w:val="0"/>
              <w:widowControl/>
              <w:suppressLineNumbers w:val="0"/>
              <w:spacing w:before="0" w:beforeAutospacing="0" w:after="0" w:afterAutospacing="0"/>
              <w:ind w:left="0" w:right="0" w:firstLine="480"/>
              <w:rPr>
                <w:rFonts w:hint="default" w:ascii="Times New Roman" w:hAnsi="Times New Roman" w:cs="Times New Roman"/>
                <w:color w:val="auto"/>
                <w:highlight w:val="none"/>
              </w:rPr>
            </w:pPr>
            <w:r>
              <w:rPr>
                <w:rFonts w:hint="default" w:ascii="Times New Roman" w:hAnsi="Times New Roman" w:eastAsia="宋体" w:cs="Times New Roman"/>
                <w:color w:val="auto"/>
                <w:sz w:val="24"/>
                <w:szCs w:val="24"/>
                <w:highlight w:val="none"/>
              </w:rPr>
              <w:t>根据一图一表分析</w:t>
            </w:r>
            <w:r>
              <w:rPr>
                <w:rFonts w:hint="default" w:ascii="Times New Roman" w:hAnsi="Times New Roman" w:eastAsia="宋体" w:cs="Times New Roman"/>
                <w:color w:val="000000"/>
                <w:sz w:val="24"/>
                <w:szCs w:val="24"/>
                <w:highlight w:val="none"/>
              </w:rPr>
              <w:t>可知，本项目均位于陕西省咸阳市泾阳县重点管控单元11（西咸新区），项目建</w:t>
            </w:r>
            <w:r>
              <w:rPr>
                <w:rFonts w:hint="default" w:ascii="Times New Roman" w:hAnsi="Times New Roman" w:eastAsia="宋体" w:cs="Times New Roman"/>
                <w:color w:val="auto"/>
                <w:sz w:val="24"/>
                <w:szCs w:val="24"/>
                <w:highlight w:val="none"/>
              </w:rPr>
              <w:t>设满足管控单元在空间布局约束、污染物排放管控、资源开发效率等管控维度的要求</w:t>
            </w:r>
            <w:r>
              <w:rPr>
                <w:rFonts w:hint="default" w:ascii="Times New Roman" w:hAnsi="Times New Roman" w:eastAsia="宋体"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项目建设符合“三线一单”相关要求。</w:t>
            </w:r>
          </w:p>
          <w:bookmarkEnd w:id="2"/>
          <w:p w14:paraId="70EDFEA8">
            <w:pPr>
              <w:keepNext w:val="0"/>
              <w:keepLines w:val="0"/>
              <w:suppressLineNumbers w:val="0"/>
              <w:bidi w:val="0"/>
              <w:spacing w:before="0" w:beforeAutospacing="0" w:after="0" w:afterAutospacing="0" w:line="360" w:lineRule="auto"/>
              <w:ind w:left="0" w:leftChars="0" w:right="0" w:firstLine="480" w:firstLineChars="200"/>
              <w:jc w:val="center"/>
              <w:rPr>
                <w:rFonts w:hint="default" w:eastAsia="宋体"/>
                <w:color w:val="000000" w:themeColor="text1"/>
                <w:kern w:val="0"/>
                <w:sz w:val="24"/>
                <w:szCs w:val="24"/>
                <w:highlight w:val="green"/>
                <w:lang w:val="en-US" w:eastAsia="zh-CN"/>
                <w14:textFill>
                  <w14:solidFill>
                    <w14:schemeClr w14:val="tx1"/>
                  </w14:solidFill>
                </w14:textFill>
              </w:rPr>
            </w:pPr>
          </w:p>
        </w:tc>
      </w:tr>
    </w:tbl>
    <w:p w14:paraId="05110F17">
      <w:pPr>
        <w:spacing w:line="360" w:lineRule="auto"/>
        <w:ind w:firstLine="480" w:firstLineChars="200"/>
        <w:rPr>
          <w:rFonts w:hint="default" w:ascii="Times New Roman" w:hAnsi="Times New Roman" w:eastAsia="宋体" w:cs="Times New Roman"/>
          <w:color w:val="000000"/>
          <w:sz w:val="24"/>
          <w:highlight w:val="green"/>
        </w:rPr>
        <w:sectPr>
          <w:footerReference r:id="rId3" w:type="default"/>
          <w:pgSz w:w="11906" w:h="16838"/>
          <w:pgMar w:top="1701" w:right="1531" w:bottom="1701" w:left="1531" w:header="851" w:footer="1077" w:gutter="0"/>
          <w:pgBorders>
            <w:top w:val="none" w:sz="0" w:space="0"/>
            <w:left w:val="none" w:sz="0" w:space="0"/>
            <w:bottom w:val="none" w:sz="0" w:space="0"/>
            <w:right w:val="none" w:sz="0" w:space="0"/>
          </w:pgBorders>
          <w:pgNumType w:fmt="decimal" w:start="1"/>
          <w:cols w:space="720" w:num="1"/>
          <w:docGrid w:linePitch="312" w:charSpace="0"/>
        </w:sectPr>
      </w:pPr>
    </w:p>
    <w:tbl>
      <w:tblPr>
        <w:tblStyle w:val="41"/>
        <w:tblW w:w="887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0"/>
        <w:gridCol w:w="8350"/>
      </w:tblGrid>
      <w:tr w14:paraId="2FA667A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520" w:type="dxa"/>
            <w:noWrap w:val="0"/>
            <w:vAlign w:val="center"/>
          </w:tcPr>
          <w:p w14:paraId="2957638F">
            <w:pPr>
              <w:keepNext w:val="0"/>
              <w:keepLines w:val="0"/>
              <w:suppressLineNumbers w:val="0"/>
              <w:autoSpaceDE w:val="0"/>
              <w:autoSpaceDN w:val="0"/>
              <w:adjustRightInd w:val="0"/>
              <w:snapToGrid w:val="0"/>
              <w:spacing w:before="0" w:beforeAutospacing="0" w:after="0" w:afterAutospacing="0"/>
              <w:ind w:left="0" w:right="0"/>
              <w:jc w:val="center"/>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其他符合性分析</w:t>
            </w:r>
          </w:p>
        </w:tc>
        <w:tc>
          <w:tcPr>
            <w:tcW w:w="8350" w:type="dxa"/>
            <w:noWrap w:val="0"/>
            <w:vAlign w:val="center"/>
          </w:tcPr>
          <w:p w14:paraId="7611DC6C">
            <w:pPr>
              <w:keepNext w:val="0"/>
              <w:keepLines w:val="0"/>
              <w:suppressLineNumbers w:val="0"/>
              <w:adjustRightInd w:val="0"/>
              <w:snapToGrid w:val="0"/>
              <w:spacing w:before="0" w:beforeAutospacing="0" w:after="0" w:afterAutospacing="0" w:line="480" w:lineRule="exact"/>
              <w:ind w:left="0" w:right="0" w:firstLine="482" w:firstLineChars="200"/>
              <w:jc w:val="left"/>
              <w:rPr>
                <w:rFonts w:hint="default"/>
                <w:b/>
                <w:bCs/>
                <w:color w:val="000000" w:themeColor="text1"/>
                <w:sz w:val="24"/>
                <w:szCs w:val="24"/>
                <w:highlight w:val="none"/>
                <w14:textFill>
                  <w14:solidFill>
                    <w14:schemeClr w14:val="tx1"/>
                  </w14:solidFill>
                </w14:textFill>
              </w:rPr>
            </w:pPr>
            <w:r>
              <w:rPr>
                <w:rFonts w:hint="eastAsia" w:cs="宋体"/>
                <w:b/>
                <w:bCs/>
                <w:color w:val="000000" w:themeColor="text1"/>
                <w:sz w:val="24"/>
                <w:szCs w:val="24"/>
                <w:highlight w:val="none"/>
                <w14:textFill>
                  <w14:solidFill>
                    <w14:schemeClr w14:val="tx1"/>
                  </w14:solidFill>
                </w14:textFill>
              </w:rPr>
              <w:t>（</w:t>
            </w:r>
            <w:r>
              <w:rPr>
                <w:rFonts w:hint="default"/>
                <w:b/>
                <w:bCs/>
                <w:color w:val="000000" w:themeColor="text1"/>
                <w:sz w:val="24"/>
                <w:szCs w:val="24"/>
                <w:highlight w:val="none"/>
                <w14:textFill>
                  <w14:solidFill>
                    <w14:schemeClr w14:val="tx1"/>
                  </w14:solidFill>
                </w14:textFill>
              </w:rPr>
              <w:t>4</w:t>
            </w:r>
            <w:r>
              <w:rPr>
                <w:rFonts w:hint="eastAsia" w:cs="宋体"/>
                <w:b/>
                <w:bCs/>
                <w:color w:val="000000" w:themeColor="text1"/>
                <w:sz w:val="24"/>
                <w:szCs w:val="24"/>
                <w:highlight w:val="none"/>
                <w14:textFill>
                  <w14:solidFill>
                    <w14:schemeClr w14:val="tx1"/>
                  </w14:solidFill>
                </w14:textFill>
              </w:rPr>
              <w:t>）与相关管理政策相符性分析</w:t>
            </w:r>
          </w:p>
          <w:p w14:paraId="071A1E76">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s="宋体"/>
                <w:color w:val="000000" w:themeColor="text1"/>
                <w:kern w:val="0"/>
                <w:sz w:val="24"/>
                <w:szCs w:val="24"/>
                <w:highlight w:val="none"/>
                <w:u w:color="000000"/>
                <w14:textFill>
                  <w14:solidFill>
                    <w14:schemeClr w14:val="tx1"/>
                  </w14:solidFill>
                </w14:textFill>
              </w:rPr>
            </w:pPr>
            <w:r>
              <w:rPr>
                <w:rFonts w:hint="eastAsia" w:cs="宋体"/>
                <w:color w:val="000000" w:themeColor="text1"/>
                <w:kern w:val="0"/>
                <w:sz w:val="24"/>
                <w:szCs w:val="24"/>
                <w:highlight w:val="none"/>
                <w:u w:color="000000"/>
                <w14:textFill>
                  <w14:solidFill>
                    <w14:schemeClr w14:val="tx1"/>
                  </w14:solidFill>
                </w14:textFill>
              </w:rPr>
              <w:t>本项目与相关政策相符性分析见下表。</w:t>
            </w:r>
          </w:p>
          <w:p w14:paraId="55543FE9">
            <w:pPr>
              <w:keepNext w:val="0"/>
              <w:keepLines w:val="0"/>
              <w:suppressLineNumbers w:val="0"/>
              <w:adjustRightInd w:val="0"/>
              <w:snapToGrid w:val="0"/>
              <w:spacing w:before="0" w:beforeAutospacing="0" w:after="0" w:afterAutospacing="0" w:line="480" w:lineRule="exact"/>
              <w:ind w:left="0" w:right="0"/>
              <w:jc w:val="center"/>
              <w:rPr>
                <w:rFonts w:hint="default"/>
                <w:b/>
                <w:bCs/>
                <w:color w:val="000000" w:themeColor="text1"/>
                <w:kern w:val="0"/>
                <w:sz w:val="22"/>
                <w:szCs w:val="22"/>
                <w:highlight w:val="none"/>
                <w14:textFill>
                  <w14:solidFill>
                    <w14:schemeClr w14:val="tx1"/>
                  </w14:solidFill>
                </w14:textFill>
              </w:rPr>
            </w:pPr>
            <w:r>
              <w:rPr>
                <w:rFonts w:hint="eastAsia" w:cs="宋体"/>
                <w:b/>
                <w:bCs/>
                <w:color w:val="000000" w:themeColor="text1"/>
                <w:kern w:val="0"/>
                <w:sz w:val="22"/>
                <w:szCs w:val="22"/>
                <w:highlight w:val="none"/>
                <w14:textFill>
                  <w14:solidFill>
                    <w14:schemeClr w14:val="tx1"/>
                  </w14:solidFill>
                </w14:textFill>
              </w:rPr>
              <w:t>表</w:t>
            </w:r>
            <w:r>
              <w:rPr>
                <w:rFonts w:hint="default"/>
                <w:b/>
                <w:bCs/>
                <w:color w:val="000000" w:themeColor="text1"/>
                <w:kern w:val="0"/>
                <w:sz w:val="22"/>
                <w:szCs w:val="22"/>
                <w:highlight w:val="none"/>
                <w14:textFill>
                  <w14:solidFill>
                    <w14:schemeClr w14:val="tx1"/>
                  </w14:solidFill>
                </w14:textFill>
              </w:rPr>
              <w:t>1-</w:t>
            </w:r>
            <w:r>
              <w:rPr>
                <w:rFonts w:hint="eastAsia"/>
                <w:b/>
                <w:bCs/>
                <w:color w:val="000000" w:themeColor="text1"/>
                <w:kern w:val="0"/>
                <w:sz w:val="22"/>
                <w:szCs w:val="22"/>
                <w:highlight w:val="none"/>
                <w:lang w:val="en-US" w:eastAsia="zh-CN"/>
                <w14:textFill>
                  <w14:solidFill>
                    <w14:schemeClr w14:val="tx1"/>
                  </w14:solidFill>
                </w14:textFill>
              </w:rPr>
              <w:t>4</w:t>
            </w:r>
            <w:r>
              <w:rPr>
                <w:rFonts w:hint="default"/>
                <w:b/>
                <w:bCs/>
                <w:color w:val="000000" w:themeColor="text1"/>
                <w:kern w:val="0"/>
                <w:sz w:val="22"/>
                <w:szCs w:val="22"/>
                <w:highlight w:val="none"/>
                <w14:textFill>
                  <w14:solidFill>
                    <w14:schemeClr w14:val="tx1"/>
                  </w14:solidFill>
                </w14:textFill>
              </w:rPr>
              <w:t xml:space="preserve">  </w:t>
            </w:r>
            <w:r>
              <w:rPr>
                <w:rFonts w:hint="eastAsia"/>
                <w:b/>
                <w:bCs/>
                <w:color w:val="000000" w:themeColor="text1"/>
                <w:kern w:val="0"/>
                <w:sz w:val="22"/>
                <w:szCs w:val="22"/>
                <w:highlight w:val="none"/>
                <w:lang w:eastAsia="zh-CN"/>
                <w14:textFill>
                  <w14:solidFill>
                    <w14:schemeClr w14:val="tx1"/>
                  </w14:solidFill>
                </w14:textFill>
              </w:rPr>
              <w:t>相关</w:t>
            </w:r>
            <w:r>
              <w:rPr>
                <w:rFonts w:hint="eastAsia" w:cs="宋体"/>
                <w:b/>
                <w:bCs/>
                <w:color w:val="000000" w:themeColor="text1"/>
                <w:kern w:val="0"/>
                <w:sz w:val="22"/>
                <w:szCs w:val="22"/>
                <w:highlight w:val="none"/>
                <w14:textFill>
                  <w14:solidFill>
                    <w14:schemeClr w14:val="tx1"/>
                  </w14:solidFill>
                </w14:textFill>
              </w:rPr>
              <w:t>政策相符性分析</w:t>
            </w:r>
          </w:p>
          <w:tbl>
            <w:tblPr>
              <w:tblStyle w:val="41"/>
              <w:tblW w:w="8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41"/>
              <w:gridCol w:w="3942"/>
              <w:gridCol w:w="2380"/>
              <w:gridCol w:w="455"/>
            </w:tblGrid>
            <w:tr w14:paraId="16F7F9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tcBorders>
                    <w:tl2br w:val="nil"/>
                    <w:tr2bl w:val="nil"/>
                  </w:tcBorders>
                  <w:vAlign w:val="center"/>
                </w:tcPr>
                <w:p w14:paraId="18C95F01">
                  <w:pPr>
                    <w:keepNext w:val="0"/>
                    <w:keepLines w:val="0"/>
                    <w:suppressLineNumbers w:val="0"/>
                    <w:spacing w:before="0" w:beforeAutospacing="0" w:after="0" w:afterAutospacing="0"/>
                    <w:ind w:left="0" w:right="0"/>
                    <w:jc w:val="center"/>
                    <w:rPr>
                      <w:rFonts w:hint="default"/>
                      <w:b/>
                      <w:bCs/>
                      <w:color w:val="000000" w:themeColor="text1"/>
                      <w:highlight w:val="none"/>
                      <w14:textFill>
                        <w14:solidFill>
                          <w14:schemeClr w14:val="tx1"/>
                        </w14:solidFill>
                      </w14:textFill>
                    </w:rPr>
                  </w:pPr>
                  <w:r>
                    <w:rPr>
                      <w:rFonts w:hint="default"/>
                      <w:b/>
                      <w:bCs/>
                      <w:color w:val="000000" w:themeColor="text1"/>
                      <w:highlight w:val="none"/>
                      <w14:textFill>
                        <w14:solidFill>
                          <w14:schemeClr w14:val="tx1"/>
                        </w14:solidFill>
                      </w14:textFill>
                    </w:rPr>
                    <w:t>名称</w:t>
                  </w:r>
                </w:p>
              </w:tc>
              <w:tc>
                <w:tcPr>
                  <w:tcW w:w="3942" w:type="dxa"/>
                  <w:tcBorders>
                    <w:tl2br w:val="nil"/>
                    <w:tr2bl w:val="nil"/>
                  </w:tcBorders>
                  <w:vAlign w:val="center"/>
                </w:tcPr>
                <w:p w14:paraId="2A22650C">
                  <w:pPr>
                    <w:keepNext w:val="0"/>
                    <w:keepLines w:val="0"/>
                    <w:suppressLineNumbers w:val="0"/>
                    <w:spacing w:before="0" w:beforeAutospacing="0" w:after="0" w:afterAutospacing="0"/>
                    <w:ind w:left="0" w:right="0"/>
                    <w:jc w:val="center"/>
                    <w:rPr>
                      <w:rFonts w:hint="default"/>
                      <w:b/>
                      <w:bCs/>
                      <w:color w:val="000000" w:themeColor="text1"/>
                      <w:highlight w:val="none"/>
                      <w14:textFill>
                        <w14:solidFill>
                          <w14:schemeClr w14:val="tx1"/>
                        </w14:solidFill>
                      </w14:textFill>
                    </w:rPr>
                  </w:pPr>
                  <w:r>
                    <w:rPr>
                      <w:rFonts w:hint="default"/>
                      <w:b/>
                      <w:bCs/>
                      <w:color w:val="000000" w:themeColor="text1"/>
                      <w:highlight w:val="none"/>
                      <w14:textFill>
                        <w14:solidFill>
                          <w14:schemeClr w14:val="tx1"/>
                        </w14:solidFill>
                      </w14:textFill>
                    </w:rPr>
                    <w:t>规划内容</w:t>
                  </w:r>
                </w:p>
              </w:tc>
              <w:tc>
                <w:tcPr>
                  <w:tcW w:w="2380" w:type="dxa"/>
                  <w:tcBorders>
                    <w:tl2br w:val="nil"/>
                    <w:tr2bl w:val="nil"/>
                  </w:tcBorders>
                  <w:vAlign w:val="center"/>
                </w:tcPr>
                <w:p w14:paraId="313EEA90">
                  <w:pPr>
                    <w:keepNext w:val="0"/>
                    <w:keepLines w:val="0"/>
                    <w:suppressLineNumbers w:val="0"/>
                    <w:spacing w:before="0" w:beforeAutospacing="0" w:after="0" w:afterAutospacing="0"/>
                    <w:ind w:left="0" w:right="0"/>
                    <w:jc w:val="center"/>
                    <w:rPr>
                      <w:rFonts w:hint="default"/>
                      <w:b/>
                      <w:bCs/>
                      <w:color w:val="000000" w:themeColor="text1"/>
                      <w:highlight w:val="none"/>
                      <w14:textFill>
                        <w14:solidFill>
                          <w14:schemeClr w14:val="tx1"/>
                        </w14:solidFill>
                      </w14:textFill>
                    </w:rPr>
                  </w:pPr>
                  <w:r>
                    <w:rPr>
                      <w:rFonts w:hint="default"/>
                      <w:b/>
                      <w:bCs/>
                      <w:color w:val="000000" w:themeColor="text1"/>
                      <w:highlight w:val="none"/>
                      <w14:textFill>
                        <w14:solidFill>
                          <w14:schemeClr w14:val="tx1"/>
                        </w14:solidFill>
                      </w14:textFill>
                    </w:rPr>
                    <w:t>本项目情况</w:t>
                  </w:r>
                </w:p>
              </w:tc>
              <w:tc>
                <w:tcPr>
                  <w:tcW w:w="455" w:type="dxa"/>
                  <w:tcBorders>
                    <w:tl2br w:val="nil"/>
                    <w:tr2bl w:val="nil"/>
                  </w:tcBorders>
                  <w:vAlign w:val="center"/>
                </w:tcPr>
                <w:p w14:paraId="060B485C">
                  <w:pPr>
                    <w:keepNext w:val="0"/>
                    <w:keepLines w:val="0"/>
                    <w:suppressLineNumbers w:val="0"/>
                    <w:spacing w:before="0" w:beforeAutospacing="0" w:after="0" w:afterAutospacing="0"/>
                    <w:ind w:left="0" w:right="0"/>
                    <w:rPr>
                      <w:rFonts w:hint="default"/>
                      <w:b/>
                      <w:bCs/>
                      <w:color w:val="000000" w:themeColor="text1"/>
                      <w:highlight w:val="none"/>
                      <w14:textFill>
                        <w14:solidFill>
                          <w14:schemeClr w14:val="tx1"/>
                        </w14:solidFill>
                      </w14:textFill>
                    </w:rPr>
                  </w:pPr>
                  <w:r>
                    <w:rPr>
                      <w:rFonts w:hint="default"/>
                      <w:b/>
                      <w:bCs/>
                      <w:color w:val="000000" w:themeColor="text1"/>
                      <w:highlight w:val="none"/>
                      <w14:textFill>
                        <w14:solidFill>
                          <w14:schemeClr w14:val="tx1"/>
                        </w14:solidFill>
                      </w14:textFill>
                    </w:rPr>
                    <w:t>符合性</w:t>
                  </w:r>
                </w:p>
              </w:tc>
            </w:tr>
            <w:tr w14:paraId="7B9862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restart"/>
                  <w:tcBorders>
                    <w:tl2br w:val="nil"/>
                    <w:tr2bl w:val="nil"/>
                  </w:tcBorders>
                  <w:vAlign w:val="center"/>
                </w:tcPr>
                <w:p w14:paraId="130720A3">
                  <w:pPr>
                    <w:keepNext w:val="0"/>
                    <w:keepLines w:val="0"/>
                    <w:suppressLineNumbers w:val="0"/>
                    <w:spacing w:before="0" w:beforeAutospacing="0" w:after="0" w:afterAutospacing="0"/>
                    <w:ind w:left="0" w:right="0"/>
                    <w:jc w:val="center"/>
                    <w:rPr>
                      <w:rFonts w:hint="default"/>
                      <w:color w:val="000000" w:themeColor="text1"/>
                      <w:highlight w:val="none"/>
                      <w14:textFill>
                        <w14:solidFill>
                          <w14:schemeClr w14:val="tx1"/>
                        </w14:solidFill>
                      </w14:textFill>
                    </w:rPr>
                  </w:pPr>
                  <w:r>
                    <w:rPr>
                      <w:rFonts w:hint="default" w:ascii="Times New Roman" w:hAnsi="Times New Roman" w:eastAsia="宋体" w:cs="Times New Roman"/>
                      <w:color w:val="000000"/>
                      <w:szCs w:val="21"/>
                      <w:highlight w:val="none"/>
                    </w:rPr>
                    <w:t>《陕西省大气污染防治条例》（20</w:t>
                  </w:r>
                  <w:r>
                    <w:rPr>
                      <w:rFonts w:hint="default" w:ascii="Times New Roman" w:hAnsi="Times New Roman" w:eastAsia="宋体" w:cs="Times New Roman"/>
                      <w:color w:val="000000"/>
                      <w:szCs w:val="21"/>
                      <w:highlight w:val="none"/>
                      <w:lang w:val="en-US" w:eastAsia="zh-CN"/>
                    </w:rPr>
                    <w:t>23</w:t>
                  </w:r>
                  <w:r>
                    <w:rPr>
                      <w:rFonts w:hint="default" w:ascii="Times New Roman" w:hAnsi="Times New Roman" w:eastAsia="宋体" w:cs="Times New Roman"/>
                      <w:color w:val="000000"/>
                      <w:szCs w:val="21"/>
                      <w:highlight w:val="none"/>
                    </w:rPr>
                    <w:t>修正版）</w:t>
                  </w:r>
                </w:p>
              </w:tc>
              <w:tc>
                <w:tcPr>
                  <w:tcW w:w="3942" w:type="dxa"/>
                  <w:tcBorders>
                    <w:tl2br w:val="nil"/>
                    <w:tr2bl w:val="nil"/>
                  </w:tcBorders>
                  <w:vAlign w:val="center"/>
                </w:tcPr>
                <w:p w14:paraId="44B0E3E2">
                  <w:pPr>
                    <w:keepNext w:val="0"/>
                    <w:keepLines w:val="0"/>
                    <w:suppressLineNumbers w:val="0"/>
                    <w:spacing w:before="0" w:beforeAutospacing="0" w:after="0" w:afterAutospacing="0"/>
                    <w:ind w:left="0" w:right="0"/>
                    <w:rPr>
                      <w:rFonts w:hint="default"/>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第十二条 新建、扩建、改建的建设项目，应当依法进行环境影响评价。</w:t>
                  </w:r>
                </w:p>
              </w:tc>
              <w:tc>
                <w:tcPr>
                  <w:tcW w:w="2380" w:type="dxa"/>
                  <w:tcBorders>
                    <w:tl2br w:val="nil"/>
                    <w:tr2bl w:val="nil"/>
                  </w:tcBorders>
                  <w:vAlign w:val="center"/>
                </w:tcPr>
                <w:p w14:paraId="24C31073">
                  <w:pPr>
                    <w:keepNext w:val="0"/>
                    <w:keepLines w:val="0"/>
                    <w:suppressLineNumbers w:val="0"/>
                    <w:spacing w:before="0" w:beforeAutospacing="0" w:after="0" w:afterAutospacing="0"/>
                    <w:ind w:left="0" w:right="0"/>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本项目属于新建项目，本项目正在进行环境影响评价。</w:t>
                  </w:r>
                </w:p>
              </w:tc>
              <w:tc>
                <w:tcPr>
                  <w:tcW w:w="455" w:type="dxa"/>
                  <w:tcBorders>
                    <w:tl2br w:val="nil"/>
                    <w:tr2bl w:val="nil"/>
                  </w:tcBorders>
                  <w:vAlign w:val="center"/>
                </w:tcPr>
                <w:p w14:paraId="3320699B">
                  <w:pPr>
                    <w:keepNext w:val="0"/>
                    <w:keepLines w:val="0"/>
                    <w:suppressLineNumbers w:val="0"/>
                    <w:spacing w:before="0" w:beforeAutospacing="0" w:after="0" w:afterAutospacing="0"/>
                    <w:ind w:left="0" w:right="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61821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15BDC9A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green"/>
                    </w:rPr>
                  </w:pPr>
                </w:p>
              </w:tc>
              <w:tc>
                <w:tcPr>
                  <w:tcW w:w="3942" w:type="dxa"/>
                  <w:tcBorders>
                    <w:tl2br w:val="nil"/>
                    <w:tr2bl w:val="nil"/>
                  </w:tcBorders>
                  <w:vAlign w:val="center"/>
                </w:tcPr>
                <w:p w14:paraId="57DB2A09">
                  <w:pPr>
                    <w:keepNext w:val="0"/>
                    <w:keepLines w:val="0"/>
                    <w:suppressLineNumbers w:val="0"/>
                    <w:spacing w:before="0" w:beforeAutospacing="0" w:after="0" w:afterAutospacing="0"/>
                    <w:ind w:left="0" w:right="0"/>
                    <w:rPr>
                      <w:rFonts w:hint="eastAsia"/>
                      <w:color w:val="000000" w:themeColor="text1"/>
                      <w:highlight w:val="none"/>
                      <w14:textFill>
                        <w14:solidFill>
                          <w14:schemeClr w14:val="tx1"/>
                        </w14:solidFill>
                      </w14:textFill>
                    </w:rPr>
                  </w:pPr>
                  <w:r>
                    <w:rPr>
                      <w:rFonts w:hint="eastAsia"/>
                      <w:color w:val="000000" w:themeColor="text1"/>
                      <w:highlight w:val="none"/>
                      <w14:textFill>
                        <w14:solidFill>
                          <w14:schemeClr w14:val="tx1"/>
                        </w14:solidFill>
                      </w14:textFill>
                    </w:rPr>
                    <w:t>第十六条 向大气排放工业废气、含有毒有害物质的大气污染物的企业事业单位，集中供热设施的运营单位，以及其他依照法律规定实行排污许可管理的单位，应当依法向设区的市级以上生态环境行政主管部门申请排污许可证。</w:t>
                  </w:r>
                </w:p>
              </w:tc>
              <w:tc>
                <w:tcPr>
                  <w:tcW w:w="2380" w:type="dxa"/>
                  <w:tcBorders>
                    <w:tl2br w:val="nil"/>
                    <w:tr2bl w:val="nil"/>
                  </w:tcBorders>
                  <w:vAlign w:val="center"/>
                </w:tcPr>
                <w:p w14:paraId="0A65E194">
                  <w:pPr>
                    <w:keepNext w:val="0"/>
                    <w:keepLines w:val="0"/>
                    <w:suppressLineNumbers w:val="0"/>
                    <w:spacing w:before="0" w:beforeAutospacing="0" w:after="0" w:afterAutospacing="0"/>
                    <w:ind w:left="0" w:right="0"/>
                    <w:rPr>
                      <w:rFonts w:hint="default"/>
                      <w:color w:val="000000" w:themeColor="text1"/>
                      <w:highlight w:val="none"/>
                      <w14:textFill>
                        <w14:solidFill>
                          <w14:schemeClr w14:val="tx1"/>
                        </w14:solidFill>
                      </w14:textFill>
                    </w:rPr>
                  </w:pPr>
                  <w:r>
                    <w:rPr>
                      <w:rFonts w:hint="default" w:ascii="Times New Roman" w:hAnsi="Times New Roman" w:eastAsia="宋体" w:cs="Times New Roman"/>
                      <w:color w:val="000000"/>
                      <w:szCs w:val="21"/>
                      <w:highlight w:val="none"/>
                    </w:rPr>
                    <w:t>本项目建成后应按照根据《排污单位自行监测技术指南  总则》（HJ 819-2017）、《固定污染源排污许可分类管理名录（2019年版）》等相关规定填报排污许可。</w:t>
                  </w:r>
                </w:p>
              </w:tc>
              <w:tc>
                <w:tcPr>
                  <w:tcW w:w="455" w:type="dxa"/>
                  <w:tcBorders>
                    <w:tl2br w:val="nil"/>
                    <w:tr2bl w:val="nil"/>
                  </w:tcBorders>
                  <w:vAlign w:val="center"/>
                </w:tcPr>
                <w:p w14:paraId="2D0359BC">
                  <w:pPr>
                    <w:keepNext w:val="0"/>
                    <w:keepLines w:val="0"/>
                    <w:suppressLineNumbers w:val="0"/>
                    <w:spacing w:before="0" w:beforeAutospacing="0" w:after="0" w:afterAutospacing="0"/>
                    <w:ind w:left="0" w:right="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6E2A8A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587543D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green"/>
                    </w:rPr>
                  </w:pPr>
                </w:p>
              </w:tc>
              <w:tc>
                <w:tcPr>
                  <w:tcW w:w="3942" w:type="dxa"/>
                  <w:tcBorders>
                    <w:tl2br w:val="nil"/>
                    <w:tr2bl w:val="nil"/>
                  </w:tcBorders>
                  <w:shd w:val="clear" w:color="auto" w:fill="auto"/>
                  <w:vAlign w:val="center"/>
                </w:tcPr>
                <w:p w14:paraId="2D30ED35">
                  <w:pPr>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highlight w:val="none"/>
                      <w14:textFill>
                        <w14:solidFill>
                          <w14:schemeClr w14:val="tx1"/>
                        </w14:solidFill>
                      </w14:textFill>
                    </w:rPr>
                    <w:t>第五十八条 运输煤炭、水泥、石灰、石膏、垃圾、渣土、砂石、土方、灰浆等散装、流体物料的车辆应当采取密闭或者其他措施防止物料遗撒造成扬尘污染，并按照规定路线行驶。</w:t>
                  </w:r>
                </w:p>
              </w:tc>
              <w:tc>
                <w:tcPr>
                  <w:tcW w:w="2380" w:type="dxa"/>
                  <w:tcBorders>
                    <w:tl2br w:val="nil"/>
                    <w:tr2bl w:val="nil"/>
                  </w:tcBorders>
                  <w:shd w:val="clear" w:color="auto" w:fill="auto"/>
                  <w:vAlign w:val="center"/>
                </w:tcPr>
                <w:p w14:paraId="1C53BEB7">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本项目原料运输过程中车辆使用篷布遮盖，</w:t>
                  </w:r>
                  <w:r>
                    <w:rPr>
                      <w:rFonts w:hint="eastAsia"/>
                      <w:color w:val="000000" w:themeColor="text1"/>
                      <w:highlight w:val="none"/>
                      <w14:textFill>
                        <w14:solidFill>
                          <w14:schemeClr w14:val="tx1"/>
                        </w14:solidFill>
                      </w14:textFill>
                    </w:rPr>
                    <w:t>并按照规定路线行驶。</w:t>
                  </w:r>
                </w:p>
              </w:tc>
              <w:tc>
                <w:tcPr>
                  <w:tcW w:w="455" w:type="dxa"/>
                  <w:tcBorders>
                    <w:tl2br w:val="nil"/>
                    <w:tr2bl w:val="nil"/>
                  </w:tcBorders>
                  <w:shd w:val="clear" w:color="auto" w:fill="auto"/>
                  <w:vAlign w:val="center"/>
                </w:tcPr>
                <w:p w14:paraId="6A2A4D9E">
                  <w:pPr>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符合</w:t>
                  </w:r>
                </w:p>
              </w:tc>
            </w:tr>
            <w:tr w14:paraId="3DA39E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restart"/>
                  <w:tcBorders>
                    <w:tl2br w:val="nil"/>
                    <w:tr2bl w:val="nil"/>
                  </w:tcBorders>
                  <w:vAlign w:val="center"/>
                </w:tcPr>
                <w:p w14:paraId="7A03A04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rPr>
                  </w:pPr>
                  <w:r>
                    <w:rPr>
                      <w:rFonts w:hint="default" w:ascii="Times New Roman" w:hAnsi="Times New Roman" w:eastAsia="宋体" w:cs="Times New Roman"/>
                      <w:color w:val="000000"/>
                      <w:szCs w:val="21"/>
                      <w:highlight w:val="none"/>
                      <w:lang w:eastAsia="zh-CN"/>
                    </w:rPr>
                    <w:t>《陕西省人民政府办公厅关于印发“十四五”生态环境保护规划的通知》（陕政办发〔2021〕25号）</w:t>
                  </w:r>
                </w:p>
              </w:tc>
              <w:tc>
                <w:tcPr>
                  <w:tcW w:w="3942" w:type="dxa"/>
                  <w:tcBorders>
                    <w:tl2br w:val="nil"/>
                    <w:tr2bl w:val="nil"/>
                  </w:tcBorders>
                  <w:shd w:val="clear" w:color="auto" w:fill="auto"/>
                  <w:vAlign w:val="center"/>
                </w:tcPr>
                <w:p w14:paraId="3FF4EC5E">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促进产业结构转型升级。严格能耗、环保、质量、安全、技术等综合标准，以钢铁、煤炭、水泥、电解铝、平板玻璃等行业为重点，依法依规淘汰落后产能。</w:t>
                  </w:r>
                </w:p>
              </w:tc>
              <w:tc>
                <w:tcPr>
                  <w:tcW w:w="2380" w:type="dxa"/>
                  <w:tcBorders>
                    <w:tl2br w:val="nil"/>
                    <w:tr2bl w:val="nil"/>
                  </w:tcBorders>
                  <w:vAlign w:val="center"/>
                </w:tcPr>
                <w:p w14:paraId="60BEEBE7">
                  <w:pPr>
                    <w:keepNext w:val="0"/>
                    <w:keepLines w:val="0"/>
                    <w:suppressLineNumbers w:val="0"/>
                    <w:spacing w:before="0" w:beforeAutospacing="0" w:after="0" w:afterAutospacing="0"/>
                    <w:ind w:left="0" w:right="0"/>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本项目不属于</w:t>
                  </w:r>
                  <w:r>
                    <w:rPr>
                      <w:rFonts w:hint="default" w:ascii="Times New Roman" w:hAnsi="Times New Roman" w:eastAsia="宋体" w:cs="Times New Roman"/>
                      <w:color w:val="000000"/>
                      <w:kern w:val="2"/>
                      <w:sz w:val="21"/>
                      <w:szCs w:val="21"/>
                      <w:highlight w:val="none"/>
                      <w:lang w:val="en-US" w:eastAsia="zh-CN" w:bidi="ar-SA"/>
                    </w:rPr>
                    <w:t>钢铁、煤炭、水泥、电解铝、平板玻璃等行业</w:t>
                  </w:r>
                  <w:r>
                    <w:rPr>
                      <w:rFonts w:hint="eastAsia" w:ascii="Times New Roman" w:hAnsi="Times New Roman" w:eastAsia="宋体" w:cs="Times New Roman"/>
                      <w:color w:val="000000"/>
                      <w:kern w:val="2"/>
                      <w:sz w:val="21"/>
                      <w:szCs w:val="21"/>
                      <w:highlight w:val="none"/>
                      <w:lang w:val="en-US" w:eastAsia="zh-CN" w:bidi="ar-SA"/>
                    </w:rPr>
                    <w:t>，不属于淘汰落后产能。</w:t>
                  </w:r>
                </w:p>
              </w:tc>
              <w:tc>
                <w:tcPr>
                  <w:tcW w:w="455" w:type="dxa"/>
                  <w:tcBorders>
                    <w:tl2br w:val="nil"/>
                    <w:tr2bl w:val="nil"/>
                  </w:tcBorders>
                  <w:vAlign w:val="center"/>
                </w:tcPr>
                <w:p w14:paraId="08011A75">
                  <w:pPr>
                    <w:keepNext w:val="0"/>
                    <w:keepLines w:val="0"/>
                    <w:suppressLineNumbers w:val="0"/>
                    <w:spacing w:before="0" w:beforeAutospacing="0" w:after="0" w:afterAutospacing="0"/>
                    <w:ind w:left="0" w:right="0"/>
                    <w:rPr>
                      <w:rFonts w:hint="eastAsia"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13942C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15DE38A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szCs w:val="21"/>
                      <w:highlight w:val="none"/>
                      <w:lang w:eastAsia="zh-CN"/>
                    </w:rPr>
                  </w:pPr>
                </w:p>
              </w:tc>
              <w:tc>
                <w:tcPr>
                  <w:tcW w:w="3942" w:type="dxa"/>
                  <w:tcBorders>
                    <w:tl2br w:val="nil"/>
                    <w:tr2bl w:val="nil"/>
                  </w:tcBorders>
                  <w:shd w:val="clear" w:color="auto" w:fill="auto"/>
                  <w:vAlign w:val="center"/>
                </w:tcPr>
                <w:p w14:paraId="4AD72F3E">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加强扬尘精细化管控。建立扬尘污染源清单，实现扬尘污染 源动态管理，构建“过程全覆盖、管理全方位、责任全链条”的 扬尘防治体系。</w:t>
                  </w:r>
                </w:p>
              </w:tc>
              <w:tc>
                <w:tcPr>
                  <w:tcW w:w="2380" w:type="dxa"/>
                  <w:tcBorders>
                    <w:tl2br w:val="nil"/>
                    <w:tr2bl w:val="nil"/>
                  </w:tcBorders>
                  <w:shd w:val="clear" w:color="auto" w:fill="auto"/>
                  <w:vAlign w:val="center"/>
                </w:tcPr>
                <w:p w14:paraId="1AC81884">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eastAsia="宋体" w:cs="Times New Roman"/>
                      <w:color w:val="000000"/>
                      <w:kern w:val="2"/>
                      <w:sz w:val="21"/>
                      <w:szCs w:val="21"/>
                      <w:highlight w:val="none"/>
                      <w:lang w:val="en-US" w:eastAsia="zh-CN" w:bidi="ar-SA"/>
                    </w:rPr>
                    <w:t>骨料上料粉尘</w:t>
                  </w:r>
                  <w:r>
                    <w:rPr>
                      <w:rFonts w:hint="eastAsia" w:cs="Times New Roman"/>
                      <w:color w:val="000000"/>
                      <w:kern w:val="2"/>
                      <w:sz w:val="21"/>
                      <w:szCs w:val="21"/>
                      <w:highlight w:val="none"/>
                      <w:lang w:val="en-US" w:eastAsia="zh-CN" w:bidi="ar-SA"/>
                    </w:rPr>
                    <w:t>、</w:t>
                  </w:r>
                  <w:r>
                    <w:rPr>
                      <w:rFonts w:hint="eastAsia" w:ascii="Times New Roman" w:hAnsi="Times New Roman" w:eastAsia="宋体" w:cs="Times New Roman"/>
                      <w:color w:val="000000"/>
                      <w:kern w:val="2"/>
                      <w:sz w:val="21"/>
                      <w:szCs w:val="21"/>
                      <w:highlight w:val="none"/>
                      <w:lang w:val="en-US" w:eastAsia="zh-CN" w:bidi="ar-SA"/>
                    </w:rPr>
                    <w:t>生料加热粉尘经</w:t>
                  </w:r>
                  <w:r>
                    <w:rPr>
                      <w:rFonts w:hint="eastAsia" w:cs="Times New Roman"/>
                      <w:color w:val="000000"/>
                      <w:kern w:val="2"/>
                      <w:sz w:val="21"/>
                      <w:szCs w:val="21"/>
                      <w:highlight w:val="none"/>
                      <w:lang w:val="en-US" w:eastAsia="zh-CN" w:bidi="ar-SA"/>
                    </w:rPr>
                    <w:t>旋风+</w:t>
                  </w:r>
                  <w:r>
                    <w:rPr>
                      <w:rFonts w:hint="eastAsia" w:ascii="Times New Roman" w:hAnsi="Times New Roman" w:eastAsia="宋体" w:cs="Times New Roman"/>
                      <w:color w:val="000000"/>
                      <w:kern w:val="2"/>
                      <w:sz w:val="21"/>
                      <w:szCs w:val="21"/>
                      <w:highlight w:val="none"/>
                      <w:lang w:val="en-US" w:eastAsia="zh-CN" w:bidi="ar-SA"/>
                    </w:rPr>
                    <w:t>布袋除尘器处理后通过25m高排气筒排放。沥青储罐大小呼吸废气、再生骨料加热废气、沥青烟气经集气后引至喷淋+电捕焦油器+活性炭吸附处理后通过25m高排气筒排放。原料库全封闭，顶部安装喷淋装置，定期洒水抑尘。</w:t>
                  </w:r>
                </w:p>
              </w:tc>
              <w:tc>
                <w:tcPr>
                  <w:tcW w:w="455" w:type="dxa"/>
                  <w:tcBorders>
                    <w:tl2br w:val="nil"/>
                    <w:tr2bl w:val="nil"/>
                  </w:tcBorders>
                  <w:shd w:val="clear" w:color="auto" w:fill="auto"/>
                  <w:vAlign w:val="center"/>
                </w:tcPr>
                <w:p w14:paraId="2D44CF12">
                  <w:pPr>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331B09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restart"/>
                  <w:tcBorders>
                    <w:tl2br w:val="nil"/>
                    <w:tr2bl w:val="nil"/>
                  </w:tcBorders>
                  <w:vAlign w:val="center"/>
                </w:tcPr>
                <w:p w14:paraId="7EC2E993">
                  <w:pPr>
                    <w:keepNext w:val="0"/>
                    <w:keepLines w:val="0"/>
                    <w:suppressLineNumbers w:val="0"/>
                    <w:spacing w:before="0" w:beforeAutospacing="0" w:after="0" w:afterAutospacing="0"/>
                    <w:ind w:left="0" w:right="0"/>
                    <w:rPr>
                      <w:rFonts w:hint="default"/>
                      <w:color w:val="000000" w:themeColor="text1"/>
                      <w:highlight w:val="none"/>
                      <w14:textFill>
                        <w14:solidFill>
                          <w14:schemeClr w14:val="tx1"/>
                        </w14:solidFill>
                      </w14:textFill>
                    </w:rPr>
                  </w:pPr>
                  <w:r>
                    <w:rPr>
                      <w:rFonts w:hint="default" w:ascii="Times New Roman" w:hAnsi="Times New Roman" w:eastAsia="宋体" w:cs="Times New Roman"/>
                      <w:color w:val="000000"/>
                      <w:szCs w:val="21"/>
                      <w:highlight w:val="none"/>
                    </w:rPr>
                    <w:t>《关于印发陕西省大气污染物治理专项行动方案（2023-2027年）的通知》（陕发〔2023〕4号）</w:t>
                  </w:r>
                </w:p>
              </w:tc>
              <w:tc>
                <w:tcPr>
                  <w:tcW w:w="3942" w:type="dxa"/>
                  <w:tcBorders>
                    <w:tl2br w:val="nil"/>
                    <w:tr2bl w:val="nil"/>
                  </w:tcBorders>
                  <w:shd w:val="clear" w:color="auto" w:fill="auto"/>
                  <w:vAlign w:val="center"/>
                </w:tcPr>
                <w:p w14:paraId="3A1D61AB">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pacing w:val="10"/>
                      <w:highlight w:val="none"/>
                    </w:rPr>
                    <w:t>产业发展结构调整。关中地区严禁新增钢铁、焦化、</w:t>
                  </w:r>
                  <w:r>
                    <w:rPr>
                      <w:rFonts w:hint="default" w:ascii="Times New Roman" w:hAnsi="Times New Roman" w:eastAsia="宋体" w:cs="Times New Roman"/>
                      <w:color w:val="000000"/>
                      <w:spacing w:val="8"/>
                      <w:highlight w:val="none"/>
                    </w:rPr>
                    <w:t>水泥熟料、平板玻璃、电解铝、氧化铝、煤化工产能</w:t>
                  </w:r>
                  <w:r>
                    <w:rPr>
                      <w:rFonts w:hint="default" w:ascii="Times New Roman" w:hAnsi="Times New Roman" w:eastAsia="宋体" w:cs="Times New Roman"/>
                      <w:color w:val="000000"/>
                      <w:spacing w:val="7"/>
                      <w:highlight w:val="none"/>
                    </w:rPr>
                    <w:t>，合理控制煤制油气产能规模，严控新增炼油产能。</w:t>
                  </w:r>
                </w:p>
              </w:tc>
              <w:tc>
                <w:tcPr>
                  <w:tcW w:w="2380" w:type="dxa"/>
                  <w:tcBorders>
                    <w:tl2br w:val="nil"/>
                    <w:tr2bl w:val="nil"/>
                  </w:tcBorders>
                  <w:vAlign w:val="center"/>
                </w:tcPr>
                <w:p w14:paraId="69D19A8B">
                  <w:pPr>
                    <w:keepNext w:val="0"/>
                    <w:keepLines w:val="0"/>
                    <w:suppressLineNumbers w:val="0"/>
                    <w:spacing w:before="0" w:beforeAutospacing="0" w:after="0" w:afterAutospacing="0"/>
                    <w:ind w:left="0" w:right="0"/>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本项目不属于</w:t>
                  </w:r>
                  <w:r>
                    <w:rPr>
                      <w:rFonts w:hint="default" w:ascii="Times New Roman" w:hAnsi="Times New Roman" w:eastAsia="宋体" w:cs="Times New Roman"/>
                      <w:color w:val="000000"/>
                      <w:spacing w:val="10"/>
                      <w:highlight w:val="none"/>
                    </w:rPr>
                    <w:t>钢铁、焦化、</w:t>
                  </w:r>
                  <w:r>
                    <w:rPr>
                      <w:rFonts w:hint="default" w:ascii="Times New Roman" w:hAnsi="Times New Roman" w:eastAsia="宋体" w:cs="Times New Roman"/>
                      <w:color w:val="000000"/>
                      <w:spacing w:val="8"/>
                      <w:highlight w:val="none"/>
                    </w:rPr>
                    <w:t>水泥熟料、平板玻璃、电解铝、氧化铝、煤化工</w:t>
                  </w:r>
                  <w:r>
                    <w:rPr>
                      <w:rFonts w:hint="eastAsia" w:ascii="Times New Roman" w:hAnsi="Times New Roman" w:eastAsia="宋体" w:cs="Times New Roman"/>
                      <w:color w:val="000000"/>
                      <w:spacing w:val="8"/>
                      <w:highlight w:val="none"/>
                      <w:lang w:eastAsia="zh-CN"/>
                    </w:rPr>
                    <w:t>等项目。</w:t>
                  </w:r>
                </w:p>
              </w:tc>
              <w:tc>
                <w:tcPr>
                  <w:tcW w:w="455" w:type="dxa"/>
                  <w:tcBorders>
                    <w:tl2br w:val="nil"/>
                    <w:tr2bl w:val="nil"/>
                  </w:tcBorders>
                  <w:vAlign w:val="center"/>
                </w:tcPr>
                <w:p w14:paraId="515EE935">
                  <w:pPr>
                    <w:keepNext w:val="0"/>
                    <w:keepLines w:val="0"/>
                    <w:suppressLineNumbers w:val="0"/>
                    <w:spacing w:before="0" w:beforeAutospacing="0" w:after="0" w:afterAutospacing="0"/>
                    <w:ind w:left="0" w:right="0"/>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1F101E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268E1244">
                  <w:pPr>
                    <w:keepNext w:val="0"/>
                    <w:keepLines w:val="0"/>
                    <w:suppressLineNumbers w:val="0"/>
                    <w:spacing w:before="0" w:beforeAutospacing="0" w:after="0" w:afterAutospacing="0"/>
                    <w:ind w:left="0" w:right="0"/>
                    <w:rPr>
                      <w:rFonts w:hint="default"/>
                      <w:color w:val="000000" w:themeColor="text1"/>
                      <w:highlight w:val="green"/>
                      <w14:textFill>
                        <w14:solidFill>
                          <w14:schemeClr w14:val="tx1"/>
                        </w14:solidFill>
                      </w14:textFill>
                    </w:rPr>
                  </w:pPr>
                </w:p>
              </w:tc>
              <w:tc>
                <w:tcPr>
                  <w:tcW w:w="3942" w:type="dxa"/>
                  <w:tcBorders>
                    <w:tl2br w:val="nil"/>
                    <w:tr2bl w:val="nil"/>
                  </w:tcBorders>
                  <w:shd w:val="clear" w:color="auto" w:fill="auto"/>
                  <w:vAlign w:val="center"/>
                </w:tcPr>
                <w:p w14:paraId="5812D978">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000000"/>
                      <w:spacing w:val="10"/>
                      <w:kern w:val="2"/>
                      <w:sz w:val="21"/>
                      <w:szCs w:val="21"/>
                      <w:highlight w:val="none"/>
                      <w:lang w:val="en-US" w:eastAsia="zh-CN" w:bidi="ar-SA"/>
                    </w:rPr>
                  </w:pPr>
                  <w:r>
                    <w:rPr>
                      <w:rFonts w:hint="default" w:ascii="Times New Roman" w:hAnsi="Times New Roman" w:eastAsia="宋体" w:cs="Times New Roman"/>
                      <w:color w:val="000000"/>
                      <w:spacing w:val="10"/>
                      <w:highlight w:val="none"/>
                    </w:rPr>
                    <w:t xml:space="preserve">关中地区市辖区及开发区范围内新、改、扩建涉气重点行业企业应达到环保绩效A级、绩效引领性水平，西安市、 咸阳市、渭南市的其他区域应达到环保绩效B 级及以上水平。 </w:t>
                  </w:r>
                </w:p>
              </w:tc>
              <w:tc>
                <w:tcPr>
                  <w:tcW w:w="2380" w:type="dxa"/>
                  <w:tcBorders>
                    <w:tl2br w:val="nil"/>
                    <w:tr2bl w:val="nil"/>
                  </w:tcBorders>
                  <w:vAlign w:val="center"/>
                </w:tcPr>
                <w:p w14:paraId="5C0DB6E7">
                  <w:pPr>
                    <w:keepNext w:val="0"/>
                    <w:keepLines w:val="0"/>
                    <w:suppressLineNumbers w:val="0"/>
                    <w:spacing w:before="0" w:beforeAutospacing="0" w:after="0" w:afterAutospacing="0"/>
                    <w:ind w:left="0" w:right="0"/>
                    <w:rPr>
                      <w:rFonts w:hint="eastAsia" w:eastAsia="宋体"/>
                      <w:color w:val="000000" w:themeColor="text1"/>
                      <w:highlight w:val="none"/>
                      <w:lang w:eastAsia="zh-CN"/>
                      <w14:textFill>
                        <w14:solidFill>
                          <w14:schemeClr w14:val="tx1"/>
                        </w14:solidFill>
                      </w14:textFill>
                    </w:rPr>
                  </w:pPr>
                  <w:r>
                    <w:rPr>
                      <w:rFonts w:hint="eastAsia"/>
                      <w:color w:val="000000" w:themeColor="text1"/>
                      <w:highlight w:val="none"/>
                      <w:lang w:eastAsia="zh-CN"/>
                      <w14:textFill>
                        <w14:solidFill>
                          <w14:schemeClr w14:val="tx1"/>
                        </w14:solidFill>
                      </w14:textFill>
                    </w:rPr>
                    <w:t>本项目不属于</w:t>
                  </w:r>
                  <w:r>
                    <w:rPr>
                      <w:rFonts w:hint="default" w:ascii="Times New Roman" w:hAnsi="Times New Roman" w:eastAsia="宋体" w:cs="Times New Roman"/>
                      <w:color w:val="000000"/>
                      <w:spacing w:val="10"/>
                      <w:highlight w:val="none"/>
                    </w:rPr>
                    <w:t>涉气重点行业企业</w:t>
                  </w:r>
                  <w:r>
                    <w:rPr>
                      <w:rFonts w:hint="eastAsia" w:ascii="Times New Roman" w:hAnsi="Times New Roman" w:eastAsia="宋体" w:cs="Times New Roman"/>
                      <w:color w:val="000000"/>
                      <w:spacing w:val="10"/>
                      <w:highlight w:val="none"/>
                      <w:lang w:eastAsia="zh-CN"/>
                    </w:rPr>
                    <w:t>。</w:t>
                  </w:r>
                </w:p>
              </w:tc>
              <w:tc>
                <w:tcPr>
                  <w:tcW w:w="455" w:type="dxa"/>
                  <w:tcBorders>
                    <w:tl2br w:val="nil"/>
                    <w:tr2bl w:val="nil"/>
                  </w:tcBorders>
                  <w:vAlign w:val="center"/>
                </w:tcPr>
                <w:p w14:paraId="745DC7EA">
                  <w:pPr>
                    <w:keepNext w:val="0"/>
                    <w:keepLines w:val="0"/>
                    <w:suppressLineNumbers w:val="0"/>
                    <w:spacing w:before="0" w:beforeAutospacing="0" w:after="0" w:afterAutospacing="0"/>
                    <w:ind w:left="0" w:right="0"/>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06A40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restart"/>
                  <w:tcBorders>
                    <w:tl2br w:val="nil"/>
                    <w:tr2bl w:val="nil"/>
                  </w:tcBorders>
                  <w:vAlign w:val="center"/>
                </w:tcPr>
                <w:p w14:paraId="415F0409">
                  <w:pPr>
                    <w:keepNext w:val="0"/>
                    <w:keepLines w:val="0"/>
                    <w:suppressLineNumbers w:val="0"/>
                    <w:spacing w:before="0" w:beforeAutospacing="0" w:after="0" w:afterAutospacing="0"/>
                    <w:ind w:left="0" w:right="0"/>
                    <w:rPr>
                      <w:rFonts w:hint="default"/>
                      <w:color w:val="000000" w:themeColor="text1"/>
                      <w:highlight w:val="none"/>
                      <w14:textFill>
                        <w14:solidFill>
                          <w14:schemeClr w14:val="tx1"/>
                        </w14:solidFill>
                      </w14:textFill>
                    </w:rPr>
                  </w:pPr>
                  <w:r>
                    <w:rPr>
                      <w:rFonts w:hint="default" w:ascii="Times New Roman" w:hAnsi="Times New Roman" w:eastAsia="宋体" w:cs="Times New Roman"/>
                      <w:color w:val="000000"/>
                      <w:sz w:val="21"/>
                      <w:szCs w:val="21"/>
                      <w:highlight w:val="none"/>
                      <w:vertAlign w:val="baseline"/>
                      <w:lang w:val="en-US" w:eastAsia="zh-CN"/>
                    </w:rPr>
                    <w:t>《</w:t>
                  </w:r>
                  <w:r>
                    <w:rPr>
                      <w:rFonts w:hint="eastAsia" w:cs="Times New Roman"/>
                      <w:color w:val="000000"/>
                      <w:sz w:val="21"/>
                      <w:szCs w:val="21"/>
                      <w:highlight w:val="none"/>
                      <w:vertAlign w:val="baseline"/>
                      <w:lang w:val="en-US" w:eastAsia="zh-CN"/>
                    </w:rPr>
                    <w:t>西安</w:t>
                  </w:r>
                  <w:r>
                    <w:rPr>
                      <w:rFonts w:hint="default" w:ascii="Times New Roman" w:hAnsi="Times New Roman" w:eastAsia="宋体" w:cs="Times New Roman"/>
                      <w:color w:val="000000"/>
                      <w:sz w:val="21"/>
                      <w:szCs w:val="21"/>
                      <w:highlight w:val="none"/>
                      <w:vertAlign w:val="baseline"/>
                      <w:lang w:val="en-US" w:eastAsia="zh-CN"/>
                    </w:rPr>
                    <w:t>市大气污染治理专项行动方案（2023-2027年）》（市字〔2023〕32号）</w:t>
                  </w:r>
                </w:p>
              </w:tc>
              <w:tc>
                <w:tcPr>
                  <w:tcW w:w="3942" w:type="dxa"/>
                  <w:tcBorders>
                    <w:tl2br w:val="nil"/>
                    <w:tr2bl w:val="nil"/>
                  </w:tcBorders>
                  <w:vAlign w:val="center"/>
                </w:tcPr>
                <w:p w14:paraId="0379B0FF">
                  <w:pPr>
                    <w:keepNext w:val="0"/>
                    <w:keepLines w:val="0"/>
                    <w:suppressLineNumbers w:val="0"/>
                    <w:spacing w:before="0" w:beforeAutospacing="0" w:after="0" w:afterAutospacing="0"/>
                    <w:ind w:left="0" w:right="0"/>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强化源头管控。严格落实国家和我省产业规划、产业政策、</w:t>
                  </w:r>
                  <w:r>
                    <w:rPr>
                      <w:rFonts w:hint="eastAsia" w:eastAsia="宋体" w:cs="Times New Roman"/>
                      <w:color w:val="000000"/>
                      <w:kern w:val="2"/>
                      <w:sz w:val="21"/>
                      <w:szCs w:val="21"/>
                      <w:highlight w:val="none"/>
                      <w:lang w:val="en-US" w:eastAsia="zh-CN" w:bidi="ar-SA"/>
                    </w:rPr>
                    <w:t>“</w:t>
                  </w:r>
                  <w:r>
                    <w:rPr>
                      <w:rFonts w:hint="default" w:ascii="Times New Roman" w:hAnsi="Times New Roman" w:eastAsia="宋体" w:cs="Times New Roman"/>
                      <w:color w:val="000000"/>
                      <w:kern w:val="2"/>
                      <w:sz w:val="21"/>
                      <w:szCs w:val="21"/>
                      <w:highlight w:val="none"/>
                      <w:lang w:val="en-US" w:eastAsia="zh-CN" w:bidi="ar-SA"/>
                    </w:rPr>
                    <w:t>三线一单</w:t>
                  </w:r>
                  <w:r>
                    <w:rPr>
                      <w:rFonts w:hint="eastAsia" w:eastAsia="宋体" w:cs="Times New Roman"/>
                      <w:color w:val="000000"/>
                      <w:kern w:val="2"/>
                      <w:sz w:val="21"/>
                      <w:szCs w:val="21"/>
                      <w:highlight w:val="none"/>
                      <w:lang w:val="en-US" w:eastAsia="zh-CN" w:bidi="ar-SA"/>
                    </w:rPr>
                    <w:t>”</w:t>
                  </w:r>
                  <w:r>
                    <w:rPr>
                      <w:rFonts w:hint="default" w:ascii="Times New Roman" w:hAnsi="Times New Roman" w:eastAsia="宋体" w:cs="Times New Roman"/>
                      <w:color w:val="000000"/>
                      <w:kern w:val="2"/>
                      <w:sz w:val="21"/>
                      <w:szCs w:val="21"/>
                      <w:highlight w:val="none"/>
                      <w:lang w:val="en-US" w:eastAsia="zh-CN" w:bidi="ar-SA"/>
                    </w:rPr>
                    <w:t>、规划环评等要求，深入开展我市区域空间生态环境评价工作，积极推行区域、规划环境影响评价，新改扩建化工、石化、建材、有色等项目的环境影响评价应满足区域和规划环评要求。</w:t>
                  </w:r>
                </w:p>
                <w:p w14:paraId="377535CB">
                  <w:pPr>
                    <w:keepNext w:val="0"/>
                    <w:keepLines w:val="0"/>
                    <w:suppressLineNumbers w:val="0"/>
                    <w:spacing w:before="0" w:beforeAutospacing="0" w:after="0" w:afterAutospacing="0"/>
                    <w:ind w:left="0" w:right="0"/>
                    <w:rPr>
                      <w:rFonts w:hint="default"/>
                      <w:color w:val="000000" w:themeColor="text1"/>
                      <w:highlight w:val="none"/>
                      <w14:textFill>
                        <w14:solidFill>
                          <w14:schemeClr w14:val="tx1"/>
                        </w14:solidFill>
                      </w14:textFill>
                    </w:rPr>
                  </w:pPr>
                  <w:r>
                    <w:rPr>
                      <w:rFonts w:hint="default" w:ascii="Times New Roman" w:hAnsi="Times New Roman" w:eastAsia="宋体" w:cs="Times New Roman"/>
                      <w:color w:val="000000"/>
                      <w:kern w:val="2"/>
                      <w:sz w:val="21"/>
                      <w:szCs w:val="21"/>
                      <w:highlight w:val="none"/>
                      <w:lang w:val="en-US" w:eastAsia="zh-CN" w:bidi="ar-SA"/>
                    </w:rPr>
                    <w:t>严格新改扩建涉气重点行业绩效评级限制条件。各区、开发区范围内新改扩建涉气重点行业企业应达到环保绩效A级、绩效引领性水平，周至县、蓝田县应达到环保绩效B级及以上水平。</w:t>
                  </w:r>
                </w:p>
              </w:tc>
              <w:tc>
                <w:tcPr>
                  <w:tcW w:w="2380" w:type="dxa"/>
                  <w:tcBorders>
                    <w:tl2br w:val="nil"/>
                    <w:tr2bl w:val="nil"/>
                  </w:tcBorders>
                  <w:vAlign w:val="center"/>
                </w:tcPr>
                <w:p w14:paraId="5EB9915A">
                  <w:pPr>
                    <w:keepNext w:val="0"/>
                    <w:keepLines w:val="0"/>
                    <w:suppressLineNumbers w:val="0"/>
                    <w:spacing w:before="0" w:beforeAutospacing="0" w:after="0" w:afterAutospacing="0"/>
                    <w:ind w:left="0" w:right="0"/>
                    <w:rPr>
                      <w:rFonts w:hint="default" w:eastAsia="宋体"/>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本项目符合国家及地方</w:t>
                  </w:r>
                  <w:r>
                    <w:rPr>
                      <w:rFonts w:hint="default" w:ascii="Times New Roman" w:hAnsi="Times New Roman" w:eastAsia="宋体" w:cs="Times New Roman"/>
                      <w:color w:val="000000"/>
                      <w:kern w:val="2"/>
                      <w:sz w:val="21"/>
                      <w:szCs w:val="21"/>
                      <w:highlight w:val="none"/>
                      <w:lang w:val="en-US" w:eastAsia="zh-CN" w:bidi="ar-SA"/>
                    </w:rPr>
                    <w:t>产业政策、</w:t>
                  </w:r>
                  <w:r>
                    <w:rPr>
                      <w:rFonts w:hint="eastAsia" w:eastAsia="宋体" w:cs="Times New Roman"/>
                      <w:color w:val="000000"/>
                      <w:kern w:val="2"/>
                      <w:sz w:val="21"/>
                      <w:szCs w:val="21"/>
                      <w:highlight w:val="none"/>
                      <w:lang w:val="en-US" w:eastAsia="zh-CN" w:bidi="ar-SA"/>
                    </w:rPr>
                    <w:t>“</w:t>
                  </w:r>
                  <w:r>
                    <w:rPr>
                      <w:rFonts w:hint="default" w:ascii="Times New Roman" w:hAnsi="Times New Roman" w:eastAsia="宋体" w:cs="Times New Roman"/>
                      <w:color w:val="000000"/>
                      <w:kern w:val="2"/>
                      <w:sz w:val="21"/>
                      <w:szCs w:val="21"/>
                      <w:highlight w:val="none"/>
                      <w:lang w:val="en-US" w:eastAsia="zh-CN" w:bidi="ar-SA"/>
                    </w:rPr>
                    <w:t>三线一单</w:t>
                  </w:r>
                  <w:r>
                    <w:rPr>
                      <w:rFonts w:hint="eastAsia" w:eastAsia="宋体" w:cs="Times New Roman"/>
                      <w:color w:val="000000"/>
                      <w:kern w:val="2"/>
                      <w:sz w:val="21"/>
                      <w:szCs w:val="21"/>
                      <w:highlight w:val="none"/>
                      <w:lang w:val="en-US" w:eastAsia="zh-CN" w:bidi="ar-SA"/>
                    </w:rPr>
                    <w:t>”</w:t>
                  </w:r>
                  <w:r>
                    <w:rPr>
                      <w:rFonts w:hint="default" w:ascii="Times New Roman" w:hAnsi="Times New Roman" w:eastAsia="宋体" w:cs="Times New Roman"/>
                      <w:color w:val="000000"/>
                      <w:kern w:val="2"/>
                      <w:sz w:val="21"/>
                      <w:szCs w:val="21"/>
                      <w:highlight w:val="none"/>
                      <w:lang w:val="en-US" w:eastAsia="zh-CN" w:bidi="ar-SA"/>
                    </w:rPr>
                    <w:t>、规划环评等要求，</w:t>
                  </w:r>
                  <w:r>
                    <w:rPr>
                      <w:rFonts w:hint="eastAsia" w:eastAsia="宋体" w:cs="Times New Roman"/>
                      <w:color w:val="000000"/>
                      <w:kern w:val="2"/>
                      <w:sz w:val="21"/>
                      <w:szCs w:val="21"/>
                      <w:highlight w:val="none"/>
                      <w:lang w:val="en-US" w:eastAsia="zh-CN" w:bidi="ar-SA"/>
                    </w:rPr>
                    <w:t>项目不属于涉气重点行业。</w:t>
                  </w:r>
                </w:p>
              </w:tc>
              <w:tc>
                <w:tcPr>
                  <w:tcW w:w="455" w:type="dxa"/>
                  <w:tcBorders>
                    <w:tl2br w:val="nil"/>
                    <w:tr2bl w:val="nil"/>
                  </w:tcBorders>
                  <w:vAlign w:val="center"/>
                </w:tcPr>
                <w:p w14:paraId="52C08B26">
                  <w:pPr>
                    <w:keepNext w:val="0"/>
                    <w:keepLines w:val="0"/>
                    <w:suppressLineNumbers w:val="0"/>
                    <w:spacing w:before="0" w:beforeAutospacing="0" w:after="0" w:afterAutospacing="0"/>
                    <w:ind w:left="0" w:right="0"/>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173ACC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2F9573C7">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highlight w:val="none"/>
                      <w:vertAlign w:val="baseline"/>
                      <w:lang w:val="en-US" w:eastAsia="zh-CN"/>
                    </w:rPr>
                  </w:pPr>
                </w:p>
              </w:tc>
              <w:tc>
                <w:tcPr>
                  <w:tcW w:w="3942" w:type="dxa"/>
                  <w:tcBorders>
                    <w:tl2br w:val="nil"/>
                    <w:tr2bl w:val="nil"/>
                  </w:tcBorders>
                  <w:vAlign w:val="center"/>
                </w:tcPr>
                <w:p w14:paraId="76155640">
                  <w:pPr>
                    <w:keepNext w:val="0"/>
                    <w:keepLines w:val="0"/>
                    <w:suppressLineNumbers w:val="0"/>
                    <w:spacing w:before="0" w:beforeAutospacing="0" w:after="0" w:afterAutospacing="0"/>
                    <w:ind w:left="0" w:right="0"/>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推进大企业高端化、高质量发展，支持传统优势产业向产业链中高端迈进。进一步分析产业发展定位，开展传统行业中小企业和产业集群排查及分类整治，积极总结推广现代产业园区建管模式，以高质量发展为导向，以产业园区为载体，搬迁入园一批、就地改造一批、做优做强一批中小企业，推动中小企业集聚化、高质量发展。指导各区县、开发区结合实际制定</w:t>
                  </w:r>
                  <w:r>
                    <w:rPr>
                      <w:rFonts w:hint="eastAsia" w:eastAsia="宋体" w:cs="Times New Roman"/>
                      <w:color w:val="000000"/>
                      <w:kern w:val="2"/>
                      <w:sz w:val="21"/>
                      <w:szCs w:val="21"/>
                      <w:highlight w:val="none"/>
                      <w:lang w:val="en-US" w:eastAsia="zh-CN" w:bidi="ar-SA"/>
                    </w:rPr>
                    <w:t>“</w:t>
                  </w:r>
                  <w:r>
                    <w:rPr>
                      <w:rFonts w:hint="default" w:ascii="Times New Roman" w:hAnsi="Times New Roman" w:eastAsia="宋体" w:cs="Times New Roman"/>
                      <w:color w:val="000000"/>
                      <w:kern w:val="2"/>
                      <w:sz w:val="21"/>
                      <w:szCs w:val="21"/>
                      <w:highlight w:val="none"/>
                      <w:lang w:val="en-US" w:eastAsia="zh-CN" w:bidi="ar-SA"/>
                    </w:rPr>
                    <w:t>一园一策</w:t>
                  </w:r>
                  <w:r>
                    <w:rPr>
                      <w:rFonts w:hint="eastAsia" w:eastAsia="宋体" w:cs="Times New Roman"/>
                      <w:color w:val="000000"/>
                      <w:kern w:val="2"/>
                      <w:sz w:val="21"/>
                      <w:szCs w:val="21"/>
                      <w:highlight w:val="none"/>
                      <w:lang w:val="en-US" w:eastAsia="zh-CN" w:bidi="ar-SA"/>
                    </w:rPr>
                    <w:t>”</w:t>
                  </w:r>
                  <w:r>
                    <w:rPr>
                      <w:rFonts w:hint="default" w:ascii="Times New Roman" w:hAnsi="Times New Roman" w:eastAsia="宋体" w:cs="Times New Roman"/>
                      <w:color w:val="000000"/>
                      <w:kern w:val="2"/>
                      <w:sz w:val="21"/>
                      <w:szCs w:val="21"/>
                      <w:highlight w:val="none"/>
                      <w:lang w:val="en-US" w:eastAsia="zh-CN" w:bidi="ar-SA"/>
                    </w:rPr>
                    <w:t>整治提升方案，实施拉单挂账式管理，支持产业园区采用集中供热设施或清洁能源，切实提升产业发展质量和水平。</w:t>
                  </w:r>
                </w:p>
              </w:tc>
              <w:tc>
                <w:tcPr>
                  <w:tcW w:w="2380" w:type="dxa"/>
                  <w:tcBorders>
                    <w:tl2br w:val="nil"/>
                    <w:tr2bl w:val="nil"/>
                  </w:tcBorders>
                  <w:vAlign w:val="center"/>
                </w:tcPr>
                <w:p w14:paraId="160D8BAB">
                  <w:pPr>
                    <w:keepNext w:val="0"/>
                    <w:keepLines w:val="0"/>
                    <w:suppressLineNumbers w:val="0"/>
                    <w:spacing w:before="0" w:beforeAutospacing="0" w:after="0" w:afterAutospacing="0"/>
                    <w:ind w:left="0" w:right="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本项目位于泾河新城</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中国原点智慧科创产业区</w:t>
                  </w:r>
                  <w:r>
                    <w:rPr>
                      <w:rFonts w:hint="eastAsia" w:ascii="Times New Roman" w:hAnsi="Times New Roman" w:eastAsia="宋体" w:cs="Times New Roman"/>
                      <w:color w:val="auto"/>
                      <w:highlight w:val="none"/>
                      <w:lang w:val="en-US" w:eastAsia="zh-CN"/>
                    </w:rPr>
                    <w:t>”内</w:t>
                  </w:r>
                  <w:r>
                    <w:rPr>
                      <w:rFonts w:hint="eastAsia"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属于制造业，基本符合</w:t>
                  </w:r>
                  <w:r>
                    <w:rPr>
                      <w:rFonts w:hint="eastAsia" w:cs="Times New Roman"/>
                      <w:color w:val="auto"/>
                      <w:highlight w:val="none"/>
                      <w:lang w:val="en-US" w:eastAsia="zh-CN"/>
                    </w:rPr>
                    <w:t>园区</w:t>
                  </w:r>
                  <w:r>
                    <w:rPr>
                      <w:rFonts w:hint="eastAsia" w:ascii="Times New Roman" w:hAnsi="Times New Roman" w:eastAsia="宋体" w:cs="Times New Roman"/>
                      <w:color w:val="auto"/>
                      <w:highlight w:val="none"/>
                      <w:lang w:val="en-US" w:eastAsia="zh-CN"/>
                    </w:rPr>
                    <w:t>总体</w:t>
                  </w:r>
                  <w:r>
                    <w:rPr>
                      <w:rFonts w:hint="eastAsia" w:cs="Times New Roman"/>
                      <w:color w:val="auto"/>
                      <w:highlight w:val="none"/>
                      <w:lang w:val="en-US" w:eastAsia="zh-CN"/>
                    </w:rPr>
                    <w:t>规划</w:t>
                  </w:r>
                  <w:r>
                    <w:rPr>
                      <w:rFonts w:hint="eastAsia" w:ascii="Times New Roman" w:hAnsi="Times New Roman" w:eastAsia="宋体" w:cs="Times New Roman"/>
                      <w:color w:val="auto"/>
                      <w:highlight w:val="none"/>
                      <w:lang w:val="en-US" w:eastAsia="zh-CN"/>
                    </w:rPr>
                    <w:t>定位。</w:t>
                  </w:r>
                </w:p>
              </w:tc>
              <w:tc>
                <w:tcPr>
                  <w:tcW w:w="455" w:type="dxa"/>
                  <w:tcBorders>
                    <w:tl2br w:val="nil"/>
                    <w:tr2bl w:val="nil"/>
                  </w:tcBorders>
                  <w:vAlign w:val="center"/>
                </w:tcPr>
                <w:p w14:paraId="02C1EA5B">
                  <w:pPr>
                    <w:keepNext w:val="0"/>
                    <w:keepLines w:val="0"/>
                    <w:suppressLineNumbers w:val="0"/>
                    <w:spacing w:before="0" w:beforeAutospacing="0" w:after="0" w:afterAutospacing="0"/>
                    <w:ind w:left="0" w:right="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7C1DF9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5A3A0CF6">
                  <w:pPr>
                    <w:keepNext w:val="0"/>
                    <w:keepLines w:val="0"/>
                    <w:suppressLineNumbers w:val="0"/>
                    <w:spacing w:before="0" w:beforeAutospacing="0" w:after="0" w:afterAutospacing="0"/>
                    <w:ind w:left="0" w:right="0"/>
                    <w:rPr>
                      <w:rFonts w:hint="default" w:ascii="Times New Roman" w:hAnsi="Times New Roman" w:eastAsia="宋体" w:cs="Times New Roman"/>
                      <w:color w:val="000000"/>
                      <w:sz w:val="21"/>
                      <w:szCs w:val="21"/>
                      <w:highlight w:val="none"/>
                      <w:vertAlign w:val="baseline"/>
                      <w:lang w:val="en-US" w:eastAsia="zh-CN"/>
                    </w:rPr>
                  </w:pPr>
                </w:p>
              </w:tc>
              <w:tc>
                <w:tcPr>
                  <w:tcW w:w="3942" w:type="dxa"/>
                  <w:tcBorders>
                    <w:tl2br w:val="nil"/>
                    <w:tr2bl w:val="nil"/>
                  </w:tcBorders>
                  <w:vAlign w:val="center"/>
                </w:tcPr>
                <w:p w14:paraId="1992FE12">
                  <w:pPr>
                    <w:keepNext w:val="0"/>
                    <w:keepLines w:val="0"/>
                    <w:suppressLineNumbers w:val="0"/>
                    <w:spacing w:before="0" w:beforeAutospacing="0" w:after="0" w:afterAutospacing="0"/>
                    <w:ind w:left="0" w:right="0"/>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持续推进老旧车辆及非道路移动机械淘汰。2023年底前完成企业内部国三及以下排放标准柴油货车和国一及以下排放标准非道路移动工程机械淘汰工作。2025年底前，全市淘汰国三及以下排放标准柴油货车，推进淘汰国一及以下排放标准非道路移动工程机械。2025年全市新能源和国六排放标准货车保有量占比不低于50%。</w:t>
                  </w:r>
                </w:p>
              </w:tc>
              <w:tc>
                <w:tcPr>
                  <w:tcW w:w="2380" w:type="dxa"/>
                  <w:tcBorders>
                    <w:tl2br w:val="nil"/>
                    <w:tr2bl w:val="nil"/>
                  </w:tcBorders>
                  <w:vAlign w:val="center"/>
                </w:tcPr>
                <w:p w14:paraId="3C7905EF">
                  <w:pPr>
                    <w:keepNext w:val="0"/>
                    <w:keepLines w:val="0"/>
                    <w:suppressLineNumbers w:val="0"/>
                    <w:spacing w:before="0" w:beforeAutospacing="0" w:after="0" w:afterAutospacing="0"/>
                    <w:ind w:left="0" w:right="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项目</w:t>
                  </w:r>
                  <w:r>
                    <w:rPr>
                      <w:rFonts w:hint="eastAsia" w:ascii="Times New Roman" w:eastAsia="宋体" w:cs="Times New Roman"/>
                      <w:color w:val="000000"/>
                      <w:sz w:val="21"/>
                      <w:szCs w:val="21"/>
                      <w:highlight w:val="none"/>
                      <w:lang w:val="en-US" w:eastAsia="zh-CN"/>
                    </w:rPr>
                    <w:t>厂区内非移动道路机械建议采用清洁能源车辆</w:t>
                  </w:r>
                  <w:r>
                    <w:rPr>
                      <w:rFonts w:hint="eastAsia" w:eastAsia="宋体" w:cs="Times New Roman"/>
                      <w:color w:val="000000"/>
                      <w:sz w:val="21"/>
                      <w:szCs w:val="21"/>
                      <w:highlight w:val="none"/>
                      <w:lang w:val="en-US" w:eastAsia="zh-CN"/>
                    </w:rPr>
                    <w:t>，不得使用</w:t>
                  </w:r>
                  <w:r>
                    <w:rPr>
                      <w:rFonts w:hint="default" w:ascii="Times New Roman" w:hAnsi="Times New Roman" w:eastAsia="宋体" w:cs="Times New Roman"/>
                      <w:color w:val="000000"/>
                      <w:kern w:val="2"/>
                      <w:sz w:val="21"/>
                      <w:szCs w:val="21"/>
                      <w:highlight w:val="none"/>
                      <w:lang w:val="en-US" w:eastAsia="zh-CN" w:bidi="ar-SA"/>
                    </w:rPr>
                    <w:t>国一及以下排放标准非道路移动工程机械</w:t>
                  </w:r>
                  <w:r>
                    <w:rPr>
                      <w:rFonts w:hint="eastAsia" w:ascii="Times New Roman" w:eastAsia="宋体" w:cs="Times New Roman"/>
                      <w:color w:val="000000"/>
                      <w:sz w:val="21"/>
                      <w:szCs w:val="21"/>
                      <w:highlight w:val="none"/>
                      <w:lang w:val="en-US" w:eastAsia="zh-CN"/>
                    </w:rPr>
                    <w:t>。</w:t>
                  </w:r>
                </w:p>
              </w:tc>
              <w:tc>
                <w:tcPr>
                  <w:tcW w:w="455" w:type="dxa"/>
                  <w:tcBorders>
                    <w:tl2br w:val="nil"/>
                    <w:tr2bl w:val="nil"/>
                  </w:tcBorders>
                  <w:vAlign w:val="center"/>
                </w:tcPr>
                <w:p w14:paraId="73C392BE">
                  <w:pPr>
                    <w:keepNext w:val="0"/>
                    <w:keepLines w:val="0"/>
                    <w:suppressLineNumbers w:val="0"/>
                    <w:spacing w:before="0" w:beforeAutospacing="0" w:after="0" w:afterAutospacing="0"/>
                    <w:ind w:left="0" w:right="0"/>
                    <w:rPr>
                      <w:rFonts w:hint="default"/>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1FEA9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26D6F4E2">
                  <w:pPr>
                    <w:keepNext w:val="0"/>
                    <w:keepLines w:val="0"/>
                    <w:suppressLineNumbers w:val="0"/>
                    <w:spacing w:before="0" w:beforeAutospacing="0" w:after="0" w:afterAutospacing="0"/>
                    <w:ind w:left="0" w:right="0"/>
                    <w:rPr>
                      <w:rFonts w:hint="default"/>
                      <w:color w:val="000000" w:themeColor="text1"/>
                      <w:highlight w:val="none"/>
                      <w14:textFill>
                        <w14:solidFill>
                          <w14:schemeClr w14:val="tx1"/>
                        </w14:solidFill>
                      </w14:textFill>
                    </w:rPr>
                  </w:pPr>
                </w:p>
              </w:tc>
              <w:tc>
                <w:tcPr>
                  <w:tcW w:w="3942" w:type="dxa"/>
                  <w:tcBorders>
                    <w:tl2br w:val="nil"/>
                    <w:tr2bl w:val="nil"/>
                  </w:tcBorders>
                  <w:shd w:val="clear" w:color="auto" w:fill="auto"/>
                  <w:vAlign w:val="center"/>
                </w:tcPr>
                <w:p w14:paraId="0299570C">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加强物料堆场扬尘管控。针对铸造、铁合金、焦化、水泥、砖瓦、石灰、耐火材料、有色金属冶炼等行业，严格控制物料储存、输送及生产工艺过程无组织排放</w:t>
                  </w:r>
                  <w:r>
                    <w:rPr>
                      <w:rFonts w:hint="eastAsia" w:cs="Times New Roman"/>
                      <w:color w:val="000000"/>
                      <w:kern w:val="2"/>
                      <w:sz w:val="21"/>
                      <w:szCs w:val="21"/>
                      <w:highlight w:val="none"/>
                      <w:lang w:val="en-US" w:eastAsia="zh-CN" w:bidi="ar-SA"/>
                    </w:rPr>
                    <w:t>；</w:t>
                  </w:r>
                  <w:r>
                    <w:rPr>
                      <w:rFonts w:hint="default" w:ascii="Times New Roman" w:hAnsi="Times New Roman" w:eastAsia="宋体" w:cs="Times New Roman"/>
                      <w:color w:val="000000"/>
                      <w:kern w:val="2"/>
                      <w:sz w:val="21"/>
                      <w:szCs w:val="21"/>
                      <w:highlight w:val="none"/>
                      <w:lang w:val="en-US" w:eastAsia="zh-CN" w:bidi="ar-SA"/>
                    </w:rPr>
                    <w:t>对粉粒类物料堆放场以及大型煤炭和矿石物料堆场，基本完成抑尘设施建设和物料输送系统封闭改造。严禁露天装卸作业和物料干法作业。</w:t>
                  </w:r>
                </w:p>
              </w:tc>
              <w:tc>
                <w:tcPr>
                  <w:tcW w:w="2380" w:type="dxa"/>
                  <w:tcBorders>
                    <w:tl2br w:val="nil"/>
                    <w:tr2bl w:val="nil"/>
                  </w:tcBorders>
                  <w:shd w:val="clear" w:color="auto" w:fill="auto"/>
                  <w:vAlign w:val="center"/>
                </w:tcPr>
                <w:p w14:paraId="053B8660">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both"/>
                    <w:rPr>
                      <w:rFonts w:hint="default" w:ascii="Times New Roman" w:hAnsi="Times New Roman" w:eastAsia="宋体" w:cs="Times New Roman"/>
                      <w:color w:val="000000"/>
                      <w:kern w:val="2"/>
                      <w:sz w:val="21"/>
                      <w:szCs w:val="21"/>
                      <w:highlight w:val="none"/>
                      <w:lang w:val="en-US" w:eastAsia="zh-CN" w:bidi="ar-SA"/>
                    </w:rPr>
                  </w:pPr>
                  <w:r>
                    <w:rPr>
                      <w:rFonts w:hint="eastAsia" w:cs="Times New Roman"/>
                      <w:color w:val="000000"/>
                      <w:kern w:val="2"/>
                      <w:sz w:val="21"/>
                      <w:szCs w:val="21"/>
                      <w:highlight w:val="none"/>
                      <w:lang w:val="en-US" w:eastAsia="zh-CN" w:bidi="ar-SA"/>
                    </w:rPr>
                    <w:t>本项目骨料均位于封闭车间内，并在车间顶部加装喷淋设施。</w:t>
                  </w:r>
                </w:p>
              </w:tc>
              <w:tc>
                <w:tcPr>
                  <w:tcW w:w="455" w:type="dxa"/>
                  <w:tcBorders>
                    <w:tl2br w:val="nil"/>
                    <w:tr2bl w:val="nil"/>
                  </w:tcBorders>
                  <w:vAlign w:val="center"/>
                </w:tcPr>
                <w:p w14:paraId="6F4632B4">
                  <w:pPr>
                    <w:keepNext w:val="0"/>
                    <w:keepLines w:val="0"/>
                    <w:suppressLineNumbers w:val="0"/>
                    <w:spacing w:before="0" w:beforeAutospacing="0" w:after="0" w:afterAutospacing="0"/>
                    <w:ind w:left="0" w:right="0"/>
                    <w:rPr>
                      <w:rFonts w:hint="default"/>
                      <w:color w:val="000000" w:themeColor="text1"/>
                      <w:highlight w:val="none"/>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1E8DCC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341" w:type="dxa"/>
                  <w:vMerge w:val="restart"/>
                  <w:tcBorders>
                    <w:tl2br w:val="nil"/>
                    <w:tr2bl w:val="nil"/>
                  </w:tcBorders>
                  <w:vAlign w:val="center"/>
                </w:tcPr>
                <w:p w14:paraId="10759FE3">
                  <w:pPr>
                    <w:keepNext w:val="0"/>
                    <w:keepLines w:val="0"/>
                    <w:suppressLineNumbers w:val="0"/>
                    <w:spacing w:before="0" w:beforeAutospacing="0" w:after="0" w:afterAutospacing="0"/>
                    <w:ind w:left="0" w:right="0"/>
                    <w:rPr>
                      <w:rFonts w:hint="default"/>
                      <w:color w:val="000000" w:themeColor="text1"/>
                      <w:highlight w:val="none"/>
                      <w:lang w:val="en-US"/>
                      <w14:textFill>
                        <w14:solidFill>
                          <w14:schemeClr w14:val="tx1"/>
                        </w14:solidFill>
                      </w14:textFill>
                    </w:rPr>
                  </w:pPr>
                  <w:r>
                    <w:rPr>
                      <w:rFonts w:hint="default"/>
                      <w:color w:val="000000" w:themeColor="text1"/>
                      <w:highlight w:val="none"/>
                      <w:lang w:val="en-US"/>
                      <w14:textFill>
                        <w14:solidFill>
                          <w14:schemeClr w14:val="tx1"/>
                        </w14:solidFill>
                      </w14:textFill>
                    </w:rPr>
                    <w:t>《西咸新区大气污染治理专项行动方案（2023-2027年）》（陕西咸党发〔2023〕4号）</w:t>
                  </w:r>
                </w:p>
              </w:tc>
              <w:tc>
                <w:tcPr>
                  <w:tcW w:w="3942" w:type="dxa"/>
                  <w:tcBorders>
                    <w:tl2br w:val="nil"/>
                    <w:tr2bl w:val="nil"/>
                  </w:tcBorders>
                  <w:shd w:val="clear" w:color="auto" w:fill="auto"/>
                  <w:vAlign w:val="center"/>
                </w:tcPr>
                <w:p w14:paraId="189D06CB">
                  <w:pPr>
                    <w:keepNext w:val="0"/>
                    <w:keepLines w:val="0"/>
                    <w:pageBreakBefore w:val="0"/>
                    <w:widowControl/>
                    <w:suppressLineNumbers w:val="0"/>
                    <w:kinsoku/>
                    <w:wordWrap w:val="0"/>
                    <w:overflowPunct/>
                    <w:topLinePunct w:val="0"/>
                    <w:autoSpaceDE/>
                    <w:autoSpaceDN/>
                    <w:bidi w:val="0"/>
                    <w:adjustRightInd/>
                    <w:snapToGrid/>
                    <w:spacing w:before="0" w:beforeAutospacing="0" w:after="0" w:afterAutospacing="0"/>
                    <w:ind w:left="0" w:right="0"/>
                    <w:contextualSpacing/>
                    <w:jc w:val="left"/>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强化源头管控。严格落实国家、省、市及新区产业规划、产业政策、“三线一单”、规划环评等要求，深入开展区域空间生态环境评价工作，积极推行区域、规划环境影响评价，新、改、扩建化工、石化、建材、有色等项目的环境影响评价应满足区域、规划环评要求。</w:t>
                  </w:r>
                </w:p>
                <w:p w14:paraId="16477521">
                  <w:pPr>
                    <w:pStyle w:val="2"/>
                    <w:keepNext w:val="0"/>
                    <w:keepLines w:val="0"/>
                    <w:suppressLineNumbers w:val="0"/>
                    <w:spacing w:before="0" w:beforeAutospacing="0" w:afterAutospacing="0"/>
                    <w:ind w:left="0" w:leftChars="0" w:right="0" w:firstLine="0" w:firstLineChars="0"/>
                    <w:rPr>
                      <w:rFonts w:hint="default"/>
                      <w:highlight w:val="none"/>
                      <w:lang w:val="en-US" w:eastAsia="zh-CN"/>
                    </w:rPr>
                  </w:pPr>
                  <w:r>
                    <w:rPr>
                      <w:rFonts w:hint="default"/>
                      <w:highlight w:val="none"/>
                      <w:lang w:val="en-US" w:eastAsia="zh-CN"/>
                    </w:rPr>
                    <w:t>严格新、改、扩建涉气重点行业绩效评级限制条件。新区范围内新、改、扩建涉气重点行业企业应达到环保绩效 A级、绩效引领性水平。</w:t>
                  </w:r>
                </w:p>
              </w:tc>
              <w:tc>
                <w:tcPr>
                  <w:tcW w:w="2380" w:type="dxa"/>
                  <w:tcBorders>
                    <w:tl2br w:val="nil"/>
                    <w:tr2bl w:val="nil"/>
                  </w:tcBorders>
                  <w:shd w:val="clear" w:color="auto" w:fill="auto"/>
                  <w:vAlign w:val="center"/>
                </w:tcPr>
                <w:p w14:paraId="600E5CD8">
                  <w:pPr>
                    <w:keepNext w:val="0"/>
                    <w:keepLines w:val="0"/>
                    <w:suppressLineNumbers w:val="0"/>
                    <w:spacing w:before="0" w:beforeAutospacing="0" w:after="0" w:afterAutospacing="0"/>
                    <w:ind w:left="0" w:right="0"/>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本项目符合国家及地方</w:t>
                  </w:r>
                  <w:r>
                    <w:rPr>
                      <w:rFonts w:hint="default" w:ascii="Times New Roman" w:hAnsi="Times New Roman" w:eastAsia="宋体" w:cs="Times New Roman"/>
                      <w:color w:val="000000"/>
                      <w:kern w:val="2"/>
                      <w:sz w:val="21"/>
                      <w:szCs w:val="21"/>
                      <w:highlight w:val="none"/>
                      <w:lang w:val="en-US" w:eastAsia="zh-CN" w:bidi="ar-SA"/>
                    </w:rPr>
                    <w:t>产业政策、</w:t>
                  </w:r>
                  <w:r>
                    <w:rPr>
                      <w:rFonts w:hint="eastAsia" w:eastAsia="宋体" w:cs="Times New Roman"/>
                      <w:color w:val="000000"/>
                      <w:kern w:val="2"/>
                      <w:sz w:val="21"/>
                      <w:szCs w:val="21"/>
                      <w:highlight w:val="none"/>
                      <w:lang w:val="en-US" w:eastAsia="zh-CN" w:bidi="ar-SA"/>
                    </w:rPr>
                    <w:t>“</w:t>
                  </w:r>
                  <w:r>
                    <w:rPr>
                      <w:rFonts w:hint="default" w:ascii="Times New Roman" w:hAnsi="Times New Roman" w:eastAsia="宋体" w:cs="Times New Roman"/>
                      <w:color w:val="000000"/>
                      <w:kern w:val="2"/>
                      <w:sz w:val="21"/>
                      <w:szCs w:val="21"/>
                      <w:highlight w:val="none"/>
                      <w:lang w:val="en-US" w:eastAsia="zh-CN" w:bidi="ar-SA"/>
                    </w:rPr>
                    <w:t>三线一单</w:t>
                  </w:r>
                  <w:r>
                    <w:rPr>
                      <w:rFonts w:hint="eastAsia" w:eastAsia="宋体" w:cs="Times New Roman"/>
                      <w:color w:val="000000"/>
                      <w:kern w:val="2"/>
                      <w:sz w:val="21"/>
                      <w:szCs w:val="21"/>
                      <w:highlight w:val="none"/>
                      <w:lang w:val="en-US" w:eastAsia="zh-CN" w:bidi="ar-SA"/>
                    </w:rPr>
                    <w:t>”</w:t>
                  </w:r>
                  <w:r>
                    <w:rPr>
                      <w:rFonts w:hint="default" w:ascii="Times New Roman" w:hAnsi="Times New Roman" w:eastAsia="宋体" w:cs="Times New Roman"/>
                      <w:color w:val="000000"/>
                      <w:kern w:val="2"/>
                      <w:sz w:val="21"/>
                      <w:szCs w:val="21"/>
                      <w:highlight w:val="none"/>
                      <w:lang w:val="en-US" w:eastAsia="zh-CN" w:bidi="ar-SA"/>
                    </w:rPr>
                    <w:t>、规划环评等要求，</w:t>
                  </w:r>
                  <w:r>
                    <w:rPr>
                      <w:rFonts w:hint="eastAsia" w:eastAsia="宋体" w:cs="Times New Roman"/>
                      <w:color w:val="000000"/>
                      <w:kern w:val="2"/>
                      <w:sz w:val="21"/>
                      <w:szCs w:val="21"/>
                      <w:highlight w:val="none"/>
                      <w:lang w:val="en-US" w:eastAsia="zh-CN" w:bidi="ar-SA"/>
                    </w:rPr>
                    <w:t>项目不属于涉气重点行业。</w:t>
                  </w:r>
                </w:p>
              </w:tc>
              <w:tc>
                <w:tcPr>
                  <w:tcW w:w="455" w:type="dxa"/>
                  <w:tcBorders>
                    <w:tl2br w:val="nil"/>
                    <w:tr2bl w:val="nil"/>
                  </w:tcBorders>
                  <w:shd w:val="clear" w:color="auto" w:fill="auto"/>
                  <w:vAlign w:val="center"/>
                </w:tcPr>
                <w:p w14:paraId="4BB60C9B">
                  <w:pPr>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3B3F75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55910180">
                  <w:pPr>
                    <w:keepNext w:val="0"/>
                    <w:keepLines w:val="0"/>
                    <w:suppressLineNumbers w:val="0"/>
                    <w:spacing w:before="0" w:beforeAutospacing="0" w:after="0" w:afterAutospacing="0"/>
                    <w:ind w:left="0" w:right="0"/>
                    <w:rPr>
                      <w:rFonts w:hint="default"/>
                      <w:color w:val="000000" w:themeColor="text1"/>
                      <w:highlight w:val="green"/>
                      <w:lang w:val="en-US"/>
                      <w14:textFill>
                        <w14:solidFill>
                          <w14:schemeClr w14:val="tx1"/>
                        </w14:solidFill>
                      </w14:textFill>
                    </w:rPr>
                  </w:pPr>
                </w:p>
              </w:tc>
              <w:tc>
                <w:tcPr>
                  <w:tcW w:w="3942" w:type="dxa"/>
                  <w:tcBorders>
                    <w:tl2br w:val="nil"/>
                    <w:tr2bl w:val="nil"/>
                  </w:tcBorders>
                  <w:shd w:val="clear" w:color="auto" w:fill="auto"/>
                  <w:vAlign w:val="center"/>
                </w:tcPr>
                <w:p w14:paraId="3A618154">
                  <w:pPr>
                    <w:keepNext w:val="0"/>
                    <w:keepLines w:val="0"/>
                    <w:suppressLineNumbers w:val="0"/>
                    <w:spacing w:before="0" w:beforeAutospacing="0" w:after="0" w:afterAutospacing="0"/>
                    <w:ind w:left="0" w:right="0"/>
                    <w:rPr>
                      <w:rFonts w:hint="default"/>
                      <w:highlight w:val="none"/>
                      <w:lang w:val="en-US" w:eastAsia="zh-CN"/>
                    </w:rPr>
                  </w:pPr>
                  <w:r>
                    <w:rPr>
                      <w:rFonts w:hint="default" w:ascii="Times New Roman" w:hAnsi="Times New Roman" w:eastAsia="宋体" w:cs="Times New Roman"/>
                      <w:color w:val="000000"/>
                      <w:kern w:val="2"/>
                      <w:sz w:val="21"/>
                      <w:szCs w:val="21"/>
                      <w:highlight w:val="none"/>
                      <w:lang w:val="en-US" w:eastAsia="zh-CN" w:bidi="ar-SA"/>
                    </w:rPr>
                    <w:t>推进大企业高端化、高质量发展，支持传统优势产业向产业链中高端迈进。进一步分析产业发展定位，开展传统行业中小企业和产业集群排查及分类整治，积极总结推广现代产业园区建管模式，以高质量发展为导向，以产业园区为载体，搬迁入园一批、就地改造一批、做优做强一批中小企业，推动中小企业集聚化、高质量发展。指导各区县、开发区结合实际制定</w:t>
                  </w:r>
                  <w:r>
                    <w:rPr>
                      <w:rFonts w:hint="eastAsia" w:eastAsia="宋体" w:cs="Times New Roman"/>
                      <w:color w:val="000000"/>
                      <w:kern w:val="2"/>
                      <w:sz w:val="21"/>
                      <w:szCs w:val="21"/>
                      <w:highlight w:val="none"/>
                      <w:lang w:val="en-US" w:eastAsia="zh-CN" w:bidi="ar-SA"/>
                    </w:rPr>
                    <w:t>“</w:t>
                  </w:r>
                  <w:r>
                    <w:rPr>
                      <w:rFonts w:hint="default" w:ascii="Times New Roman" w:hAnsi="Times New Roman" w:eastAsia="宋体" w:cs="Times New Roman"/>
                      <w:color w:val="000000"/>
                      <w:kern w:val="2"/>
                      <w:sz w:val="21"/>
                      <w:szCs w:val="21"/>
                      <w:highlight w:val="none"/>
                      <w:lang w:val="en-US" w:eastAsia="zh-CN" w:bidi="ar-SA"/>
                    </w:rPr>
                    <w:t>一园一策</w:t>
                  </w:r>
                  <w:r>
                    <w:rPr>
                      <w:rFonts w:hint="eastAsia" w:eastAsia="宋体" w:cs="Times New Roman"/>
                      <w:color w:val="000000"/>
                      <w:kern w:val="2"/>
                      <w:sz w:val="21"/>
                      <w:szCs w:val="21"/>
                      <w:highlight w:val="none"/>
                      <w:lang w:val="en-US" w:eastAsia="zh-CN" w:bidi="ar-SA"/>
                    </w:rPr>
                    <w:t>”</w:t>
                  </w:r>
                  <w:r>
                    <w:rPr>
                      <w:rFonts w:hint="default" w:ascii="Times New Roman" w:hAnsi="Times New Roman" w:eastAsia="宋体" w:cs="Times New Roman"/>
                      <w:color w:val="000000"/>
                      <w:kern w:val="2"/>
                      <w:sz w:val="21"/>
                      <w:szCs w:val="21"/>
                      <w:highlight w:val="none"/>
                      <w:lang w:val="en-US" w:eastAsia="zh-CN" w:bidi="ar-SA"/>
                    </w:rPr>
                    <w:t>整治提升方案，实施拉单挂账式管理，支持产业园区采用集中供热设施或清洁能源，切实提升产业发展质量和水平。</w:t>
                  </w:r>
                </w:p>
              </w:tc>
              <w:tc>
                <w:tcPr>
                  <w:tcW w:w="2380" w:type="dxa"/>
                  <w:tcBorders>
                    <w:tl2br w:val="nil"/>
                    <w:tr2bl w:val="nil"/>
                  </w:tcBorders>
                  <w:shd w:val="clear" w:color="auto" w:fill="auto"/>
                  <w:vAlign w:val="center"/>
                </w:tcPr>
                <w:p w14:paraId="73D4BD66">
                  <w:pPr>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本项目位于泾河新城</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highlight w:val="none"/>
                      <w:lang w:val="en-US" w:eastAsia="zh-CN"/>
                    </w:rPr>
                    <w:t>中国原点智慧科创产业区</w:t>
                  </w:r>
                  <w:r>
                    <w:rPr>
                      <w:rFonts w:hint="eastAsia" w:ascii="Times New Roman" w:hAnsi="Times New Roman" w:eastAsia="宋体" w:cs="Times New Roman"/>
                      <w:color w:val="auto"/>
                      <w:highlight w:val="none"/>
                      <w:lang w:val="en-US" w:eastAsia="zh-CN"/>
                    </w:rPr>
                    <w:t>”内</w:t>
                  </w:r>
                  <w:r>
                    <w:rPr>
                      <w:rFonts w:hint="eastAsia"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属于制造业，基本符合</w:t>
                  </w:r>
                  <w:r>
                    <w:rPr>
                      <w:rFonts w:hint="eastAsia" w:cs="Times New Roman"/>
                      <w:color w:val="auto"/>
                      <w:highlight w:val="none"/>
                      <w:lang w:val="en-US" w:eastAsia="zh-CN"/>
                    </w:rPr>
                    <w:t>园区</w:t>
                  </w:r>
                  <w:r>
                    <w:rPr>
                      <w:rFonts w:hint="eastAsia" w:ascii="Times New Roman" w:hAnsi="Times New Roman" w:eastAsia="宋体" w:cs="Times New Roman"/>
                      <w:color w:val="auto"/>
                      <w:highlight w:val="none"/>
                      <w:lang w:val="en-US" w:eastAsia="zh-CN"/>
                    </w:rPr>
                    <w:t>总体</w:t>
                  </w:r>
                  <w:r>
                    <w:rPr>
                      <w:rFonts w:hint="eastAsia" w:cs="Times New Roman"/>
                      <w:color w:val="auto"/>
                      <w:highlight w:val="none"/>
                      <w:lang w:val="en-US" w:eastAsia="zh-CN"/>
                    </w:rPr>
                    <w:t>规划</w:t>
                  </w:r>
                  <w:r>
                    <w:rPr>
                      <w:rFonts w:hint="eastAsia" w:ascii="Times New Roman" w:hAnsi="Times New Roman" w:eastAsia="宋体" w:cs="Times New Roman"/>
                      <w:color w:val="auto"/>
                      <w:highlight w:val="none"/>
                      <w:lang w:val="en-US" w:eastAsia="zh-CN"/>
                    </w:rPr>
                    <w:t>定位。</w:t>
                  </w:r>
                </w:p>
              </w:tc>
              <w:tc>
                <w:tcPr>
                  <w:tcW w:w="455" w:type="dxa"/>
                  <w:tcBorders>
                    <w:tl2br w:val="nil"/>
                    <w:tr2bl w:val="nil"/>
                  </w:tcBorders>
                  <w:shd w:val="clear" w:color="auto" w:fill="auto"/>
                  <w:vAlign w:val="center"/>
                </w:tcPr>
                <w:p w14:paraId="01B6FB88">
                  <w:pPr>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6A0BFC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5D2D9A8B">
                  <w:pPr>
                    <w:keepNext w:val="0"/>
                    <w:keepLines w:val="0"/>
                    <w:suppressLineNumbers w:val="0"/>
                    <w:spacing w:before="0" w:beforeAutospacing="0" w:after="0" w:afterAutospacing="0"/>
                    <w:ind w:left="0" w:right="0"/>
                    <w:rPr>
                      <w:rFonts w:hint="default"/>
                      <w:color w:val="000000" w:themeColor="text1"/>
                      <w:highlight w:val="green"/>
                      <w:lang w:val="en-US"/>
                      <w14:textFill>
                        <w14:solidFill>
                          <w14:schemeClr w14:val="tx1"/>
                        </w14:solidFill>
                      </w14:textFill>
                    </w:rPr>
                  </w:pPr>
                </w:p>
              </w:tc>
              <w:tc>
                <w:tcPr>
                  <w:tcW w:w="3942" w:type="dxa"/>
                  <w:tcBorders>
                    <w:tl2br w:val="nil"/>
                    <w:tr2bl w:val="nil"/>
                  </w:tcBorders>
                  <w:shd w:val="clear" w:color="auto" w:fill="auto"/>
                  <w:vAlign w:val="center"/>
                </w:tcPr>
                <w:p w14:paraId="76987DED">
                  <w:pPr>
                    <w:keepNext w:val="0"/>
                    <w:keepLines w:val="0"/>
                    <w:suppressLineNumbers w:val="0"/>
                    <w:spacing w:before="0" w:beforeAutospacing="0" w:after="0" w:afterAutospacing="0"/>
                    <w:ind w:left="0" w:right="0"/>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持续推进老旧车辆及非道路移动机械淘汰。2023年底前完成企业内部国三及以下排放标准柴油货车和国一及以下排放标准非道路移动工程机械淘汰工作。2025年底前，全市淘汰国三及以下排放标准柴油货车，推进淘汰国一及以下排放标准非道路移动工程机械。2025年全市新能源和国六排放标准货车保有量占比不低于50%。</w:t>
                  </w:r>
                </w:p>
              </w:tc>
              <w:tc>
                <w:tcPr>
                  <w:tcW w:w="2380" w:type="dxa"/>
                  <w:tcBorders>
                    <w:tl2br w:val="nil"/>
                    <w:tr2bl w:val="nil"/>
                  </w:tcBorders>
                  <w:shd w:val="clear" w:color="auto" w:fill="auto"/>
                  <w:vAlign w:val="center"/>
                </w:tcPr>
                <w:p w14:paraId="69F7C9DE">
                  <w:pPr>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项目</w:t>
                  </w:r>
                  <w:r>
                    <w:rPr>
                      <w:rFonts w:hint="eastAsia" w:ascii="Times New Roman" w:eastAsia="宋体" w:cs="Times New Roman"/>
                      <w:color w:val="000000"/>
                      <w:sz w:val="21"/>
                      <w:szCs w:val="21"/>
                      <w:highlight w:val="none"/>
                      <w:lang w:val="en-US" w:eastAsia="zh-CN"/>
                    </w:rPr>
                    <w:t>厂区内非移动道路机械建议采用清洁能源车辆</w:t>
                  </w:r>
                  <w:r>
                    <w:rPr>
                      <w:rFonts w:hint="eastAsia" w:eastAsia="宋体" w:cs="Times New Roman"/>
                      <w:color w:val="000000"/>
                      <w:sz w:val="21"/>
                      <w:szCs w:val="21"/>
                      <w:highlight w:val="none"/>
                      <w:lang w:val="en-US" w:eastAsia="zh-CN"/>
                    </w:rPr>
                    <w:t>，不得使用</w:t>
                  </w:r>
                  <w:r>
                    <w:rPr>
                      <w:rFonts w:hint="default" w:ascii="Times New Roman" w:hAnsi="Times New Roman" w:eastAsia="宋体" w:cs="Times New Roman"/>
                      <w:color w:val="000000"/>
                      <w:kern w:val="2"/>
                      <w:sz w:val="21"/>
                      <w:szCs w:val="21"/>
                      <w:highlight w:val="none"/>
                      <w:lang w:val="en-US" w:eastAsia="zh-CN" w:bidi="ar-SA"/>
                    </w:rPr>
                    <w:t>国一及以下排放标准非道路移动工程机械</w:t>
                  </w:r>
                  <w:r>
                    <w:rPr>
                      <w:rFonts w:hint="eastAsia" w:ascii="Times New Roman" w:eastAsia="宋体" w:cs="Times New Roman"/>
                      <w:color w:val="000000"/>
                      <w:sz w:val="21"/>
                      <w:szCs w:val="21"/>
                      <w:highlight w:val="none"/>
                      <w:lang w:val="en-US" w:eastAsia="zh-CN"/>
                    </w:rPr>
                    <w:t>。</w:t>
                  </w:r>
                </w:p>
              </w:tc>
              <w:tc>
                <w:tcPr>
                  <w:tcW w:w="455" w:type="dxa"/>
                  <w:tcBorders>
                    <w:tl2br w:val="nil"/>
                    <w:tr2bl w:val="nil"/>
                  </w:tcBorders>
                  <w:shd w:val="clear" w:color="auto" w:fill="auto"/>
                  <w:vAlign w:val="center"/>
                </w:tcPr>
                <w:p w14:paraId="46B03B84">
                  <w:pPr>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089CEC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7A4A263E">
                  <w:pPr>
                    <w:keepNext w:val="0"/>
                    <w:keepLines w:val="0"/>
                    <w:suppressLineNumbers w:val="0"/>
                    <w:spacing w:before="0" w:beforeAutospacing="0" w:after="0" w:afterAutospacing="0"/>
                    <w:ind w:left="0" w:right="0"/>
                    <w:rPr>
                      <w:rFonts w:hint="default"/>
                      <w:color w:val="000000" w:themeColor="text1"/>
                      <w:highlight w:val="green"/>
                      <w:lang w:val="en-US"/>
                      <w14:textFill>
                        <w14:solidFill>
                          <w14:schemeClr w14:val="tx1"/>
                        </w14:solidFill>
                      </w14:textFill>
                    </w:rPr>
                  </w:pPr>
                </w:p>
              </w:tc>
              <w:tc>
                <w:tcPr>
                  <w:tcW w:w="3942" w:type="dxa"/>
                  <w:tcBorders>
                    <w:tl2br w:val="nil"/>
                    <w:tr2bl w:val="nil"/>
                  </w:tcBorders>
                  <w:shd w:val="clear" w:color="auto" w:fill="auto"/>
                  <w:vAlign w:val="center"/>
                </w:tcPr>
                <w:p w14:paraId="21EFB171">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加强工业企业物料堆场管控。针对火电、铸造、水泥、砖瓦、有色金属冶炼与压延等涉及物料存储的行业企业，建立动态管理清单，严格控制物料储存、输送及生产工艺过程粉尘无组织排放，应密闭的要全部密闭，物料堆场抑尘设施确保正常运行。</w:t>
                  </w:r>
                </w:p>
                <w:p w14:paraId="559C7821">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kern w:val="2"/>
                      <w:sz w:val="21"/>
                      <w:szCs w:val="21"/>
                      <w:highlight w:val="none"/>
                      <w:lang w:val="en-US" w:eastAsia="zh-CN" w:bidi="ar-SA"/>
                    </w:rPr>
                    <w:t>严格落实抑尘措施，严禁露天装卸作业和物料干法作业，强化洒水抑尘，增加作业车辆和机械冲洗次数，防止扬尘污染。</w:t>
                  </w:r>
                </w:p>
              </w:tc>
              <w:tc>
                <w:tcPr>
                  <w:tcW w:w="2380" w:type="dxa"/>
                  <w:tcBorders>
                    <w:tl2br w:val="nil"/>
                    <w:tr2bl w:val="nil"/>
                  </w:tcBorders>
                  <w:shd w:val="clear" w:color="auto" w:fill="auto"/>
                  <w:vAlign w:val="center"/>
                </w:tcPr>
                <w:p w14:paraId="636FE906">
                  <w:pPr>
                    <w:keepNext w:val="0"/>
                    <w:keepLines w:val="0"/>
                    <w:pageBreakBefore w:val="0"/>
                    <w:suppressLineNumbers w:val="0"/>
                    <w:kinsoku/>
                    <w:wordWrap/>
                    <w:overflowPunct/>
                    <w:topLinePunct w:val="0"/>
                    <w:autoSpaceDE/>
                    <w:autoSpaceDN/>
                    <w:bidi w:val="0"/>
                    <w:spacing w:before="0" w:beforeAutospacing="0" w:after="0" w:afterAutospacing="0" w:line="240" w:lineRule="auto"/>
                    <w:ind w:left="0" w:leftChars="0" w:right="0" w:rightChars="0" w:firstLine="0" w:firstLineChars="0"/>
                    <w:jc w:val="both"/>
                    <w:rPr>
                      <w:rFonts w:hint="eastAsia" w:ascii="Times New Roman" w:hAnsi="Times New Roman" w:eastAsia="宋体" w:cs="Times New Roman"/>
                      <w:color w:val="000000"/>
                      <w:kern w:val="2"/>
                      <w:sz w:val="21"/>
                      <w:szCs w:val="21"/>
                      <w:highlight w:val="none"/>
                      <w:lang w:val="en-US" w:eastAsia="zh-CN" w:bidi="ar-SA"/>
                    </w:rPr>
                  </w:pPr>
                  <w:r>
                    <w:rPr>
                      <w:rFonts w:hint="eastAsia" w:cs="Times New Roman"/>
                      <w:color w:val="000000"/>
                      <w:kern w:val="2"/>
                      <w:sz w:val="21"/>
                      <w:szCs w:val="21"/>
                      <w:highlight w:val="none"/>
                      <w:lang w:val="en-US" w:eastAsia="zh-CN" w:bidi="ar-SA"/>
                    </w:rPr>
                    <w:t>本项目骨料均位于封闭车间内，并在车间顶部加装喷淋设施。</w:t>
                  </w:r>
                </w:p>
              </w:tc>
              <w:tc>
                <w:tcPr>
                  <w:tcW w:w="455" w:type="dxa"/>
                  <w:tcBorders>
                    <w:tl2br w:val="nil"/>
                    <w:tr2bl w:val="nil"/>
                  </w:tcBorders>
                  <w:shd w:val="clear" w:color="auto" w:fill="auto"/>
                  <w:vAlign w:val="center"/>
                </w:tcPr>
                <w:p w14:paraId="70FA1675">
                  <w:pPr>
                    <w:keepNext w:val="0"/>
                    <w:keepLines w:val="0"/>
                    <w:suppressLineNumbers w:val="0"/>
                    <w:spacing w:before="0" w:beforeAutospacing="0" w:after="0" w:afterAutospacing="0"/>
                    <w:ind w:left="0" w:right="0"/>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7D00F1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restart"/>
                  <w:tcBorders>
                    <w:tl2br w:val="nil"/>
                    <w:tr2bl w:val="nil"/>
                  </w:tcBorders>
                  <w:shd w:val="clear" w:color="auto" w:fill="auto"/>
                  <w:vAlign w:val="center"/>
                </w:tcPr>
                <w:p w14:paraId="0D1A0B8F">
                  <w:pPr>
                    <w:pStyle w:val="67"/>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《工业炉窑大气污染综合治理方案》</w:t>
                  </w:r>
                  <w:r>
                    <w:rPr>
                      <w:rFonts w:hint="eastAsia" w:ascii="Times New Roman" w:hAnsi="Times New Roman" w:cs="Times New Roman"/>
                      <w:color w:val="auto"/>
                      <w:sz w:val="21"/>
                      <w:szCs w:val="21"/>
                      <w:highlight w:val="none"/>
                      <w:lang w:eastAsia="zh-CN"/>
                    </w:rPr>
                    <w:t>（环大气〔2019〕56号）</w:t>
                  </w:r>
                </w:p>
              </w:tc>
              <w:tc>
                <w:tcPr>
                  <w:tcW w:w="3942" w:type="dxa"/>
                  <w:tcBorders>
                    <w:tl2br w:val="nil"/>
                    <w:tr2bl w:val="nil"/>
                  </w:tcBorders>
                  <w:shd w:val="clear" w:color="auto" w:fill="auto"/>
                  <w:vAlign w:val="center"/>
                </w:tcPr>
                <w:p w14:paraId="067C3283">
                  <w:pPr>
                    <w:pStyle w:val="67"/>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新建涉工业炉窑的建设项目，原则上要入园区，配套建设高效环保治理设施。重点区域严格控制涉工业炉窑建设项目，严禁新增钢铁、焦化、电解铝、铸造、水泥和平板玻璃等产能</w:t>
                  </w:r>
                  <w:r>
                    <w:rPr>
                      <w:rFonts w:hint="eastAsia" w:ascii="Times New Roman" w:hAnsi="Times New Roman" w:cs="Times New Roman"/>
                      <w:color w:val="auto"/>
                      <w:sz w:val="21"/>
                      <w:szCs w:val="21"/>
                      <w:highlight w:val="none"/>
                      <w:lang w:eastAsia="zh-CN"/>
                    </w:rPr>
                    <w:t>。</w:t>
                  </w:r>
                </w:p>
              </w:tc>
              <w:tc>
                <w:tcPr>
                  <w:tcW w:w="2380" w:type="dxa"/>
                  <w:tcBorders>
                    <w:tl2br w:val="nil"/>
                    <w:tr2bl w:val="nil"/>
                  </w:tcBorders>
                  <w:shd w:val="clear" w:color="auto" w:fill="auto"/>
                  <w:vAlign w:val="center"/>
                </w:tcPr>
                <w:p w14:paraId="166A7BBB">
                  <w:pPr>
                    <w:pStyle w:val="67"/>
                    <w:keepNext w:val="0"/>
                    <w:keepLines w:val="0"/>
                    <w:suppressLineNumbers w:val="0"/>
                    <w:wordWrap w:val="0"/>
                    <w:spacing w:before="0" w:beforeAutospacing="0" w:after="0" w:afterAutospacing="0"/>
                    <w:ind w:left="0" w:right="0"/>
                    <w:jc w:val="both"/>
                    <w:rPr>
                      <w:rFonts w:hint="eastAsia" w:ascii="宋体" w:hAnsi="Times New Roman" w:eastAsia="宋体" w:cs="Times New Roman"/>
                      <w:color w:val="auto"/>
                      <w:kern w:val="0"/>
                      <w:sz w:val="21"/>
                      <w:szCs w:val="21"/>
                      <w:lang w:val="en-US" w:eastAsia="zh-CN" w:bidi="ar-SA"/>
                    </w:rPr>
                  </w:pPr>
                  <w:r>
                    <w:rPr>
                      <w:rFonts w:hint="eastAsia" w:ascii="Times New Roman" w:hAnsi="Times New Roman" w:eastAsia="宋体" w:cs="Times New Roman"/>
                      <w:i w:val="0"/>
                      <w:iCs w:val="0"/>
                      <w:color w:val="auto"/>
                      <w:kern w:val="0"/>
                      <w:sz w:val="21"/>
                      <w:szCs w:val="21"/>
                      <w:u w:val="none"/>
                      <w:lang w:val="en-US" w:eastAsia="zh-CN" w:bidi="ar"/>
                    </w:rPr>
                    <w:t>项目位于园区内，工艺中采用</w:t>
                  </w:r>
                  <w:r>
                    <w:rPr>
                      <w:rFonts w:hint="eastAsia" w:ascii="Times New Roman" w:hAnsi="Times New Roman" w:eastAsia="宋体" w:cs="Times New Roman"/>
                      <w:color w:val="auto"/>
                      <w:sz w:val="21"/>
                      <w:szCs w:val="21"/>
                      <w:highlight w:val="none"/>
                      <w:lang w:val="en-US" w:eastAsia="zh-CN"/>
                    </w:rPr>
                    <w:t>原生料滚筒、再生料滚筒</w:t>
                  </w:r>
                  <w:r>
                    <w:rPr>
                      <w:rFonts w:hint="eastAsia" w:ascii="Times New Roman" w:hAnsi="Times New Roman" w:eastAsia="宋体" w:cs="Times New Roman"/>
                      <w:i w:val="0"/>
                      <w:iCs w:val="0"/>
                      <w:color w:val="auto"/>
                      <w:kern w:val="0"/>
                      <w:sz w:val="21"/>
                      <w:szCs w:val="21"/>
                      <w:u w:val="none"/>
                      <w:lang w:val="en-US" w:eastAsia="zh-CN" w:bidi="ar"/>
                    </w:rPr>
                    <w:t>进行干燥，</w:t>
                  </w:r>
                  <w:r>
                    <w:rPr>
                      <w:rFonts w:hint="eastAsia" w:ascii="Times New Roman" w:hAnsi="Times New Roman" w:eastAsia="宋体" w:cs="Times New Roman"/>
                      <w:bCs/>
                      <w:color w:val="auto"/>
                      <w:lang w:val="en-US" w:eastAsia="zh-CN"/>
                    </w:rPr>
                    <w:t>烘干废气通过引风机经脉冲布袋除尘后通过25m排气筒排放</w:t>
                  </w:r>
                  <w:r>
                    <w:rPr>
                      <w:rFonts w:hint="eastAsia" w:ascii="Times New Roman" w:hAnsi="Times New Roman" w:eastAsia="宋体" w:cs="Times New Roman"/>
                      <w:i w:val="0"/>
                      <w:iCs w:val="0"/>
                      <w:color w:val="auto"/>
                      <w:kern w:val="0"/>
                      <w:sz w:val="21"/>
                      <w:szCs w:val="21"/>
                      <w:u w:val="none"/>
                      <w:lang w:val="en-US" w:eastAsia="zh-CN" w:bidi="ar"/>
                    </w:rPr>
                    <w:t>。另外项目不属于</w:t>
                  </w:r>
                  <w:r>
                    <w:rPr>
                      <w:rFonts w:hint="default" w:ascii="Times New Roman" w:hAnsi="Times New Roman" w:cs="Times New Roman"/>
                      <w:color w:val="auto"/>
                      <w:sz w:val="21"/>
                      <w:szCs w:val="21"/>
                      <w:highlight w:val="none"/>
                    </w:rPr>
                    <w:t>严禁新增产能</w:t>
                  </w:r>
                  <w:r>
                    <w:rPr>
                      <w:rFonts w:hint="eastAsia" w:ascii="Times New Roman" w:hAnsi="Times New Roman" w:cs="Times New Roman"/>
                      <w:color w:val="auto"/>
                      <w:sz w:val="21"/>
                      <w:szCs w:val="21"/>
                      <w:highlight w:val="none"/>
                      <w:lang w:eastAsia="zh-CN"/>
                    </w:rPr>
                    <w:t>行业。</w:t>
                  </w:r>
                </w:p>
              </w:tc>
              <w:tc>
                <w:tcPr>
                  <w:tcW w:w="455" w:type="dxa"/>
                  <w:tcBorders>
                    <w:tl2br w:val="nil"/>
                    <w:tr2bl w:val="nil"/>
                  </w:tcBorders>
                  <w:shd w:val="clear" w:color="auto" w:fill="auto"/>
                  <w:vAlign w:val="center"/>
                </w:tcPr>
                <w:p w14:paraId="5CACAC85">
                  <w:pPr>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35BD76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7CC2AB7E">
                  <w:pPr>
                    <w:keepNext w:val="0"/>
                    <w:keepLines w:val="0"/>
                    <w:suppressLineNumbers w:val="0"/>
                    <w:spacing w:before="0" w:beforeAutospacing="0" w:after="0" w:afterAutospacing="0"/>
                    <w:ind w:left="0" w:right="0"/>
                    <w:rPr>
                      <w:rFonts w:hint="default"/>
                      <w:color w:val="000000" w:themeColor="text1"/>
                      <w:highlight w:val="green"/>
                      <w:lang w:val="en-US"/>
                      <w14:textFill>
                        <w14:solidFill>
                          <w14:schemeClr w14:val="tx1"/>
                        </w14:solidFill>
                      </w14:textFill>
                    </w:rPr>
                  </w:pPr>
                </w:p>
              </w:tc>
              <w:tc>
                <w:tcPr>
                  <w:tcW w:w="3942" w:type="dxa"/>
                  <w:tcBorders>
                    <w:tl2br w:val="nil"/>
                    <w:tr2bl w:val="nil"/>
                  </w:tcBorders>
                  <w:shd w:val="clear" w:color="auto" w:fill="auto"/>
                  <w:vAlign w:val="center"/>
                </w:tcPr>
                <w:p w14:paraId="534EB210">
                  <w:pPr>
                    <w:pStyle w:val="67"/>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对以煤、石油焦、渣油、重油等为燃料的工业炉窑，加快使用清洁低碳能源以及利用工厂余热、电厂热力等进行替代。</w:t>
                  </w:r>
                </w:p>
              </w:tc>
              <w:tc>
                <w:tcPr>
                  <w:tcW w:w="2380" w:type="dxa"/>
                  <w:tcBorders>
                    <w:tl2br w:val="nil"/>
                    <w:tr2bl w:val="nil"/>
                  </w:tcBorders>
                  <w:shd w:val="clear" w:color="auto" w:fill="auto"/>
                  <w:vAlign w:val="center"/>
                </w:tcPr>
                <w:p w14:paraId="51C39944">
                  <w:pPr>
                    <w:pStyle w:val="67"/>
                    <w:keepNext w:val="0"/>
                    <w:keepLines w:val="0"/>
                    <w:suppressLineNumbers w:val="0"/>
                    <w:wordWrap w:val="0"/>
                    <w:spacing w:before="0" w:beforeAutospacing="0" w:after="0" w:afterAutospacing="0"/>
                    <w:ind w:left="0" w:right="0"/>
                    <w:jc w:val="both"/>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sz w:val="21"/>
                      <w:szCs w:val="21"/>
                      <w:highlight w:val="none"/>
                      <w:lang w:eastAsia="zh-CN"/>
                    </w:rPr>
                    <w:t>本项目</w:t>
                  </w:r>
                  <w:r>
                    <w:rPr>
                      <w:rFonts w:hint="eastAsia" w:ascii="Times New Roman" w:hAnsi="Times New Roman" w:eastAsia="宋体" w:cs="Times New Roman"/>
                      <w:i w:val="0"/>
                      <w:iCs w:val="0"/>
                      <w:color w:val="auto"/>
                      <w:kern w:val="0"/>
                      <w:sz w:val="21"/>
                      <w:szCs w:val="21"/>
                      <w:u w:val="none"/>
                      <w:lang w:val="en-US" w:eastAsia="zh-CN" w:bidi="ar"/>
                    </w:rPr>
                    <w:t>燃用天然气。</w:t>
                  </w:r>
                </w:p>
              </w:tc>
              <w:tc>
                <w:tcPr>
                  <w:tcW w:w="455" w:type="dxa"/>
                  <w:tcBorders>
                    <w:tl2br w:val="nil"/>
                    <w:tr2bl w:val="nil"/>
                  </w:tcBorders>
                  <w:shd w:val="clear" w:color="auto" w:fill="auto"/>
                  <w:vAlign w:val="center"/>
                </w:tcPr>
                <w:p w14:paraId="1E36B96C">
                  <w:pPr>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4941DE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4ECB537C">
                  <w:pPr>
                    <w:keepNext w:val="0"/>
                    <w:keepLines w:val="0"/>
                    <w:suppressLineNumbers w:val="0"/>
                    <w:spacing w:before="0" w:beforeAutospacing="0" w:after="0" w:afterAutospacing="0"/>
                    <w:ind w:left="0" w:right="0"/>
                    <w:rPr>
                      <w:rFonts w:hint="default"/>
                      <w:color w:val="000000" w:themeColor="text1"/>
                      <w:highlight w:val="green"/>
                      <w:lang w:val="en-US"/>
                      <w14:textFill>
                        <w14:solidFill>
                          <w14:schemeClr w14:val="tx1"/>
                        </w14:solidFill>
                      </w14:textFill>
                    </w:rPr>
                  </w:pPr>
                </w:p>
              </w:tc>
              <w:tc>
                <w:tcPr>
                  <w:tcW w:w="3942" w:type="dxa"/>
                  <w:tcBorders>
                    <w:tl2br w:val="nil"/>
                    <w:tr2bl w:val="nil"/>
                  </w:tcBorders>
                  <w:shd w:val="clear" w:color="auto" w:fill="auto"/>
                  <w:vAlign w:val="center"/>
                </w:tcPr>
                <w:p w14:paraId="41A78F94">
                  <w:pPr>
                    <w:pStyle w:val="67"/>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暂未制订行业排放标准的工业炉窑，包括铸造，日用玻璃，玻璃纤维、耐火材料、石灰、矿物棉等建材行业，钨、工业硅、金属冶炼废渣（灰）二次提取等有色金属行业，氮肥、电石、无机磷、活性炭等化工行业，应参照相关行业已出台的标准，全面加大污染治理力度（见附件4），铸造行业烧结、高炉工序污染排放控制按照钢铁行业相关标准要求执行；重点区域原则上按照颗粒物、二氧化硫、氮氧化物排放限值分别不高于30、200、300毫克/立方米实施改造</w:t>
                  </w:r>
                  <w:r>
                    <w:rPr>
                      <w:rFonts w:hint="eastAsia" w:ascii="Times New Roman" w:hAnsi="Times New Roman" w:eastAsia="宋体" w:cs="Times New Roman"/>
                      <w:color w:val="auto"/>
                      <w:sz w:val="21"/>
                      <w:szCs w:val="21"/>
                      <w:highlight w:val="none"/>
                      <w:lang w:eastAsia="zh-CN"/>
                    </w:rPr>
                    <w:t>。</w:t>
                  </w:r>
                </w:p>
              </w:tc>
              <w:tc>
                <w:tcPr>
                  <w:tcW w:w="2380" w:type="dxa"/>
                  <w:tcBorders>
                    <w:tl2br w:val="nil"/>
                    <w:tr2bl w:val="nil"/>
                  </w:tcBorders>
                  <w:shd w:val="clear" w:color="auto" w:fill="auto"/>
                  <w:vAlign w:val="center"/>
                </w:tcPr>
                <w:p w14:paraId="09E64EC8">
                  <w:pPr>
                    <w:pStyle w:val="67"/>
                    <w:keepNext w:val="0"/>
                    <w:keepLines w:val="0"/>
                    <w:suppressLineNumbers w:val="0"/>
                    <w:wordWrap w:val="0"/>
                    <w:spacing w:before="0" w:beforeAutospacing="0" w:after="0" w:afterAutospacing="0"/>
                    <w:ind w:left="0" w:right="0"/>
                    <w:jc w:val="both"/>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sz w:val="21"/>
                      <w:szCs w:val="21"/>
                      <w:highlight w:val="none"/>
                      <w:lang w:eastAsia="zh-CN"/>
                    </w:rPr>
                    <w:t>项目</w:t>
                  </w:r>
                  <w:r>
                    <w:rPr>
                      <w:rFonts w:hint="eastAsia" w:ascii="Times New Roman" w:cs="Times New Roman"/>
                      <w:color w:val="auto"/>
                      <w:sz w:val="21"/>
                      <w:szCs w:val="21"/>
                      <w:highlight w:val="none"/>
                      <w:lang w:val="en-US" w:eastAsia="zh-CN"/>
                    </w:rPr>
                    <w:t>上料、生料</w:t>
                  </w:r>
                  <w:r>
                    <w:rPr>
                      <w:rFonts w:hint="eastAsia" w:ascii="Times New Roman" w:hAnsi="Times New Roman" w:cs="Times New Roman"/>
                      <w:color w:val="auto"/>
                      <w:sz w:val="21"/>
                      <w:szCs w:val="21"/>
                      <w:highlight w:val="none"/>
                      <w:lang w:val="en-US" w:eastAsia="zh-CN"/>
                    </w:rPr>
                    <w:t>烘干废气</w:t>
                  </w:r>
                  <w:r>
                    <w:rPr>
                      <w:rFonts w:hint="default" w:ascii="Times New Roman" w:hAnsi="Times New Roman" w:eastAsia="宋体" w:cs="Times New Roman"/>
                      <w:color w:val="auto"/>
                      <w:sz w:val="21"/>
                      <w:szCs w:val="21"/>
                      <w:highlight w:val="none"/>
                      <w:lang w:eastAsia="zh-CN"/>
                    </w:rPr>
                    <w:t>颗粒物、二氧化硫、氮氧化物排放限值分别</w:t>
                  </w:r>
                  <w:r>
                    <w:rPr>
                      <w:rFonts w:hint="eastAsia" w:ascii="Times New Roman" w:hAnsi="Times New Roman" w:eastAsia="宋体" w:cs="Times New Roman"/>
                      <w:color w:val="auto"/>
                      <w:sz w:val="21"/>
                      <w:szCs w:val="21"/>
                      <w:highlight w:val="none"/>
                      <w:lang w:val="en-US" w:eastAsia="zh-CN"/>
                    </w:rPr>
                    <w:t>按照</w:t>
                  </w:r>
                  <w:r>
                    <w:rPr>
                      <w:rFonts w:hint="default" w:ascii="Times New Roman" w:hAnsi="Times New Roman" w:eastAsia="宋体" w:cs="Times New Roman"/>
                      <w:color w:val="auto"/>
                      <w:sz w:val="21"/>
                      <w:szCs w:val="21"/>
                      <w:highlight w:val="none"/>
                      <w:lang w:eastAsia="zh-CN"/>
                    </w:rPr>
                    <w:t>不高于30、200、300毫克/立方米</w:t>
                  </w:r>
                  <w:r>
                    <w:rPr>
                      <w:rFonts w:hint="eastAsia" w:ascii="Times New Roman" w:hAnsi="Times New Roman" w:eastAsia="宋体" w:cs="Times New Roman"/>
                      <w:color w:val="auto"/>
                      <w:sz w:val="21"/>
                      <w:szCs w:val="21"/>
                      <w:highlight w:val="none"/>
                      <w:lang w:val="en-US" w:eastAsia="zh-CN"/>
                    </w:rPr>
                    <w:t>执行</w:t>
                  </w:r>
                  <w:r>
                    <w:rPr>
                      <w:rFonts w:hint="eastAsia" w:ascii="Times New Roman" w:hAnsi="Times New Roman" w:eastAsia="宋体" w:cs="Times New Roman"/>
                      <w:color w:val="auto"/>
                      <w:sz w:val="21"/>
                      <w:szCs w:val="21"/>
                      <w:highlight w:val="none"/>
                      <w:lang w:eastAsia="zh-CN"/>
                    </w:rPr>
                    <w:t>。</w:t>
                  </w:r>
                </w:p>
              </w:tc>
              <w:tc>
                <w:tcPr>
                  <w:tcW w:w="455" w:type="dxa"/>
                  <w:tcBorders>
                    <w:tl2br w:val="nil"/>
                    <w:tr2bl w:val="nil"/>
                  </w:tcBorders>
                  <w:shd w:val="clear" w:color="auto" w:fill="auto"/>
                  <w:vAlign w:val="center"/>
                </w:tcPr>
                <w:p w14:paraId="089F0347">
                  <w:pPr>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3B2D58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14701704">
                  <w:pPr>
                    <w:keepNext w:val="0"/>
                    <w:keepLines w:val="0"/>
                    <w:suppressLineNumbers w:val="0"/>
                    <w:spacing w:before="0" w:beforeAutospacing="0" w:after="0" w:afterAutospacing="0"/>
                    <w:ind w:left="0" w:right="0"/>
                    <w:rPr>
                      <w:rFonts w:hint="default"/>
                      <w:color w:val="000000" w:themeColor="text1"/>
                      <w:highlight w:val="green"/>
                      <w:lang w:val="en-US"/>
                      <w14:textFill>
                        <w14:solidFill>
                          <w14:schemeClr w14:val="tx1"/>
                        </w14:solidFill>
                      </w14:textFill>
                    </w:rPr>
                  </w:pPr>
                </w:p>
              </w:tc>
              <w:tc>
                <w:tcPr>
                  <w:tcW w:w="3942" w:type="dxa"/>
                  <w:tcBorders>
                    <w:tl2br w:val="nil"/>
                    <w:tr2bl w:val="nil"/>
                  </w:tcBorders>
                  <w:shd w:val="clear" w:color="auto" w:fill="auto"/>
                  <w:vAlign w:val="center"/>
                </w:tcPr>
                <w:p w14:paraId="7E73DC4C">
                  <w:pPr>
                    <w:pStyle w:val="67"/>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严格控制工业炉窑生产工艺过程及相关物料储存、输送等无组织排放，在保障生产安全的前提下，采取密闭、封闭等有效措施，有效提高废气收集率，产尘点及车间不得有可见烟粉尘外逸。生产工艺产尘点（装置）应采取密闭、封闭或设置集气罩等措施。</w:t>
                  </w:r>
                </w:p>
              </w:tc>
              <w:tc>
                <w:tcPr>
                  <w:tcW w:w="2380" w:type="dxa"/>
                  <w:tcBorders>
                    <w:tl2br w:val="nil"/>
                    <w:tr2bl w:val="nil"/>
                  </w:tcBorders>
                  <w:shd w:val="clear" w:color="auto" w:fill="auto"/>
                  <w:vAlign w:val="center"/>
                </w:tcPr>
                <w:p w14:paraId="293623E3">
                  <w:pPr>
                    <w:pStyle w:val="67"/>
                    <w:keepNext w:val="0"/>
                    <w:keepLines w:val="0"/>
                    <w:suppressLineNumbers w:val="0"/>
                    <w:wordWrap w:val="0"/>
                    <w:spacing w:before="0" w:beforeAutospacing="0" w:after="0" w:afterAutospacing="0"/>
                    <w:ind w:left="0" w:right="0"/>
                    <w:jc w:val="both"/>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sz w:val="21"/>
                      <w:szCs w:val="21"/>
                      <w:highlight w:val="none"/>
                      <w:lang w:eastAsia="zh-CN"/>
                    </w:rPr>
                    <w:t>项目</w:t>
                  </w:r>
                  <w:r>
                    <w:rPr>
                      <w:rFonts w:hint="eastAsia" w:ascii="Times New Roman" w:hAnsi="Times New Roman" w:cs="Times New Roman"/>
                      <w:color w:val="auto"/>
                      <w:sz w:val="21"/>
                      <w:szCs w:val="21"/>
                      <w:highlight w:val="none"/>
                      <w:lang w:val="en-US" w:eastAsia="zh-CN"/>
                    </w:rPr>
                    <w:t>烘干滚筒为封闭状态烘干废气经管道收集</w:t>
                  </w:r>
                  <w:r>
                    <w:rPr>
                      <w:rFonts w:hint="eastAsia" w:ascii="Times New Roman" w:cs="Times New Roman"/>
                      <w:color w:val="auto"/>
                      <w:sz w:val="21"/>
                      <w:szCs w:val="21"/>
                      <w:highlight w:val="none"/>
                      <w:lang w:val="en-US" w:eastAsia="zh-CN"/>
                    </w:rPr>
                    <w:t>到</w:t>
                  </w:r>
                  <w:r>
                    <w:rPr>
                      <w:rFonts w:hint="eastAsia" w:ascii="Times New Roman" w:hAnsi="Times New Roman" w:cs="Times New Roman"/>
                      <w:color w:val="auto"/>
                      <w:sz w:val="21"/>
                      <w:szCs w:val="21"/>
                      <w:highlight w:val="none"/>
                      <w:lang w:val="en-US" w:eastAsia="zh-CN"/>
                    </w:rPr>
                    <w:t>环保措施，输送系统采用封闭的输送皮带</w:t>
                  </w:r>
                  <w:r>
                    <w:rPr>
                      <w:rFonts w:hint="eastAsia" w:ascii="Times New Roman" w:hAnsi="Times New Roman" w:eastAsia="宋体" w:cs="Times New Roman"/>
                      <w:i w:val="0"/>
                      <w:iCs w:val="0"/>
                      <w:color w:val="auto"/>
                      <w:kern w:val="0"/>
                      <w:sz w:val="21"/>
                      <w:szCs w:val="21"/>
                      <w:u w:val="none"/>
                      <w:lang w:val="en-US" w:eastAsia="zh-CN" w:bidi="ar"/>
                    </w:rPr>
                    <w:t>。</w:t>
                  </w:r>
                </w:p>
              </w:tc>
              <w:tc>
                <w:tcPr>
                  <w:tcW w:w="455" w:type="dxa"/>
                  <w:tcBorders>
                    <w:tl2br w:val="nil"/>
                    <w:tr2bl w:val="nil"/>
                  </w:tcBorders>
                  <w:shd w:val="clear" w:color="auto" w:fill="auto"/>
                  <w:vAlign w:val="center"/>
                </w:tcPr>
                <w:p w14:paraId="47CAC051">
                  <w:pPr>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215AB1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2D994836">
                  <w:pPr>
                    <w:keepNext w:val="0"/>
                    <w:keepLines w:val="0"/>
                    <w:suppressLineNumbers w:val="0"/>
                    <w:spacing w:before="0" w:beforeAutospacing="0" w:after="0" w:afterAutospacing="0"/>
                    <w:ind w:left="0" w:right="0"/>
                    <w:rPr>
                      <w:rFonts w:hint="default"/>
                      <w:color w:val="000000" w:themeColor="text1"/>
                      <w:highlight w:val="green"/>
                      <w:lang w:val="en-US"/>
                      <w14:textFill>
                        <w14:solidFill>
                          <w14:schemeClr w14:val="tx1"/>
                        </w14:solidFill>
                      </w14:textFill>
                    </w:rPr>
                  </w:pPr>
                </w:p>
              </w:tc>
              <w:tc>
                <w:tcPr>
                  <w:tcW w:w="3942" w:type="dxa"/>
                  <w:tcBorders>
                    <w:tl2br w:val="nil"/>
                    <w:tr2bl w:val="nil"/>
                  </w:tcBorders>
                  <w:shd w:val="clear" w:color="auto" w:fill="auto"/>
                  <w:vAlign w:val="center"/>
                </w:tcPr>
                <w:p w14:paraId="4CF90E8B">
                  <w:pPr>
                    <w:pStyle w:val="67"/>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粒状、块状物料应采用入棚入仓或建设防风抑尘网等方式进行储存，粒状物料采用密闭、封闭等方式输送。物料输送过程中产尘点应采取有效抑尘措施。</w:t>
                  </w:r>
                </w:p>
              </w:tc>
              <w:tc>
                <w:tcPr>
                  <w:tcW w:w="2380" w:type="dxa"/>
                  <w:tcBorders>
                    <w:tl2br w:val="nil"/>
                    <w:tr2bl w:val="nil"/>
                  </w:tcBorders>
                  <w:shd w:val="clear" w:color="auto" w:fill="auto"/>
                  <w:vAlign w:val="center"/>
                </w:tcPr>
                <w:p w14:paraId="0CF6720D">
                  <w:pPr>
                    <w:pStyle w:val="67"/>
                    <w:keepNext w:val="0"/>
                    <w:keepLines w:val="0"/>
                    <w:suppressLineNumbers w:val="0"/>
                    <w:wordWrap w:val="0"/>
                    <w:spacing w:before="0" w:beforeAutospacing="0" w:after="0" w:afterAutospacing="0"/>
                    <w:ind w:left="0" w:right="0"/>
                    <w:jc w:val="both"/>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sz w:val="21"/>
                      <w:szCs w:val="21"/>
                      <w:highlight w:val="none"/>
                      <w:lang w:eastAsia="zh-CN"/>
                    </w:rPr>
                    <w:t>原料</w:t>
                  </w:r>
                  <w:r>
                    <w:rPr>
                      <w:rFonts w:hint="eastAsia" w:ascii="Times New Roman" w:hAnsi="Times New Roman" w:cs="Times New Roman"/>
                      <w:color w:val="auto"/>
                      <w:sz w:val="21"/>
                      <w:szCs w:val="21"/>
                      <w:highlight w:val="none"/>
                      <w:lang w:val="en-US" w:eastAsia="zh-CN"/>
                    </w:rPr>
                    <w:t>位于封闭仓库内</w:t>
                  </w:r>
                  <w:r>
                    <w:rPr>
                      <w:rFonts w:hint="eastAsia" w:ascii="Times New Roman" w:hAnsi="Times New Roman" w:cs="Times New Roman"/>
                      <w:color w:val="auto"/>
                      <w:sz w:val="21"/>
                      <w:szCs w:val="21"/>
                      <w:highlight w:val="none"/>
                      <w:lang w:eastAsia="zh-CN"/>
                    </w:rPr>
                    <w:t>，物料输送皮带进行封闭。</w:t>
                  </w:r>
                </w:p>
              </w:tc>
              <w:tc>
                <w:tcPr>
                  <w:tcW w:w="455" w:type="dxa"/>
                  <w:tcBorders>
                    <w:tl2br w:val="nil"/>
                    <w:tr2bl w:val="nil"/>
                  </w:tcBorders>
                  <w:shd w:val="clear" w:color="auto" w:fill="auto"/>
                  <w:vAlign w:val="center"/>
                </w:tcPr>
                <w:p w14:paraId="4826A995">
                  <w:pPr>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3D4991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restart"/>
                  <w:tcBorders>
                    <w:tl2br w:val="nil"/>
                    <w:tr2bl w:val="nil"/>
                  </w:tcBorders>
                  <w:shd w:val="clear" w:color="auto" w:fill="auto"/>
                  <w:vAlign w:val="center"/>
                </w:tcPr>
                <w:p w14:paraId="3D72567A">
                  <w:pPr>
                    <w:pStyle w:val="67"/>
                    <w:keepNext w:val="0"/>
                    <w:keepLines w:val="0"/>
                    <w:suppressLineNumbers w:val="0"/>
                    <w:spacing w:before="0" w:beforeAutospacing="0" w:after="0" w:afterAutospacing="0"/>
                    <w:ind w:left="0" w:right="0"/>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w:t>
                  </w:r>
                  <w:r>
                    <w:rPr>
                      <w:rFonts w:hint="default" w:ascii="Times New Roman" w:hAnsi="Times New Roman" w:eastAsia="宋体" w:cs="Times New Roman"/>
                      <w:color w:val="auto"/>
                      <w:sz w:val="21"/>
                      <w:szCs w:val="21"/>
                      <w:highlight w:val="none"/>
                    </w:rPr>
                    <w:t>陕西省工业炉窑大气污染综合治理实施方案</w:t>
                  </w:r>
                  <w:r>
                    <w:rPr>
                      <w:rFonts w:hint="eastAsia"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rPr>
                    <w:t>陕环函〔2019〕247号</w:t>
                  </w:r>
                  <w:r>
                    <w:rPr>
                      <w:rFonts w:hint="eastAsia" w:ascii="Times New Roman" w:hAnsi="Times New Roman" w:eastAsia="宋体" w:cs="Times New Roman"/>
                      <w:color w:val="auto"/>
                      <w:sz w:val="21"/>
                      <w:szCs w:val="21"/>
                      <w:highlight w:val="none"/>
                    </w:rPr>
                    <w:t>）</w:t>
                  </w:r>
                </w:p>
              </w:tc>
              <w:tc>
                <w:tcPr>
                  <w:tcW w:w="3942" w:type="dxa"/>
                  <w:tcBorders>
                    <w:tl2br w:val="nil"/>
                    <w:tr2bl w:val="nil"/>
                  </w:tcBorders>
                  <w:shd w:val="clear" w:color="auto" w:fill="auto"/>
                  <w:vAlign w:val="center"/>
                </w:tcPr>
                <w:p w14:paraId="1151AF09">
                  <w:pPr>
                    <w:pStyle w:val="67"/>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加快燃料清洁低碳化替代。对以煤、石油焦、渣油、重油等为燃料的工业炉窑，加快使用清洁低碳能源以及利用工厂余热、电厂热力等进行替代，关中地区禁止掺烧高石油焦(含量大于3%)。玻璃行业全面禁止掺烧高石油焦。</w:t>
                  </w:r>
                </w:p>
              </w:tc>
              <w:tc>
                <w:tcPr>
                  <w:tcW w:w="2380" w:type="dxa"/>
                  <w:tcBorders>
                    <w:tl2br w:val="nil"/>
                    <w:tr2bl w:val="nil"/>
                  </w:tcBorders>
                  <w:shd w:val="clear" w:color="auto" w:fill="auto"/>
                  <w:vAlign w:val="center"/>
                </w:tcPr>
                <w:p w14:paraId="5A460FF4">
                  <w:pPr>
                    <w:pStyle w:val="67"/>
                    <w:keepNext w:val="0"/>
                    <w:keepLines w:val="0"/>
                    <w:suppressLineNumbers w:val="0"/>
                    <w:wordWrap w:val="0"/>
                    <w:spacing w:before="0" w:beforeAutospacing="0" w:after="0" w:afterAutospacing="0"/>
                    <w:ind w:left="0" w:right="0"/>
                    <w:jc w:val="both"/>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sz w:val="21"/>
                      <w:szCs w:val="21"/>
                      <w:highlight w:val="none"/>
                      <w:lang w:eastAsia="zh-CN"/>
                    </w:rPr>
                    <w:t>本项目</w:t>
                  </w:r>
                  <w:r>
                    <w:rPr>
                      <w:rFonts w:hint="eastAsia" w:ascii="Times New Roman" w:hAnsi="Times New Roman" w:eastAsia="宋体" w:cs="Times New Roman"/>
                      <w:i w:val="0"/>
                      <w:iCs w:val="0"/>
                      <w:color w:val="auto"/>
                      <w:kern w:val="0"/>
                      <w:sz w:val="21"/>
                      <w:szCs w:val="21"/>
                      <w:u w:val="none"/>
                      <w:lang w:val="en-US" w:eastAsia="zh-CN" w:bidi="ar"/>
                    </w:rPr>
                    <w:t>燃用天然气。</w:t>
                  </w:r>
                </w:p>
              </w:tc>
              <w:tc>
                <w:tcPr>
                  <w:tcW w:w="455" w:type="dxa"/>
                  <w:tcBorders>
                    <w:tl2br w:val="nil"/>
                    <w:tr2bl w:val="nil"/>
                  </w:tcBorders>
                  <w:shd w:val="clear" w:color="auto" w:fill="auto"/>
                  <w:vAlign w:val="center"/>
                </w:tcPr>
                <w:p w14:paraId="62FB3EB9">
                  <w:pPr>
                    <w:keepNext w:val="0"/>
                    <w:keepLines w:val="0"/>
                    <w:suppressLineNumbers w:val="0"/>
                    <w:spacing w:before="0" w:beforeAutospacing="0" w:after="0" w:afterAutospacing="0"/>
                    <w:ind w:left="0" w:leftChars="0" w:right="0" w:rightChars="0"/>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r w14:paraId="029437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41" w:type="dxa"/>
                  <w:vMerge w:val="continue"/>
                  <w:tcBorders>
                    <w:tl2br w:val="nil"/>
                    <w:tr2bl w:val="nil"/>
                  </w:tcBorders>
                  <w:vAlign w:val="center"/>
                </w:tcPr>
                <w:p w14:paraId="461ADF0B">
                  <w:pPr>
                    <w:keepNext w:val="0"/>
                    <w:keepLines w:val="0"/>
                    <w:suppressLineNumbers w:val="0"/>
                    <w:spacing w:before="0" w:beforeAutospacing="0" w:after="0" w:afterAutospacing="0"/>
                    <w:ind w:left="0" w:right="0"/>
                    <w:rPr>
                      <w:rFonts w:hint="default"/>
                      <w:color w:val="000000" w:themeColor="text1"/>
                      <w:highlight w:val="green"/>
                      <w:lang w:val="en-US"/>
                      <w14:textFill>
                        <w14:solidFill>
                          <w14:schemeClr w14:val="tx1"/>
                        </w14:solidFill>
                      </w14:textFill>
                    </w:rPr>
                  </w:pPr>
                </w:p>
              </w:tc>
              <w:tc>
                <w:tcPr>
                  <w:tcW w:w="3942" w:type="dxa"/>
                  <w:tcBorders>
                    <w:tl2br w:val="nil"/>
                    <w:tr2bl w:val="nil"/>
                  </w:tcBorders>
                  <w:shd w:val="clear" w:color="auto" w:fill="auto"/>
                  <w:vAlign w:val="center"/>
                </w:tcPr>
                <w:p w14:paraId="62C167C1">
                  <w:pPr>
                    <w:pStyle w:val="67"/>
                    <w:keepNext w:val="0"/>
                    <w:keepLines w:val="0"/>
                    <w:suppressLineNumbers w:val="0"/>
                    <w:spacing w:before="0" w:beforeAutospacing="0" w:after="0" w:afterAutospacing="0"/>
                    <w:ind w:left="0" w:right="0"/>
                    <w:jc w:val="both"/>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sz w:val="21"/>
                      <w:szCs w:val="21"/>
                      <w:highlight w:val="none"/>
                      <w:lang w:eastAsia="zh-CN"/>
                    </w:rPr>
                    <w:t>暂未制订行业排放标准的工业炉窑，包括铸造，日用玻璃，玻璃纤维、耐火材料、石灰、矿物棉等建材行业，钨、工业硅金属冶炼废渣(灰)二次提取等有色金属行业，氮肥、电石、无机磷、活性炭等化工行业，应参照相关行业已出台的标准，全面加大污染治理力度(见附表3)，铸造行业烧结、高炉工序污染</w:t>
                  </w:r>
                  <w:r>
                    <w:rPr>
                      <w:rFonts w:hint="eastAsia" w:ascii="Times New Roman" w:cs="Times New Roman"/>
                      <w:color w:val="auto"/>
                      <w:sz w:val="21"/>
                      <w:szCs w:val="21"/>
                      <w:highlight w:val="none"/>
                      <w:lang w:val="en-US" w:eastAsia="zh-CN"/>
                    </w:rPr>
                    <w:t>排</w:t>
                  </w:r>
                  <w:r>
                    <w:rPr>
                      <w:rFonts w:hint="eastAsia" w:ascii="Times New Roman" w:hAnsi="Times New Roman" w:eastAsia="宋体" w:cs="Times New Roman"/>
                      <w:color w:val="auto"/>
                      <w:sz w:val="21"/>
                      <w:szCs w:val="21"/>
                      <w:highlight w:val="none"/>
                      <w:lang w:eastAsia="zh-CN"/>
                    </w:rPr>
                    <w:t>放控制按照钢铁行业相关标准要求执行；关中地区其他未涉及的行业原则上按照颗粒物、二氧化硫、氮氧化物排放限值分别不高于30、200、300毫克/立方米实施改造。其中，日用玻璃、璃棉氮氧化物排放限值不高于400毫克/立方米。</w:t>
                  </w:r>
                </w:p>
              </w:tc>
              <w:tc>
                <w:tcPr>
                  <w:tcW w:w="2380" w:type="dxa"/>
                  <w:tcBorders>
                    <w:tl2br w:val="nil"/>
                    <w:tr2bl w:val="nil"/>
                  </w:tcBorders>
                  <w:shd w:val="clear" w:color="auto" w:fill="auto"/>
                  <w:vAlign w:val="center"/>
                </w:tcPr>
                <w:p w14:paraId="0DB8FA8C">
                  <w:pPr>
                    <w:pStyle w:val="67"/>
                    <w:keepNext w:val="0"/>
                    <w:keepLines w:val="0"/>
                    <w:suppressLineNumbers w:val="0"/>
                    <w:wordWrap w:val="0"/>
                    <w:spacing w:before="0" w:beforeAutospacing="0" w:after="0" w:afterAutospacing="0"/>
                    <w:ind w:left="0" w:right="0"/>
                    <w:jc w:val="both"/>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hAnsi="Times New Roman" w:cs="Times New Roman"/>
                      <w:color w:val="auto"/>
                      <w:sz w:val="21"/>
                      <w:szCs w:val="21"/>
                      <w:highlight w:val="none"/>
                      <w:lang w:eastAsia="zh-CN"/>
                    </w:rPr>
                    <w:t>项目</w:t>
                  </w:r>
                  <w:r>
                    <w:rPr>
                      <w:rFonts w:hint="eastAsia" w:ascii="Times New Roman" w:cs="Times New Roman"/>
                      <w:color w:val="auto"/>
                      <w:sz w:val="21"/>
                      <w:szCs w:val="21"/>
                      <w:highlight w:val="none"/>
                      <w:lang w:val="en-US" w:eastAsia="zh-CN"/>
                    </w:rPr>
                    <w:t>上料、</w:t>
                  </w:r>
                  <w:r>
                    <w:rPr>
                      <w:rFonts w:hint="eastAsia" w:ascii="Times New Roman" w:hAnsi="Times New Roman" w:cs="Times New Roman"/>
                      <w:color w:val="auto"/>
                      <w:sz w:val="21"/>
                      <w:szCs w:val="21"/>
                      <w:highlight w:val="none"/>
                      <w:lang w:val="en-US" w:eastAsia="zh-CN"/>
                    </w:rPr>
                    <w:t>生料烘干废气</w:t>
                  </w:r>
                  <w:r>
                    <w:rPr>
                      <w:rFonts w:hint="default" w:ascii="Times New Roman" w:hAnsi="Times New Roman" w:eastAsia="宋体" w:cs="Times New Roman"/>
                      <w:color w:val="auto"/>
                      <w:sz w:val="21"/>
                      <w:szCs w:val="21"/>
                      <w:highlight w:val="none"/>
                      <w:lang w:eastAsia="zh-CN"/>
                    </w:rPr>
                    <w:t>颗粒物、二氧化硫、氮氧化物排放限值分别</w:t>
                  </w:r>
                  <w:r>
                    <w:rPr>
                      <w:rFonts w:hint="eastAsia" w:ascii="Times New Roman" w:hAnsi="Times New Roman" w:eastAsia="宋体" w:cs="Times New Roman"/>
                      <w:color w:val="auto"/>
                      <w:sz w:val="21"/>
                      <w:szCs w:val="21"/>
                      <w:highlight w:val="none"/>
                      <w:lang w:val="en-US" w:eastAsia="zh-CN"/>
                    </w:rPr>
                    <w:t>按照</w:t>
                  </w:r>
                  <w:r>
                    <w:rPr>
                      <w:rFonts w:hint="default" w:ascii="Times New Roman" w:hAnsi="Times New Roman" w:eastAsia="宋体" w:cs="Times New Roman"/>
                      <w:color w:val="auto"/>
                      <w:sz w:val="21"/>
                      <w:szCs w:val="21"/>
                      <w:highlight w:val="none"/>
                      <w:lang w:eastAsia="zh-CN"/>
                    </w:rPr>
                    <w:t>不高于30、200、300毫克/立方米</w:t>
                  </w:r>
                  <w:r>
                    <w:rPr>
                      <w:rFonts w:hint="eastAsia" w:ascii="Times New Roman" w:hAnsi="Times New Roman" w:eastAsia="宋体" w:cs="Times New Roman"/>
                      <w:color w:val="auto"/>
                      <w:sz w:val="21"/>
                      <w:szCs w:val="21"/>
                      <w:highlight w:val="none"/>
                      <w:lang w:eastAsia="zh-CN"/>
                    </w:rPr>
                    <w:t>。</w:t>
                  </w:r>
                </w:p>
              </w:tc>
              <w:tc>
                <w:tcPr>
                  <w:tcW w:w="455" w:type="dxa"/>
                  <w:tcBorders>
                    <w:tl2br w:val="nil"/>
                    <w:tr2bl w:val="nil"/>
                  </w:tcBorders>
                  <w:shd w:val="clear" w:color="auto" w:fill="auto"/>
                  <w:vAlign w:val="center"/>
                </w:tcPr>
                <w:p w14:paraId="5279ED3D">
                  <w:pPr>
                    <w:keepNext w:val="0"/>
                    <w:keepLines w:val="0"/>
                    <w:suppressLineNumbers w:val="0"/>
                    <w:spacing w:before="0" w:beforeAutospacing="0" w:after="0" w:afterAutospacing="0"/>
                    <w:ind w:left="0" w:right="0"/>
                    <w:rPr>
                      <w:rFonts w:hint="eastAsia"/>
                      <w:color w:val="000000" w:themeColor="text1"/>
                      <w:highlight w:val="none"/>
                      <w:lang w:val="en-US" w:eastAsia="zh-CN"/>
                      <w14:textFill>
                        <w14:solidFill>
                          <w14:schemeClr w14:val="tx1"/>
                        </w14:solidFill>
                      </w14:textFill>
                    </w:rPr>
                  </w:pPr>
                  <w:r>
                    <w:rPr>
                      <w:rFonts w:hint="eastAsia"/>
                      <w:color w:val="000000" w:themeColor="text1"/>
                      <w:highlight w:val="none"/>
                      <w:lang w:val="en-US" w:eastAsia="zh-CN"/>
                      <w14:textFill>
                        <w14:solidFill>
                          <w14:schemeClr w14:val="tx1"/>
                        </w14:solidFill>
                      </w14:textFill>
                    </w:rPr>
                    <w:t>符合</w:t>
                  </w:r>
                </w:p>
              </w:tc>
            </w:tr>
          </w:tbl>
          <w:p w14:paraId="68BFDF1E">
            <w:pPr>
              <w:keepNext w:val="0"/>
              <w:keepLines w:val="0"/>
              <w:suppressLineNumbers w:val="0"/>
              <w:adjustRightInd w:val="0"/>
              <w:snapToGrid w:val="0"/>
              <w:spacing w:before="0" w:beforeAutospacing="0" w:after="0" w:afterAutospacing="0" w:line="460" w:lineRule="exact"/>
              <w:ind w:left="0" w:right="0" w:firstLine="480" w:firstLineChars="200"/>
              <w:jc w:val="left"/>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w:t>
            </w:r>
            <w:r>
              <w:rPr>
                <w:rFonts w:hint="eastAsia"/>
                <w:color w:val="000000" w:themeColor="text1"/>
                <w:sz w:val="24"/>
                <w:szCs w:val="24"/>
                <w:highlight w:val="none"/>
                <w14:textFill>
                  <w14:solidFill>
                    <w14:schemeClr w14:val="tx1"/>
                  </w14:solidFill>
                </w14:textFill>
              </w:rPr>
              <w:t>3</w:t>
            </w:r>
            <w:r>
              <w:rPr>
                <w:rFonts w:hint="eastAsia" w:cs="宋体"/>
                <w:color w:val="000000" w:themeColor="text1"/>
                <w:sz w:val="24"/>
                <w:szCs w:val="24"/>
                <w:highlight w:val="none"/>
                <w14:textFill>
                  <w14:solidFill>
                    <w14:schemeClr w14:val="tx1"/>
                  </w14:solidFill>
                </w14:textFill>
              </w:rPr>
              <w:t>）项目选址及规划符合性</w:t>
            </w:r>
          </w:p>
          <w:p w14:paraId="6F4ED38F">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hAnsi="宋体" w:eastAsia="宋体" w:cs="宋体"/>
                <w:color w:val="000000" w:themeColor="text1"/>
                <w:sz w:val="24"/>
                <w:szCs w:val="24"/>
                <w:highlight w:val="none"/>
                <w:lang w:val="en-US" w:eastAsia="zh-CN"/>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本项目建设地点位于</w:t>
            </w:r>
            <w:r>
              <w:rPr>
                <w:rFonts w:hint="default" w:eastAsia="宋体"/>
                <w:color w:val="000000" w:themeColor="text1"/>
                <w:sz w:val="24"/>
                <w:szCs w:val="24"/>
                <w:highlight w:val="none"/>
                <w:lang w:val="en-US" w:eastAsia="zh-CN"/>
                <w14:textFill>
                  <w14:solidFill>
                    <w14:schemeClr w14:val="tx1"/>
                  </w14:solidFill>
                </w14:textFill>
              </w:rPr>
              <w:t>西咸新区泾河新城永乐镇尚家村尚家三街与原点东四路交叉口东南角</w:t>
            </w:r>
            <w:r>
              <w:rPr>
                <w:rFonts w:hint="eastAsia" w:cs="宋体"/>
                <w:color w:val="000000" w:themeColor="text1"/>
                <w:sz w:val="24"/>
                <w:szCs w:val="24"/>
                <w:highlight w:val="none"/>
                <w14:textFill>
                  <w14:solidFill>
                    <w14:schemeClr w14:val="tx1"/>
                  </w14:solidFill>
                </w14:textFill>
              </w:rPr>
              <w:t>，</w:t>
            </w:r>
            <w:r>
              <w:rPr>
                <w:rFonts w:hint="eastAsia" w:cs="宋体"/>
                <w:color w:val="000000" w:themeColor="text1"/>
                <w:sz w:val="24"/>
                <w:szCs w:val="24"/>
                <w:highlight w:val="none"/>
                <w:lang w:val="en-US" w:eastAsia="zh-CN"/>
                <w14:textFill>
                  <w14:solidFill>
                    <w14:schemeClr w14:val="tx1"/>
                  </w14:solidFill>
                </w14:textFill>
              </w:rPr>
              <w:t>本项目所在地为工业用地</w:t>
            </w:r>
            <w:r>
              <w:rPr>
                <w:rFonts w:hint="eastAsia" w:hAnsi="宋体" w:cs="宋体"/>
                <w:color w:val="000000" w:themeColor="text1"/>
                <w:sz w:val="24"/>
                <w:szCs w:val="24"/>
                <w:highlight w:val="none"/>
                <w14:textFill>
                  <w14:solidFill>
                    <w14:schemeClr w14:val="tx1"/>
                  </w14:solidFill>
                </w14:textFill>
              </w:rPr>
              <w:t>。</w:t>
            </w:r>
            <w:r>
              <w:rPr>
                <w:rFonts w:hint="eastAsia" w:hAnsi="宋体" w:cs="宋体"/>
                <w:color w:val="000000" w:themeColor="text1"/>
                <w:sz w:val="24"/>
                <w:szCs w:val="24"/>
                <w:highlight w:val="none"/>
                <w:lang w:val="en-US" w:eastAsia="zh-CN"/>
                <w14:textFill>
                  <w14:solidFill>
                    <w14:schemeClr w14:val="tx1"/>
                  </w14:solidFill>
                </w14:textFill>
              </w:rPr>
              <w:t>已承诺当项目所在地土地收储时，可无条件退出。</w:t>
            </w:r>
          </w:p>
          <w:p w14:paraId="63D6FD90">
            <w:pPr>
              <w:keepNext w:val="0"/>
              <w:keepLines w:val="0"/>
              <w:suppressLineNumbers w:val="0"/>
              <w:adjustRightInd w:val="0"/>
              <w:snapToGrid w:val="0"/>
              <w:spacing w:before="0" w:beforeAutospacing="0" w:after="0" w:afterAutospacing="0" w:line="460" w:lineRule="exact"/>
              <w:ind w:left="0" w:right="0" w:firstLine="480" w:firstLineChars="200"/>
              <w:jc w:val="left"/>
              <w:rPr>
                <w:rFonts w:hint="default" w:hAnsi="宋体" w:cs="宋体"/>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sz w:val="24"/>
                <w:highlight w:val="none"/>
              </w:rPr>
              <w:t>项目周边交通便利，市政基础设施基本齐全。项目未涉及森林公园、自然保护区、风景名胜区、饮用水水源保护区、文物古迹所在地、基本农田保护区等敏感区。</w:t>
            </w:r>
            <w:r>
              <w:rPr>
                <w:rFonts w:hint="default" w:ascii="Times New Roman" w:hAnsi="Times New Roman" w:eastAsia="宋体" w:cs="Times New Roman"/>
                <w:color w:val="000000"/>
                <w:sz w:val="24"/>
                <w:highlight w:val="none"/>
                <w:lang w:eastAsia="zh-CN"/>
              </w:rPr>
              <w:t>此外，</w:t>
            </w:r>
            <w:r>
              <w:rPr>
                <w:rFonts w:hint="eastAsia" w:hAnsi="宋体" w:cs="宋体"/>
                <w:color w:val="000000" w:themeColor="text1"/>
                <w:sz w:val="24"/>
                <w:szCs w:val="24"/>
                <w:highlight w:val="none"/>
                <w14:textFill>
                  <w14:solidFill>
                    <w14:schemeClr w14:val="tx1"/>
                  </w14:solidFill>
                </w14:textFill>
              </w:rPr>
              <w:t>项目</w:t>
            </w:r>
            <w:r>
              <w:rPr>
                <w:rFonts w:hint="eastAsia" w:hAnsi="宋体" w:cs="宋体"/>
                <w:color w:val="000000" w:themeColor="text1"/>
                <w:sz w:val="24"/>
                <w:szCs w:val="24"/>
                <w:highlight w:val="none"/>
                <w:lang w:eastAsia="zh-CN"/>
                <w14:textFill>
                  <w14:solidFill>
                    <w14:schemeClr w14:val="tx1"/>
                  </w14:solidFill>
                </w14:textFill>
              </w:rPr>
              <w:t>运营期</w:t>
            </w:r>
            <w:r>
              <w:rPr>
                <w:rFonts w:hint="eastAsia" w:hAnsi="宋体" w:cs="宋体"/>
                <w:color w:val="000000" w:themeColor="text1"/>
                <w:sz w:val="24"/>
                <w:szCs w:val="24"/>
                <w:highlight w:val="none"/>
                <w14:textFill>
                  <w14:solidFill>
                    <w14:schemeClr w14:val="tx1"/>
                  </w14:solidFill>
                </w14:textFill>
              </w:rPr>
              <w:t>废气达标排放，对大气环境影响较小；项目生活污水经</w:t>
            </w:r>
            <w:r>
              <w:rPr>
                <w:rFonts w:hint="eastAsia" w:hAnsi="宋体" w:cs="宋体"/>
                <w:color w:val="000000" w:themeColor="text1"/>
                <w:sz w:val="24"/>
                <w:szCs w:val="24"/>
                <w:highlight w:val="none"/>
                <w:lang w:val="en-US" w:eastAsia="zh-CN"/>
                <w14:textFill>
                  <w14:solidFill>
                    <w14:schemeClr w14:val="tx1"/>
                  </w14:solidFill>
                </w14:textFill>
              </w:rPr>
              <w:t>化粪池收集后排入市政污水管网进入泾河新城第二污水处理厂处理</w:t>
            </w:r>
            <w:r>
              <w:rPr>
                <w:rFonts w:hint="eastAsia" w:hAnsi="宋体" w:cs="宋体"/>
                <w:color w:val="000000" w:themeColor="text1"/>
                <w:sz w:val="24"/>
                <w:szCs w:val="24"/>
                <w:highlight w:val="none"/>
                <w14:textFill>
                  <w14:solidFill>
                    <w14:schemeClr w14:val="tx1"/>
                  </w14:solidFill>
                </w14:textFill>
              </w:rPr>
              <w:t>，不会对地表水环境产生</w:t>
            </w:r>
            <w:r>
              <w:rPr>
                <w:rFonts w:hint="eastAsia" w:hAnsi="宋体" w:cs="宋体"/>
                <w:color w:val="000000" w:themeColor="text1"/>
                <w:sz w:val="24"/>
                <w:szCs w:val="24"/>
                <w:highlight w:val="none"/>
                <w:lang w:val="en-US" w:eastAsia="zh-CN"/>
                <w14:textFill>
                  <w14:solidFill>
                    <w14:schemeClr w14:val="tx1"/>
                  </w14:solidFill>
                </w14:textFill>
              </w:rPr>
              <w:t>不利</w:t>
            </w:r>
            <w:r>
              <w:rPr>
                <w:rFonts w:hint="eastAsia" w:hAnsi="宋体" w:cs="宋体"/>
                <w:color w:val="000000" w:themeColor="text1"/>
                <w:sz w:val="24"/>
                <w:szCs w:val="24"/>
                <w:highlight w:val="none"/>
                <w14:textFill>
                  <w14:solidFill>
                    <w14:schemeClr w14:val="tx1"/>
                  </w14:solidFill>
                </w14:textFill>
              </w:rPr>
              <w:t>影响。</w:t>
            </w:r>
          </w:p>
          <w:p w14:paraId="643E9446">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r>
              <w:rPr>
                <w:rFonts w:hint="default" w:ascii="Times New Roman" w:hAnsi="Times New Roman" w:eastAsia="宋体" w:cs="Times New Roman"/>
                <w:color w:val="000000"/>
                <w:sz w:val="24"/>
                <w:highlight w:val="none"/>
                <w:lang w:eastAsia="zh-CN"/>
              </w:rPr>
              <w:t>综上所述，从环保角度考虑，本项目选址合理</w:t>
            </w:r>
            <w:r>
              <w:rPr>
                <w:rFonts w:hint="eastAsia" w:cs="Times New Roman"/>
                <w:color w:val="000000"/>
                <w:sz w:val="24"/>
                <w:highlight w:val="none"/>
                <w:lang w:eastAsia="zh-CN"/>
              </w:rPr>
              <w:t>。</w:t>
            </w:r>
          </w:p>
          <w:p w14:paraId="01F9DD74">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0C01DBD2">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347F7414">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0483DA13">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77DA8B2C">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281606D5">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51E30E70">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183D6A52">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769CB4A6">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3513A78F">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7FD9985F">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5B575061">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04E8AADB">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0049D772">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2A95764C">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0A65EEDF">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7A0ACD1D">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7A2A77FF">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5ABF778C">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7A152917">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168A562D">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46C92682">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508BF165">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6BF54C99">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1CAD0929">
            <w:pPr>
              <w:keepNext w:val="0"/>
              <w:keepLines w:val="0"/>
              <w:suppressLineNumbers w:val="0"/>
              <w:adjustRightInd w:val="0"/>
              <w:snapToGrid w:val="0"/>
              <w:spacing w:before="0" w:beforeAutospacing="0" w:after="0" w:afterAutospacing="0" w:line="460" w:lineRule="exact"/>
              <w:ind w:left="0" w:right="0" w:firstLine="480" w:firstLineChars="200"/>
              <w:jc w:val="left"/>
              <w:rPr>
                <w:rFonts w:hint="eastAsia" w:cs="Times New Roman"/>
                <w:color w:val="000000"/>
                <w:sz w:val="24"/>
                <w:highlight w:val="none"/>
                <w:lang w:eastAsia="zh-CN"/>
              </w:rPr>
            </w:pPr>
          </w:p>
          <w:p w14:paraId="6F17ED70">
            <w:pPr>
              <w:keepNext w:val="0"/>
              <w:keepLines w:val="0"/>
              <w:suppressLineNumbers w:val="0"/>
              <w:adjustRightInd w:val="0"/>
              <w:snapToGrid w:val="0"/>
              <w:spacing w:before="0" w:beforeAutospacing="0" w:after="0" w:afterAutospacing="0" w:line="460" w:lineRule="exact"/>
              <w:ind w:left="0" w:right="0" w:firstLine="420" w:firstLineChars="200"/>
              <w:jc w:val="left"/>
              <w:rPr>
                <w:rFonts w:hint="default" w:ascii="Times New Roman" w:hAnsi="Times New Roman" w:eastAsia="宋体" w:cs="Times New Roman"/>
                <w:color w:val="000000"/>
                <w:highlight w:val="green"/>
                <w:lang w:val="en-US"/>
              </w:rPr>
            </w:pPr>
          </w:p>
        </w:tc>
      </w:tr>
    </w:tbl>
    <w:p w14:paraId="4613D5FF">
      <w:pPr>
        <w:spacing w:line="360" w:lineRule="auto"/>
        <w:outlineLvl w:val="0"/>
        <w:rPr>
          <w:color w:val="000000" w:themeColor="text1"/>
          <w:sz w:val="30"/>
          <w:szCs w:val="30"/>
          <w:highlight w:val="green"/>
          <w14:textFill>
            <w14:solidFill>
              <w14:schemeClr w14:val="tx1"/>
            </w14:solidFill>
          </w14:textFill>
        </w:rPr>
        <w:sectPr>
          <w:headerReference r:id="rId4" w:type="default"/>
          <w:footerReference r:id="rId5" w:type="default"/>
          <w:pgSz w:w="11906" w:h="16838"/>
          <w:pgMar w:top="1418" w:right="1418" w:bottom="1134" w:left="1701" w:header="851" w:footer="1077" w:gutter="0"/>
          <w:pgBorders>
            <w:top w:val="none" w:sz="0" w:space="0"/>
            <w:left w:val="none" w:sz="0" w:space="0"/>
            <w:bottom w:val="none" w:sz="0" w:space="0"/>
            <w:right w:val="none" w:sz="0" w:space="0"/>
          </w:pgBorders>
          <w:pgNumType w:fmt="decimal"/>
          <w:cols w:space="720" w:num="1"/>
          <w:docGrid w:linePitch="312" w:charSpace="0"/>
        </w:sectPr>
      </w:pPr>
    </w:p>
    <w:p w14:paraId="4A9DF314">
      <w:pPr>
        <w:pStyle w:val="37"/>
        <w:jc w:val="center"/>
        <w:outlineLvl w:val="0"/>
        <w:rPr>
          <w:rFonts w:ascii="Times New Roman" w:hAnsi="Times New Roman"/>
          <w:b/>
          <w:bCs/>
          <w:snapToGrid w:val="0"/>
          <w:color w:val="000000" w:themeColor="text1"/>
          <w:sz w:val="30"/>
          <w:szCs w:val="30"/>
          <w:highlight w:val="none"/>
          <w14:textFill>
            <w14:solidFill>
              <w14:schemeClr w14:val="tx1"/>
            </w14:solidFill>
          </w14:textFill>
        </w:rPr>
      </w:pPr>
      <w:r>
        <w:rPr>
          <w:rFonts w:hint="eastAsia" w:ascii="Times New Roman" w:hAnsi="Times New Roman"/>
          <w:b/>
          <w:bCs/>
          <w:snapToGrid w:val="0"/>
          <w:color w:val="000000" w:themeColor="text1"/>
          <w:sz w:val="30"/>
          <w:szCs w:val="30"/>
          <w:highlight w:val="none"/>
          <w14:textFill>
            <w14:solidFill>
              <w14:schemeClr w14:val="tx1"/>
            </w14:solidFill>
          </w14:textFill>
        </w:rPr>
        <w:t>二、建设项目工程分析</w:t>
      </w:r>
    </w:p>
    <w:tbl>
      <w:tblPr>
        <w:tblStyle w:val="41"/>
        <w:tblW w:w="961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25"/>
        <w:gridCol w:w="9093"/>
      </w:tblGrid>
      <w:tr w14:paraId="23913E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28" w:hRule="atLeast"/>
          <w:jc w:val="center"/>
        </w:trPr>
        <w:tc>
          <w:tcPr>
            <w:tcW w:w="525" w:type="dxa"/>
            <w:tcBorders>
              <w:top w:val="single" w:color="auto" w:sz="8" w:space="0"/>
            </w:tcBorders>
            <w:vAlign w:val="center"/>
          </w:tcPr>
          <w:p w14:paraId="7C221FCE">
            <w:pPr>
              <w:pStyle w:val="3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000000" w:themeColor="text1"/>
                <w:highlight w:val="none"/>
                <w14:textFill>
                  <w14:solidFill>
                    <w14:schemeClr w14:val="tx1"/>
                  </w14:solidFill>
                </w14:textFill>
              </w:rPr>
            </w:pPr>
            <w:r>
              <w:rPr>
                <w:rFonts w:hint="eastAsia" w:ascii="Times New Roman" w:hAnsi="Times New Roman" w:cs="宋体"/>
                <w:color w:val="000000" w:themeColor="text1"/>
                <w:highlight w:val="none"/>
                <w14:textFill>
                  <w14:solidFill>
                    <w14:schemeClr w14:val="tx1"/>
                  </w14:solidFill>
                </w14:textFill>
              </w:rPr>
              <w:t>建设内容</w:t>
            </w:r>
          </w:p>
        </w:tc>
        <w:tc>
          <w:tcPr>
            <w:tcW w:w="9093" w:type="dxa"/>
            <w:tcBorders>
              <w:top w:val="single" w:color="auto" w:sz="8" w:space="0"/>
            </w:tcBorders>
          </w:tcPr>
          <w:p w14:paraId="6A8B2C34">
            <w:pPr>
              <w:keepNext w:val="0"/>
              <w:keepLines w:val="0"/>
              <w:suppressLineNumbers w:val="0"/>
              <w:spacing w:before="0" w:beforeAutospacing="0" w:after="0" w:afterAutospacing="0" w:line="360" w:lineRule="auto"/>
              <w:ind w:left="0" w:right="0"/>
              <w:rPr>
                <w:rFonts w:hint="default" w:ascii="Times New Roman" w:hAnsi="Times New Roman" w:eastAsia="宋体" w:cs="Times New Roman"/>
                <w:b/>
                <w:bCs/>
                <w:color w:val="000000"/>
                <w:sz w:val="24"/>
                <w:highlight w:val="none"/>
              </w:rPr>
            </w:pPr>
            <w:r>
              <w:rPr>
                <w:rFonts w:hint="default"/>
                <w:b/>
                <w:bCs/>
                <w:color w:val="000000" w:themeColor="text1"/>
                <w:sz w:val="24"/>
                <w:szCs w:val="24"/>
                <w:highlight w:val="none"/>
                <w14:textFill>
                  <w14:solidFill>
                    <w14:schemeClr w14:val="tx1"/>
                  </w14:solidFill>
                </w14:textFill>
              </w:rPr>
              <w:t>2.</w:t>
            </w:r>
            <w:r>
              <w:rPr>
                <w:rFonts w:hint="eastAsia"/>
                <w:b/>
                <w:bCs/>
                <w:color w:val="000000" w:themeColor="text1"/>
                <w:sz w:val="24"/>
                <w:szCs w:val="24"/>
                <w:highlight w:val="none"/>
                <w14:textFill>
                  <w14:solidFill>
                    <w14:schemeClr w14:val="tx1"/>
                  </w14:solidFill>
                </w14:textFill>
              </w:rPr>
              <w:t>1</w:t>
            </w:r>
            <w:r>
              <w:rPr>
                <w:rFonts w:hint="default" w:ascii="Times New Roman" w:hAnsi="Times New Roman" w:eastAsia="宋体" w:cs="Times New Roman"/>
                <w:b/>
                <w:bCs/>
                <w:color w:val="000000"/>
                <w:sz w:val="24"/>
                <w:highlight w:val="none"/>
              </w:rPr>
              <w:t>项目简况</w:t>
            </w:r>
          </w:p>
          <w:p w14:paraId="19B5E544">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left"/>
              <w:textAlignment w:val="auto"/>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rPr>
              <w:t>项目名称：</w:t>
            </w:r>
            <w:r>
              <w:rPr>
                <w:rFonts w:hint="eastAsia" w:cs="Times New Roman"/>
                <w:color w:val="000000"/>
                <w:sz w:val="24"/>
                <w:highlight w:val="none"/>
                <w:lang w:eastAsia="zh-CN"/>
              </w:rPr>
              <w:t>年生产30万吨沥青混合料项目</w:t>
            </w:r>
          </w:p>
          <w:p w14:paraId="2C8676E4">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sz w:val="24"/>
                <w:highlight w:val="none"/>
                <w:lang w:val="en-US" w:eastAsia="zh-CN"/>
              </w:rPr>
            </w:pPr>
            <w:r>
              <w:rPr>
                <w:rFonts w:hint="default" w:ascii="Times New Roman" w:hAnsi="Times New Roman" w:eastAsia="宋体" w:cs="Times New Roman"/>
                <w:color w:val="000000"/>
                <w:sz w:val="24"/>
                <w:highlight w:val="none"/>
              </w:rPr>
              <w:t>建设性质：</w:t>
            </w:r>
            <w:r>
              <w:rPr>
                <w:rFonts w:hint="eastAsia" w:cs="Times New Roman"/>
                <w:color w:val="000000"/>
                <w:sz w:val="24"/>
                <w:highlight w:val="none"/>
                <w:lang w:val="en-US" w:eastAsia="zh-CN"/>
              </w:rPr>
              <w:t>新建</w:t>
            </w:r>
          </w:p>
          <w:p w14:paraId="65398A2F">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Times New Roman"/>
                <w:color w:val="000000"/>
                <w:sz w:val="24"/>
                <w:highlight w:val="none"/>
                <w:lang w:eastAsia="zh-CN"/>
              </w:rPr>
            </w:pPr>
            <w:r>
              <w:rPr>
                <w:rFonts w:hint="default" w:ascii="Times New Roman" w:hAnsi="Times New Roman" w:eastAsia="宋体" w:cs="Times New Roman"/>
                <w:color w:val="000000"/>
                <w:sz w:val="24"/>
                <w:highlight w:val="none"/>
              </w:rPr>
              <w:t>建设单位：</w:t>
            </w:r>
            <w:r>
              <w:rPr>
                <w:rFonts w:hint="eastAsia" w:cs="Times New Roman"/>
                <w:color w:val="000000"/>
                <w:sz w:val="24"/>
                <w:highlight w:val="none"/>
                <w:lang w:eastAsia="zh-CN"/>
              </w:rPr>
              <w:t>陕西瑞鼎绰建筑材料有限公司</w:t>
            </w:r>
          </w:p>
          <w:p w14:paraId="21DC3A48">
            <w:pPr>
              <w:keepNext w:val="0"/>
              <w:keepLines w:val="0"/>
              <w:suppressLineNumbers w:val="0"/>
              <w:spacing w:before="0" w:beforeAutospacing="0" w:after="0" w:afterAutospacing="0" w:line="360" w:lineRule="auto"/>
              <w:ind w:left="2399" w:leftChars="228" w:right="0" w:hanging="1920" w:hangingChars="800"/>
              <w:rPr>
                <w:rFonts w:hint="eastAsia" w:ascii="Times New Roman" w:hAnsi="Times New Roman" w:eastAsia="宋体" w:cs="Times New Roman"/>
                <w:color w:val="000000"/>
                <w:sz w:val="24"/>
                <w:highlight w:val="none"/>
                <w:lang w:eastAsia="zh-CN"/>
              </w:rPr>
            </w:pPr>
            <w:r>
              <w:rPr>
                <w:rFonts w:hint="default" w:ascii="Times New Roman" w:hAnsi="Times New Roman" w:eastAsia="宋体" w:cs="Times New Roman"/>
                <w:color w:val="000000"/>
                <w:sz w:val="24"/>
                <w:highlight w:val="none"/>
              </w:rPr>
              <w:t>建设地点：</w:t>
            </w:r>
            <w:r>
              <w:rPr>
                <w:rFonts w:hint="eastAsia" w:cs="Times New Roman"/>
                <w:color w:val="000000"/>
                <w:sz w:val="24"/>
                <w:highlight w:val="none"/>
                <w:lang w:eastAsia="zh-CN"/>
              </w:rPr>
              <w:t>西咸新区泾河新城永乐镇尚家村尚家三街与原点东四路交叉口东南角</w:t>
            </w:r>
          </w:p>
          <w:p w14:paraId="6E29EDAD">
            <w:pPr>
              <w:keepNext w:val="0"/>
              <w:keepLines w:val="0"/>
              <w:suppressLineNumbers w:val="0"/>
              <w:spacing w:before="0" w:beforeAutospacing="0" w:after="0" w:afterAutospacing="0" w:line="360" w:lineRule="auto"/>
              <w:ind w:left="0" w:right="0" w:firstLine="480" w:firstLineChars="200"/>
              <w:rPr>
                <w:rFonts w:hint="eastAsia" w:ascii="Times New Roman" w:hAnsi="Times New Roman" w:eastAsia="宋体" w:cs="宋体"/>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sz w:val="24"/>
                <w:highlight w:val="none"/>
              </w:rPr>
              <w:t>建设规模：</w:t>
            </w:r>
            <w:r>
              <w:rPr>
                <w:rFonts w:hint="eastAsia" w:cs="Times New Roman"/>
                <w:color w:val="000000"/>
                <w:sz w:val="24"/>
                <w:highlight w:val="none"/>
                <w:lang w:val="en-US" w:eastAsia="zh-CN"/>
              </w:rPr>
              <w:t>本项目租赁泾阳县永乐镇尚家村石东组土地，该场地原租赁给陕西大洋金马路桥工程有限公司进行沥青混凝土生产，因其经营不善倒闭，原有土地上的建筑物、构筑物 、机器设备等物资均作抵债。本次租赁整个厂区包含位于租赁土地上的建筑物、构筑物 、机器设备等，项目建成后</w:t>
            </w:r>
            <w:r>
              <w:rPr>
                <w:rFonts w:hint="default" w:ascii="Times New Roman" w:hAnsi="Times New Roman" w:eastAsia="宋体" w:cs="Times New Roman"/>
                <w:color w:val="000000"/>
                <w:sz w:val="24"/>
                <w:highlight w:val="none"/>
              </w:rPr>
              <w:t>生产规模为年生产30万吨沥青混合料</w:t>
            </w:r>
            <w:r>
              <w:rPr>
                <w:rFonts w:hint="eastAsia" w:cs="Times New Roman"/>
                <w:color w:val="000000"/>
                <w:sz w:val="24"/>
                <w:highlight w:val="none"/>
                <w:lang w:eastAsia="zh-CN"/>
              </w:rPr>
              <w:t>。</w:t>
            </w:r>
          </w:p>
          <w:p w14:paraId="57A7A921">
            <w:pPr>
              <w:keepNext w:val="0"/>
              <w:keepLines w:val="0"/>
              <w:suppressLineNumbers w:val="0"/>
              <w:adjustRightInd w:val="0"/>
              <w:snapToGrid w:val="0"/>
              <w:spacing w:before="0" w:beforeAutospacing="0" w:after="0" w:afterAutospacing="0" w:line="480" w:lineRule="exact"/>
              <w:ind w:left="0" w:right="0"/>
              <w:jc w:val="left"/>
              <w:rPr>
                <w:rFonts w:hint="default"/>
                <w:b/>
                <w:bCs/>
                <w:color w:val="000000" w:themeColor="text1"/>
                <w:sz w:val="24"/>
                <w:szCs w:val="24"/>
                <w:highlight w:val="none"/>
                <w14:textFill>
                  <w14:solidFill>
                    <w14:schemeClr w14:val="tx1"/>
                  </w14:solidFill>
                </w14:textFill>
              </w:rPr>
            </w:pPr>
            <w:r>
              <w:rPr>
                <w:rFonts w:hint="default"/>
                <w:b/>
                <w:bCs/>
                <w:color w:val="000000" w:themeColor="text1"/>
                <w:sz w:val="24"/>
                <w:szCs w:val="24"/>
                <w:highlight w:val="none"/>
                <w14:textFill>
                  <w14:solidFill>
                    <w14:schemeClr w14:val="tx1"/>
                  </w14:solidFill>
                </w14:textFill>
              </w:rPr>
              <w:t>2.</w:t>
            </w:r>
            <w:r>
              <w:rPr>
                <w:rFonts w:hint="eastAsia"/>
                <w:b/>
                <w:bCs/>
                <w:color w:val="000000" w:themeColor="text1"/>
                <w:sz w:val="24"/>
                <w:szCs w:val="24"/>
                <w:highlight w:val="none"/>
                <w14:textFill>
                  <w14:solidFill>
                    <w14:schemeClr w14:val="tx1"/>
                  </w14:solidFill>
                </w14:textFill>
              </w:rPr>
              <w:t>2</w:t>
            </w:r>
            <w:r>
              <w:rPr>
                <w:rFonts w:hint="eastAsia" w:cs="宋体"/>
                <w:b/>
                <w:bCs/>
                <w:color w:val="000000" w:themeColor="text1"/>
                <w:sz w:val="24"/>
                <w:szCs w:val="24"/>
                <w:highlight w:val="none"/>
                <w14:textFill>
                  <w14:solidFill>
                    <w14:schemeClr w14:val="tx1"/>
                  </w14:solidFill>
                </w14:textFill>
              </w:rPr>
              <w:t>主要建设内容</w:t>
            </w:r>
          </w:p>
          <w:p w14:paraId="5B53F0A1">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w:t>
            </w:r>
            <w:r>
              <w:rPr>
                <w:rFonts w:hint="default"/>
                <w:color w:val="000000" w:themeColor="text1"/>
                <w:sz w:val="24"/>
                <w:szCs w:val="24"/>
                <w:highlight w:val="none"/>
                <w14:textFill>
                  <w14:solidFill>
                    <w14:schemeClr w14:val="tx1"/>
                  </w14:solidFill>
                </w14:textFill>
              </w:rPr>
              <w:t>1</w:t>
            </w:r>
            <w:r>
              <w:rPr>
                <w:rFonts w:hint="eastAsia" w:cs="宋体"/>
                <w:color w:val="000000" w:themeColor="text1"/>
                <w:sz w:val="24"/>
                <w:szCs w:val="24"/>
                <w:highlight w:val="none"/>
                <w14:textFill>
                  <w14:solidFill>
                    <w14:schemeClr w14:val="tx1"/>
                  </w14:solidFill>
                </w14:textFill>
              </w:rPr>
              <w:t>）工程组成</w:t>
            </w:r>
          </w:p>
          <w:p w14:paraId="3397793B">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建设项目工程组成见表</w:t>
            </w:r>
            <w:r>
              <w:rPr>
                <w:rFonts w:hint="eastAsia"/>
                <w:color w:val="000000" w:themeColor="text1"/>
                <w:sz w:val="24"/>
                <w:szCs w:val="24"/>
                <w:highlight w:val="none"/>
                <w14:textFill>
                  <w14:solidFill>
                    <w14:schemeClr w14:val="tx1"/>
                  </w14:solidFill>
                </w14:textFill>
              </w:rPr>
              <w:t>2</w:t>
            </w:r>
            <w:r>
              <w:rPr>
                <w:rFonts w:hint="default"/>
                <w:color w:val="000000" w:themeColor="text1"/>
                <w:sz w:val="24"/>
                <w:szCs w:val="24"/>
                <w:highlight w:val="none"/>
                <w14:textFill>
                  <w14:solidFill>
                    <w14:schemeClr w14:val="tx1"/>
                  </w14:solidFill>
                </w14:textFill>
              </w:rPr>
              <w:t>-</w:t>
            </w:r>
            <w:r>
              <w:rPr>
                <w:rFonts w:hint="eastAsia"/>
                <w:color w:val="000000" w:themeColor="text1"/>
                <w:sz w:val="24"/>
                <w:szCs w:val="24"/>
                <w:highlight w:val="none"/>
                <w:lang w:val="en-US" w:eastAsia="zh-CN"/>
                <w14:textFill>
                  <w14:solidFill>
                    <w14:schemeClr w14:val="tx1"/>
                  </w14:solidFill>
                </w14:textFill>
              </w:rPr>
              <w:t>1</w:t>
            </w:r>
            <w:r>
              <w:rPr>
                <w:rFonts w:hint="eastAsia" w:cs="宋体"/>
                <w:color w:val="000000" w:themeColor="text1"/>
                <w:sz w:val="24"/>
                <w:szCs w:val="24"/>
                <w:highlight w:val="none"/>
                <w14:textFill>
                  <w14:solidFill>
                    <w14:schemeClr w14:val="tx1"/>
                  </w14:solidFill>
                </w14:textFill>
              </w:rPr>
              <w:t>。</w:t>
            </w:r>
          </w:p>
          <w:p w14:paraId="756A3AB2">
            <w:pPr>
              <w:keepNext w:val="0"/>
              <w:keepLines w:val="0"/>
              <w:suppressLineNumbers w:val="0"/>
              <w:adjustRightInd w:val="0"/>
              <w:snapToGrid w:val="0"/>
              <w:spacing w:before="0" w:beforeAutospacing="0" w:after="0" w:afterAutospacing="0" w:line="480" w:lineRule="exact"/>
              <w:ind w:left="0" w:right="0"/>
              <w:jc w:val="center"/>
              <w:rPr>
                <w:rFonts w:hint="default"/>
                <w:b/>
                <w:bCs/>
                <w:color w:val="000000" w:themeColor="text1"/>
                <w:sz w:val="21"/>
                <w:szCs w:val="21"/>
                <w:highlight w:val="none"/>
                <w14:textFill>
                  <w14:solidFill>
                    <w14:schemeClr w14:val="tx1"/>
                  </w14:solidFill>
                </w14:textFill>
              </w:rPr>
            </w:pPr>
            <w:r>
              <w:rPr>
                <w:rFonts w:hint="eastAsia" w:cs="宋体"/>
                <w:b/>
                <w:bCs/>
                <w:color w:val="000000" w:themeColor="text1"/>
                <w:sz w:val="21"/>
                <w:szCs w:val="21"/>
                <w:highlight w:val="none"/>
                <w14:textFill>
                  <w14:solidFill>
                    <w14:schemeClr w14:val="tx1"/>
                  </w14:solidFill>
                </w14:textFill>
              </w:rPr>
              <w:t>表</w:t>
            </w:r>
            <w:r>
              <w:rPr>
                <w:rFonts w:hint="eastAsia"/>
                <w:b/>
                <w:bCs/>
                <w:color w:val="000000" w:themeColor="text1"/>
                <w:sz w:val="21"/>
                <w:szCs w:val="21"/>
                <w:highlight w:val="none"/>
                <w14:textFill>
                  <w14:solidFill>
                    <w14:schemeClr w14:val="tx1"/>
                  </w14:solidFill>
                </w14:textFill>
              </w:rPr>
              <w:t>2</w:t>
            </w:r>
            <w:r>
              <w:rPr>
                <w:rFonts w:hint="default"/>
                <w:b/>
                <w:bCs/>
                <w:color w:val="000000" w:themeColor="text1"/>
                <w:sz w:val="21"/>
                <w:szCs w:val="21"/>
                <w:highlight w:val="none"/>
                <w14:textFill>
                  <w14:solidFill>
                    <w14:schemeClr w14:val="tx1"/>
                  </w14:solidFill>
                </w14:textFill>
              </w:rPr>
              <w:t>-</w:t>
            </w:r>
            <w:r>
              <w:rPr>
                <w:rFonts w:hint="eastAsia"/>
                <w:b/>
                <w:bCs/>
                <w:color w:val="000000" w:themeColor="text1"/>
                <w:sz w:val="21"/>
                <w:szCs w:val="21"/>
                <w:highlight w:val="none"/>
                <w:lang w:val="en-US" w:eastAsia="zh-CN"/>
                <w14:textFill>
                  <w14:solidFill>
                    <w14:schemeClr w14:val="tx1"/>
                  </w14:solidFill>
                </w14:textFill>
              </w:rPr>
              <w:t>1</w:t>
            </w:r>
            <w:r>
              <w:rPr>
                <w:rFonts w:hint="default"/>
                <w:b/>
                <w:bCs/>
                <w:color w:val="000000" w:themeColor="text1"/>
                <w:sz w:val="21"/>
                <w:szCs w:val="21"/>
                <w:highlight w:val="none"/>
                <w14:textFill>
                  <w14:solidFill>
                    <w14:schemeClr w14:val="tx1"/>
                  </w14:solidFill>
                </w14:textFill>
              </w:rPr>
              <w:t xml:space="preserve">  </w:t>
            </w:r>
            <w:r>
              <w:rPr>
                <w:rFonts w:hint="eastAsia" w:cs="宋体"/>
                <w:b/>
                <w:bCs/>
                <w:color w:val="000000" w:themeColor="text1"/>
                <w:sz w:val="21"/>
                <w:szCs w:val="21"/>
                <w:highlight w:val="none"/>
                <w14:textFill>
                  <w14:solidFill>
                    <w14:schemeClr w14:val="tx1"/>
                  </w14:solidFill>
                </w14:textFill>
              </w:rPr>
              <w:t>项目工程组成一览表</w:t>
            </w:r>
          </w:p>
          <w:tbl>
            <w:tblPr>
              <w:tblStyle w:val="41"/>
              <w:tblW w:w="87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551"/>
              <w:gridCol w:w="336"/>
              <w:gridCol w:w="1360"/>
              <w:gridCol w:w="5395"/>
              <w:gridCol w:w="1101"/>
            </w:tblGrid>
            <w:tr w14:paraId="1ECD28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noWrap w:val="0"/>
                  <w:vAlign w:val="center"/>
                </w:tcPr>
                <w:p w14:paraId="10D7CCC6">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bCs/>
                      <w:color w:val="auto"/>
                      <w:sz w:val="21"/>
                      <w:szCs w:val="21"/>
                      <w:highlight w:val="none"/>
                    </w:rPr>
                  </w:pPr>
                  <w:r>
                    <w:rPr>
                      <w:rFonts w:hint="default" w:ascii="Times New Roman" w:eastAsia="宋体" w:cs="Times New Roman"/>
                      <w:b/>
                      <w:bCs/>
                      <w:color w:val="auto"/>
                      <w:sz w:val="21"/>
                      <w:szCs w:val="21"/>
                      <w:highlight w:val="none"/>
                    </w:rPr>
                    <w:t>工程类别</w:t>
                  </w:r>
                </w:p>
              </w:tc>
              <w:tc>
                <w:tcPr>
                  <w:tcW w:w="1696" w:type="dxa"/>
                  <w:gridSpan w:val="2"/>
                  <w:noWrap w:val="0"/>
                  <w:vAlign w:val="center"/>
                </w:tcPr>
                <w:p w14:paraId="3ADF6CBE">
                  <w:pPr>
                    <w:pStyle w:val="51"/>
                    <w:keepNext w:val="0"/>
                    <w:keepLines w:val="0"/>
                    <w:suppressLineNumbers w:val="0"/>
                    <w:snapToGrid w:val="0"/>
                    <w:spacing w:before="0" w:beforeAutospacing="0" w:after="0" w:afterAutospacing="0" w:line="240" w:lineRule="auto"/>
                    <w:ind w:left="0" w:right="0"/>
                    <w:jc w:val="center"/>
                    <w:rPr>
                      <w:rFonts w:hint="eastAsia" w:ascii="Times New Roman" w:eastAsia="宋体" w:cs="Times New Roman"/>
                      <w:b/>
                      <w:bCs/>
                      <w:color w:val="auto"/>
                      <w:sz w:val="21"/>
                      <w:szCs w:val="21"/>
                      <w:highlight w:val="none"/>
                    </w:rPr>
                  </w:pPr>
                  <w:r>
                    <w:rPr>
                      <w:rFonts w:hint="default" w:ascii="Times New Roman" w:eastAsia="宋体" w:cs="Times New Roman"/>
                      <w:b/>
                      <w:bCs/>
                      <w:color w:val="auto"/>
                      <w:sz w:val="21"/>
                      <w:szCs w:val="21"/>
                      <w:highlight w:val="none"/>
                    </w:rPr>
                    <w:t>工程</w:t>
                  </w:r>
                  <w:r>
                    <w:rPr>
                      <w:rFonts w:hint="eastAsia" w:ascii="Times New Roman" w:eastAsia="宋体" w:cs="Times New Roman"/>
                      <w:b/>
                      <w:bCs/>
                      <w:color w:val="auto"/>
                      <w:sz w:val="21"/>
                      <w:szCs w:val="21"/>
                      <w:highlight w:val="none"/>
                    </w:rPr>
                    <w:t>内容</w:t>
                  </w:r>
                </w:p>
              </w:tc>
              <w:tc>
                <w:tcPr>
                  <w:tcW w:w="5395" w:type="dxa"/>
                  <w:noWrap w:val="0"/>
                  <w:vAlign w:val="center"/>
                </w:tcPr>
                <w:p w14:paraId="7635B4DB">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bCs/>
                      <w:color w:val="auto"/>
                      <w:sz w:val="21"/>
                      <w:szCs w:val="21"/>
                      <w:highlight w:val="none"/>
                    </w:rPr>
                  </w:pPr>
                  <w:r>
                    <w:rPr>
                      <w:rFonts w:hint="default" w:ascii="Times New Roman" w:eastAsia="宋体" w:cs="Times New Roman"/>
                      <w:b/>
                      <w:bCs/>
                      <w:color w:val="auto"/>
                      <w:sz w:val="21"/>
                      <w:szCs w:val="21"/>
                      <w:highlight w:val="none"/>
                    </w:rPr>
                    <w:t>建设内容</w:t>
                  </w:r>
                </w:p>
              </w:tc>
              <w:tc>
                <w:tcPr>
                  <w:tcW w:w="1101" w:type="dxa"/>
                  <w:noWrap w:val="0"/>
                  <w:vAlign w:val="center"/>
                </w:tcPr>
                <w:p w14:paraId="0611C3AC">
                  <w:pPr>
                    <w:pStyle w:val="51"/>
                    <w:keepNext w:val="0"/>
                    <w:keepLines w:val="0"/>
                    <w:suppressLineNumbers w:val="0"/>
                    <w:snapToGrid w:val="0"/>
                    <w:spacing w:before="0" w:beforeAutospacing="0" w:after="0" w:afterAutospacing="0" w:line="240" w:lineRule="auto"/>
                    <w:ind w:left="0" w:right="0"/>
                    <w:jc w:val="center"/>
                    <w:rPr>
                      <w:rFonts w:hint="eastAsia" w:ascii="Times New Roman" w:eastAsia="宋体" w:cs="Times New Roman"/>
                      <w:b/>
                      <w:bCs/>
                      <w:color w:val="auto"/>
                      <w:sz w:val="21"/>
                      <w:szCs w:val="21"/>
                      <w:highlight w:val="none"/>
                      <w:lang w:eastAsia="zh-CN"/>
                    </w:rPr>
                  </w:pPr>
                  <w:r>
                    <w:rPr>
                      <w:rFonts w:hint="eastAsia" w:ascii="Times New Roman" w:eastAsia="宋体" w:cs="Times New Roman"/>
                      <w:b/>
                      <w:bCs/>
                      <w:color w:val="auto"/>
                      <w:sz w:val="21"/>
                      <w:szCs w:val="21"/>
                      <w:highlight w:val="none"/>
                      <w:lang w:eastAsia="zh-CN"/>
                    </w:rPr>
                    <w:t>备注</w:t>
                  </w:r>
                </w:p>
              </w:tc>
            </w:tr>
            <w:tr w14:paraId="006D9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noWrap w:val="0"/>
                  <w:vAlign w:val="center"/>
                </w:tcPr>
                <w:p w14:paraId="174459B6">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主体</w:t>
                  </w:r>
                </w:p>
                <w:p w14:paraId="34767DB2">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工程</w:t>
                  </w:r>
                </w:p>
              </w:tc>
              <w:tc>
                <w:tcPr>
                  <w:tcW w:w="1696" w:type="dxa"/>
                  <w:gridSpan w:val="2"/>
                  <w:shd w:val="clear" w:color="auto" w:fill="auto"/>
                  <w:noWrap w:val="0"/>
                  <w:vAlign w:val="center"/>
                </w:tcPr>
                <w:p w14:paraId="27B6975A">
                  <w:pPr>
                    <w:pStyle w:val="51"/>
                    <w:keepNext w:val="0"/>
                    <w:keepLines w:val="0"/>
                    <w:suppressLineNumbers w:val="0"/>
                    <w:snapToGrid w:val="0"/>
                    <w:spacing w:before="0" w:beforeAutospacing="0" w:after="0" w:afterAutospacing="0" w:line="240" w:lineRule="auto"/>
                    <w:ind w:left="0" w:right="0"/>
                    <w:jc w:val="center"/>
                    <w:rPr>
                      <w:rFonts w:hint="default" w:ascii="Times New Roman" w:hAnsi="Calibri" w:eastAsia="宋体" w:cs="Times New Roman"/>
                      <w:b w:val="0"/>
                      <w:bCs/>
                      <w:color w:val="auto"/>
                      <w:kern w:val="2"/>
                      <w:sz w:val="21"/>
                      <w:szCs w:val="21"/>
                      <w:highlight w:val="none"/>
                      <w:lang w:val="en-US" w:eastAsia="zh-CN" w:bidi="ar-SA"/>
                    </w:rPr>
                  </w:pPr>
                  <w:r>
                    <w:rPr>
                      <w:rFonts w:hint="eastAsia" w:ascii="Times New Roman" w:eastAsia="宋体" w:cs="Times New Roman"/>
                      <w:b w:val="0"/>
                      <w:bCs/>
                      <w:color w:val="auto"/>
                      <w:sz w:val="21"/>
                      <w:szCs w:val="21"/>
                      <w:highlight w:val="none"/>
                      <w:lang w:val="en-US" w:eastAsia="zh-CN"/>
                    </w:rPr>
                    <w:t>搅拌</w:t>
                  </w:r>
                  <w:r>
                    <w:rPr>
                      <w:rFonts w:hint="eastAsia" w:ascii="Times New Roman" w:eastAsia="宋体" w:cs="Times New Roman"/>
                      <w:b w:val="0"/>
                      <w:bCs/>
                      <w:color w:val="auto"/>
                      <w:sz w:val="21"/>
                      <w:szCs w:val="21"/>
                      <w:highlight w:val="none"/>
                    </w:rPr>
                    <w:t>楼</w:t>
                  </w:r>
                </w:p>
              </w:tc>
              <w:tc>
                <w:tcPr>
                  <w:tcW w:w="5395" w:type="dxa"/>
                  <w:shd w:val="clear" w:color="auto" w:fill="auto"/>
                  <w:noWrap w:val="0"/>
                  <w:vAlign w:val="center"/>
                </w:tcPr>
                <w:p w14:paraId="7F8A19A0">
                  <w:pPr>
                    <w:pStyle w:val="51"/>
                    <w:keepNext w:val="0"/>
                    <w:keepLines w:val="0"/>
                    <w:suppressLineNumbers w:val="0"/>
                    <w:snapToGrid w:val="0"/>
                    <w:spacing w:before="0" w:beforeAutospacing="0" w:after="0" w:afterAutospacing="0" w:line="240" w:lineRule="auto"/>
                    <w:ind w:left="0" w:right="0"/>
                    <w:jc w:val="left"/>
                    <w:rPr>
                      <w:rFonts w:hint="default" w:ascii="Times New Roman" w:hAnsi="Calibri" w:eastAsia="宋体" w:cs="Times New Roman"/>
                      <w:b w:val="0"/>
                      <w:bCs/>
                      <w:color w:val="auto"/>
                      <w:kern w:val="2"/>
                      <w:sz w:val="21"/>
                      <w:szCs w:val="21"/>
                      <w:highlight w:val="none"/>
                      <w:lang w:val="en-US" w:eastAsia="zh-CN" w:bidi="ar-SA"/>
                    </w:rPr>
                  </w:pPr>
                  <w:r>
                    <w:rPr>
                      <w:rFonts w:hint="eastAsia" w:ascii="Times New Roman" w:eastAsia="宋体" w:cs="Times New Roman"/>
                      <w:b w:val="0"/>
                      <w:bCs/>
                      <w:color w:val="auto"/>
                      <w:sz w:val="21"/>
                      <w:szCs w:val="21"/>
                      <w:highlight w:val="none"/>
                    </w:rPr>
                    <w:t>面积</w:t>
                  </w:r>
                  <w:r>
                    <w:rPr>
                      <w:rFonts w:hint="eastAsia" w:ascii="Times New Roman" w:eastAsia="宋体" w:cs="Times New Roman"/>
                      <w:b w:val="0"/>
                      <w:bCs/>
                      <w:color w:val="auto"/>
                      <w:sz w:val="21"/>
                      <w:szCs w:val="21"/>
                      <w:highlight w:val="none"/>
                      <w:lang w:val="en-US" w:eastAsia="zh-CN"/>
                    </w:rPr>
                    <w:t>约</w:t>
                  </w:r>
                  <w:r>
                    <w:rPr>
                      <w:rFonts w:hint="eastAsia" w:ascii="Times New Roman" w:cs="Times New Roman"/>
                      <w:b w:val="0"/>
                      <w:bCs/>
                      <w:color w:val="auto"/>
                      <w:sz w:val="21"/>
                      <w:szCs w:val="21"/>
                      <w:highlight w:val="none"/>
                      <w:lang w:val="en-US" w:eastAsia="zh-CN"/>
                    </w:rPr>
                    <w:t>20</w:t>
                  </w:r>
                  <w:r>
                    <w:rPr>
                      <w:rFonts w:hint="eastAsia" w:ascii="Times New Roman" w:eastAsia="宋体" w:cs="Times New Roman"/>
                      <w:b w:val="0"/>
                      <w:bCs/>
                      <w:color w:val="auto"/>
                      <w:sz w:val="21"/>
                      <w:szCs w:val="21"/>
                      <w:highlight w:val="none"/>
                      <w:lang w:val="en-US" w:eastAsia="zh-CN"/>
                    </w:rPr>
                    <w:t>0</w:t>
                  </w:r>
                  <w:r>
                    <w:rPr>
                      <w:rFonts w:hint="eastAsia" w:ascii="Times New Roman" w:eastAsia="宋体" w:cs="Times New Roman"/>
                      <w:b w:val="0"/>
                      <w:bCs/>
                      <w:color w:val="auto"/>
                      <w:sz w:val="21"/>
                      <w:szCs w:val="21"/>
                      <w:highlight w:val="none"/>
                    </w:rPr>
                    <w:t>m</w:t>
                  </w:r>
                  <w:r>
                    <w:rPr>
                      <w:rFonts w:hint="eastAsia" w:ascii="Times New Roman" w:eastAsia="宋体" w:cs="Times New Roman"/>
                      <w:b w:val="0"/>
                      <w:bCs/>
                      <w:color w:val="auto"/>
                      <w:sz w:val="21"/>
                      <w:szCs w:val="21"/>
                      <w:highlight w:val="none"/>
                      <w:vertAlign w:val="superscript"/>
                    </w:rPr>
                    <w:t>2</w:t>
                  </w:r>
                  <w:r>
                    <w:rPr>
                      <w:rFonts w:hint="eastAsia" w:ascii="Times New Roman" w:eastAsia="宋体" w:cs="Times New Roman"/>
                      <w:b w:val="0"/>
                      <w:bCs/>
                      <w:color w:val="auto"/>
                      <w:sz w:val="21"/>
                      <w:szCs w:val="21"/>
                      <w:highlight w:val="none"/>
                    </w:rPr>
                    <w:t>，</w:t>
                  </w:r>
                  <w:r>
                    <w:rPr>
                      <w:rFonts w:hint="eastAsia" w:ascii="Times New Roman" w:cs="Times New Roman"/>
                      <w:b w:val="0"/>
                      <w:bCs/>
                      <w:color w:val="auto"/>
                      <w:sz w:val="21"/>
                      <w:szCs w:val="21"/>
                      <w:highlight w:val="none"/>
                      <w:lang w:val="en-US" w:eastAsia="zh-CN"/>
                    </w:rPr>
                    <w:t>高30m，利用现有一套</w:t>
                  </w:r>
                  <w:r>
                    <w:rPr>
                      <w:rFonts w:hint="eastAsia" w:ascii="Times New Roman" w:eastAsia="宋体" w:cs="Times New Roman"/>
                      <w:b w:val="0"/>
                      <w:bCs/>
                      <w:color w:val="auto"/>
                      <w:sz w:val="21"/>
                      <w:szCs w:val="21"/>
                      <w:highlight w:val="none"/>
                    </w:rPr>
                    <w:t>沥青混凝土搅拌设备</w:t>
                  </w:r>
                  <w:r>
                    <w:rPr>
                      <w:rFonts w:hint="eastAsia" w:ascii="Times New Roman" w:eastAsia="宋体" w:cs="Times New Roman"/>
                      <w:b w:val="0"/>
                      <w:bCs/>
                      <w:color w:val="auto"/>
                      <w:sz w:val="21"/>
                      <w:szCs w:val="21"/>
                      <w:highlight w:val="none"/>
                      <w:lang w:eastAsia="zh-CN"/>
                    </w:rPr>
                    <w:t>。主要包含</w:t>
                  </w:r>
                  <w:r>
                    <w:rPr>
                      <w:rFonts w:hint="eastAsia" w:ascii="Times New Roman" w:eastAsia="宋体" w:cs="Times New Roman"/>
                      <w:b w:val="0"/>
                      <w:bCs/>
                      <w:color w:val="auto"/>
                      <w:sz w:val="21"/>
                      <w:szCs w:val="21"/>
                      <w:highlight w:val="none"/>
                    </w:rPr>
                    <w:t>配料系统</w:t>
                  </w:r>
                  <w:r>
                    <w:rPr>
                      <w:rFonts w:hint="eastAsia" w:ascii="Times New Roman" w:eastAsia="宋体" w:cs="Times New Roman"/>
                      <w:b w:val="0"/>
                      <w:bCs/>
                      <w:color w:val="auto"/>
                      <w:sz w:val="21"/>
                      <w:szCs w:val="21"/>
                      <w:highlight w:val="none"/>
                      <w:lang w:eastAsia="zh-CN"/>
                    </w:rPr>
                    <w:t>、</w:t>
                  </w:r>
                  <w:r>
                    <w:rPr>
                      <w:rFonts w:hint="eastAsia" w:ascii="Times New Roman" w:eastAsia="宋体" w:cs="Times New Roman"/>
                      <w:b w:val="0"/>
                      <w:bCs/>
                      <w:color w:val="auto"/>
                      <w:sz w:val="21"/>
                      <w:szCs w:val="21"/>
                      <w:highlight w:val="none"/>
                    </w:rPr>
                    <w:t>干燥系统</w:t>
                  </w:r>
                  <w:r>
                    <w:rPr>
                      <w:rFonts w:hint="eastAsia" w:ascii="Times New Roman" w:eastAsia="宋体" w:cs="Times New Roman"/>
                      <w:b w:val="0"/>
                      <w:bCs/>
                      <w:color w:val="auto"/>
                      <w:sz w:val="21"/>
                      <w:szCs w:val="21"/>
                      <w:highlight w:val="none"/>
                      <w:lang w:eastAsia="zh-CN"/>
                    </w:rPr>
                    <w:t>、供给系统。</w:t>
                  </w:r>
                </w:p>
              </w:tc>
              <w:tc>
                <w:tcPr>
                  <w:tcW w:w="1101" w:type="dxa"/>
                  <w:shd w:val="clear" w:color="auto" w:fill="auto"/>
                  <w:noWrap w:val="0"/>
                  <w:vAlign w:val="center"/>
                </w:tcPr>
                <w:p w14:paraId="0AED7CC3">
                  <w:pPr>
                    <w:pStyle w:val="51"/>
                    <w:keepNext w:val="0"/>
                    <w:keepLines w:val="0"/>
                    <w:suppressLineNumbers w:val="0"/>
                    <w:snapToGrid w:val="0"/>
                    <w:spacing w:before="0" w:beforeAutospacing="0" w:after="0" w:afterAutospacing="0" w:line="240" w:lineRule="auto"/>
                    <w:ind w:left="0" w:right="0"/>
                    <w:jc w:val="center"/>
                    <w:rPr>
                      <w:rFonts w:hint="default" w:ascii="Times New Roman" w:hAnsi="Calibri" w:eastAsia="宋体" w:cs="Times New Roman"/>
                      <w:b w:val="0"/>
                      <w:bCs/>
                      <w:color w:val="auto"/>
                      <w:kern w:val="2"/>
                      <w:sz w:val="21"/>
                      <w:szCs w:val="21"/>
                      <w:highlight w:val="none"/>
                      <w:lang w:val="en-US" w:eastAsia="zh-CN" w:bidi="ar-SA"/>
                    </w:rPr>
                  </w:pPr>
                  <w:r>
                    <w:rPr>
                      <w:rFonts w:hint="eastAsia" w:ascii="Times New Roman" w:cs="Times New Roman"/>
                      <w:b w:val="0"/>
                      <w:bCs/>
                      <w:color w:val="auto"/>
                      <w:sz w:val="21"/>
                      <w:szCs w:val="21"/>
                      <w:highlight w:val="none"/>
                      <w:lang w:val="en-US" w:eastAsia="zh-CN"/>
                    </w:rPr>
                    <w:t>利用现有</w:t>
                  </w:r>
                </w:p>
              </w:tc>
            </w:tr>
            <w:tr w14:paraId="4EA73C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restart"/>
                  <w:noWrap w:val="0"/>
                  <w:vAlign w:val="center"/>
                </w:tcPr>
                <w:p w14:paraId="3CCDBAB6">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储运工程</w:t>
                  </w:r>
                </w:p>
              </w:tc>
              <w:tc>
                <w:tcPr>
                  <w:tcW w:w="1696" w:type="dxa"/>
                  <w:gridSpan w:val="2"/>
                  <w:noWrap w:val="0"/>
                  <w:vAlign w:val="center"/>
                </w:tcPr>
                <w:p w14:paraId="759EA49D">
                  <w:pPr>
                    <w:pStyle w:val="51"/>
                    <w:keepNext w:val="0"/>
                    <w:keepLines w:val="0"/>
                    <w:suppressLineNumbers w:val="0"/>
                    <w:snapToGrid w:val="0"/>
                    <w:spacing w:before="0" w:beforeAutospacing="0" w:after="0" w:afterAutospacing="0" w:line="240" w:lineRule="auto"/>
                    <w:ind w:left="0" w:right="0"/>
                    <w:jc w:val="center"/>
                    <w:rPr>
                      <w:rFonts w:hint="eastAsia" w:ascii="Times New Roman" w:eastAsia="宋体" w:cs="Times New Roman"/>
                      <w:b w:val="0"/>
                      <w:bCs/>
                      <w:color w:val="auto"/>
                      <w:sz w:val="21"/>
                      <w:szCs w:val="21"/>
                      <w:highlight w:val="none"/>
                    </w:rPr>
                  </w:pPr>
                  <w:r>
                    <w:rPr>
                      <w:rFonts w:hint="eastAsia" w:ascii="Times New Roman" w:eastAsia="宋体" w:cs="Times New Roman"/>
                      <w:b w:val="0"/>
                      <w:bCs/>
                      <w:color w:val="auto"/>
                      <w:sz w:val="21"/>
                      <w:szCs w:val="21"/>
                      <w:highlight w:val="none"/>
                    </w:rPr>
                    <w:t>原料库</w:t>
                  </w:r>
                </w:p>
              </w:tc>
              <w:tc>
                <w:tcPr>
                  <w:tcW w:w="5395" w:type="dxa"/>
                  <w:noWrap w:val="0"/>
                  <w:vAlign w:val="center"/>
                </w:tcPr>
                <w:p w14:paraId="0D28D817">
                  <w:pPr>
                    <w:pStyle w:val="51"/>
                    <w:keepNext w:val="0"/>
                    <w:keepLines w:val="0"/>
                    <w:suppressLineNumbers w:val="0"/>
                    <w:snapToGrid w:val="0"/>
                    <w:spacing w:before="0" w:beforeAutospacing="0" w:after="0" w:afterAutospacing="0" w:line="240" w:lineRule="auto"/>
                    <w:ind w:left="0" w:right="0"/>
                    <w:jc w:val="left"/>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面积</w:t>
                  </w:r>
                  <w:r>
                    <w:rPr>
                      <w:rFonts w:hint="eastAsia" w:ascii="Times New Roman" w:cs="Times New Roman"/>
                      <w:b w:val="0"/>
                      <w:bCs/>
                      <w:color w:val="auto"/>
                      <w:sz w:val="21"/>
                      <w:szCs w:val="21"/>
                      <w:highlight w:val="none"/>
                      <w:lang w:val="en-US" w:eastAsia="zh-CN"/>
                    </w:rPr>
                    <w:t>约6500</w:t>
                  </w:r>
                  <w:r>
                    <w:rPr>
                      <w:rFonts w:hint="default" w:ascii="Times New Roman" w:cs="Times New Roman"/>
                      <w:b w:val="0"/>
                      <w:bCs/>
                      <w:color w:val="auto"/>
                      <w:sz w:val="21"/>
                      <w:szCs w:val="21"/>
                      <w:highlight w:val="none"/>
                    </w:rPr>
                    <w:t>m</w:t>
                  </w:r>
                  <w:r>
                    <w:rPr>
                      <w:rFonts w:hint="default" w:ascii="Times New Roman" w:cs="Times New Roman"/>
                      <w:b w:val="0"/>
                      <w:bCs/>
                      <w:color w:val="auto"/>
                      <w:sz w:val="21"/>
                      <w:szCs w:val="21"/>
                      <w:highlight w:val="none"/>
                      <w:vertAlign w:val="superscript"/>
                    </w:rPr>
                    <w:t>2</w:t>
                  </w:r>
                  <w:r>
                    <w:rPr>
                      <w:rFonts w:hint="default" w:ascii="Times New Roman" w:eastAsia="宋体" w:cs="Times New Roman"/>
                      <w:b w:val="0"/>
                      <w:bCs/>
                      <w:color w:val="auto"/>
                      <w:sz w:val="21"/>
                      <w:szCs w:val="21"/>
                      <w:highlight w:val="none"/>
                    </w:rPr>
                    <w:t>，</w:t>
                  </w:r>
                  <w:r>
                    <w:rPr>
                      <w:rFonts w:hint="eastAsia" w:ascii="Times New Roman" w:eastAsia="宋体" w:cs="Times New Roman"/>
                      <w:b w:val="0"/>
                      <w:bCs/>
                      <w:color w:val="auto"/>
                      <w:sz w:val="21"/>
                      <w:szCs w:val="21"/>
                      <w:highlight w:val="none"/>
                    </w:rPr>
                    <w:t>全封闭结构，</w:t>
                  </w:r>
                  <w:r>
                    <w:rPr>
                      <w:rFonts w:hint="default" w:ascii="Times New Roman" w:eastAsia="宋体" w:cs="Times New Roman"/>
                      <w:b w:val="0"/>
                      <w:bCs/>
                      <w:color w:val="auto"/>
                      <w:sz w:val="21"/>
                      <w:szCs w:val="21"/>
                      <w:highlight w:val="none"/>
                    </w:rPr>
                    <w:t>用于储存</w:t>
                  </w:r>
                  <w:r>
                    <w:rPr>
                      <w:rFonts w:hint="eastAsia" w:ascii="Times New Roman" w:cs="Times New Roman"/>
                      <w:b w:val="0"/>
                      <w:bCs/>
                      <w:color w:val="auto"/>
                      <w:sz w:val="21"/>
                      <w:szCs w:val="21"/>
                      <w:highlight w:val="none"/>
                      <w:lang w:val="en-US" w:eastAsia="zh-CN"/>
                    </w:rPr>
                    <w:t>不同粒径骨料原料</w:t>
                  </w:r>
                  <w:r>
                    <w:rPr>
                      <w:rFonts w:hint="eastAsia" w:ascii="Times New Roman" w:eastAsia="宋体" w:cs="Times New Roman"/>
                      <w:b w:val="0"/>
                      <w:bCs/>
                      <w:color w:val="auto"/>
                      <w:sz w:val="21"/>
                      <w:szCs w:val="21"/>
                      <w:highlight w:val="none"/>
                    </w:rPr>
                    <w:t>，原料库顶部设置喷淋装置，定期洒水降尘</w:t>
                  </w:r>
                </w:p>
              </w:tc>
              <w:tc>
                <w:tcPr>
                  <w:tcW w:w="1101" w:type="dxa"/>
                  <w:noWrap w:val="0"/>
                  <w:vAlign w:val="center"/>
                </w:tcPr>
                <w:p w14:paraId="705EEB2C">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lang w:val="en-US" w:eastAsia="zh-CN"/>
                    </w:rPr>
                  </w:pPr>
                  <w:r>
                    <w:rPr>
                      <w:rFonts w:hint="eastAsia" w:ascii="Times New Roman" w:cs="Times New Roman"/>
                      <w:b w:val="0"/>
                      <w:bCs/>
                      <w:color w:val="auto"/>
                      <w:sz w:val="21"/>
                      <w:szCs w:val="21"/>
                      <w:highlight w:val="none"/>
                      <w:lang w:val="en-US" w:eastAsia="zh-CN"/>
                    </w:rPr>
                    <w:t>利用现有</w:t>
                  </w:r>
                </w:p>
              </w:tc>
            </w:tr>
            <w:tr w14:paraId="1694E4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3F2496AF">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1696" w:type="dxa"/>
                  <w:gridSpan w:val="2"/>
                  <w:noWrap w:val="0"/>
                  <w:vAlign w:val="center"/>
                </w:tcPr>
                <w:p w14:paraId="442F04DD">
                  <w:pPr>
                    <w:pStyle w:val="51"/>
                    <w:keepNext w:val="0"/>
                    <w:keepLines w:val="0"/>
                    <w:suppressLineNumbers w:val="0"/>
                    <w:snapToGrid w:val="0"/>
                    <w:spacing w:before="0" w:beforeAutospacing="0" w:after="0" w:afterAutospacing="0" w:line="240" w:lineRule="auto"/>
                    <w:ind w:left="0" w:right="0"/>
                    <w:jc w:val="center"/>
                    <w:rPr>
                      <w:rFonts w:hint="eastAsia" w:ascii="Times New Roman" w:eastAsia="宋体" w:cs="Times New Roman"/>
                      <w:b w:val="0"/>
                      <w:bCs/>
                      <w:color w:val="auto"/>
                      <w:sz w:val="21"/>
                      <w:szCs w:val="21"/>
                      <w:highlight w:val="none"/>
                      <w:lang w:val="en-US" w:eastAsia="zh-CN"/>
                    </w:rPr>
                  </w:pPr>
                  <w:r>
                    <w:rPr>
                      <w:rFonts w:hint="eastAsia" w:ascii="Times New Roman" w:cs="Times New Roman"/>
                      <w:b w:val="0"/>
                      <w:bCs/>
                      <w:color w:val="auto"/>
                      <w:sz w:val="21"/>
                      <w:szCs w:val="21"/>
                      <w:highlight w:val="none"/>
                      <w:lang w:val="en-US" w:eastAsia="zh-CN"/>
                    </w:rPr>
                    <w:t>沥青储罐</w:t>
                  </w:r>
                </w:p>
              </w:tc>
              <w:tc>
                <w:tcPr>
                  <w:tcW w:w="5395" w:type="dxa"/>
                  <w:noWrap w:val="0"/>
                  <w:vAlign w:val="center"/>
                </w:tcPr>
                <w:p w14:paraId="172E7086">
                  <w:pPr>
                    <w:pStyle w:val="51"/>
                    <w:keepNext w:val="0"/>
                    <w:keepLines w:val="0"/>
                    <w:suppressLineNumbers w:val="0"/>
                    <w:snapToGrid w:val="0"/>
                    <w:spacing w:before="0" w:beforeAutospacing="0" w:after="0" w:afterAutospacing="0" w:line="240" w:lineRule="auto"/>
                    <w:ind w:left="0" w:right="0"/>
                    <w:jc w:val="left"/>
                    <w:rPr>
                      <w:rFonts w:hint="default" w:ascii="Times New Roman" w:eastAsia="宋体" w:cs="Times New Roman"/>
                      <w:b w:val="0"/>
                      <w:bCs/>
                      <w:color w:val="auto"/>
                      <w:sz w:val="21"/>
                      <w:szCs w:val="21"/>
                      <w:highlight w:val="none"/>
                    </w:rPr>
                  </w:pPr>
                  <w:r>
                    <w:rPr>
                      <w:rFonts w:hint="eastAsia" w:ascii="Times New Roman" w:eastAsia="宋体" w:cs="Times New Roman"/>
                      <w:b w:val="0"/>
                      <w:bCs/>
                      <w:color w:val="auto"/>
                      <w:sz w:val="21"/>
                      <w:szCs w:val="21"/>
                      <w:highlight w:val="none"/>
                    </w:rPr>
                    <w:t>建设50t沥青罐</w:t>
                  </w:r>
                  <w:r>
                    <w:rPr>
                      <w:rFonts w:hint="eastAsia" w:ascii="Times New Roman" w:cs="Times New Roman"/>
                      <w:b w:val="0"/>
                      <w:bCs/>
                      <w:color w:val="auto"/>
                      <w:sz w:val="21"/>
                      <w:szCs w:val="21"/>
                      <w:highlight w:val="none"/>
                      <w:lang w:val="en-US" w:eastAsia="zh-CN"/>
                    </w:rPr>
                    <w:t>5</w:t>
                  </w:r>
                  <w:r>
                    <w:rPr>
                      <w:rFonts w:hint="eastAsia" w:ascii="Times New Roman" w:eastAsia="宋体" w:cs="Times New Roman"/>
                      <w:b w:val="0"/>
                      <w:bCs/>
                      <w:color w:val="auto"/>
                      <w:sz w:val="21"/>
                      <w:szCs w:val="21"/>
                      <w:highlight w:val="none"/>
                    </w:rPr>
                    <w:t>台。</w:t>
                  </w:r>
                </w:p>
              </w:tc>
              <w:tc>
                <w:tcPr>
                  <w:tcW w:w="1101" w:type="dxa"/>
                  <w:noWrap w:val="0"/>
                  <w:vAlign w:val="center"/>
                </w:tcPr>
                <w:p w14:paraId="4D343862">
                  <w:pPr>
                    <w:pStyle w:val="51"/>
                    <w:keepNext w:val="0"/>
                    <w:keepLines w:val="0"/>
                    <w:suppressLineNumbers w:val="0"/>
                    <w:snapToGrid w:val="0"/>
                    <w:spacing w:before="0" w:beforeAutospacing="0" w:after="0" w:afterAutospacing="0" w:line="240" w:lineRule="auto"/>
                    <w:ind w:left="0" w:right="0"/>
                    <w:jc w:val="center"/>
                    <w:rPr>
                      <w:rFonts w:hint="eastAsia" w:ascii="Times New Roman" w:eastAsia="宋体" w:cs="Times New Roman"/>
                      <w:b w:val="0"/>
                      <w:bCs/>
                      <w:color w:val="auto"/>
                      <w:sz w:val="21"/>
                      <w:szCs w:val="21"/>
                      <w:highlight w:val="none"/>
                      <w:lang w:eastAsia="zh-CN"/>
                    </w:rPr>
                  </w:pPr>
                  <w:r>
                    <w:rPr>
                      <w:rFonts w:hint="eastAsia" w:ascii="Times New Roman" w:cs="Times New Roman"/>
                      <w:b w:val="0"/>
                      <w:bCs/>
                      <w:color w:val="auto"/>
                      <w:sz w:val="21"/>
                      <w:szCs w:val="21"/>
                      <w:highlight w:val="none"/>
                      <w:lang w:val="en-US" w:eastAsia="zh-CN"/>
                    </w:rPr>
                    <w:t>利用现有</w:t>
                  </w:r>
                </w:p>
              </w:tc>
            </w:tr>
            <w:tr w14:paraId="04D3AE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noWrap w:val="0"/>
                  <w:vAlign w:val="center"/>
                </w:tcPr>
                <w:p w14:paraId="405ECBCF">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辅助工程</w:t>
                  </w:r>
                </w:p>
              </w:tc>
              <w:tc>
                <w:tcPr>
                  <w:tcW w:w="1696" w:type="dxa"/>
                  <w:gridSpan w:val="2"/>
                  <w:noWrap w:val="0"/>
                  <w:vAlign w:val="center"/>
                </w:tcPr>
                <w:p w14:paraId="5D4AE29D">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办公</w:t>
                  </w:r>
                  <w:r>
                    <w:rPr>
                      <w:rFonts w:hint="eastAsia" w:ascii="Times New Roman" w:eastAsia="宋体" w:cs="Times New Roman"/>
                      <w:b w:val="0"/>
                      <w:bCs/>
                      <w:color w:val="auto"/>
                      <w:sz w:val="21"/>
                      <w:szCs w:val="21"/>
                      <w:highlight w:val="none"/>
                    </w:rPr>
                    <w:t>区</w:t>
                  </w:r>
                </w:p>
              </w:tc>
              <w:tc>
                <w:tcPr>
                  <w:tcW w:w="5395" w:type="dxa"/>
                  <w:noWrap w:val="0"/>
                  <w:vAlign w:val="center"/>
                </w:tcPr>
                <w:p w14:paraId="3D16025F">
                  <w:pPr>
                    <w:pStyle w:val="51"/>
                    <w:keepNext w:val="0"/>
                    <w:keepLines w:val="0"/>
                    <w:suppressLineNumbers w:val="0"/>
                    <w:snapToGrid w:val="0"/>
                    <w:spacing w:before="0" w:beforeAutospacing="0" w:after="0" w:afterAutospacing="0" w:line="240" w:lineRule="auto"/>
                    <w:ind w:left="0" w:right="0"/>
                    <w:jc w:val="left"/>
                    <w:rPr>
                      <w:rFonts w:hint="default" w:ascii="Times New Roman" w:eastAsia="宋体" w:cs="Times New Roman"/>
                      <w:b w:val="0"/>
                      <w:bCs/>
                      <w:color w:val="auto"/>
                      <w:sz w:val="21"/>
                      <w:szCs w:val="21"/>
                      <w:highlight w:val="none"/>
                      <w:lang w:val="en-US" w:eastAsia="zh-CN"/>
                    </w:rPr>
                  </w:pPr>
                  <w:r>
                    <w:rPr>
                      <w:rFonts w:hint="default" w:ascii="Times New Roman" w:eastAsia="宋体" w:cs="Times New Roman"/>
                      <w:b w:val="0"/>
                      <w:bCs/>
                      <w:color w:val="auto"/>
                      <w:sz w:val="21"/>
                      <w:szCs w:val="21"/>
                      <w:highlight w:val="none"/>
                    </w:rPr>
                    <w:t>建筑面积</w:t>
                  </w:r>
                  <w:r>
                    <w:rPr>
                      <w:rFonts w:hint="eastAsia" w:ascii="Times New Roman" w:cs="Times New Roman"/>
                      <w:b w:val="0"/>
                      <w:bCs/>
                      <w:color w:val="auto"/>
                      <w:sz w:val="21"/>
                      <w:szCs w:val="21"/>
                      <w:highlight w:val="none"/>
                      <w:lang w:val="en-US" w:eastAsia="zh-CN"/>
                    </w:rPr>
                    <w:t>350</w:t>
                  </w:r>
                  <w:r>
                    <w:rPr>
                      <w:rFonts w:hint="default" w:ascii="Times New Roman" w:cs="Times New Roman"/>
                      <w:b w:val="0"/>
                      <w:bCs/>
                      <w:color w:val="auto"/>
                      <w:sz w:val="21"/>
                      <w:szCs w:val="21"/>
                      <w:highlight w:val="none"/>
                    </w:rPr>
                    <w:t>m</w:t>
                  </w:r>
                  <w:r>
                    <w:rPr>
                      <w:rFonts w:hint="default" w:ascii="Times New Roman" w:cs="Times New Roman"/>
                      <w:b w:val="0"/>
                      <w:bCs/>
                      <w:color w:val="auto"/>
                      <w:sz w:val="21"/>
                      <w:szCs w:val="21"/>
                      <w:highlight w:val="none"/>
                      <w:vertAlign w:val="superscript"/>
                    </w:rPr>
                    <w:t>2</w:t>
                  </w:r>
                  <w:r>
                    <w:rPr>
                      <w:rFonts w:hint="default" w:ascii="Times New Roman" w:eastAsia="宋体" w:cs="Times New Roman"/>
                      <w:b w:val="0"/>
                      <w:bCs/>
                      <w:color w:val="auto"/>
                      <w:sz w:val="21"/>
                      <w:szCs w:val="21"/>
                      <w:highlight w:val="none"/>
                    </w:rPr>
                    <w:t>，用于</w:t>
                  </w:r>
                  <w:r>
                    <w:rPr>
                      <w:rFonts w:hint="eastAsia" w:ascii="Times New Roman" w:eastAsia="宋体" w:cs="Times New Roman"/>
                      <w:b w:val="0"/>
                      <w:bCs/>
                      <w:color w:val="auto"/>
                      <w:sz w:val="21"/>
                      <w:szCs w:val="21"/>
                      <w:highlight w:val="none"/>
                    </w:rPr>
                    <w:t>人员</w:t>
                  </w:r>
                  <w:r>
                    <w:rPr>
                      <w:rFonts w:hint="default" w:ascii="Times New Roman" w:eastAsia="宋体" w:cs="Times New Roman"/>
                      <w:b w:val="0"/>
                      <w:bCs/>
                      <w:color w:val="auto"/>
                      <w:sz w:val="21"/>
                      <w:szCs w:val="21"/>
                      <w:highlight w:val="none"/>
                    </w:rPr>
                    <w:t>办公</w:t>
                  </w:r>
                  <w:r>
                    <w:rPr>
                      <w:rFonts w:hint="eastAsia" w:ascii="Times New Roman" w:cs="Times New Roman"/>
                      <w:b w:val="0"/>
                      <w:bCs/>
                      <w:color w:val="auto"/>
                      <w:sz w:val="21"/>
                      <w:szCs w:val="21"/>
                      <w:highlight w:val="none"/>
                      <w:lang w:eastAsia="zh-CN"/>
                    </w:rPr>
                    <w:t>、</w:t>
                  </w:r>
                  <w:r>
                    <w:rPr>
                      <w:rFonts w:hint="eastAsia" w:ascii="Times New Roman" w:cs="Times New Roman"/>
                      <w:b w:val="0"/>
                      <w:bCs/>
                      <w:color w:val="auto"/>
                      <w:sz w:val="21"/>
                      <w:szCs w:val="21"/>
                      <w:highlight w:val="none"/>
                      <w:lang w:val="en-US" w:eastAsia="zh-CN"/>
                    </w:rPr>
                    <w:t>就餐</w:t>
                  </w:r>
                </w:p>
              </w:tc>
              <w:tc>
                <w:tcPr>
                  <w:tcW w:w="1101" w:type="dxa"/>
                  <w:noWrap w:val="0"/>
                  <w:vAlign w:val="center"/>
                </w:tcPr>
                <w:p w14:paraId="4DBB50D1">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lang w:val="en-US" w:eastAsia="zh-CN"/>
                    </w:rPr>
                  </w:pPr>
                  <w:r>
                    <w:rPr>
                      <w:rFonts w:hint="eastAsia" w:ascii="Times New Roman" w:cs="Times New Roman"/>
                      <w:b w:val="0"/>
                      <w:bCs/>
                      <w:color w:val="auto"/>
                      <w:sz w:val="21"/>
                      <w:szCs w:val="21"/>
                      <w:highlight w:val="none"/>
                      <w:lang w:val="en-US" w:eastAsia="zh-CN"/>
                    </w:rPr>
                    <w:t>利用现有改造</w:t>
                  </w:r>
                </w:p>
              </w:tc>
            </w:tr>
            <w:tr w14:paraId="3388EA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restart"/>
                  <w:noWrap w:val="0"/>
                  <w:vAlign w:val="center"/>
                </w:tcPr>
                <w:p w14:paraId="612BECC0">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公</w:t>
                  </w:r>
                </w:p>
                <w:p w14:paraId="17393FF2">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用</w:t>
                  </w:r>
                </w:p>
                <w:p w14:paraId="60D1FE31">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工</w:t>
                  </w:r>
                </w:p>
                <w:p w14:paraId="0DE71FF0">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程</w:t>
                  </w:r>
                </w:p>
              </w:tc>
              <w:tc>
                <w:tcPr>
                  <w:tcW w:w="1696" w:type="dxa"/>
                  <w:gridSpan w:val="2"/>
                  <w:noWrap w:val="0"/>
                  <w:vAlign w:val="center"/>
                </w:tcPr>
                <w:p w14:paraId="6E8C0F0A">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给水</w:t>
                  </w:r>
                </w:p>
              </w:tc>
              <w:tc>
                <w:tcPr>
                  <w:tcW w:w="5395" w:type="dxa"/>
                  <w:noWrap w:val="0"/>
                  <w:vAlign w:val="center"/>
                </w:tcPr>
                <w:p w14:paraId="1C3D2805">
                  <w:pPr>
                    <w:pStyle w:val="51"/>
                    <w:keepNext w:val="0"/>
                    <w:keepLines w:val="0"/>
                    <w:suppressLineNumbers w:val="0"/>
                    <w:snapToGrid w:val="0"/>
                    <w:spacing w:before="0" w:beforeAutospacing="0" w:after="0" w:afterAutospacing="0" w:line="240" w:lineRule="auto"/>
                    <w:ind w:left="0" w:right="0"/>
                    <w:jc w:val="left"/>
                    <w:rPr>
                      <w:rFonts w:hint="default" w:ascii="Times New Roman" w:eastAsia="宋体" w:cs="Times New Roman"/>
                      <w:b w:val="0"/>
                      <w:bCs/>
                      <w:color w:val="auto"/>
                      <w:sz w:val="21"/>
                      <w:szCs w:val="21"/>
                      <w:highlight w:val="none"/>
                      <w:lang w:val="en-US" w:eastAsia="zh-CN"/>
                    </w:rPr>
                  </w:pPr>
                  <w:r>
                    <w:rPr>
                      <w:rFonts w:hint="default" w:ascii="Times New Roman" w:eastAsia="宋体" w:cs="Times New Roman"/>
                      <w:b w:val="0"/>
                      <w:bCs/>
                      <w:color w:val="auto"/>
                      <w:sz w:val="21"/>
                      <w:szCs w:val="21"/>
                      <w:highlight w:val="none"/>
                      <w:lang w:val="en-US" w:eastAsia="zh-CN"/>
                    </w:rPr>
                    <w:t>本项目</w:t>
                  </w:r>
                  <w:r>
                    <w:rPr>
                      <w:rFonts w:hint="eastAsia" w:ascii="Times New Roman" w:cs="Times New Roman"/>
                      <w:b w:val="0"/>
                      <w:bCs/>
                      <w:color w:val="auto"/>
                      <w:sz w:val="21"/>
                      <w:szCs w:val="21"/>
                      <w:highlight w:val="none"/>
                      <w:lang w:val="en-US" w:eastAsia="zh-CN"/>
                    </w:rPr>
                    <w:t>用水由市政给水管网供给</w:t>
                  </w:r>
                  <w:r>
                    <w:rPr>
                      <w:rFonts w:hint="default" w:ascii="Times New Roman" w:eastAsia="宋体" w:cs="Times New Roman"/>
                      <w:b w:val="0"/>
                      <w:bCs/>
                      <w:color w:val="auto"/>
                      <w:sz w:val="21"/>
                      <w:szCs w:val="21"/>
                      <w:highlight w:val="none"/>
                      <w:lang w:val="en-US" w:eastAsia="zh-CN"/>
                    </w:rPr>
                    <w:t>。</w:t>
                  </w:r>
                </w:p>
              </w:tc>
              <w:tc>
                <w:tcPr>
                  <w:tcW w:w="1101" w:type="dxa"/>
                  <w:noWrap w:val="0"/>
                  <w:vAlign w:val="center"/>
                </w:tcPr>
                <w:p w14:paraId="23260580">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lang w:val="en-US" w:eastAsia="zh-CN"/>
                    </w:rPr>
                  </w:pPr>
                  <w:r>
                    <w:rPr>
                      <w:rFonts w:hint="eastAsia" w:ascii="Times New Roman" w:cs="Times New Roman"/>
                      <w:b w:val="0"/>
                      <w:bCs/>
                      <w:color w:val="auto"/>
                      <w:sz w:val="21"/>
                      <w:szCs w:val="21"/>
                      <w:highlight w:val="none"/>
                      <w:lang w:val="en-US" w:eastAsia="zh-CN"/>
                    </w:rPr>
                    <w:t>利用现有</w:t>
                  </w:r>
                </w:p>
              </w:tc>
            </w:tr>
            <w:tr w14:paraId="6E6B9C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1C99C5B8">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1696" w:type="dxa"/>
                  <w:gridSpan w:val="2"/>
                  <w:noWrap w:val="0"/>
                  <w:vAlign w:val="center"/>
                </w:tcPr>
                <w:p w14:paraId="72882EF0">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排水</w:t>
                  </w:r>
                </w:p>
              </w:tc>
              <w:tc>
                <w:tcPr>
                  <w:tcW w:w="5395" w:type="dxa"/>
                  <w:noWrap w:val="0"/>
                  <w:vAlign w:val="center"/>
                </w:tcPr>
                <w:p w14:paraId="7C4695B8">
                  <w:pPr>
                    <w:pStyle w:val="51"/>
                    <w:keepNext w:val="0"/>
                    <w:keepLines w:val="0"/>
                    <w:suppressLineNumbers w:val="0"/>
                    <w:snapToGrid w:val="0"/>
                    <w:spacing w:before="0" w:beforeAutospacing="0" w:after="0" w:afterAutospacing="0" w:line="240" w:lineRule="auto"/>
                    <w:ind w:left="0" w:right="0"/>
                    <w:jc w:val="left"/>
                    <w:rPr>
                      <w:rFonts w:hint="eastAsia" w:ascii="Times New Roman" w:eastAsia="宋体" w:cs="Times New Roman"/>
                      <w:b w:val="0"/>
                      <w:bCs/>
                      <w:color w:val="auto"/>
                      <w:sz w:val="21"/>
                      <w:szCs w:val="21"/>
                      <w:highlight w:val="none"/>
                    </w:rPr>
                  </w:pPr>
                  <w:r>
                    <w:rPr>
                      <w:rFonts w:hint="eastAsia" w:ascii="Times New Roman" w:eastAsia="宋体" w:cs="Times New Roman"/>
                      <w:b w:val="0"/>
                      <w:bCs/>
                      <w:color w:val="auto"/>
                      <w:sz w:val="21"/>
                      <w:szCs w:val="21"/>
                      <w:highlight w:val="none"/>
                    </w:rPr>
                    <w:t>采取</w:t>
                  </w:r>
                  <w:r>
                    <w:rPr>
                      <w:rFonts w:hint="default" w:ascii="Times New Roman" w:eastAsia="宋体" w:cs="Times New Roman"/>
                      <w:b w:val="0"/>
                      <w:bCs/>
                      <w:color w:val="auto"/>
                      <w:sz w:val="21"/>
                      <w:szCs w:val="21"/>
                      <w:highlight w:val="none"/>
                    </w:rPr>
                    <w:t>雨、污分流</w:t>
                  </w:r>
                  <w:r>
                    <w:rPr>
                      <w:rFonts w:hint="eastAsia" w:ascii="Times New Roman" w:eastAsia="宋体" w:cs="Times New Roman"/>
                      <w:b w:val="0"/>
                      <w:bCs/>
                      <w:color w:val="auto"/>
                      <w:sz w:val="21"/>
                      <w:szCs w:val="21"/>
                      <w:highlight w:val="none"/>
                    </w:rPr>
                    <w:t>制</w:t>
                  </w:r>
                  <w:r>
                    <w:rPr>
                      <w:rFonts w:hint="default" w:ascii="Times New Roman" w:eastAsia="宋体" w:cs="Times New Roman"/>
                      <w:b w:val="0"/>
                      <w:bCs/>
                      <w:color w:val="auto"/>
                      <w:sz w:val="21"/>
                      <w:szCs w:val="21"/>
                      <w:highlight w:val="none"/>
                    </w:rPr>
                    <w:t>；</w:t>
                  </w:r>
                  <w:r>
                    <w:rPr>
                      <w:rFonts w:hint="eastAsia"/>
                      <w:b w:val="0"/>
                      <w:color w:val="auto"/>
                      <w:sz w:val="21"/>
                      <w:szCs w:val="21"/>
                      <w:highlight w:val="none"/>
                      <w:lang w:eastAsia="zh-CN"/>
                    </w:rPr>
                    <w:t>项目运营期</w:t>
                  </w:r>
                  <w:r>
                    <w:rPr>
                      <w:rFonts w:hint="eastAsia"/>
                      <w:b w:val="0"/>
                      <w:color w:val="auto"/>
                      <w:sz w:val="21"/>
                      <w:szCs w:val="21"/>
                      <w:highlight w:val="none"/>
                      <w:lang w:val="en-US" w:eastAsia="zh-CN"/>
                    </w:rPr>
                    <w:t>设备、</w:t>
                  </w:r>
                  <w:r>
                    <w:rPr>
                      <w:rFonts w:hint="eastAsia"/>
                      <w:b w:val="0"/>
                      <w:color w:val="auto"/>
                      <w:sz w:val="21"/>
                      <w:szCs w:val="21"/>
                      <w:highlight w:val="none"/>
                      <w:lang w:eastAsia="zh-CN"/>
                    </w:rPr>
                    <w:t>车辆冲洗废水经循环沉淀池沉淀后回用；员工生活污水经</w:t>
                  </w:r>
                  <w:r>
                    <w:rPr>
                      <w:rFonts w:hint="eastAsia"/>
                      <w:b w:val="0"/>
                      <w:color w:val="auto"/>
                      <w:sz w:val="21"/>
                      <w:szCs w:val="21"/>
                      <w:highlight w:val="none"/>
                      <w:lang w:val="en-US" w:eastAsia="zh-CN"/>
                    </w:rPr>
                    <w:t>化粪池收集后排入市政污水管网</w:t>
                  </w:r>
                  <w:r>
                    <w:rPr>
                      <w:rFonts w:hint="eastAsia"/>
                      <w:b w:val="0"/>
                      <w:color w:val="auto"/>
                      <w:sz w:val="21"/>
                      <w:szCs w:val="21"/>
                      <w:highlight w:val="none"/>
                      <w:lang w:eastAsia="zh-CN"/>
                    </w:rPr>
                    <w:t>。</w:t>
                  </w:r>
                </w:p>
              </w:tc>
              <w:tc>
                <w:tcPr>
                  <w:tcW w:w="1101" w:type="dxa"/>
                  <w:noWrap w:val="0"/>
                  <w:vAlign w:val="center"/>
                </w:tcPr>
                <w:p w14:paraId="6E7416B8">
                  <w:pPr>
                    <w:pStyle w:val="51"/>
                    <w:keepNext w:val="0"/>
                    <w:keepLines w:val="0"/>
                    <w:suppressLineNumbers w:val="0"/>
                    <w:snapToGrid w:val="0"/>
                    <w:spacing w:before="0" w:beforeAutospacing="0" w:after="0" w:afterAutospacing="0" w:line="240" w:lineRule="auto"/>
                    <w:ind w:left="0" w:right="0"/>
                    <w:jc w:val="center"/>
                    <w:rPr>
                      <w:rFonts w:hint="eastAsia" w:ascii="Times New Roman" w:eastAsia="宋体" w:cs="Times New Roman"/>
                      <w:b w:val="0"/>
                      <w:bCs/>
                      <w:color w:val="auto"/>
                      <w:sz w:val="21"/>
                      <w:szCs w:val="21"/>
                      <w:highlight w:val="none"/>
                      <w:lang w:eastAsia="zh-CN"/>
                    </w:rPr>
                  </w:pPr>
                  <w:r>
                    <w:rPr>
                      <w:rFonts w:hint="eastAsia" w:ascii="Times New Roman" w:cs="Times New Roman"/>
                      <w:b w:val="0"/>
                      <w:bCs/>
                      <w:color w:val="auto"/>
                      <w:sz w:val="21"/>
                      <w:szCs w:val="21"/>
                      <w:highlight w:val="none"/>
                      <w:lang w:val="en-US" w:eastAsia="zh-CN"/>
                    </w:rPr>
                    <w:t>利用现有</w:t>
                  </w:r>
                </w:p>
              </w:tc>
            </w:tr>
            <w:tr w14:paraId="08CA13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75101D59">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1696" w:type="dxa"/>
                  <w:gridSpan w:val="2"/>
                  <w:noWrap w:val="0"/>
                  <w:vAlign w:val="center"/>
                </w:tcPr>
                <w:p w14:paraId="26053B63">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供电</w:t>
                  </w:r>
                </w:p>
              </w:tc>
              <w:tc>
                <w:tcPr>
                  <w:tcW w:w="5395" w:type="dxa"/>
                  <w:noWrap w:val="0"/>
                  <w:vAlign w:val="center"/>
                </w:tcPr>
                <w:p w14:paraId="51F55F13">
                  <w:pPr>
                    <w:pStyle w:val="51"/>
                    <w:keepNext w:val="0"/>
                    <w:keepLines w:val="0"/>
                    <w:suppressLineNumbers w:val="0"/>
                    <w:snapToGrid w:val="0"/>
                    <w:spacing w:before="0" w:beforeAutospacing="0" w:after="0" w:afterAutospacing="0" w:line="240" w:lineRule="auto"/>
                    <w:ind w:left="0" w:right="0"/>
                    <w:jc w:val="left"/>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用电由</w:t>
                  </w:r>
                  <w:r>
                    <w:rPr>
                      <w:rFonts w:hint="eastAsia" w:ascii="Times New Roman" w:cs="Times New Roman"/>
                      <w:b w:val="0"/>
                      <w:bCs/>
                      <w:color w:val="auto"/>
                      <w:sz w:val="21"/>
                      <w:szCs w:val="21"/>
                      <w:highlight w:val="none"/>
                      <w:lang w:val="en-US" w:eastAsia="zh-CN"/>
                    </w:rPr>
                    <w:t>市政</w:t>
                  </w:r>
                  <w:r>
                    <w:rPr>
                      <w:rFonts w:hint="default" w:ascii="Times New Roman" w:eastAsia="宋体" w:cs="Times New Roman"/>
                      <w:b w:val="0"/>
                      <w:bCs/>
                      <w:color w:val="auto"/>
                      <w:sz w:val="21"/>
                      <w:szCs w:val="21"/>
                      <w:highlight w:val="none"/>
                    </w:rPr>
                    <w:t>电网</w:t>
                  </w:r>
                  <w:r>
                    <w:rPr>
                      <w:rFonts w:hint="eastAsia" w:ascii="Times New Roman" w:eastAsia="宋体" w:cs="Times New Roman"/>
                      <w:b w:val="0"/>
                      <w:bCs/>
                      <w:color w:val="auto"/>
                      <w:sz w:val="21"/>
                      <w:szCs w:val="21"/>
                      <w:highlight w:val="none"/>
                    </w:rPr>
                    <w:t>接入厂区</w:t>
                  </w:r>
                </w:p>
              </w:tc>
              <w:tc>
                <w:tcPr>
                  <w:tcW w:w="1101" w:type="dxa"/>
                  <w:noWrap w:val="0"/>
                  <w:vAlign w:val="center"/>
                </w:tcPr>
                <w:p w14:paraId="7577D1DD">
                  <w:pPr>
                    <w:pStyle w:val="51"/>
                    <w:keepNext w:val="0"/>
                    <w:keepLines w:val="0"/>
                    <w:suppressLineNumbers w:val="0"/>
                    <w:snapToGrid w:val="0"/>
                    <w:spacing w:before="0" w:beforeAutospacing="0" w:after="0" w:afterAutospacing="0" w:line="240" w:lineRule="auto"/>
                    <w:ind w:left="0" w:right="0"/>
                    <w:jc w:val="center"/>
                    <w:rPr>
                      <w:rFonts w:hint="eastAsia" w:ascii="Times New Roman" w:eastAsia="宋体" w:cs="Times New Roman"/>
                      <w:b w:val="0"/>
                      <w:bCs/>
                      <w:color w:val="auto"/>
                      <w:sz w:val="21"/>
                      <w:szCs w:val="21"/>
                      <w:highlight w:val="none"/>
                      <w:lang w:eastAsia="zh-CN"/>
                    </w:rPr>
                  </w:pPr>
                  <w:r>
                    <w:rPr>
                      <w:rFonts w:hint="eastAsia" w:ascii="Times New Roman" w:cs="Times New Roman"/>
                      <w:b w:val="0"/>
                      <w:bCs/>
                      <w:color w:val="auto"/>
                      <w:sz w:val="21"/>
                      <w:szCs w:val="21"/>
                      <w:highlight w:val="none"/>
                      <w:lang w:val="en-US" w:eastAsia="zh-CN"/>
                    </w:rPr>
                    <w:t>/</w:t>
                  </w:r>
                </w:p>
              </w:tc>
            </w:tr>
            <w:tr w14:paraId="3D9BC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5C8BE61D">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1696" w:type="dxa"/>
                  <w:gridSpan w:val="2"/>
                  <w:noWrap w:val="0"/>
                  <w:vAlign w:val="center"/>
                </w:tcPr>
                <w:p w14:paraId="4269DAC2">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供暖</w:t>
                  </w:r>
                </w:p>
              </w:tc>
              <w:tc>
                <w:tcPr>
                  <w:tcW w:w="5395" w:type="dxa"/>
                  <w:noWrap w:val="0"/>
                  <w:vAlign w:val="center"/>
                </w:tcPr>
                <w:p w14:paraId="2109DB4D">
                  <w:pPr>
                    <w:pStyle w:val="51"/>
                    <w:keepNext w:val="0"/>
                    <w:keepLines w:val="0"/>
                    <w:suppressLineNumbers w:val="0"/>
                    <w:snapToGrid w:val="0"/>
                    <w:spacing w:before="0" w:beforeAutospacing="0" w:after="0" w:afterAutospacing="0" w:line="240" w:lineRule="auto"/>
                    <w:ind w:left="0" w:right="0"/>
                    <w:jc w:val="left"/>
                    <w:rPr>
                      <w:rFonts w:hint="default" w:ascii="Times New Roman" w:eastAsia="宋体" w:cs="Times New Roman"/>
                      <w:b w:val="0"/>
                      <w:bCs/>
                      <w:color w:val="auto"/>
                      <w:sz w:val="21"/>
                      <w:szCs w:val="21"/>
                      <w:highlight w:val="none"/>
                    </w:rPr>
                  </w:pPr>
                  <w:r>
                    <w:rPr>
                      <w:rFonts w:hint="eastAsia" w:ascii="Times New Roman" w:eastAsia="宋体" w:cs="Times New Roman"/>
                      <w:b w:val="0"/>
                      <w:bCs/>
                      <w:color w:val="auto"/>
                      <w:sz w:val="21"/>
                      <w:szCs w:val="21"/>
                      <w:highlight w:val="none"/>
                    </w:rPr>
                    <w:t>项目办公楼制冷、供暖均采用分体空调。</w:t>
                  </w:r>
                </w:p>
              </w:tc>
              <w:tc>
                <w:tcPr>
                  <w:tcW w:w="1101" w:type="dxa"/>
                  <w:noWrap w:val="0"/>
                  <w:vAlign w:val="center"/>
                </w:tcPr>
                <w:p w14:paraId="5F283EEC">
                  <w:pPr>
                    <w:pStyle w:val="51"/>
                    <w:keepNext w:val="0"/>
                    <w:keepLines w:val="0"/>
                    <w:suppressLineNumbers w:val="0"/>
                    <w:snapToGrid w:val="0"/>
                    <w:spacing w:before="0" w:beforeAutospacing="0" w:after="0" w:afterAutospacing="0" w:line="240" w:lineRule="auto"/>
                    <w:ind w:left="0" w:right="0"/>
                    <w:jc w:val="center"/>
                    <w:rPr>
                      <w:rFonts w:hint="eastAsia" w:ascii="Times New Roman" w:eastAsia="宋体" w:cs="Times New Roman"/>
                      <w:b w:val="0"/>
                      <w:bCs/>
                      <w:color w:val="auto"/>
                      <w:sz w:val="21"/>
                      <w:szCs w:val="21"/>
                      <w:highlight w:val="none"/>
                    </w:rPr>
                  </w:pPr>
                  <w:r>
                    <w:rPr>
                      <w:rFonts w:hint="eastAsia" w:ascii="Times New Roman" w:cs="Times New Roman"/>
                      <w:b w:val="0"/>
                      <w:bCs/>
                      <w:color w:val="auto"/>
                      <w:sz w:val="21"/>
                      <w:szCs w:val="21"/>
                      <w:highlight w:val="none"/>
                      <w:lang w:val="en-US" w:eastAsia="zh-CN"/>
                    </w:rPr>
                    <w:t>/</w:t>
                  </w:r>
                </w:p>
              </w:tc>
            </w:tr>
            <w:tr w14:paraId="55E4C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551" w:type="dxa"/>
                  <w:vMerge w:val="restart"/>
                  <w:noWrap w:val="0"/>
                  <w:vAlign w:val="center"/>
                </w:tcPr>
                <w:p w14:paraId="47CD2E52">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p w14:paraId="5DEBF410">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p w14:paraId="5D0489E8">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环</w:t>
                  </w:r>
                </w:p>
                <w:p w14:paraId="06D21090">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保</w:t>
                  </w:r>
                </w:p>
                <w:p w14:paraId="7DB8519B">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工</w:t>
                  </w:r>
                </w:p>
                <w:p w14:paraId="45133849">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r>
                    <w:rPr>
                      <w:rFonts w:hint="default" w:ascii="Times New Roman" w:eastAsia="宋体" w:cs="Times New Roman"/>
                      <w:b w:val="0"/>
                      <w:bCs/>
                      <w:color w:val="auto"/>
                      <w:sz w:val="21"/>
                      <w:szCs w:val="21"/>
                      <w:highlight w:val="none"/>
                    </w:rPr>
                    <w:t>程</w:t>
                  </w:r>
                </w:p>
              </w:tc>
              <w:tc>
                <w:tcPr>
                  <w:tcW w:w="336" w:type="dxa"/>
                  <w:vMerge w:val="restart"/>
                  <w:noWrap w:val="0"/>
                  <w:vAlign w:val="center"/>
                </w:tcPr>
                <w:p w14:paraId="10AAB183">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r>
                    <w:rPr>
                      <w:rFonts w:hint="default"/>
                      <w:b w:val="0"/>
                      <w:bCs/>
                      <w:color w:val="auto"/>
                      <w:szCs w:val="21"/>
                      <w:highlight w:val="none"/>
                    </w:rPr>
                    <w:t>废气</w:t>
                  </w:r>
                </w:p>
              </w:tc>
              <w:tc>
                <w:tcPr>
                  <w:tcW w:w="1360" w:type="dxa"/>
                  <w:shd w:val="clear" w:color="auto" w:fill="auto"/>
                  <w:noWrap w:val="0"/>
                  <w:vAlign w:val="center"/>
                </w:tcPr>
                <w:p w14:paraId="1663DC95">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原料堆场粉尘</w:t>
                  </w:r>
                </w:p>
              </w:tc>
              <w:tc>
                <w:tcPr>
                  <w:tcW w:w="5395" w:type="dxa"/>
                  <w:shd w:val="clear" w:color="auto" w:fill="auto"/>
                  <w:noWrap w:val="0"/>
                  <w:vAlign w:val="center"/>
                </w:tcPr>
                <w:p w14:paraId="6496D250">
                  <w:pPr>
                    <w:keepNext w:val="0"/>
                    <w:keepLines w:val="0"/>
                    <w:suppressLineNumbers w:val="0"/>
                    <w:adjustRightInd w:val="0"/>
                    <w:snapToGrid w:val="0"/>
                    <w:spacing w:before="0" w:beforeAutospacing="0" w:after="0" w:afterAutospacing="0" w:line="240" w:lineRule="auto"/>
                    <w:ind w:left="0" w:right="0"/>
                    <w:jc w:val="left"/>
                    <w:rPr>
                      <w:rFonts w:hint="eastAsia"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原料库全封闭，顶部安装喷淋装置，定期洒水抑尘</w:t>
                  </w:r>
                  <w:r>
                    <w:rPr>
                      <w:rFonts w:hint="eastAsia"/>
                      <w:b w:val="0"/>
                      <w:bCs/>
                      <w:color w:val="auto"/>
                      <w:szCs w:val="21"/>
                      <w:highlight w:val="none"/>
                      <w:lang w:eastAsia="zh-CN"/>
                    </w:rPr>
                    <w:t>。</w:t>
                  </w:r>
                </w:p>
              </w:tc>
              <w:tc>
                <w:tcPr>
                  <w:tcW w:w="1101" w:type="dxa"/>
                  <w:shd w:val="clear" w:color="auto" w:fill="auto"/>
                  <w:noWrap w:val="0"/>
                  <w:vAlign w:val="center"/>
                </w:tcPr>
                <w:p w14:paraId="5688404A">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lang w:val="en-US" w:eastAsia="zh-CN"/>
                    </w:rPr>
                    <w:t>/</w:t>
                  </w:r>
                </w:p>
              </w:tc>
            </w:tr>
            <w:tr w14:paraId="0A063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0" w:hRule="atLeast"/>
                <w:jc w:val="center"/>
              </w:trPr>
              <w:tc>
                <w:tcPr>
                  <w:tcW w:w="551" w:type="dxa"/>
                  <w:vMerge w:val="continue"/>
                  <w:noWrap w:val="0"/>
                  <w:vAlign w:val="center"/>
                </w:tcPr>
                <w:p w14:paraId="1111689D">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336" w:type="dxa"/>
                  <w:vMerge w:val="continue"/>
                  <w:noWrap w:val="0"/>
                  <w:vAlign w:val="center"/>
                </w:tcPr>
                <w:p w14:paraId="11D04F78">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p>
              </w:tc>
              <w:tc>
                <w:tcPr>
                  <w:tcW w:w="1360" w:type="dxa"/>
                  <w:shd w:val="clear" w:color="auto" w:fill="auto"/>
                  <w:noWrap w:val="0"/>
                  <w:vAlign w:val="center"/>
                </w:tcPr>
                <w:p w14:paraId="45A5C250">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上料粉尘</w:t>
                  </w:r>
                  <w:r>
                    <w:rPr>
                      <w:rFonts w:hint="eastAsia"/>
                      <w:b w:val="0"/>
                      <w:bCs/>
                      <w:color w:val="auto"/>
                      <w:szCs w:val="21"/>
                      <w:highlight w:val="none"/>
                      <w:lang w:eastAsia="zh-CN"/>
                    </w:rPr>
                    <w:t>、</w:t>
                  </w:r>
                  <w:r>
                    <w:rPr>
                      <w:rFonts w:hint="default" w:ascii="Times New Roman" w:hAnsi="Times New Roman" w:eastAsia="宋体" w:cs="Times New Roman"/>
                      <w:color w:val="auto"/>
                      <w:sz w:val="21"/>
                      <w:szCs w:val="21"/>
                      <w:highlight w:val="none"/>
                      <w:lang w:val="en-US" w:eastAsia="zh-CN"/>
                    </w:rPr>
                    <w:t>生料骨料烘干废气</w:t>
                  </w:r>
                </w:p>
              </w:tc>
              <w:tc>
                <w:tcPr>
                  <w:tcW w:w="5395" w:type="dxa"/>
                  <w:shd w:val="clear" w:color="auto" w:fill="auto"/>
                  <w:noWrap w:val="0"/>
                  <w:vAlign w:val="center"/>
                </w:tcPr>
                <w:p w14:paraId="68A9233C">
                  <w:pPr>
                    <w:keepNext w:val="0"/>
                    <w:keepLines w:val="0"/>
                    <w:suppressLineNumbers w:val="0"/>
                    <w:adjustRightInd w:val="0"/>
                    <w:snapToGrid w:val="0"/>
                    <w:spacing w:before="0" w:beforeAutospacing="0" w:after="0" w:afterAutospacing="0" w:line="240" w:lineRule="auto"/>
                    <w:ind w:left="0" w:right="0"/>
                    <w:jc w:val="left"/>
                    <w:rPr>
                      <w:rFonts w:hint="eastAsia"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lang w:val="en-US" w:eastAsia="zh-CN"/>
                    </w:rPr>
                    <w:t>上料粉尘经集气罩收集后同</w:t>
                  </w:r>
                  <w:r>
                    <w:rPr>
                      <w:rFonts w:hint="default" w:ascii="Times New Roman" w:hAnsi="Times New Roman" w:eastAsia="宋体" w:cs="Times New Roman"/>
                      <w:color w:val="auto"/>
                      <w:sz w:val="21"/>
                      <w:szCs w:val="21"/>
                      <w:highlight w:val="none"/>
                      <w:lang w:val="en-US" w:eastAsia="zh-CN"/>
                    </w:rPr>
                    <w:t>生料骨料烘干废</w:t>
                  </w:r>
                  <w:r>
                    <w:rPr>
                      <w:rFonts w:hint="eastAsia"/>
                      <w:b w:val="0"/>
                      <w:bCs/>
                      <w:color w:val="auto"/>
                      <w:szCs w:val="21"/>
                      <w:highlight w:val="none"/>
                      <w:lang w:val="en-US" w:eastAsia="zh-CN"/>
                    </w:rPr>
                    <w:t>废气经旋风+</w:t>
                  </w:r>
                  <w:r>
                    <w:rPr>
                      <w:rFonts w:hint="eastAsia"/>
                      <w:b w:val="0"/>
                      <w:bCs/>
                      <w:color w:val="auto"/>
                      <w:szCs w:val="21"/>
                      <w:highlight w:val="none"/>
                    </w:rPr>
                    <w:t>布袋除尘器处理后通过</w:t>
                  </w:r>
                  <w:r>
                    <w:rPr>
                      <w:rFonts w:hint="eastAsia"/>
                      <w:b w:val="0"/>
                      <w:bCs/>
                      <w:color w:val="auto"/>
                      <w:szCs w:val="21"/>
                      <w:highlight w:val="none"/>
                      <w:lang w:val="en-US" w:eastAsia="zh-CN"/>
                    </w:rPr>
                    <w:t>2</w:t>
                  </w:r>
                  <w:r>
                    <w:rPr>
                      <w:rFonts w:hint="eastAsia"/>
                      <w:b w:val="0"/>
                      <w:bCs/>
                      <w:color w:val="auto"/>
                      <w:szCs w:val="21"/>
                      <w:highlight w:val="none"/>
                    </w:rPr>
                    <w:t>5m高排气筒</w:t>
                  </w:r>
                  <w:r>
                    <w:rPr>
                      <w:rFonts w:hint="eastAsia"/>
                      <w:b w:val="0"/>
                      <w:bCs/>
                      <w:color w:val="auto"/>
                      <w:szCs w:val="21"/>
                      <w:highlight w:val="none"/>
                      <w:lang w:eastAsia="zh-CN"/>
                    </w:rPr>
                    <w:t>（</w:t>
                  </w:r>
                  <w:r>
                    <w:rPr>
                      <w:rFonts w:hint="eastAsia"/>
                      <w:b w:val="0"/>
                      <w:bCs/>
                      <w:color w:val="auto"/>
                      <w:szCs w:val="21"/>
                      <w:highlight w:val="none"/>
                      <w:lang w:val="en-US" w:eastAsia="zh-CN"/>
                    </w:rPr>
                    <w:t>DA001</w:t>
                  </w:r>
                  <w:r>
                    <w:rPr>
                      <w:rFonts w:hint="eastAsia"/>
                      <w:b w:val="0"/>
                      <w:bCs/>
                      <w:color w:val="auto"/>
                      <w:szCs w:val="21"/>
                      <w:highlight w:val="none"/>
                      <w:lang w:eastAsia="zh-CN"/>
                    </w:rPr>
                    <w:t>）</w:t>
                  </w:r>
                  <w:r>
                    <w:rPr>
                      <w:rFonts w:hint="eastAsia"/>
                      <w:b w:val="0"/>
                      <w:bCs/>
                      <w:color w:val="auto"/>
                      <w:szCs w:val="21"/>
                      <w:highlight w:val="none"/>
                    </w:rPr>
                    <w:t>排放</w:t>
                  </w:r>
                  <w:r>
                    <w:rPr>
                      <w:rFonts w:hint="eastAsia"/>
                      <w:b w:val="0"/>
                      <w:bCs/>
                      <w:color w:val="auto"/>
                      <w:szCs w:val="21"/>
                      <w:highlight w:val="none"/>
                      <w:lang w:eastAsia="zh-CN"/>
                    </w:rPr>
                    <w:t>。</w:t>
                  </w:r>
                </w:p>
              </w:tc>
              <w:tc>
                <w:tcPr>
                  <w:tcW w:w="1101" w:type="dxa"/>
                  <w:noWrap w:val="0"/>
                  <w:vAlign w:val="center"/>
                </w:tcPr>
                <w:p w14:paraId="27806C6E">
                  <w:pPr>
                    <w:keepNext w:val="0"/>
                    <w:keepLines w:val="0"/>
                    <w:suppressLineNumbers w:val="0"/>
                    <w:adjustRightInd w:val="0"/>
                    <w:snapToGrid w:val="0"/>
                    <w:spacing w:before="0" w:beforeAutospacing="0" w:after="0" w:afterAutospacing="0" w:line="240" w:lineRule="auto"/>
                    <w:ind w:left="0" w:right="0"/>
                    <w:jc w:val="center"/>
                    <w:rPr>
                      <w:rFonts w:hint="eastAsia"/>
                      <w:highlight w:val="none"/>
                      <w:lang w:eastAsia="zh-CN"/>
                    </w:rPr>
                  </w:pPr>
                  <w:r>
                    <w:rPr>
                      <w:rFonts w:hint="eastAsia"/>
                      <w:b w:val="0"/>
                      <w:bCs/>
                      <w:color w:val="auto"/>
                      <w:szCs w:val="21"/>
                      <w:highlight w:val="none"/>
                      <w:lang w:val="en-US" w:eastAsia="zh-CN"/>
                    </w:rPr>
                    <w:t>/</w:t>
                  </w:r>
                </w:p>
              </w:tc>
            </w:tr>
            <w:tr w14:paraId="3D979C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73F3276A">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336" w:type="dxa"/>
                  <w:vMerge w:val="continue"/>
                  <w:noWrap w:val="0"/>
                  <w:vAlign w:val="center"/>
                </w:tcPr>
                <w:p w14:paraId="26373AB0">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p>
              </w:tc>
              <w:tc>
                <w:tcPr>
                  <w:tcW w:w="1360" w:type="dxa"/>
                  <w:noWrap w:val="0"/>
                  <w:vAlign w:val="center"/>
                </w:tcPr>
                <w:p w14:paraId="2ADB7D5E">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r>
                    <w:rPr>
                      <w:rFonts w:hint="eastAsia" w:cs="Times New Roman"/>
                      <w:b w:val="0"/>
                      <w:bCs w:val="0"/>
                      <w:color w:val="000000"/>
                      <w:kern w:val="2"/>
                      <w:sz w:val="21"/>
                      <w:szCs w:val="21"/>
                      <w:highlight w:val="none"/>
                      <w:lang w:val="en-US" w:eastAsia="zh-CN" w:bidi="ar-SA"/>
                    </w:rPr>
                    <w:t>再生骨料加热烘干粉尘、沥青储罐</w:t>
                  </w:r>
                  <w:r>
                    <w:rPr>
                      <w:rFonts w:hint="eastAsia"/>
                      <w:b w:val="0"/>
                      <w:bCs/>
                      <w:color w:val="auto"/>
                      <w:szCs w:val="21"/>
                      <w:highlight w:val="none"/>
                      <w:lang w:val="en-US" w:eastAsia="zh-CN"/>
                    </w:rPr>
                    <w:t>呼吸</w:t>
                  </w:r>
                  <w:r>
                    <w:rPr>
                      <w:rFonts w:hint="eastAsia" w:cs="Times New Roman"/>
                      <w:b w:val="0"/>
                      <w:bCs w:val="0"/>
                      <w:color w:val="000000"/>
                      <w:kern w:val="2"/>
                      <w:sz w:val="21"/>
                      <w:szCs w:val="21"/>
                      <w:highlight w:val="none"/>
                      <w:lang w:val="en-US" w:eastAsia="zh-CN" w:bidi="ar-SA"/>
                    </w:rPr>
                    <w:t>废气及沥青搅拌烟气</w:t>
                  </w:r>
                </w:p>
              </w:tc>
              <w:tc>
                <w:tcPr>
                  <w:tcW w:w="5395" w:type="dxa"/>
                  <w:noWrap w:val="0"/>
                  <w:vAlign w:val="center"/>
                </w:tcPr>
                <w:p w14:paraId="6C6B95A9">
                  <w:pPr>
                    <w:keepNext w:val="0"/>
                    <w:keepLines w:val="0"/>
                    <w:suppressLineNumbers w:val="0"/>
                    <w:autoSpaceDE w:val="0"/>
                    <w:autoSpaceDN w:val="0"/>
                    <w:adjustRightInd w:val="0"/>
                    <w:spacing w:before="0" w:beforeAutospacing="0" w:after="0" w:afterAutospacing="0"/>
                    <w:ind w:left="0" w:right="0"/>
                    <w:jc w:val="left"/>
                    <w:rPr>
                      <w:rFonts w:hint="eastAsia" w:eastAsia="宋体"/>
                      <w:b w:val="0"/>
                      <w:bCs/>
                      <w:color w:val="auto"/>
                      <w:szCs w:val="21"/>
                      <w:highlight w:val="none"/>
                      <w:lang w:eastAsia="zh-CN"/>
                    </w:rPr>
                  </w:pPr>
                  <w:r>
                    <w:rPr>
                      <w:rFonts w:hint="eastAsia" w:cs="Times New Roman"/>
                      <w:b w:val="0"/>
                      <w:bCs w:val="0"/>
                      <w:color w:val="000000"/>
                      <w:kern w:val="2"/>
                      <w:sz w:val="21"/>
                      <w:szCs w:val="21"/>
                      <w:highlight w:val="none"/>
                      <w:lang w:val="en-US" w:eastAsia="zh-CN" w:bidi="ar-SA"/>
                    </w:rPr>
                    <w:t>骨料加热废气、沥青搅拌烟气经集气后引至</w:t>
                  </w:r>
                  <w:r>
                    <w:rPr>
                      <w:rFonts w:hint="default" w:ascii="Times New Roman"/>
                      <w:b w:val="0"/>
                      <w:bCs w:val="0"/>
                      <w:color w:val="000000"/>
                      <w:sz w:val="21"/>
                      <w:szCs w:val="21"/>
                      <w:highlight w:val="none"/>
                    </w:rPr>
                    <w:t>喷淋+</w:t>
                  </w:r>
                  <w:r>
                    <w:rPr>
                      <w:rFonts w:hint="eastAsia"/>
                      <w:highlight w:val="none"/>
                      <w:lang w:val="en-US" w:eastAsia="zh-CN"/>
                    </w:rPr>
                    <w:t>电捕焦油器+</w:t>
                  </w:r>
                  <w:r>
                    <w:rPr>
                      <w:rFonts w:hint="default" w:ascii="Times New Roman"/>
                      <w:b w:val="0"/>
                      <w:bCs w:val="0"/>
                      <w:color w:val="000000"/>
                      <w:sz w:val="21"/>
                      <w:szCs w:val="21"/>
                      <w:highlight w:val="none"/>
                    </w:rPr>
                    <w:t>活性炭吸附</w:t>
                  </w:r>
                  <w:r>
                    <w:rPr>
                      <w:rFonts w:hint="eastAsia" w:ascii="Times New Roman"/>
                      <w:b w:val="0"/>
                      <w:bCs w:val="0"/>
                      <w:color w:val="000000"/>
                      <w:sz w:val="21"/>
                      <w:szCs w:val="21"/>
                      <w:highlight w:val="none"/>
                      <w:lang w:val="en-US" w:eastAsia="zh-CN"/>
                    </w:rPr>
                    <w:t>+布袋除尘器</w:t>
                  </w:r>
                  <w:r>
                    <w:rPr>
                      <w:rFonts w:hint="eastAsia"/>
                      <w:b w:val="0"/>
                      <w:bCs/>
                      <w:color w:val="auto"/>
                      <w:szCs w:val="21"/>
                      <w:highlight w:val="none"/>
                    </w:rPr>
                    <w:t>处理后通过</w:t>
                  </w:r>
                  <w:r>
                    <w:rPr>
                      <w:rFonts w:hint="eastAsia"/>
                      <w:b w:val="0"/>
                      <w:bCs/>
                      <w:color w:val="auto"/>
                      <w:szCs w:val="21"/>
                      <w:highlight w:val="none"/>
                      <w:lang w:val="en-US" w:eastAsia="zh-CN"/>
                    </w:rPr>
                    <w:t>2</w:t>
                  </w:r>
                  <w:r>
                    <w:rPr>
                      <w:rFonts w:hint="eastAsia"/>
                      <w:b w:val="0"/>
                      <w:bCs/>
                      <w:color w:val="auto"/>
                      <w:szCs w:val="21"/>
                      <w:highlight w:val="none"/>
                    </w:rPr>
                    <w:t>5m高排气筒</w:t>
                  </w:r>
                  <w:r>
                    <w:rPr>
                      <w:rFonts w:hint="eastAsia"/>
                      <w:b w:val="0"/>
                      <w:bCs/>
                      <w:color w:val="auto"/>
                      <w:szCs w:val="21"/>
                      <w:highlight w:val="none"/>
                      <w:lang w:eastAsia="zh-CN"/>
                    </w:rPr>
                    <w:t>（</w:t>
                  </w:r>
                  <w:r>
                    <w:rPr>
                      <w:rFonts w:hint="eastAsia"/>
                      <w:b w:val="0"/>
                      <w:bCs/>
                      <w:color w:val="auto"/>
                      <w:szCs w:val="21"/>
                      <w:highlight w:val="none"/>
                      <w:lang w:val="en-US" w:eastAsia="zh-CN"/>
                    </w:rPr>
                    <w:t>DA002</w:t>
                  </w:r>
                  <w:r>
                    <w:rPr>
                      <w:rFonts w:hint="eastAsia"/>
                      <w:b w:val="0"/>
                      <w:bCs/>
                      <w:color w:val="auto"/>
                      <w:szCs w:val="21"/>
                      <w:highlight w:val="none"/>
                      <w:lang w:eastAsia="zh-CN"/>
                    </w:rPr>
                    <w:t>）</w:t>
                  </w:r>
                  <w:r>
                    <w:rPr>
                      <w:rFonts w:hint="eastAsia"/>
                      <w:b w:val="0"/>
                      <w:bCs/>
                      <w:color w:val="auto"/>
                      <w:szCs w:val="21"/>
                      <w:highlight w:val="none"/>
                    </w:rPr>
                    <w:t>排放</w:t>
                  </w:r>
                  <w:r>
                    <w:rPr>
                      <w:rFonts w:hint="eastAsia"/>
                      <w:b w:val="0"/>
                      <w:bCs/>
                      <w:color w:val="auto"/>
                      <w:szCs w:val="21"/>
                      <w:highlight w:val="none"/>
                      <w:lang w:eastAsia="zh-CN"/>
                    </w:rPr>
                    <w:t>。</w:t>
                  </w:r>
                </w:p>
              </w:tc>
              <w:tc>
                <w:tcPr>
                  <w:tcW w:w="1101" w:type="dxa"/>
                  <w:noWrap w:val="0"/>
                  <w:vAlign w:val="center"/>
                </w:tcPr>
                <w:p w14:paraId="7195B884">
                  <w:pPr>
                    <w:keepNext w:val="0"/>
                    <w:keepLines w:val="0"/>
                    <w:suppressLineNumbers w:val="0"/>
                    <w:adjustRightInd w:val="0"/>
                    <w:snapToGrid w:val="0"/>
                    <w:spacing w:before="0" w:beforeAutospacing="0" w:after="0" w:afterAutospacing="0" w:line="240" w:lineRule="auto"/>
                    <w:ind w:left="0" w:right="0"/>
                    <w:jc w:val="center"/>
                    <w:rPr>
                      <w:rFonts w:hint="eastAsia" w:eastAsia="宋体"/>
                      <w:b w:val="0"/>
                      <w:bCs/>
                      <w:color w:val="auto"/>
                      <w:szCs w:val="21"/>
                      <w:highlight w:val="none"/>
                      <w:lang w:val="en-US" w:eastAsia="zh-CN"/>
                    </w:rPr>
                  </w:pPr>
                  <w:r>
                    <w:rPr>
                      <w:rFonts w:hint="eastAsia"/>
                      <w:b w:val="0"/>
                      <w:bCs/>
                      <w:color w:val="auto"/>
                      <w:szCs w:val="21"/>
                      <w:highlight w:val="none"/>
                      <w:lang w:val="en-US" w:eastAsia="zh-CN"/>
                    </w:rPr>
                    <w:t>/</w:t>
                  </w:r>
                </w:p>
              </w:tc>
            </w:tr>
            <w:tr w14:paraId="15A317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76B721FC">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336" w:type="dxa"/>
                  <w:vMerge w:val="continue"/>
                  <w:noWrap w:val="0"/>
                  <w:vAlign w:val="center"/>
                </w:tcPr>
                <w:p w14:paraId="566EE9F4">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p>
              </w:tc>
              <w:tc>
                <w:tcPr>
                  <w:tcW w:w="1360" w:type="dxa"/>
                  <w:shd w:val="clear" w:color="auto" w:fill="auto"/>
                  <w:noWrap w:val="0"/>
                  <w:vAlign w:val="center"/>
                </w:tcPr>
                <w:p w14:paraId="4493DFD2">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lang w:val="en-US" w:eastAsia="zh-CN"/>
                    </w:rPr>
                    <w:t>导热油炉废气</w:t>
                  </w:r>
                </w:p>
              </w:tc>
              <w:tc>
                <w:tcPr>
                  <w:tcW w:w="5395" w:type="dxa"/>
                  <w:shd w:val="clear" w:color="auto" w:fill="auto"/>
                  <w:noWrap w:val="0"/>
                  <w:vAlign w:val="center"/>
                </w:tcPr>
                <w:p w14:paraId="485A96C4">
                  <w:pPr>
                    <w:keepNext w:val="0"/>
                    <w:keepLines w:val="0"/>
                    <w:suppressLineNumbers w:val="0"/>
                    <w:adjustRightInd w:val="0"/>
                    <w:snapToGrid w:val="0"/>
                    <w:spacing w:before="0" w:beforeAutospacing="0" w:after="0" w:afterAutospacing="0" w:line="240" w:lineRule="auto"/>
                    <w:ind w:left="0" w:right="0"/>
                    <w:jc w:val="left"/>
                    <w:rPr>
                      <w:rFonts w:hint="eastAsia" w:ascii="Times New Roman" w:hAnsi="Times New Roman" w:eastAsia="宋体" w:cs="Times New Roman"/>
                      <w:b w:val="0"/>
                      <w:bCs/>
                      <w:color w:val="auto"/>
                      <w:kern w:val="2"/>
                      <w:sz w:val="21"/>
                      <w:szCs w:val="21"/>
                      <w:highlight w:val="none"/>
                      <w:lang w:val="en-US" w:eastAsia="zh-CN" w:bidi="ar-SA"/>
                    </w:rPr>
                  </w:pPr>
                  <w:r>
                    <w:rPr>
                      <w:rFonts w:hint="eastAsia"/>
                      <w:b w:val="0"/>
                      <w:bCs w:val="0"/>
                      <w:color w:val="000000"/>
                      <w:sz w:val="21"/>
                      <w:szCs w:val="21"/>
                      <w:highlight w:val="none"/>
                      <w:lang w:val="en-US" w:eastAsia="zh-CN"/>
                    </w:rPr>
                    <w:t>设置低氮燃烧器+15m排气筒</w:t>
                  </w:r>
                  <w:r>
                    <w:rPr>
                      <w:rFonts w:hint="eastAsia"/>
                      <w:b w:val="0"/>
                      <w:bCs/>
                      <w:color w:val="auto"/>
                      <w:szCs w:val="21"/>
                      <w:highlight w:val="none"/>
                      <w:lang w:eastAsia="zh-CN"/>
                    </w:rPr>
                    <w:t>（</w:t>
                  </w:r>
                  <w:r>
                    <w:rPr>
                      <w:rFonts w:hint="eastAsia"/>
                      <w:b w:val="0"/>
                      <w:bCs/>
                      <w:color w:val="auto"/>
                      <w:szCs w:val="21"/>
                      <w:highlight w:val="none"/>
                      <w:lang w:val="en-US" w:eastAsia="zh-CN"/>
                    </w:rPr>
                    <w:t>DA003</w:t>
                  </w:r>
                  <w:r>
                    <w:rPr>
                      <w:rFonts w:hint="eastAsia"/>
                      <w:b w:val="0"/>
                      <w:bCs/>
                      <w:color w:val="auto"/>
                      <w:szCs w:val="21"/>
                      <w:highlight w:val="none"/>
                      <w:lang w:eastAsia="zh-CN"/>
                    </w:rPr>
                    <w:t>）</w:t>
                  </w:r>
                </w:p>
              </w:tc>
              <w:tc>
                <w:tcPr>
                  <w:tcW w:w="1101" w:type="dxa"/>
                  <w:shd w:val="clear" w:color="auto" w:fill="auto"/>
                  <w:noWrap w:val="0"/>
                  <w:vAlign w:val="center"/>
                </w:tcPr>
                <w:p w14:paraId="6CD35AA6">
                  <w:pPr>
                    <w:keepNext w:val="0"/>
                    <w:keepLines w:val="0"/>
                    <w:suppressLineNumbers w:val="0"/>
                    <w:adjustRightInd w:val="0"/>
                    <w:snapToGrid w:val="0"/>
                    <w:spacing w:before="0" w:beforeAutospacing="0" w:after="0" w:afterAutospacing="0" w:line="240" w:lineRule="auto"/>
                    <w:ind w:left="0" w:right="0"/>
                    <w:jc w:val="center"/>
                    <w:rPr>
                      <w:rFonts w:hint="eastAsia"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lang w:val="en-US" w:eastAsia="zh-CN"/>
                    </w:rPr>
                    <w:t>依托现有</w:t>
                  </w:r>
                </w:p>
              </w:tc>
            </w:tr>
            <w:tr w14:paraId="3D136C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0FBE0CCC">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highlight w:val="none"/>
                    </w:rPr>
                  </w:pPr>
                </w:p>
              </w:tc>
              <w:tc>
                <w:tcPr>
                  <w:tcW w:w="336" w:type="dxa"/>
                  <w:vMerge w:val="continue"/>
                  <w:noWrap w:val="0"/>
                  <w:vAlign w:val="center"/>
                </w:tcPr>
                <w:p w14:paraId="34213D07">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highlight w:val="none"/>
                    </w:rPr>
                  </w:pPr>
                </w:p>
              </w:tc>
              <w:tc>
                <w:tcPr>
                  <w:tcW w:w="1360" w:type="dxa"/>
                  <w:shd w:val="clear" w:color="auto" w:fill="auto"/>
                  <w:noWrap w:val="0"/>
                  <w:vAlign w:val="center"/>
                </w:tcPr>
                <w:p w14:paraId="0D2F2489">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eastAsia="宋体" w:cs="Times New Roman"/>
                      <w:b w:val="0"/>
                      <w:bCs w:val="0"/>
                      <w:color w:val="000000"/>
                      <w:sz w:val="21"/>
                      <w:szCs w:val="21"/>
                      <w:highlight w:val="none"/>
                      <w:lang w:val="en-US" w:eastAsia="zh-CN"/>
                    </w:rPr>
                    <w:t>餐饮油烟</w:t>
                  </w:r>
                </w:p>
              </w:tc>
              <w:tc>
                <w:tcPr>
                  <w:tcW w:w="5395" w:type="dxa"/>
                  <w:shd w:val="clear" w:color="auto" w:fill="auto"/>
                  <w:noWrap w:val="0"/>
                  <w:vAlign w:val="center"/>
                </w:tcPr>
                <w:p w14:paraId="7C34C17C">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val="0"/>
                      <w:color w:val="000000"/>
                      <w:sz w:val="21"/>
                      <w:szCs w:val="21"/>
                      <w:highlight w:val="none"/>
                      <w:lang w:val="en-US" w:eastAsia="zh-CN"/>
                    </w:rPr>
                  </w:pPr>
                  <w:r>
                    <w:rPr>
                      <w:rFonts w:hint="default" w:ascii="Times New Roman" w:hAnsi="Times New Roman" w:eastAsia="宋体" w:cs="Times New Roman"/>
                      <w:b w:val="0"/>
                      <w:bCs w:val="0"/>
                      <w:color w:val="000000"/>
                      <w:sz w:val="21"/>
                      <w:szCs w:val="21"/>
                      <w:highlight w:val="none"/>
                      <w:lang w:val="en-US" w:eastAsia="zh-CN"/>
                    </w:rPr>
                    <w:t>油烟净化器净化处理后，经食堂专用排气筒(</w:t>
                  </w:r>
                  <w:r>
                    <w:rPr>
                      <w:rFonts w:hint="eastAsia" w:ascii="Times New Roman" w:hAnsi="Times New Roman" w:eastAsia="宋体" w:cs="Times New Roman"/>
                      <w:b w:val="0"/>
                      <w:bCs w:val="0"/>
                      <w:color w:val="000000"/>
                      <w:sz w:val="21"/>
                      <w:szCs w:val="21"/>
                      <w:highlight w:val="none"/>
                      <w:lang w:val="en-US" w:eastAsia="zh-CN"/>
                    </w:rPr>
                    <w:t>DA00</w:t>
                  </w:r>
                  <w:r>
                    <w:rPr>
                      <w:rFonts w:hint="eastAsia" w:cs="Times New Roman"/>
                      <w:b w:val="0"/>
                      <w:bCs w:val="0"/>
                      <w:color w:val="000000"/>
                      <w:sz w:val="21"/>
                      <w:szCs w:val="21"/>
                      <w:highlight w:val="none"/>
                      <w:lang w:val="en-US" w:eastAsia="zh-CN"/>
                    </w:rPr>
                    <w:t>4</w:t>
                  </w:r>
                  <w:r>
                    <w:rPr>
                      <w:rFonts w:hint="default" w:ascii="Times New Roman" w:hAnsi="Times New Roman" w:eastAsia="宋体" w:cs="Times New Roman"/>
                      <w:b w:val="0"/>
                      <w:bCs w:val="0"/>
                      <w:color w:val="000000"/>
                      <w:sz w:val="21"/>
                      <w:szCs w:val="21"/>
                      <w:highlight w:val="none"/>
                      <w:lang w:val="en-US" w:eastAsia="zh-CN"/>
                    </w:rPr>
                    <w:t>)高于屋顶排放</w:t>
                  </w:r>
                </w:p>
              </w:tc>
              <w:tc>
                <w:tcPr>
                  <w:tcW w:w="1101" w:type="dxa"/>
                  <w:noWrap w:val="0"/>
                  <w:vAlign w:val="center"/>
                </w:tcPr>
                <w:p w14:paraId="61F4ED80">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val="0"/>
                      <w:color w:val="000000"/>
                      <w:sz w:val="21"/>
                      <w:szCs w:val="21"/>
                      <w:highlight w:val="none"/>
                      <w:lang w:val="en-US" w:eastAsia="zh-CN"/>
                    </w:rPr>
                  </w:pPr>
                  <w:r>
                    <w:rPr>
                      <w:rFonts w:hint="eastAsia" w:ascii="Times New Roman" w:hAnsi="Times New Roman" w:eastAsia="宋体" w:cs="Times New Roman"/>
                      <w:b w:val="0"/>
                      <w:bCs w:val="0"/>
                      <w:color w:val="000000"/>
                      <w:sz w:val="21"/>
                      <w:szCs w:val="21"/>
                      <w:highlight w:val="none"/>
                      <w:lang w:val="en-US" w:eastAsia="zh-CN"/>
                    </w:rPr>
                    <w:t>/</w:t>
                  </w:r>
                </w:p>
              </w:tc>
            </w:tr>
            <w:tr w14:paraId="4977F5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1F2B4CB1">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336" w:type="dxa"/>
                  <w:vMerge w:val="restart"/>
                  <w:noWrap w:val="0"/>
                  <w:vAlign w:val="center"/>
                </w:tcPr>
                <w:p w14:paraId="3275C37E">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r>
                    <w:rPr>
                      <w:rFonts w:hint="default"/>
                      <w:b w:val="0"/>
                      <w:bCs/>
                      <w:color w:val="auto"/>
                      <w:szCs w:val="21"/>
                      <w:highlight w:val="none"/>
                    </w:rPr>
                    <w:t>废水</w:t>
                  </w:r>
                </w:p>
              </w:tc>
              <w:tc>
                <w:tcPr>
                  <w:tcW w:w="1360" w:type="dxa"/>
                  <w:noWrap w:val="0"/>
                  <w:vAlign w:val="center"/>
                </w:tcPr>
                <w:p w14:paraId="34E6F35A">
                  <w:pPr>
                    <w:keepNext w:val="0"/>
                    <w:keepLines w:val="0"/>
                    <w:suppressLineNumbers w:val="0"/>
                    <w:adjustRightInd w:val="0"/>
                    <w:snapToGrid w:val="0"/>
                    <w:spacing w:before="0" w:beforeAutospacing="0" w:after="0" w:afterAutospacing="0" w:line="240" w:lineRule="auto"/>
                    <w:ind w:left="0" w:right="0"/>
                    <w:jc w:val="center"/>
                    <w:rPr>
                      <w:rFonts w:hint="eastAsia"/>
                      <w:b w:val="0"/>
                      <w:bCs/>
                      <w:color w:val="auto"/>
                      <w:szCs w:val="21"/>
                      <w:highlight w:val="none"/>
                    </w:rPr>
                  </w:pPr>
                  <w:r>
                    <w:rPr>
                      <w:rFonts w:hint="eastAsia"/>
                      <w:b w:val="0"/>
                      <w:bCs/>
                      <w:color w:val="auto"/>
                      <w:szCs w:val="21"/>
                      <w:highlight w:val="none"/>
                    </w:rPr>
                    <w:t>生活污水</w:t>
                  </w:r>
                </w:p>
              </w:tc>
              <w:tc>
                <w:tcPr>
                  <w:tcW w:w="5395" w:type="dxa"/>
                  <w:noWrap w:val="0"/>
                  <w:vAlign w:val="center"/>
                </w:tcPr>
                <w:p w14:paraId="29E141A5">
                  <w:pPr>
                    <w:keepNext w:val="0"/>
                    <w:keepLines w:val="0"/>
                    <w:suppressLineNumbers w:val="0"/>
                    <w:adjustRightInd w:val="0"/>
                    <w:snapToGrid w:val="0"/>
                    <w:spacing w:before="0" w:beforeAutospacing="0" w:after="0" w:afterAutospacing="0" w:line="240" w:lineRule="auto"/>
                    <w:ind w:left="0" w:right="0"/>
                    <w:jc w:val="left"/>
                    <w:rPr>
                      <w:rFonts w:hint="default" w:eastAsia="宋体"/>
                      <w:b w:val="0"/>
                      <w:bCs/>
                      <w:color w:val="auto"/>
                      <w:szCs w:val="21"/>
                      <w:highlight w:val="none"/>
                      <w:lang w:val="en-US" w:eastAsia="zh-CN"/>
                    </w:rPr>
                  </w:pPr>
                  <w:r>
                    <w:rPr>
                      <w:rFonts w:hint="eastAsia" w:ascii="Times New Roman" w:eastAsia="宋体" w:cs="Times New Roman"/>
                      <w:b w:val="0"/>
                      <w:bCs/>
                      <w:color w:val="auto"/>
                      <w:sz w:val="21"/>
                      <w:szCs w:val="21"/>
                      <w:highlight w:val="none"/>
                    </w:rPr>
                    <w:t>生活污水</w:t>
                  </w:r>
                  <w:r>
                    <w:rPr>
                      <w:rFonts w:hint="eastAsia" w:ascii="Times New Roman" w:cs="Times New Roman"/>
                      <w:b w:val="0"/>
                      <w:bCs/>
                      <w:color w:val="auto"/>
                      <w:sz w:val="21"/>
                      <w:szCs w:val="21"/>
                      <w:highlight w:val="none"/>
                      <w:lang w:val="en-US" w:eastAsia="zh-CN"/>
                    </w:rPr>
                    <w:t>经</w:t>
                  </w:r>
                  <w:r>
                    <w:rPr>
                      <w:rFonts w:hint="eastAsia" w:cs="Times New Roman"/>
                      <w:b w:val="0"/>
                      <w:bCs/>
                      <w:color w:val="auto"/>
                      <w:sz w:val="21"/>
                      <w:szCs w:val="21"/>
                      <w:highlight w:val="none"/>
                      <w:lang w:val="en-US" w:eastAsia="zh-CN"/>
                    </w:rPr>
                    <w:t>化粪池收集后排入市政污水管网进入泾河新城第二污水处理厂处理</w:t>
                  </w:r>
                </w:p>
              </w:tc>
              <w:tc>
                <w:tcPr>
                  <w:tcW w:w="1101" w:type="dxa"/>
                  <w:noWrap w:val="0"/>
                  <w:vAlign w:val="center"/>
                </w:tcPr>
                <w:p w14:paraId="493C7485">
                  <w:pPr>
                    <w:keepNext w:val="0"/>
                    <w:keepLines w:val="0"/>
                    <w:suppressLineNumbers w:val="0"/>
                    <w:adjustRightInd w:val="0"/>
                    <w:snapToGrid w:val="0"/>
                    <w:spacing w:before="0" w:beforeAutospacing="0" w:after="0" w:afterAutospacing="0" w:line="240" w:lineRule="auto"/>
                    <w:ind w:left="0" w:right="0"/>
                    <w:jc w:val="center"/>
                    <w:rPr>
                      <w:rFonts w:hint="eastAsia" w:eastAsia="宋体"/>
                      <w:b w:val="0"/>
                      <w:bCs/>
                      <w:color w:val="auto"/>
                      <w:szCs w:val="21"/>
                      <w:highlight w:val="none"/>
                      <w:lang w:eastAsia="zh-CN"/>
                    </w:rPr>
                  </w:pPr>
                  <w:r>
                    <w:rPr>
                      <w:rFonts w:hint="eastAsia"/>
                      <w:b w:val="0"/>
                      <w:bCs/>
                      <w:color w:val="auto"/>
                      <w:szCs w:val="21"/>
                      <w:highlight w:val="none"/>
                      <w:lang w:val="en-US" w:eastAsia="zh-CN"/>
                    </w:rPr>
                    <w:t>/</w:t>
                  </w:r>
                </w:p>
              </w:tc>
            </w:tr>
            <w:tr w14:paraId="03BED8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068773E4">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336" w:type="dxa"/>
                  <w:vMerge w:val="continue"/>
                  <w:noWrap w:val="0"/>
                  <w:vAlign w:val="center"/>
                </w:tcPr>
                <w:p w14:paraId="0EE95ACE">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p>
              </w:tc>
              <w:tc>
                <w:tcPr>
                  <w:tcW w:w="1360" w:type="dxa"/>
                  <w:noWrap w:val="0"/>
                  <w:vAlign w:val="center"/>
                </w:tcPr>
                <w:p w14:paraId="27E38D50">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车辆冲洗废水</w:t>
                  </w:r>
                </w:p>
              </w:tc>
              <w:tc>
                <w:tcPr>
                  <w:tcW w:w="5395" w:type="dxa"/>
                  <w:noWrap w:val="0"/>
                  <w:vAlign w:val="center"/>
                </w:tcPr>
                <w:p w14:paraId="6D533AB4">
                  <w:pPr>
                    <w:keepNext w:val="0"/>
                    <w:keepLines w:val="0"/>
                    <w:suppressLineNumbers w:val="0"/>
                    <w:adjustRightInd w:val="0"/>
                    <w:snapToGrid w:val="0"/>
                    <w:spacing w:before="0" w:beforeAutospacing="0" w:after="0" w:afterAutospacing="0" w:line="240" w:lineRule="auto"/>
                    <w:ind w:left="0" w:right="0"/>
                    <w:jc w:val="left"/>
                    <w:rPr>
                      <w:rFonts w:hint="eastAsia"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经沉淀池处理后回用</w:t>
                  </w:r>
                  <w:r>
                    <w:rPr>
                      <w:rFonts w:hint="eastAsia"/>
                      <w:b w:val="0"/>
                      <w:bCs/>
                      <w:color w:val="auto"/>
                      <w:szCs w:val="21"/>
                      <w:highlight w:val="none"/>
                      <w:lang w:eastAsia="zh-CN"/>
                    </w:rPr>
                    <w:t>。</w:t>
                  </w:r>
                </w:p>
              </w:tc>
              <w:tc>
                <w:tcPr>
                  <w:tcW w:w="1101" w:type="dxa"/>
                  <w:noWrap w:val="0"/>
                  <w:vAlign w:val="center"/>
                </w:tcPr>
                <w:p w14:paraId="01F10293">
                  <w:pPr>
                    <w:keepNext w:val="0"/>
                    <w:keepLines w:val="0"/>
                    <w:suppressLineNumbers w:val="0"/>
                    <w:adjustRightInd w:val="0"/>
                    <w:snapToGrid w:val="0"/>
                    <w:spacing w:before="0" w:beforeAutospacing="0" w:after="0" w:afterAutospacing="0" w:line="240" w:lineRule="auto"/>
                    <w:ind w:left="0" w:right="0"/>
                    <w:jc w:val="center"/>
                    <w:rPr>
                      <w:rFonts w:hint="eastAsia"/>
                      <w:b w:val="0"/>
                      <w:bCs/>
                      <w:color w:val="auto"/>
                      <w:szCs w:val="21"/>
                      <w:highlight w:val="none"/>
                    </w:rPr>
                  </w:pPr>
                  <w:r>
                    <w:rPr>
                      <w:rFonts w:hint="eastAsia"/>
                      <w:b w:val="0"/>
                      <w:bCs/>
                      <w:color w:val="auto"/>
                      <w:szCs w:val="21"/>
                      <w:highlight w:val="none"/>
                      <w:lang w:val="en-US" w:eastAsia="zh-CN"/>
                    </w:rPr>
                    <w:t>/</w:t>
                  </w:r>
                </w:p>
              </w:tc>
            </w:tr>
            <w:tr w14:paraId="1EA422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81" w:hRule="atLeast"/>
                <w:jc w:val="center"/>
              </w:trPr>
              <w:tc>
                <w:tcPr>
                  <w:tcW w:w="551" w:type="dxa"/>
                  <w:vMerge w:val="continue"/>
                  <w:noWrap w:val="0"/>
                  <w:vAlign w:val="center"/>
                </w:tcPr>
                <w:p w14:paraId="68A05616">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1696" w:type="dxa"/>
                  <w:gridSpan w:val="2"/>
                  <w:noWrap w:val="0"/>
                  <w:vAlign w:val="center"/>
                </w:tcPr>
                <w:p w14:paraId="7C2F887E">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r>
                    <w:rPr>
                      <w:rFonts w:hint="default"/>
                      <w:b w:val="0"/>
                      <w:bCs/>
                      <w:color w:val="auto"/>
                      <w:szCs w:val="21"/>
                      <w:highlight w:val="none"/>
                    </w:rPr>
                    <w:t>噪声</w:t>
                  </w:r>
                </w:p>
              </w:tc>
              <w:tc>
                <w:tcPr>
                  <w:tcW w:w="5395" w:type="dxa"/>
                  <w:noWrap w:val="0"/>
                  <w:vAlign w:val="center"/>
                </w:tcPr>
                <w:p w14:paraId="560B64EE">
                  <w:pPr>
                    <w:keepNext w:val="0"/>
                    <w:keepLines w:val="0"/>
                    <w:suppressLineNumbers w:val="0"/>
                    <w:adjustRightInd w:val="0"/>
                    <w:snapToGrid w:val="0"/>
                    <w:spacing w:before="0" w:beforeAutospacing="0" w:after="0" w:afterAutospacing="0" w:line="240" w:lineRule="auto"/>
                    <w:ind w:left="0" w:right="0"/>
                    <w:jc w:val="left"/>
                    <w:rPr>
                      <w:rFonts w:hint="default"/>
                      <w:b w:val="0"/>
                      <w:bCs/>
                      <w:color w:val="auto"/>
                      <w:szCs w:val="21"/>
                      <w:highlight w:val="none"/>
                    </w:rPr>
                  </w:pPr>
                  <w:r>
                    <w:rPr>
                      <w:rFonts w:hint="default"/>
                      <w:b w:val="0"/>
                      <w:bCs/>
                      <w:color w:val="auto"/>
                      <w:szCs w:val="21"/>
                      <w:highlight w:val="none"/>
                    </w:rPr>
                    <w:t>选用低噪声设备，</w:t>
                  </w:r>
                  <w:r>
                    <w:rPr>
                      <w:rFonts w:hint="eastAsia"/>
                      <w:b w:val="0"/>
                      <w:bCs/>
                      <w:color w:val="auto"/>
                      <w:szCs w:val="21"/>
                      <w:highlight w:val="none"/>
                    </w:rPr>
                    <w:t>墙体隔声、距离衰减</w:t>
                  </w:r>
                </w:p>
              </w:tc>
              <w:tc>
                <w:tcPr>
                  <w:tcW w:w="1101" w:type="dxa"/>
                  <w:noWrap w:val="0"/>
                  <w:vAlign w:val="center"/>
                </w:tcPr>
                <w:p w14:paraId="46D7295B">
                  <w:pPr>
                    <w:keepNext w:val="0"/>
                    <w:keepLines w:val="0"/>
                    <w:suppressLineNumbers w:val="0"/>
                    <w:adjustRightInd w:val="0"/>
                    <w:snapToGrid w:val="0"/>
                    <w:spacing w:before="0" w:beforeAutospacing="0" w:after="0" w:afterAutospacing="0" w:line="240" w:lineRule="auto"/>
                    <w:ind w:left="0" w:right="0"/>
                    <w:jc w:val="center"/>
                    <w:rPr>
                      <w:rFonts w:hint="eastAsia" w:eastAsia="宋体"/>
                      <w:b w:val="0"/>
                      <w:bCs/>
                      <w:color w:val="auto"/>
                      <w:szCs w:val="21"/>
                      <w:highlight w:val="none"/>
                      <w:lang w:val="en-US" w:eastAsia="zh-CN"/>
                    </w:rPr>
                  </w:pPr>
                  <w:r>
                    <w:rPr>
                      <w:rFonts w:hint="eastAsia"/>
                      <w:b w:val="0"/>
                      <w:bCs/>
                      <w:color w:val="auto"/>
                      <w:szCs w:val="21"/>
                      <w:highlight w:val="none"/>
                      <w:lang w:val="en-US" w:eastAsia="zh-CN"/>
                    </w:rPr>
                    <w:t>/</w:t>
                  </w:r>
                </w:p>
              </w:tc>
            </w:tr>
            <w:tr w14:paraId="7CA550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5E03B3D2">
                  <w:pPr>
                    <w:pStyle w:val="51"/>
                    <w:keepNext w:val="0"/>
                    <w:keepLines w:val="0"/>
                    <w:suppressLineNumbers w:val="0"/>
                    <w:snapToGrid w:val="0"/>
                    <w:spacing w:before="0" w:beforeAutospacing="0" w:after="0" w:afterAutospacing="0" w:line="240" w:lineRule="auto"/>
                    <w:ind w:left="0" w:right="0"/>
                    <w:jc w:val="center"/>
                    <w:rPr>
                      <w:rFonts w:hint="default" w:ascii="Times New Roman" w:eastAsia="宋体" w:cs="Times New Roman"/>
                      <w:b w:val="0"/>
                      <w:bCs/>
                      <w:color w:val="auto"/>
                      <w:sz w:val="21"/>
                      <w:szCs w:val="21"/>
                      <w:highlight w:val="none"/>
                    </w:rPr>
                  </w:pPr>
                </w:p>
              </w:tc>
              <w:tc>
                <w:tcPr>
                  <w:tcW w:w="336" w:type="dxa"/>
                  <w:vMerge w:val="restart"/>
                  <w:noWrap w:val="0"/>
                  <w:vAlign w:val="center"/>
                </w:tcPr>
                <w:p w14:paraId="2D50AAE7">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r>
                    <w:rPr>
                      <w:rFonts w:hint="default"/>
                      <w:b w:val="0"/>
                      <w:bCs/>
                      <w:color w:val="auto"/>
                      <w:szCs w:val="21"/>
                      <w:highlight w:val="none"/>
                    </w:rPr>
                    <w:t>固废</w:t>
                  </w:r>
                </w:p>
              </w:tc>
              <w:tc>
                <w:tcPr>
                  <w:tcW w:w="1360" w:type="dxa"/>
                  <w:noWrap w:val="0"/>
                  <w:vAlign w:val="center"/>
                </w:tcPr>
                <w:p w14:paraId="66433EFE">
                  <w:pPr>
                    <w:keepNext w:val="0"/>
                    <w:keepLines w:val="0"/>
                    <w:suppressLineNumbers w:val="0"/>
                    <w:adjustRightInd w:val="0"/>
                    <w:snapToGrid w:val="0"/>
                    <w:spacing w:before="0" w:beforeAutospacing="0" w:after="0" w:afterAutospacing="0" w:line="240" w:lineRule="auto"/>
                    <w:ind w:left="0" w:right="0"/>
                    <w:jc w:val="center"/>
                    <w:rPr>
                      <w:rFonts w:hint="eastAsia"/>
                      <w:b w:val="0"/>
                      <w:bCs/>
                      <w:color w:val="auto"/>
                      <w:szCs w:val="21"/>
                      <w:highlight w:val="none"/>
                    </w:rPr>
                  </w:pPr>
                  <w:r>
                    <w:rPr>
                      <w:rFonts w:hint="eastAsia"/>
                      <w:b w:val="0"/>
                      <w:bCs/>
                      <w:color w:val="auto"/>
                      <w:szCs w:val="21"/>
                      <w:highlight w:val="none"/>
                    </w:rPr>
                    <w:t>生活垃圾</w:t>
                  </w:r>
                </w:p>
              </w:tc>
              <w:tc>
                <w:tcPr>
                  <w:tcW w:w="5395" w:type="dxa"/>
                  <w:noWrap w:val="0"/>
                  <w:vAlign w:val="center"/>
                </w:tcPr>
                <w:p w14:paraId="76ADC16D">
                  <w:pPr>
                    <w:keepNext w:val="0"/>
                    <w:keepLines w:val="0"/>
                    <w:suppressLineNumbers w:val="0"/>
                    <w:adjustRightInd w:val="0"/>
                    <w:snapToGrid w:val="0"/>
                    <w:spacing w:before="0" w:beforeAutospacing="0" w:after="0" w:afterAutospacing="0" w:line="240" w:lineRule="auto"/>
                    <w:ind w:left="0" w:right="0"/>
                    <w:jc w:val="left"/>
                    <w:rPr>
                      <w:rFonts w:hint="eastAsia" w:eastAsia="宋体"/>
                      <w:b w:val="0"/>
                      <w:bCs/>
                      <w:color w:val="auto"/>
                      <w:szCs w:val="21"/>
                      <w:highlight w:val="none"/>
                      <w:lang w:eastAsia="zh-CN"/>
                    </w:rPr>
                  </w:pPr>
                  <w:r>
                    <w:rPr>
                      <w:rFonts w:hint="default"/>
                      <w:b w:val="0"/>
                      <w:bCs/>
                      <w:color w:val="auto"/>
                      <w:szCs w:val="21"/>
                      <w:highlight w:val="none"/>
                    </w:rPr>
                    <w:t>设置垃圾桶收集</w:t>
                  </w:r>
                  <w:r>
                    <w:rPr>
                      <w:rFonts w:hint="eastAsia"/>
                      <w:b w:val="0"/>
                      <w:bCs/>
                      <w:color w:val="auto"/>
                      <w:szCs w:val="21"/>
                      <w:highlight w:val="none"/>
                    </w:rPr>
                    <w:t>，定期</w:t>
                  </w:r>
                  <w:r>
                    <w:rPr>
                      <w:rFonts w:hint="default"/>
                      <w:b w:val="0"/>
                      <w:bCs/>
                      <w:color w:val="auto"/>
                      <w:szCs w:val="21"/>
                      <w:highlight w:val="none"/>
                    </w:rPr>
                    <w:t>由环卫部门处置</w:t>
                  </w:r>
                </w:p>
              </w:tc>
              <w:tc>
                <w:tcPr>
                  <w:tcW w:w="1101" w:type="dxa"/>
                  <w:noWrap w:val="0"/>
                  <w:vAlign w:val="center"/>
                </w:tcPr>
                <w:p w14:paraId="624DE6F3">
                  <w:pPr>
                    <w:keepNext w:val="0"/>
                    <w:keepLines w:val="0"/>
                    <w:suppressLineNumbers w:val="0"/>
                    <w:adjustRightInd w:val="0"/>
                    <w:snapToGrid w:val="0"/>
                    <w:spacing w:before="0" w:beforeAutospacing="0" w:after="0" w:afterAutospacing="0" w:line="240" w:lineRule="auto"/>
                    <w:ind w:left="0" w:right="0"/>
                    <w:jc w:val="center"/>
                    <w:rPr>
                      <w:rFonts w:hint="default" w:eastAsia="宋体"/>
                      <w:b w:val="0"/>
                      <w:bCs/>
                      <w:color w:val="auto"/>
                      <w:szCs w:val="21"/>
                      <w:highlight w:val="none"/>
                      <w:lang w:val="en-US" w:eastAsia="zh-CN"/>
                    </w:rPr>
                  </w:pPr>
                  <w:r>
                    <w:rPr>
                      <w:rFonts w:hint="eastAsia"/>
                      <w:b w:val="0"/>
                      <w:bCs/>
                      <w:color w:val="auto"/>
                      <w:szCs w:val="21"/>
                      <w:highlight w:val="none"/>
                      <w:lang w:val="en-US" w:eastAsia="zh-CN"/>
                    </w:rPr>
                    <w:t>/</w:t>
                  </w:r>
                </w:p>
              </w:tc>
            </w:tr>
            <w:tr w14:paraId="19F5D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20F9BCAB">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p>
              </w:tc>
              <w:tc>
                <w:tcPr>
                  <w:tcW w:w="336" w:type="dxa"/>
                  <w:vMerge w:val="continue"/>
                  <w:noWrap w:val="0"/>
                  <w:vAlign w:val="center"/>
                </w:tcPr>
                <w:p w14:paraId="2B100609">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p>
              </w:tc>
              <w:tc>
                <w:tcPr>
                  <w:tcW w:w="1360" w:type="dxa"/>
                  <w:noWrap w:val="0"/>
                  <w:vAlign w:val="center"/>
                </w:tcPr>
                <w:p w14:paraId="67DB8DE3">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除尘灰</w:t>
                  </w:r>
                  <w:r>
                    <w:rPr>
                      <w:rFonts w:hint="eastAsia"/>
                      <w:b w:val="0"/>
                      <w:bCs/>
                      <w:color w:val="auto"/>
                      <w:szCs w:val="21"/>
                      <w:highlight w:val="none"/>
                      <w:lang w:eastAsia="zh-CN"/>
                    </w:rPr>
                    <w:t>、</w:t>
                  </w:r>
                  <w:r>
                    <w:rPr>
                      <w:rFonts w:hint="eastAsia"/>
                      <w:b w:val="0"/>
                      <w:bCs/>
                      <w:color w:val="auto"/>
                      <w:szCs w:val="21"/>
                      <w:highlight w:val="none"/>
                      <w:lang w:val="en-US" w:eastAsia="zh-CN"/>
                    </w:rPr>
                    <w:t>废焦油</w:t>
                  </w:r>
                </w:p>
              </w:tc>
              <w:tc>
                <w:tcPr>
                  <w:tcW w:w="5395" w:type="dxa"/>
                  <w:noWrap w:val="0"/>
                  <w:vAlign w:val="center"/>
                </w:tcPr>
                <w:p w14:paraId="637F5FB5">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lang w:val="en-US" w:eastAsia="zh-CN"/>
                    </w:rPr>
                    <w:t>除尘灰</w:t>
                  </w:r>
                  <w:r>
                    <w:rPr>
                      <w:rFonts w:hint="eastAsia"/>
                      <w:b w:val="0"/>
                      <w:bCs/>
                      <w:color w:val="auto"/>
                      <w:szCs w:val="21"/>
                      <w:highlight w:val="none"/>
                    </w:rPr>
                    <w:t>回用于生产</w:t>
                  </w:r>
                  <w:r>
                    <w:rPr>
                      <w:rFonts w:hint="eastAsia"/>
                      <w:b w:val="0"/>
                      <w:bCs/>
                      <w:color w:val="auto"/>
                      <w:szCs w:val="21"/>
                      <w:highlight w:val="none"/>
                      <w:lang w:eastAsia="zh-CN"/>
                    </w:rPr>
                    <w:t>，</w:t>
                  </w:r>
                  <w:r>
                    <w:rPr>
                      <w:rFonts w:hint="eastAsia"/>
                      <w:b w:val="0"/>
                      <w:bCs/>
                      <w:color w:val="auto"/>
                      <w:szCs w:val="21"/>
                      <w:highlight w:val="none"/>
                      <w:lang w:val="en-US" w:eastAsia="zh-CN"/>
                    </w:rPr>
                    <w:t>废焦油委托资源处理单位处置。</w:t>
                  </w:r>
                </w:p>
              </w:tc>
              <w:tc>
                <w:tcPr>
                  <w:tcW w:w="1101" w:type="dxa"/>
                  <w:noWrap w:val="0"/>
                  <w:vAlign w:val="center"/>
                </w:tcPr>
                <w:p w14:paraId="47A5D714">
                  <w:pPr>
                    <w:keepNext w:val="0"/>
                    <w:keepLines w:val="0"/>
                    <w:suppressLineNumbers w:val="0"/>
                    <w:adjustRightInd w:val="0"/>
                    <w:snapToGrid w:val="0"/>
                    <w:spacing w:before="0" w:beforeAutospacing="0" w:after="0" w:afterAutospacing="0" w:line="240" w:lineRule="auto"/>
                    <w:ind w:left="0" w:right="0"/>
                    <w:jc w:val="center"/>
                    <w:rPr>
                      <w:rFonts w:hint="eastAsia"/>
                      <w:b w:val="0"/>
                      <w:bCs/>
                      <w:color w:val="auto"/>
                      <w:szCs w:val="21"/>
                      <w:highlight w:val="none"/>
                    </w:rPr>
                  </w:pPr>
                  <w:r>
                    <w:rPr>
                      <w:rFonts w:hint="eastAsia"/>
                      <w:b w:val="0"/>
                      <w:bCs/>
                      <w:color w:val="auto"/>
                      <w:szCs w:val="21"/>
                      <w:highlight w:val="none"/>
                      <w:lang w:val="en-US" w:eastAsia="zh-CN"/>
                    </w:rPr>
                    <w:t>/</w:t>
                  </w:r>
                </w:p>
              </w:tc>
            </w:tr>
            <w:tr w14:paraId="511B8D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551" w:type="dxa"/>
                  <w:vMerge w:val="continue"/>
                  <w:noWrap w:val="0"/>
                  <w:vAlign w:val="center"/>
                </w:tcPr>
                <w:p w14:paraId="44B78513">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p>
              </w:tc>
              <w:tc>
                <w:tcPr>
                  <w:tcW w:w="336" w:type="dxa"/>
                  <w:vMerge w:val="continue"/>
                  <w:noWrap w:val="0"/>
                  <w:vAlign w:val="center"/>
                </w:tcPr>
                <w:p w14:paraId="0BA206A3">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p>
              </w:tc>
              <w:tc>
                <w:tcPr>
                  <w:tcW w:w="1360" w:type="dxa"/>
                  <w:noWrap w:val="0"/>
                  <w:vAlign w:val="center"/>
                </w:tcPr>
                <w:p w14:paraId="1FFC9167">
                  <w:pPr>
                    <w:keepNext w:val="0"/>
                    <w:keepLines w:val="0"/>
                    <w:suppressLineNumbers w:val="0"/>
                    <w:adjustRightInd w:val="0"/>
                    <w:snapToGrid w:val="0"/>
                    <w:spacing w:before="0" w:beforeAutospacing="0" w:after="0" w:afterAutospacing="0" w:line="240" w:lineRule="auto"/>
                    <w:ind w:left="0" w:right="0"/>
                    <w:jc w:val="center"/>
                    <w:rPr>
                      <w:rFonts w:hint="default"/>
                      <w:b w:val="0"/>
                      <w:bCs/>
                      <w:color w:val="auto"/>
                      <w:szCs w:val="21"/>
                      <w:highlight w:val="none"/>
                    </w:rPr>
                  </w:pPr>
                  <w:r>
                    <w:rPr>
                      <w:rFonts w:hint="eastAsia"/>
                      <w:b w:val="0"/>
                      <w:bCs/>
                      <w:color w:val="auto"/>
                      <w:szCs w:val="21"/>
                      <w:highlight w:val="none"/>
                    </w:rPr>
                    <w:t>危险废物</w:t>
                  </w:r>
                </w:p>
              </w:tc>
              <w:tc>
                <w:tcPr>
                  <w:tcW w:w="5395" w:type="dxa"/>
                  <w:noWrap w:val="0"/>
                  <w:vAlign w:val="center"/>
                </w:tcPr>
                <w:p w14:paraId="37B403E5">
                  <w:pPr>
                    <w:keepNext w:val="0"/>
                    <w:keepLines w:val="0"/>
                    <w:suppressLineNumbers w:val="0"/>
                    <w:adjustRightInd w:val="0"/>
                    <w:snapToGrid w:val="0"/>
                    <w:spacing w:before="0" w:beforeAutospacing="0" w:after="0" w:afterAutospacing="0" w:line="240" w:lineRule="auto"/>
                    <w:ind w:left="0" w:right="0"/>
                    <w:jc w:val="left"/>
                    <w:rPr>
                      <w:rFonts w:hint="default"/>
                      <w:b w:val="0"/>
                      <w:bCs/>
                      <w:color w:val="auto"/>
                      <w:szCs w:val="21"/>
                      <w:highlight w:val="none"/>
                    </w:rPr>
                  </w:pPr>
                  <w:r>
                    <w:rPr>
                      <w:rFonts w:hint="default"/>
                      <w:b w:val="0"/>
                      <w:bCs/>
                      <w:color w:val="auto"/>
                      <w:szCs w:val="21"/>
                      <w:highlight w:val="none"/>
                      <w:lang w:bidi="ar"/>
                    </w:rPr>
                    <w:t>暂存于</w:t>
                  </w:r>
                  <w:r>
                    <w:rPr>
                      <w:rFonts w:hint="eastAsia"/>
                      <w:b w:val="0"/>
                      <w:bCs/>
                      <w:color w:val="auto"/>
                      <w:szCs w:val="21"/>
                      <w:highlight w:val="none"/>
                      <w:lang w:eastAsia="zh-CN" w:bidi="ar"/>
                    </w:rPr>
                    <w:t>危废贮存间</w:t>
                  </w:r>
                  <w:r>
                    <w:rPr>
                      <w:rFonts w:hint="default"/>
                      <w:b w:val="0"/>
                      <w:bCs/>
                      <w:color w:val="auto"/>
                      <w:szCs w:val="21"/>
                      <w:highlight w:val="none"/>
                      <w:lang w:bidi="ar"/>
                    </w:rPr>
                    <w:t>，</w:t>
                  </w:r>
                  <w:r>
                    <w:rPr>
                      <w:rFonts w:hint="eastAsia"/>
                      <w:b w:val="0"/>
                      <w:bCs/>
                      <w:color w:val="auto"/>
                      <w:szCs w:val="21"/>
                      <w:highlight w:val="none"/>
                      <w:lang w:bidi="ar"/>
                    </w:rPr>
                    <w:t>定期交由</w:t>
                  </w:r>
                  <w:r>
                    <w:rPr>
                      <w:rFonts w:hint="default"/>
                      <w:b w:val="0"/>
                      <w:bCs/>
                      <w:color w:val="auto"/>
                      <w:szCs w:val="21"/>
                      <w:highlight w:val="none"/>
                      <w:lang w:bidi="ar"/>
                    </w:rPr>
                    <w:t>有资质单位处置</w:t>
                  </w:r>
                  <w:r>
                    <w:rPr>
                      <w:rFonts w:hint="eastAsia"/>
                      <w:b w:val="0"/>
                      <w:bCs/>
                      <w:color w:val="auto"/>
                      <w:szCs w:val="21"/>
                      <w:highlight w:val="none"/>
                      <w:lang w:bidi="ar"/>
                    </w:rPr>
                    <w:t>。</w:t>
                  </w:r>
                </w:p>
              </w:tc>
              <w:tc>
                <w:tcPr>
                  <w:tcW w:w="1101" w:type="dxa"/>
                  <w:noWrap w:val="0"/>
                  <w:vAlign w:val="center"/>
                </w:tcPr>
                <w:p w14:paraId="6BC98B30">
                  <w:pPr>
                    <w:keepNext w:val="0"/>
                    <w:keepLines w:val="0"/>
                    <w:suppressLineNumbers w:val="0"/>
                    <w:adjustRightInd w:val="0"/>
                    <w:snapToGrid w:val="0"/>
                    <w:spacing w:before="0" w:beforeAutospacing="0" w:after="0" w:afterAutospacing="0" w:line="240" w:lineRule="auto"/>
                    <w:ind w:left="0" w:right="0"/>
                    <w:jc w:val="center"/>
                    <w:rPr>
                      <w:rFonts w:hint="eastAsia" w:eastAsia="宋体"/>
                      <w:b w:val="0"/>
                      <w:bCs/>
                      <w:color w:val="auto"/>
                      <w:szCs w:val="21"/>
                      <w:highlight w:val="none"/>
                      <w:lang w:val="en-US" w:eastAsia="zh-CN"/>
                    </w:rPr>
                  </w:pPr>
                  <w:r>
                    <w:rPr>
                      <w:rFonts w:hint="eastAsia"/>
                      <w:b w:val="0"/>
                      <w:bCs/>
                      <w:color w:val="auto"/>
                      <w:szCs w:val="21"/>
                      <w:highlight w:val="none"/>
                      <w:lang w:val="en-US" w:eastAsia="zh-CN"/>
                    </w:rPr>
                    <w:t>/</w:t>
                  </w:r>
                </w:p>
              </w:tc>
            </w:tr>
          </w:tbl>
          <w:p w14:paraId="5FA1D531">
            <w:pPr>
              <w:keepNext w:val="0"/>
              <w:keepLines w:val="0"/>
              <w:suppressLineNumbers w:val="0"/>
              <w:adjustRightInd w:val="0"/>
              <w:snapToGrid w:val="0"/>
              <w:spacing w:before="0" w:beforeAutospacing="0" w:after="0" w:afterAutospacing="0" w:line="480" w:lineRule="exact"/>
              <w:ind w:left="0" w:right="0"/>
              <w:jc w:val="left"/>
              <w:rPr>
                <w:rFonts w:hint="default"/>
                <w:b/>
                <w:bCs/>
                <w:color w:val="000000" w:themeColor="text1"/>
                <w:sz w:val="24"/>
                <w:szCs w:val="24"/>
                <w:highlight w:val="none"/>
                <w14:textFill>
                  <w14:solidFill>
                    <w14:schemeClr w14:val="tx1"/>
                  </w14:solidFill>
                </w14:textFill>
              </w:rPr>
            </w:pPr>
            <w:r>
              <w:rPr>
                <w:rFonts w:hint="default"/>
                <w:b/>
                <w:bCs/>
                <w:color w:val="000000" w:themeColor="text1"/>
                <w:sz w:val="24"/>
                <w:szCs w:val="24"/>
                <w:highlight w:val="none"/>
                <w14:textFill>
                  <w14:solidFill>
                    <w14:schemeClr w14:val="tx1"/>
                  </w14:solidFill>
                </w14:textFill>
              </w:rPr>
              <w:t>2.</w:t>
            </w:r>
            <w:r>
              <w:rPr>
                <w:rFonts w:hint="eastAsia"/>
                <w:b/>
                <w:bCs/>
                <w:color w:val="000000" w:themeColor="text1"/>
                <w:sz w:val="24"/>
                <w:szCs w:val="24"/>
                <w:highlight w:val="none"/>
                <w14:textFill>
                  <w14:solidFill>
                    <w14:schemeClr w14:val="tx1"/>
                  </w14:solidFill>
                </w14:textFill>
              </w:rPr>
              <w:t>3</w:t>
            </w:r>
            <w:r>
              <w:rPr>
                <w:rFonts w:hint="eastAsia" w:cs="宋体"/>
                <w:b/>
                <w:bCs/>
                <w:color w:val="000000" w:themeColor="text1"/>
                <w:sz w:val="24"/>
                <w:szCs w:val="24"/>
                <w:highlight w:val="none"/>
                <w14:textFill>
                  <w14:solidFill>
                    <w14:schemeClr w14:val="tx1"/>
                  </w14:solidFill>
                </w14:textFill>
              </w:rPr>
              <w:t>产品方案</w:t>
            </w:r>
          </w:p>
          <w:p w14:paraId="7ACDB865">
            <w:pPr>
              <w:keepNext w:val="0"/>
              <w:keepLines w:val="0"/>
              <w:suppressLineNumbers w:val="0"/>
              <w:adjustRightInd w:val="0"/>
              <w:snapToGrid w:val="0"/>
              <w:spacing w:before="0" w:beforeAutospacing="0" w:after="0" w:afterAutospacing="0" w:line="480" w:lineRule="exact"/>
              <w:ind w:left="0" w:right="0"/>
              <w:jc w:val="center"/>
              <w:rPr>
                <w:rFonts w:hint="eastAsia" w:cs="宋体"/>
                <w:b/>
                <w:bCs/>
                <w:color w:val="000000" w:themeColor="text1"/>
                <w:sz w:val="22"/>
                <w:szCs w:val="22"/>
                <w:highlight w:val="none"/>
                <w14:textFill>
                  <w14:solidFill>
                    <w14:schemeClr w14:val="tx1"/>
                  </w14:solidFill>
                </w14:textFill>
              </w:rPr>
            </w:pPr>
            <w:r>
              <w:rPr>
                <w:rFonts w:hint="eastAsia" w:cs="宋体"/>
                <w:b/>
                <w:bCs/>
                <w:color w:val="000000" w:themeColor="text1"/>
                <w:sz w:val="22"/>
                <w:szCs w:val="22"/>
                <w:highlight w:val="none"/>
                <w14:textFill>
                  <w14:solidFill>
                    <w14:schemeClr w14:val="tx1"/>
                  </w14:solidFill>
                </w14:textFill>
              </w:rPr>
              <w:t>表</w:t>
            </w:r>
            <w:r>
              <w:rPr>
                <w:rFonts w:hint="eastAsia"/>
                <w:b/>
                <w:bCs/>
                <w:color w:val="000000" w:themeColor="text1"/>
                <w:sz w:val="22"/>
                <w:szCs w:val="22"/>
                <w:highlight w:val="none"/>
                <w14:textFill>
                  <w14:solidFill>
                    <w14:schemeClr w14:val="tx1"/>
                  </w14:solidFill>
                </w14:textFill>
              </w:rPr>
              <w:t>2</w:t>
            </w:r>
            <w:r>
              <w:rPr>
                <w:rFonts w:hint="default"/>
                <w:b/>
                <w:bCs/>
                <w:color w:val="000000" w:themeColor="text1"/>
                <w:sz w:val="22"/>
                <w:szCs w:val="22"/>
                <w:highlight w:val="none"/>
                <w14:textFill>
                  <w14:solidFill>
                    <w14:schemeClr w14:val="tx1"/>
                  </w14:solidFill>
                </w14:textFill>
              </w:rPr>
              <w:t>-</w:t>
            </w:r>
            <w:r>
              <w:rPr>
                <w:rFonts w:hint="eastAsia"/>
                <w:b/>
                <w:bCs/>
                <w:color w:val="000000" w:themeColor="text1"/>
                <w:sz w:val="22"/>
                <w:szCs w:val="22"/>
                <w:highlight w:val="none"/>
                <w14:textFill>
                  <w14:solidFill>
                    <w14:schemeClr w14:val="tx1"/>
                  </w14:solidFill>
                </w14:textFill>
              </w:rPr>
              <w:t>2</w:t>
            </w:r>
            <w:r>
              <w:rPr>
                <w:rFonts w:hint="default"/>
                <w:b/>
                <w:bCs/>
                <w:color w:val="000000" w:themeColor="text1"/>
                <w:sz w:val="22"/>
                <w:szCs w:val="22"/>
                <w:highlight w:val="none"/>
                <w14:textFill>
                  <w14:solidFill>
                    <w14:schemeClr w14:val="tx1"/>
                  </w14:solidFill>
                </w14:textFill>
              </w:rPr>
              <w:t xml:space="preserve">  </w:t>
            </w:r>
            <w:r>
              <w:rPr>
                <w:rFonts w:hint="eastAsia" w:cs="宋体"/>
                <w:b/>
                <w:bCs/>
                <w:color w:val="000000" w:themeColor="text1"/>
                <w:sz w:val="22"/>
                <w:szCs w:val="22"/>
                <w:highlight w:val="none"/>
                <w14:textFill>
                  <w14:solidFill>
                    <w14:schemeClr w14:val="tx1"/>
                  </w14:solidFill>
                </w14:textFill>
              </w:rPr>
              <w:t>项目产品方案一览表</w:t>
            </w:r>
          </w:p>
          <w:tbl>
            <w:tblPr>
              <w:tblStyle w:val="41"/>
              <w:tblW w:w="8867"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fixed"/>
              <w:tblCellMar>
                <w:top w:w="0" w:type="dxa"/>
                <w:left w:w="108" w:type="dxa"/>
                <w:bottom w:w="0" w:type="dxa"/>
                <w:right w:w="108" w:type="dxa"/>
              </w:tblCellMar>
            </w:tblPr>
            <w:tblGrid>
              <w:gridCol w:w="915"/>
              <w:gridCol w:w="2233"/>
              <w:gridCol w:w="3034"/>
              <w:gridCol w:w="2685"/>
            </w:tblGrid>
            <w:tr w14:paraId="4971F2B9">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915" w:type="dxa"/>
                  <w:noWrap w:val="0"/>
                  <w:vAlign w:val="center"/>
                </w:tcPr>
                <w:p w14:paraId="59474ED3">
                  <w:pPr>
                    <w:keepNext w:val="0"/>
                    <w:keepLines w:val="0"/>
                    <w:suppressLineNumbers w:val="0"/>
                    <w:spacing w:before="0" w:beforeAutospacing="0" w:after="0" w:afterAutospacing="0"/>
                    <w:ind w:left="0" w:right="0"/>
                    <w:jc w:val="center"/>
                    <w:rPr>
                      <w:rFonts w:hint="default"/>
                      <w:b/>
                      <w:color w:val="auto"/>
                      <w:szCs w:val="21"/>
                      <w:highlight w:val="none"/>
                    </w:rPr>
                  </w:pPr>
                  <w:r>
                    <w:rPr>
                      <w:rFonts w:hint="default"/>
                      <w:b/>
                      <w:color w:val="auto"/>
                      <w:szCs w:val="21"/>
                      <w:highlight w:val="none"/>
                    </w:rPr>
                    <w:t>序号</w:t>
                  </w:r>
                </w:p>
              </w:tc>
              <w:tc>
                <w:tcPr>
                  <w:tcW w:w="2233" w:type="dxa"/>
                  <w:shd w:val="clear" w:color="auto" w:fill="auto"/>
                  <w:noWrap w:val="0"/>
                  <w:vAlign w:val="center"/>
                </w:tcPr>
                <w:p w14:paraId="471747BB">
                  <w:pPr>
                    <w:keepNext w:val="0"/>
                    <w:keepLines w:val="0"/>
                    <w:suppressLineNumbers w:val="0"/>
                    <w:spacing w:before="0" w:beforeAutospacing="0" w:after="0" w:afterAutospacing="0"/>
                    <w:ind w:left="0" w:right="0"/>
                    <w:jc w:val="center"/>
                    <w:rPr>
                      <w:rFonts w:hint="eastAsia"/>
                      <w:b/>
                      <w:color w:val="auto"/>
                      <w:kern w:val="2"/>
                      <w:sz w:val="21"/>
                      <w:szCs w:val="21"/>
                      <w:highlight w:val="none"/>
                      <w:lang w:val="en-US" w:eastAsia="zh-CN" w:bidi="ar-SA"/>
                    </w:rPr>
                  </w:pPr>
                  <w:r>
                    <w:rPr>
                      <w:rFonts w:hint="default"/>
                      <w:b/>
                      <w:color w:val="auto"/>
                      <w:szCs w:val="21"/>
                      <w:highlight w:val="none"/>
                    </w:rPr>
                    <w:t>项目</w:t>
                  </w:r>
                </w:p>
              </w:tc>
              <w:tc>
                <w:tcPr>
                  <w:tcW w:w="3034" w:type="dxa"/>
                  <w:shd w:val="clear" w:color="auto" w:fill="auto"/>
                  <w:noWrap w:val="0"/>
                  <w:vAlign w:val="center"/>
                </w:tcPr>
                <w:p w14:paraId="3810637A">
                  <w:pPr>
                    <w:keepNext w:val="0"/>
                    <w:keepLines w:val="0"/>
                    <w:suppressLineNumbers w:val="0"/>
                    <w:spacing w:before="0" w:beforeAutospacing="0" w:after="0" w:afterAutospacing="0"/>
                    <w:ind w:left="0" w:right="0"/>
                    <w:jc w:val="center"/>
                    <w:rPr>
                      <w:rFonts w:hint="eastAsia" w:eastAsia="宋体"/>
                      <w:b/>
                      <w:color w:val="auto"/>
                      <w:kern w:val="2"/>
                      <w:sz w:val="21"/>
                      <w:szCs w:val="21"/>
                      <w:highlight w:val="none"/>
                      <w:lang w:val="en-US" w:eastAsia="zh-CN" w:bidi="ar-SA"/>
                    </w:rPr>
                  </w:pPr>
                  <w:r>
                    <w:rPr>
                      <w:rFonts w:hint="eastAsia"/>
                      <w:b/>
                      <w:color w:val="auto"/>
                      <w:szCs w:val="21"/>
                      <w:highlight w:val="none"/>
                    </w:rPr>
                    <w:t>年</w:t>
                  </w:r>
                  <w:r>
                    <w:rPr>
                      <w:rFonts w:hint="default"/>
                      <w:b/>
                      <w:color w:val="auto"/>
                      <w:szCs w:val="21"/>
                      <w:highlight w:val="none"/>
                    </w:rPr>
                    <w:t>产量</w:t>
                  </w:r>
                  <w:r>
                    <w:rPr>
                      <w:rFonts w:hint="eastAsia"/>
                      <w:b/>
                      <w:color w:val="auto"/>
                      <w:szCs w:val="21"/>
                      <w:highlight w:val="none"/>
                      <w:lang w:eastAsia="zh-CN"/>
                    </w:rPr>
                    <w:t>（</w:t>
                  </w:r>
                  <w:r>
                    <w:rPr>
                      <w:rFonts w:hint="eastAsia"/>
                      <w:b/>
                      <w:color w:val="auto"/>
                      <w:szCs w:val="21"/>
                      <w:highlight w:val="none"/>
                      <w:lang w:val="en-US" w:eastAsia="zh-CN"/>
                    </w:rPr>
                    <w:t>万t/a</w:t>
                  </w:r>
                  <w:r>
                    <w:rPr>
                      <w:rFonts w:hint="eastAsia"/>
                      <w:b/>
                      <w:color w:val="auto"/>
                      <w:szCs w:val="21"/>
                      <w:highlight w:val="none"/>
                      <w:lang w:eastAsia="zh-CN"/>
                    </w:rPr>
                    <w:t>）</w:t>
                  </w:r>
                </w:p>
              </w:tc>
              <w:tc>
                <w:tcPr>
                  <w:tcW w:w="2685" w:type="dxa"/>
                  <w:shd w:val="clear" w:color="auto" w:fill="auto"/>
                  <w:noWrap w:val="0"/>
                  <w:vAlign w:val="center"/>
                </w:tcPr>
                <w:p w14:paraId="382D640E">
                  <w:pPr>
                    <w:keepNext w:val="0"/>
                    <w:keepLines w:val="0"/>
                    <w:suppressLineNumbers w:val="0"/>
                    <w:spacing w:before="0" w:beforeAutospacing="0" w:after="0" w:afterAutospacing="0"/>
                    <w:ind w:left="0" w:right="0"/>
                    <w:jc w:val="center"/>
                    <w:rPr>
                      <w:rFonts w:hint="eastAsia" w:eastAsia="宋体"/>
                      <w:b/>
                      <w:color w:val="auto"/>
                      <w:kern w:val="2"/>
                      <w:sz w:val="21"/>
                      <w:szCs w:val="21"/>
                      <w:highlight w:val="none"/>
                      <w:lang w:val="en-US" w:eastAsia="zh-CN" w:bidi="ar-SA"/>
                    </w:rPr>
                  </w:pPr>
                  <w:r>
                    <w:rPr>
                      <w:rFonts w:hint="eastAsia"/>
                      <w:b/>
                      <w:color w:val="auto"/>
                      <w:szCs w:val="21"/>
                      <w:highlight w:val="none"/>
                      <w:lang w:val="en-US" w:eastAsia="zh-CN"/>
                    </w:rPr>
                    <w:t>备注</w:t>
                  </w:r>
                </w:p>
              </w:tc>
            </w:tr>
            <w:tr w14:paraId="5A14908D">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108" w:type="dxa"/>
                  <w:bottom w:w="0" w:type="dxa"/>
                  <w:right w:w="108" w:type="dxa"/>
                </w:tblCellMar>
              </w:tblPrEx>
              <w:trPr>
                <w:trHeight w:val="425" w:hRule="atLeast"/>
                <w:jc w:val="center"/>
              </w:trPr>
              <w:tc>
                <w:tcPr>
                  <w:tcW w:w="915" w:type="dxa"/>
                  <w:noWrap w:val="0"/>
                  <w:vAlign w:val="center"/>
                </w:tcPr>
                <w:p w14:paraId="138E53B0">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color w:val="auto"/>
                      <w:szCs w:val="21"/>
                      <w:highlight w:val="none"/>
                    </w:rPr>
                    <w:t>1</w:t>
                  </w:r>
                </w:p>
              </w:tc>
              <w:tc>
                <w:tcPr>
                  <w:tcW w:w="2233" w:type="dxa"/>
                  <w:shd w:val="clear" w:color="auto" w:fill="auto"/>
                  <w:noWrap w:val="0"/>
                  <w:vAlign w:val="center"/>
                </w:tcPr>
                <w:p w14:paraId="7876B739">
                  <w:pPr>
                    <w:keepNext w:val="0"/>
                    <w:keepLines w:val="0"/>
                    <w:suppressLineNumbers w:val="0"/>
                    <w:spacing w:before="0" w:beforeAutospacing="0" w:after="0" w:afterAutospacing="0"/>
                    <w:ind w:left="0" w:right="0"/>
                    <w:jc w:val="center"/>
                    <w:rPr>
                      <w:rFonts w:hint="eastAsia" w:ascii="Times New Roman" w:hAnsi="Times New Roman" w:eastAsia="宋体" w:cs="Times New Roman"/>
                      <w:bCs/>
                      <w:color w:val="auto"/>
                      <w:kern w:val="2"/>
                      <w:sz w:val="21"/>
                      <w:szCs w:val="21"/>
                      <w:highlight w:val="none"/>
                      <w:lang w:val="en-US" w:eastAsia="zh-CN" w:bidi="ar-SA"/>
                    </w:rPr>
                  </w:pPr>
                  <w:r>
                    <w:rPr>
                      <w:rFonts w:hint="eastAsia" w:cs="Times New Roman"/>
                      <w:bCs/>
                      <w:color w:val="auto"/>
                      <w:kern w:val="2"/>
                      <w:sz w:val="21"/>
                      <w:szCs w:val="21"/>
                      <w:highlight w:val="none"/>
                      <w:lang w:val="en-US" w:eastAsia="zh-CN" w:bidi="ar-SA"/>
                    </w:rPr>
                    <w:t>沥青混合料</w:t>
                  </w:r>
                </w:p>
              </w:tc>
              <w:tc>
                <w:tcPr>
                  <w:tcW w:w="3034" w:type="dxa"/>
                  <w:shd w:val="clear" w:color="auto" w:fill="auto"/>
                  <w:noWrap w:val="0"/>
                  <w:vAlign w:val="center"/>
                </w:tcPr>
                <w:p w14:paraId="5D687CA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000000"/>
                      <w:spacing w:val="0"/>
                      <w:kern w:val="2"/>
                      <w:position w:val="0"/>
                      <w:sz w:val="21"/>
                      <w:szCs w:val="21"/>
                      <w:highlight w:val="none"/>
                      <w:lang w:val="en-US" w:eastAsia="zh-CN" w:bidi="ar-SA"/>
                    </w:rPr>
                    <w:t>30</w:t>
                  </w:r>
                </w:p>
              </w:tc>
              <w:tc>
                <w:tcPr>
                  <w:tcW w:w="2685" w:type="dxa"/>
                  <w:shd w:val="clear" w:color="auto" w:fill="auto"/>
                  <w:noWrap w:val="0"/>
                  <w:vAlign w:val="center"/>
                </w:tcPr>
                <w:p w14:paraId="58457BA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0"/>
                      <w:sz w:val="21"/>
                      <w:szCs w:val="18"/>
                      <w:highlight w:val="none"/>
                      <w:lang w:val="en-US" w:eastAsia="zh-CN" w:bidi="ar-SA"/>
                    </w:rPr>
                  </w:pPr>
                  <w:r>
                    <w:rPr>
                      <w:rFonts w:hint="eastAsia"/>
                      <w:color w:val="auto"/>
                      <w:kern w:val="0"/>
                      <w:szCs w:val="18"/>
                      <w:highlight w:val="none"/>
                      <w:lang w:val="en-US" w:eastAsia="zh-CN"/>
                    </w:rPr>
                    <w:t>不在厂区暂存</w:t>
                  </w:r>
                </w:p>
              </w:tc>
            </w:tr>
          </w:tbl>
          <w:p w14:paraId="70A81855">
            <w:pPr>
              <w:keepNext w:val="0"/>
              <w:keepLines w:val="0"/>
              <w:suppressLineNumbers w:val="0"/>
              <w:adjustRightInd w:val="0"/>
              <w:snapToGrid w:val="0"/>
              <w:spacing w:before="0" w:beforeAutospacing="0" w:after="0" w:afterAutospacing="0" w:line="360" w:lineRule="auto"/>
              <w:ind w:left="0" w:right="0"/>
              <w:jc w:val="left"/>
              <w:rPr>
                <w:rFonts w:hint="default"/>
                <w:b/>
                <w:bCs/>
                <w:color w:val="000000" w:themeColor="text1"/>
                <w:sz w:val="24"/>
                <w:szCs w:val="24"/>
                <w:highlight w:val="none"/>
                <w14:textFill>
                  <w14:solidFill>
                    <w14:schemeClr w14:val="tx1"/>
                  </w14:solidFill>
                </w14:textFill>
              </w:rPr>
            </w:pPr>
            <w:r>
              <w:rPr>
                <w:rFonts w:hint="default"/>
                <w:b/>
                <w:bCs/>
                <w:color w:val="000000" w:themeColor="text1"/>
                <w:sz w:val="24"/>
                <w:szCs w:val="24"/>
                <w:highlight w:val="none"/>
                <w14:textFill>
                  <w14:solidFill>
                    <w14:schemeClr w14:val="tx1"/>
                  </w14:solidFill>
                </w14:textFill>
              </w:rPr>
              <w:t>2.</w:t>
            </w:r>
            <w:r>
              <w:rPr>
                <w:rFonts w:hint="eastAsia"/>
                <w:b/>
                <w:bCs/>
                <w:color w:val="000000" w:themeColor="text1"/>
                <w:sz w:val="24"/>
                <w:szCs w:val="24"/>
                <w:highlight w:val="none"/>
                <w14:textFill>
                  <w14:solidFill>
                    <w14:schemeClr w14:val="tx1"/>
                  </w14:solidFill>
                </w14:textFill>
              </w:rPr>
              <w:t>4</w:t>
            </w:r>
            <w:r>
              <w:rPr>
                <w:rFonts w:hint="eastAsia" w:cs="宋体"/>
                <w:b/>
                <w:bCs/>
                <w:color w:val="000000" w:themeColor="text1"/>
                <w:sz w:val="24"/>
                <w:szCs w:val="24"/>
                <w:highlight w:val="none"/>
                <w14:textFill>
                  <w14:solidFill>
                    <w14:schemeClr w14:val="tx1"/>
                  </w14:solidFill>
                </w14:textFill>
              </w:rPr>
              <w:t xml:space="preserve">原辅材料及能源 </w:t>
            </w:r>
          </w:p>
          <w:p w14:paraId="222133D7">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项目主要原辅材料及能源消耗情况见表</w:t>
            </w:r>
            <w:r>
              <w:rPr>
                <w:rFonts w:hint="eastAsia"/>
                <w:color w:val="000000" w:themeColor="text1"/>
                <w:sz w:val="24"/>
                <w:szCs w:val="24"/>
                <w:highlight w:val="none"/>
                <w14:textFill>
                  <w14:solidFill>
                    <w14:schemeClr w14:val="tx1"/>
                  </w14:solidFill>
                </w14:textFill>
              </w:rPr>
              <w:t>2-3</w:t>
            </w:r>
            <w:r>
              <w:rPr>
                <w:rFonts w:hint="eastAsia" w:cs="宋体"/>
                <w:color w:val="000000" w:themeColor="text1"/>
                <w:sz w:val="24"/>
                <w:szCs w:val="24"/>
                <w:highlight w:val="none"/>
                <w14:textFill>
                  <w14:solidFill>
                    <w14:schemeClr w14:val="tx1"/>
                  </w14:solidFill>
                </w14:textFill>
              </w:rPr>
              <w:t>。</w:t>
            </w:r>
          </w:p>
          <w:p w14:paraId="58D64EFF">
            <w:pPr>
              <w:keepNext w:val="0"/>
              <w:keepLines w:val="0"/>
              <w:suppressLineNumbers w:val="0"/>
              <w:adjustRightInd w:val="0"/>
              <w:snapToGrid w:val="0"/>
              <w:spacing w:before="0" w:beforeAutospacing="0" w:after="0" w:afterAutospacing="0" w:line="480" w:lineRule="exact"/>
              <w:ind w:left="0" w:right="0"/>
              <w:jc w:val="center"/>
              <w:rPr>
                <w:rFonts w:hint="default"/>
                <w:b/>
                <w:bCs/>
                <w:color w:val="000000" w:themeColor="text1"/>
                <w:kern w:val="0"/>
                <w:sz w:val="24"/>
                <w:szCs w:val="24"/>
                <w:highlight w:val="none"/>
                <w14:textFill>
                  <w14:solidFill>
                    <w14:schemeClr w14:val="tx1"/>
                  </w14:solidFill>
                </w14:textFill>
              </w:rPr>
            </w:pPr>
            <w:r>
              <w:rPr>
                <w:rFonts w:hint="eastAsia" w:cs="宋体"/>
                <w:b/>
                <w:bCs/>
                <w:color w:val="000000" w:themeColor="text1"/>
                <w:sz w:val="22"/>
                <w:szCs w:val="22"/>
                <w:highlight w:val="none"/>
                <w14:textFill>
                  <w14:solidFill>
                    <w14:schemeClr w14:val="tx1"/>
                  </w14:solidFill>
                </w14:textFill>
              </w:rPr>
              <w:t>表</w:t>
            </w:r>
            <w:r>
              <w:rPr>
                <w:rFonts w:hint="eastAsia"/>
                <w:b/>
                <w:bCs/>
                <w:color w:val="000000" w:themeColor="text1"/>
                <w:sz w:val="22"/>
                <w:szCs w:val="22"/>
                <w:highlight w:val="none"/>
                <w14:textFill>
                  <w14:solidFill>
                    <w14:schemeClr w14:val="tx1"/>
                  </w14:solidFill>
                </w14:textFill>
              </w:rPr>
              <w:t>2-3</w:t>
            </w:r>
            <w:r>
              <w:rPr>
                <w:rFonts w:hint="default"/>
                <w:b/>
                <w:bCs/>
                <w:color w:val="000000" w:themeColor="text1"/>
                <w:sz w:val="22"/>
                <w:szCs w:val="22"/>
                <w:highlight w:val="none"/>
                <w14:textFill>
                  <w14:solidFill>
                    <w14:schemeClr w14:val="tx1"/>
                  </w14:solidFill>
                </w14:textFill>
              </w:rPr>
              <w:t xml:space="preserve">  </w:t>
            </w:r>
            <w:r>
              <w:rPr>
                <w:rFonts w:hint="eastAsia" w:cs="宋体"/>
                <w:b/>
                <w:bCs/>
                <w:color w:val="000000" w:themeColor="text1"/>
                <w:kern w:val="0"/>
                <w:sz w:val="22"/>
                <w:szCs w:val="22"/>
                <w:highlight w:val="none"/>
                <w14:textFill>
                  <w14:solidFill>
                    <w14:schemeClr w14:val="tx1"/>
                  </w14:solidFill>
                </w14:textFill>
              </w:rPr>
              <w:t>项目原、辅材料消耗一览表</w:t>
            </w:r>
          </w:p>
          <w:tbl>
            <w:tblPr>
              <w:tblStyle w:val="41"/>
              <w:tblW w:w="88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4"/>
              <w:gridCol w:w="1768"/>
              <w:gridCol w:w="1231"/>
              <w:gridCol w:w="1192"/>
              <w:gridCol w:w="1823"/>
              <w:gridCol w:w="2114"/>
            </w:tblGrid>
            <w:tr w14:paraId="36DE07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jc w:val="center"/>
              </w:trPr>
              <w:tc>
                <w:tcPr>
                  <w:tcW w:w="734" w:type="dxa"/>
                  <w:tcBorders>
                    <w:tl2br w:val="nil"/>
                    <w:tr2bl w:val="nil"/>
                  </w:tcBorders>
                  <w:noWrap w:val="0"/>
                  <w:vAlign w:val="center"/>
                </w:tcPr>
                <w:p w14:paraId="11605B33">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序号</w:t>
                  </w:r>
                </w:p>
              </w:tc>
              <w:tc>
                <w:tcPr>
                  <w:tcW w:w="1768" w:type="dxa"/>
                  <w:tcBorders>
                    <w:tl2br w:val="nil"/>
                    <w:tr2bl w:val="nil"/>
                  </w:tcBorders>
                  <w:noWrap w:val="0"/>
                  <w:vAlign w:val="center"/>
                </w:tcPr>
                <w:p w14:paraId="0316F89A">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原辅材料名称</w:t>
                  </w:r>
                </w:p>
              </w:tc>
              <w:tc>
                <w:tcPr>
                  <w:tcW w:w="1231" w:type="dxa"/>
                  <w:tcBorders>
                    <w:tl2br w:val="nil"/>
                    <w:tr2bl w:val="nil"/>
                  </w:tcBorders>
                  <w:noWrap w:val="0"/>
                  <w:vAlign w:val="center"/>
                </w:tcPr>
                <w:p w14:paraId="4C34D8FA">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用量</w:t>
                  </w:r>
                </w:p>
              </w:tc>
              <w:tc>
                <w:tcPr>
                  <w:tcW w:w="1192" w:type="dxa"/>
                  <w:tcBorders>
                    <w:tl2br w:val="nil"/>
                    <w:tr2bl w:val="nil"/>
                  </w:tcBorders>
                  <w:noWrap w:val="0"/>
                  <w:vAlign w:val="center"/>
                </w:tcPr>
                <w:p w14:paraId="3A76E0CF">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单位</w:t>
                  </w:r>
                </w:p>
              </w:tc>
              <w:tc>
                <w:tcPr>
                  <w:tcW w:w="1823" w:type="dxa"/>
                  <w:tcBorders>
                    <w:tl2br w:val="nil"/>
                    <w:tr2bl w:val="nil"/>
                  </w:tcBorders>
                  <w:noWrap w:val="0"/>
                  <w:vAlign w:val="center"/>
                </w:tcPr>
                <w:p w14:paraId="273ACF5B">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eastAsia" w:cs="Times New Roman"/>
                      <w:color w:val="auto"/>
                      <w:sz w:val="21"/>
                      <w:szCs w:val="21"/>
                      <w:highlight w:val="none"/>
                      <w:lang w:val="en-US" w:eastAsia="zh-CN"/>
                    </w:rPr>
                    <w:t>最大</w:t>
                  </w:r>
                  <w:r>
                    <w:rPr>
                      <w:rFonts w:hint="default" w:ascii="Times New Roman" w:hAnsi="Times New Roman" w:cs="Times New Roman"/>
                      <w:color w:val="auto"/>
                      <w:sz w:val="21"/>
                      <w:szCs w:val="21"/>
                      <w:highlight w:val="none"/>
                    </w:rPr>
                    <w:t>储存情况</w:t>
                  </w:r>
                </w:p>
              </w:tc>
              <w:tc>
                <w:tcPr>
                  <w:tcW w:w="2114" w:type="dxa"/>
                  <w:tcBorders>
                    <w:tl2br w:val="nil"/>
                    <w:tr2bl w:val="nil"/>
                  </w:tcBorders>
                  <w:noWrap w:val="0"/>
                  <w:vAlign w:val="center"/>
                </w:tcPr>
                <w:p w14:paraId="067C8070">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sz w:val="21"/>
                      <w:szCs w:val="21"/>
                      <w:highlight w:val="none"/>
                      <w:lang w:eastAsia="zh-CN"/>
                    </w:rPr>
                  </w:pPr>
                  <w:r>
                    <w:rPr>
                      <w:rFonts w:hint="eastAsia" w:ascii="Times New Roman" w:hAnsi="Times New Roman" w:cs="Times New Roman"/>
                      <w:color w:val="auto"/>
                      <w:sz w:val="21"/>
                      <w:szCs w:val="21"/>
                      <w:highlight w:val="none"/>
                      <w:lang w:eastAsia="zh-CN"/>
                    </w:rPr>
                    <w:t>备注</w:t>
                  </w:r>
                </w:p>
              </w:tc>
            </w:tr>
            <w:tr w14:paraId="716AB2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0" w:hRule="atLeast"/>
                <w:jc w:val="center"/>
              </w:trPr>
              <w:tc>
                <w:tcPr>
                  <w:tcW w:w="734" w:type="dxa"/>
                  <w:tcBorders>
                    <w:tl2br w:val="nil"/>
                    <w:tr2bl w:val="nil"/>
                  </w:tcBorders>
                  <w:noWrap w:val="0"/>
                  <w:vAlign w:val="center"/>
                </w:tcPr>
                <w:p w14:paraId="6FC7B9E0">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1</w:t>
                  </w:r>
                </w:p>
              </w:tc>
              <w:tc>
                <w:tcPr>
                  <w:tcW w:w="1768" w:type="dxa"/>
                  <w:tcBorders>
                    <w:tl2br w:val="nil"/>
                    <w:tr2bl w:val="nil"/>
                  </w:tcBorders>
                  <w:shd w:val="clear" w:color="auto" w:fill="auto"/>
                  <w:noWrap w:val="0"/>
                  <w:vAlign w:val="center"/>
                </w:tcPr>
                <w:p w14:paraId="31A0855B">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机制砂</w:t>
                  </w:r>
                </w:p>
              </w:tc>
              <w:tc>
                <w:tcPr>
                  <w:tcW w:w="1231" w:type="dxa"/>
                  <w:tcBorders>
                    <w:tl2br w:val="nil"/>
                    <w:tr2bl w:val="nil"/>
                  </w:tcBorders>
                  <w:shd w:val="clear" w:color="auto" w:fill="auto"/>
                  <w:noWrap w:val="0"/>
                  <w:vAlign w:val="center"/>
                </w:tcPr>
                <w:p w14:paraId="072E251E">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1192" w:type="dxa"/>
                  <w:tcBorders>
                    <w:tl2br w:val="nil"/>
                    <w:tr2bl w:val="nil"/>
                  </w:tcBorders>
                  <w:noWrap w:val="0"/>
                  <w:vAlign w:val="center"/>
                </w:tcPr>
                <w:p w14:paraId="51F0A04B">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823" w:type="dxa"/>
                  <w:tcBorders>
                    <w:tl2br w:val="nil"/>
                    <w:tr2bl w:val="nil"/>
                  </w:tcBorders>
                  <w:shd w:val="clear" w:color="auto" w:fill="auto"/>
                  <w:noWrap w:val="0"/>
                  <w:vAlign w:val="center"/>
                </w:tcPr>
                <w:p w14:paraId="2C5D2B07">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1000吨</w:t>
                  </w:r>
                </w:p>
              </w:tc>
              <w:tc>
                <w:tcPr>
                  <w:tcW w:w="2114" w:type="dxa"/>
                  <w:tcBorders>
                    <w:tl2br w:val="nil"/>
                    <w:tr2bl w:val="nil"/>
                  </w:tcBorders>
                  <w:noWrap w:val="0"/>
                  <w:vAlign w:val="center"/>
                </w:tcPr>
                <w:p w14:paraId="4EB28CF6">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eastAsia" w:ascii="Times New Roman" w:hAnsi="Times New Roman" w:cs="Times New Roman"/>
                      <w:color w:val="auto"/>
                      <w:sz w:val="21"/>
                      <w:szCs w:val="21"/>
                      <w:highlight w:val="none"/>
                      <w:lang w:val="en-US" w:eastAsia="zh-CN"/>
                    </w:rPr>
                    <w:t>-</w:t>
                  </w:r>
                </w:p>
              </w:tc>
            </w:tr>
            <w:tr w14:paraId="3AC19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734" w:type="dxa"/>
                  <w:tcBorders>
                    <w:tl2br w:val="nil"/>
                    <w:tr2bl w:val="nil"/>
                  </w:tcBorders>
                  <w:noWrap w:val="0"/>
                  <w:vAlign w:val="center"/>
                </w:tcPr>
                <w:p w14:paraId="033F3412">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2</w:t>
                  </w:r>
                </w:p>
              </w:tc>
              <w:tc>
                <w:tcPr>
                  <w:tcW w:w="1768" w:type="dxa"/>
                  <w:tcBorders>
                    <w:tl2br w:val="nil"/>
                    <w:tr2bl w:val="nil"/>
                  </w:tcBorders>
                  <w:shd w:val="clear" w:color="auto" w:fill="auto"/>
                  <w:noWrap w:val="0"/>
                  <w:vAlign w:val="center"/>
                </w:tcPr>
                <w:p w14:paraId="1E7B3B08">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碎石</w:t>
                  </w:r>
                </w:p>
              </w:tc>
              <w:tc>
                <w:tcPr>
                  <w:tcW w:w="1231" w:type="dxa"/>
                  <w:tcBorders>
                    <w:tl2br w:val="nil"/>
                    <w:tr2bl w:val="nil"/>
                  </w:tcBorders>
                  <w:shd w:val="clear" w:color="auto" w:fill="auto"/>
                  <w:noWrap w:val="0"/>
                  <w:vAlign w:val="center"/>
                </w:tcPr>
                <w:p w14:paraId="775A4B83">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1192" w:type="dxa"/>
                  <w:tcBorders>
                    <w:tl2br w:val="nil"/>
                    <w:tr2bl w:val="nil"/>
                  </w:tcBorders>
                  <w:noWrap w:val="0"/>
                  <w:vAlign w:val="center"/>
                </w:tcPr>
                <w:p w14:paraId="62EF57DC">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823" w:type="dxa"/>
                  <w:tcBorders>
                    <w:tl2br w:val="nil"/>
                    <w:tr2bl w:val="nil"/>
                  </w:tcBorders>
                  <w:shd w:val="clear" w:color="auto" w:fill="auto"/>
                  <w:noWrap w:val="0"/>
                  <w:vAlign w:val="center"/>
                </w:tcPr>
                <w:p w14:paraId="7AAF0A54">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1000吨</w:t>
                  </w:r>
                </w:p>
              </w:tc>
              <w:tc>
                <w:tcPr>
                  <w:tcW w:w="2114" w:type="dxa"/>
                  <w:tcBorders>
                    <w:tl2br w:val="nil"/>
                    <w:tr2bl w:val="nil"/>
                  </w:tcBorders>
                  <w:shd w:val="clear" w:color="auto" w:fill="auto"/>
                  <w:noWrap w:val="0"/>
                  <w:vAlign w:val="center"/>
                </w:tcPr>
                <w:p w14:paraId="2CDDB3EC">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粒径为5-10mm</w:t>
                  </w:r>
                </w:p>
              </w:tc>
            </w:tr>
            <w:tr w14:paraId="4E815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 w:hRule="atLeast"/>
                <w:jc w:val="center"/>
              </w:trPr>
              <w:tc>
                <w:tcPr>
                  <w:tcW w:w="734" w:type="dxa"/>
                  <w:tcBorders>
                    <w:tl2br w:val="nil"/>
                    <w:tr2bl w:val="nil"/>
                  </w:tcBorders>
                  <w:noWrap w:val="0"/>
                  <w:vAlign w:val="center"/>
                </w:tcPr>
                <w:p w14:paraId="705BC3FF">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3</w:t>
                  </w:r>
                </w:p>
              </w:tc>
              <w:tc>
                <w:tcPr>
                  <w:tcW w:w="1768" w:type="dxa"/>
                  <w:tcBorders>
                    <w:tl2br w:val="nil"/>
                    <w:tr2bl w:val="nil"/>
                  </w:tcBorders>
                  <w:shd w:val="clear" w:color="auto" w:fill="auto"/>
                  <w:noWrap w:val="0"/>
                  <w:vAlign w:val="center"/>
                </w:tcPr>
                <w:p w14:paraId="2D775409">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碎石</w:t>
                  </w:r>
                </w:p>
              </w:tc>
              <w:tc>
                <w:tcPr>
                  <w:tcW w:w="1231" w:type="dxa"/>
                  <w:tcBorders>
                    <w:tl2br w:val="nil"/>
                    <w:tr2bl w:val="nil"/>
                  </w:tcBorders>
                  <w:shd w:val="clear" w:color="auto" w:fill="auto"/>
                  <w:noWrap w:val="0"/>
                  <w:vAlign w:val="center"/>
                </w:tcPr>
                <w:p w14:paraId="6E645186">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w:t>
                  </w:r>
                </w:p>
              </w:tc>
              <w:tc>
                <w:tcPr>
                  <w:tcW w:w="1192" w:type="dxa"/>
                  <w:tcBorders>
                    <w:tl2br w:val="nil"/>
                    <w:tr2bl w:val="nil"/>
                  </w:tcBorders>
                  <w:noWrap w:val="0"/>
                  <w:vAlign w:val="center"/>
                </w:tcPr>
                <w:p w14:paraId="73592BB9">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823" w:type="dxa"/>
                  <w:tcBorders>
                    <w:tl2br w:val="nil"/>
                    <w:tr2bl w:val="nil"/>
                  </w:tcBorders>
                  <w:shd w:val="clear" w:color="auto" w:fill="auto"/>
                  <w:noWrap w:val="0"/>
                  <w:vAlign w:val="center"/>
                </w:tcPr>
                <w:p w14:paraId="1FA4965C">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1000吨</w:t>
                  </w:r>
                </w:p>
              </w:tc>
              <w:tc>
                <w:tcPr>
                  <w:tcW w:w="2114" w:type="dxa"/>
                  <w:tcBorders>
                    <w:tl2br w:val="nil"/>
                    <w:tr2bl w:val="nil"/>
                  </w:tcBorders>
                  <w:shd w:val="clear" w:color="auto" w:fill="auto"/>
                  <w:noWrap w:val="0"/>
                  <w:vAlign w:val="center"/>
                </w:tcPr>
                <w:p w14:paraId="6A18C2AC">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粒径为10-16mm</w:t>
                  </w:r>
                </w:p>
              </w:tc>
            </w:tr>
            <w:tr w14:paraId="1BB36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9" w:hRule="atLeast"/>
                <w:jc w:val="center"/>
              </w:trPr>
              <w:tc>
                <w:tcPr>
                  <w:tcW w:w="734" w:type="dxa"/>
                  <w:tcBorders>
                    <w:tl2br w:val="nil"/>
                    <w:tr2bl w:val="nil"/>
                  </w:tcBorders>
                  <w:noWrap w:val="0"/>
                  <w:vAlign w:val="center"/>
                </w:tcPr>
                <w:p w14:paraId="366A95AC">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4</w:t>
                  </w:r>
                </w:p>
              </w:tc>
              <w:tc>
                <w:tcPr>
                  <w:tcW w:w="1768" w:type="dxa"/>
                  <w:tcBorders>
                    <w:tl2br w:val="nil"/>
                    <w:tr2bl w:val="nil"/>
                  </w:tcBorders>
                  <w:shd w:val="clear" w:color="auto" w:fill="auto"/>
                  <w:noWrap w:val="0"/>
                  <w:vAlign w:val="center"/>
                </w:tcPr>
                <w:p w14:paraId="36DDB744">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碎石</w:t>
                  </w:r>
                </w:p>
              </w:tc>
              <w:tc>
                <w:tcPr>
                  <w:tcW w:w="1231" w:type="dxa"/>
                  <w:tcBorders>
                    <w:tl2br w:val="nil"/>
                    <w:tr2bl w:val="nil"/>
                  </w:tcBorders>
                  <w:shd w:val="clear" w:color="auto" w:fill="auto"/>
                  <w:noWrap w:val="0"/>
                  <w:vAlign w:val="center"/>
                </w:tcPr>
                <w:p w14:paraId="1810B661">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w:t>
                  </w:r>
                </w:p>
              </w:tc>
              <w:tc>
                <w:tcPr>
                  <w:tcW w:w="1192" w:type="dxa"/>
                  <w:tcBorders>
                    <w:tl2br w:val="nil"/>
                    <w:tr2bl w:val="nil"/>
                  </w:tcBorders>
                  <w:shd w:val="clear" w:color="auto" w:fill="auto"/>
                  <w:noWrap w:val="0"/>
                  <w:vAlign w:val="center"/>
                </w:tcPr>
                <w:p w14:paraId="2F79F547">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823" w:type="dxa"/>
                  <w:tcBorders>
                    <w:tl2br w:val="nil"/>
                    <w:tr2bl w:val="nil"/>
                  </w:tcBorders>
                  <w:shd w:val="clear" w:color="auto" w:fill="auto"/>
                  <w:noWrap w:val="0"/>
                  <w:vAlign w:val="center"/>
                </w:tcPr>
                <w:p w14:paraId="4EFE351E">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800吨</w:t>
                  </w:r>
                </w:p>
              </w:tc>
              <w:tc>
                <w:tcPr>
                  <w:tcW w:w="2114" w:type="dxa"/>
                  <w:tcBorders>
                    <w:tl2br w:val="nil"/>
                    <w:tr2bl w:val="nil"/>
                  </w:tcBorders>
                  <w:shd w:val="clear" w:color="auto" w:fill="auto"/>
                  <w:noWrap w:val="0"/>
                  <w:vAlign w:val="center"/>
                </w:tcPr>
                <w:p w14:paraId="1F2ABC7D">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粒径为10-20mm</w:t>
                  </w:r>
                </w:p>
              </w:tc>
            </w:tr>
            <w:tr w14:paraId="5AD13F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 w:hRule="atLeast"/>
                <w:jc w:val="center"/>
              </w:trPr>
              <w:tc>
                <w:tcPr>
                  <w:tcW w:w="734" w:type="dxa"/>
                  <w:tcBorders>
                    <w:tl2br w:val="nil"/>
                    <w:tr2bl w:val="nil"/>
                  </w:tcBorders>
                  <w:noWrap w:val="0"/>
                  <w:vAlign w:val="center"/>
                </w:tcPr>
                <w:p w14:paraId="752BEFDE">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5</w:t>
                  </w:r>
                </w:p>
              </w:tc>
              <w:tc>
                <w:tcPr>
                  <w:tcW w:w="1768" w:type="dxa"/>
                  <w:tcBorders>
                    <w:tl2br w:val="nil"/>
                    <w:tr2bl w:val="nil"/>
                  </w:tcBorders>
                  <w:shd w:val="clear" w:color="auto" w:fill="auto"/>
                  <w:noWrap w:val="0"/>
                  <w:vAlign w:val="center"/>
                </w:tcPr>
                <w:p w14:paraId="3B5C3E19">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碎石</w:t>
                  </w:r>
                </w:p>
              </w:tc>
              <w:tc>
                <w:tcPr>
                  <w:tcW w:w="1231" w:type="dxa"/>
                  <w:tcBorders>
                    <w:tl2br w:val="nil"/>
                    <w:tr2bl w:val="nil"/>
                  </w:tcBorders>
                  <w:shd w:val="clear" w:color="auto" w:fill="auto"/>
                  <w:noWrap w:val="0"/>
                  <w:vAlign w:val="center"/>
                </w:tcPr>
                <w:p w14:paraId="2C5727A8">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w:t>
                  </w:r>
                </w:p>
              </w:tc>
              <w:tc>
                <w:tcPr>
                  <w:tcW w:w="1192" w:type="dxa"/>
                  <w:tcBorders>
                    <w:tl2br w:val="nil"/>
                    <w:tr2bl w:val="nil"/>
                  </w:tcBorders>
                  <w:shd w:val="clear" w:color="auto" w:fill="auto"/>
                  <w:noWrap w:val="0"/>
                  <w:vAlign w:val="center"/>
                </w:tcPr>
                <w:p w14:paraId="0CD146A7">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823" w:type="dxa"/>
                  <w:tcBorders>
                    <w:tl2br w:val="nil"/>
                    <w:tr2bl w:val="nil"/>
                  </w:tcBorders>
                  <w:shd w:val="clear" w:color="auto" w:fill="auto"/>
                  <w:noWrap w:val="0"/>
                  <w:vAlign w:val="center"/>
                </w:tcPr>
                <w:p w14:paraId="1969D10E">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500吨</w:t>
                  </w:r>
                </w:p>
              </w:tc>
              <w:tc>
                <w:tcPr>
                  <w:tcW w:w="2114" w:type="dxa"/>
                  <w:tcBorders>
                    <w:tl2br w:val="nil"/>
                    <w:tr2bl w:val="nil"/>
                  </w:tcBorders>
                  <w:shd w:val="clear" w:color="auto" w:fill="auto"/>
                  <w:noWrap w:val="0"/>
                  <w:vAlign w:val="center"/>
                </w:tcPr>
                <w:p w14:paraId="1E122C7C">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粒径为10-30mm</w:t>
                  </w:r>
                </w:p>
              </w:tc>
            </w:tr>
            <w:tr w14:paraId="6C6F2F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34" w:type="dxa"/>
                  <w:tcBorders>
                    <w:tl2br w:val="nil"/>
                    <w:tr2bl w:val="nil"/>
                  </w:tcBorders>
                  <w:noWrap w:val="0"/>
                  <w:vAlign w:val="center"/>
                </w:tcPr>
                <w:p w14:paraId="3A4CAB4B">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rPr>
                    <w:t>6</w:t>
                  </w:r>
                </w:p>
              </w:tc>
              <w:tc>
                <w:tcPr>
                  <w:tcW w:w="1768" w:type="dxa"/>
                  <w:tcBorders>
                    <w:tl2br w:val="nil"/>
                    <w:tr2bl w:val="nil"/>
                  </w:tcBorders>
                  <w:shd w:val="clear" w:color="auto" w:fill="auto"/>
                  <w:noWrap w:val="0"/>
                  <w:vAlign w:val="center"/>
                </w:tcPr>
                <w:p w14:paraId="63A354C2">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RAP（铣刨料）</w:t>
                  </w:r>
                </w:p>
              </w:tc>
              <w:tc>
                <w:tcPr>
                  <w:tcW w:w="1231" w:type="dxa"/>
                  <w:tcBorders>
                    <w:tl2br w:val="nil"/>
                    <w:tr2bl w:val="nil"/>
                  </w:tcBorders>
                  <w:shd w:val="clear" w:color="auto" w:fill="auto"/>
                  <w:noWrap w:val="0"/>
                  <w:vAlign w:val="center"/>
                </w:tcPr>
                <w:p w14:paraId="3FF110E3">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1192" w:type="dxa"/>
                  <w:tcBorders>
                    <w:tl2br w:val="nil"/>
                    <w:tr2bl w:val="nil"/>
                  </w:tcBorders>
                  <w:shd w:val="clear" w:color="auto" w:fill="auto"/>
                  <w:noWrap w:val="0"/>
                  <w:vAlign w:val="center"/>
                </w:tcPr>
                <w:p w14:paraId="14F6F22C">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823" w:type="dxa"/>
                  <w:tcBorders>
                    <w:tl2br w:val="nil"/>
                    <w:tr2bl w:val="nil"/>
                  </w:tcBorders>
                  <w:shd w:val="clear" w:color="auto" w:fill="auto"/>
                  <w:noWrap w:val="0"/>
                  <w:vAlign w:val="center"/>
                </w:tcPr>
                <w:p w14:paraId="2AC2F11E">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300吨（细料）</w:t>
                  </w:r>
                </w:p>
              </w:tc>
              <w:tc>
                <w:tcPr>
                  <w:tcW w:w="2114" w:type="dxa"/>
                  <w:tcBorders>
                    <w:tl2br w:val="nil"/>
                    <w:tr2bl w:val="nil"/>
                  </w:tcBorders>
                  <w:shd w:val="clear" w:color="auto" w:fill="auto"/>
                  <w:noWrap w:val="0"/>
                  <w:vAlign w:val="center"/>
                </w:tcPr>
                <w:p w14:paraId="0264C53E">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外购成品再生沥青粉</w:t>
                  </w:r>
                </w:p>
              </w:tc>
            </w:tr>
            <w:tr w14:paraId="4B994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34" w:type="dxa"/>
                  <w:tcBorders>
                    <w:tl2br w:val="nil"/>
                    <w:tr2bl w:val="nil"/>
                  </w:tcBorders>
                  <w:noWrap w:val="0"/>
                  <w:vAlign w:val="center"/>
                </w:tcPr>
                <w:p w14:paraId="098EEA5B">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7</w:t>
                  </w:r>
                </w:p>
              </w:tc>
              <w:tc>
                <w:tcPr>
                  <w:tcW w:w="1768" w:type="dxa"/>
                  <w:tcBorders>
                    <w:tl2br w:val="nil"/>
                    <w:tr2bl w:val="nil"/>
                  </w:tcBorders>
                  <w:shd w:val="clear" w:color="auto" w:fill="auto"/>
                  <w:noWrap w:val="0"/>
                  <w:vAlign w:val="center"/>
                </w:tcPr>
                <w:p w14:paraId="37DDAE37">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RAP（铣刨料）</w:t>
                  </w:r>
                </w:p>
              </w:tc>
              <w:tc>
                <w:tcPr>
                  <w:tcW w:w="1231" w:type="dxa"/>
                  <w:tcBorders>
                    <w:tl2br w:val="nil"/>
                    <w:tr2bl w:val="nil"/>
                  </w:tcBorders>
                  <w:shd w:val="clear" w:color="auto" w:fill="auto"/>
                  <w:noWrap w:val="0"/>
                  <w:vAlign w:val="center"/>
                </w:tcPr>
                <w:p w14:paraId="2F38694F">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w:t>
                  </w:r>
                </w:p>
              </w:tc>
              <w:tc>
                <w:tcPr>
                  <w:tcW w:w="1192" w:type="dxa"/>
                  <w:tcBorders>
                    <w:tl2br w:val="nil"/>
                    <w:tr2bl w:val="nil"/>
                  </w:tcBorders>
                  <w:shd w:val="clear" w:color="auto" w:fill="auto"/>
                  <w:noWrap w:val="0"/>
                  <w:vAlign w:val="center"/>
                </w:tcPr>
                <w:p w14:paraId="0DCC6C17">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823" w:type="dxa"/>
                  <w:tcBorders>
                    <w:tl2br w:val="nil"/>
                    <w:tr2bl w:val="nil"/>
                  </w:tcBorders>
                  <w:shd w:val="clear" w:color="auto" w:fill="auto"/>
                  <w:noWrap w:val="0"/>
                  <w:vAlign w:val="center"/>
                </w:tcPr>
                <w:p w14:paraId="0F5805F7">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300吨（中料）</w:t>
                  </w:r>
                </w:p>
              </w:tc>
              <w:tc>
                <w:tcPr>
                  <w:tcW w:w="2114" w:type="dxa"/>
                  <w:tcBorders>
                    <w:tl2br w:val="nil"/>
                    <w:tr2bl w:val="nil"/>
                  </w:tcBorders>
                  <w:shd w:val="clear" w:color="auto" w:fill="auto"/>
                  <w:noWrap w:val="0"/>
                  <w:vAlign w:val="center"/>
                </w:tcPr>
                <w:p w14:paraId="2FAA61BB">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外购成品再生料，粒径为10-16mm</w:t>
                  </w:r>
                </w:p>
              </w:tc>
            </w:tr>
            <w:tr w14:paraId="2BE20A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34" w:type="dxa"/>
                  <w:tcBorders>
                    <w:tl2br w:val="nil"/>
                    <w:tr2bl w:val="nil"/>
                  </w:tcBorders>
                  <w:noWrap w:val="0"/>
                  <w:vAlign w:val="center"/>
                </w:tcPr>
                <w:p w14:paraId="5E549529">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8</w:t>
                  </w:r>
                </w:p>
              </w:tc>
              <w:tc>
                <w:tcPr>
                  <w:tcW w:w="1768" w:type="dxa"/>
                  <w:tcBorders>
                    <w:tl2br w:val="nil"/>
                    <w:tr2bl w:val="nil"/>
                  </w:tcBorders>
                  <w:shd w:val="clear" w:color="auto" w:fill="auto"/>
                  <w:noWrap w:val="0"/>
                  <w:vAlign w:val="center"/>
                </w:tcPr>
                <w:p w14:paraId="4DDC691F">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RAP（铣刨料）</w:t>
                  </w:r>
                </w:p>
              </w:tc>
              <w:tc>
                <w:tcPr>
                  <w:tcW w:w="1231" w:type="dxa"/>
                  <w:tcBorders>
                    <w:tl2br w:val="nil"/>
                    <w:tr2bl w:val="nil"/>
                  </w:tcBorders>
                  <w:shd w:val="clear" w:color="auto" w:fill="auto"/>
                  <w:noWrap w:val="0"/>
                  <w:vAlign w:val="center"/>
                </w:tcPr>
                <w:p w14:paraId="0DFD9F32">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0.8</w:t>
                  </w:r>
                </w:p>
              </w:tc>
              <w:tc>
                <w:tcPr>
                  <w:tcW w:w="1192" w:type="dxa"/>
                  <w:tcBorders>
                    <w:tl2br w:val="nil"/>
                    <w:tr2bl w:val="nil"/>
                  </w:tcBorders>
                  <w:shd w:val="clear" w:color="auto" w:fill="auto"/>
                  <w:noWrap w:val="0"/>
                  <w:vAlign w:val="center"/>
                </w:tcPr>
                <w:p w14:paraId="7ADB87C2">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823" w:type="dxa"/>
                  <w:tcBorders>
                    <w:tl2br w:val="nil"/>
                    <w:tr2bl w:val="nil"/>
                  </w:tcBorders>
                  <w:shd w:val="clear" w:color="auto" w:fill="auto"/>
                  <w:noWrap w:val="0"/>
                  <w:vAlign w:val="center"/>
                </w:tcPr>
                <w:p w14:paraId="714C2838">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200吨（粗料）</w:t>
                  </w:r>
                </w:p>
              </w:tc>
              <w:tc>
                <w:tcPr>
                  <w:tcW w:w="2114" w:type="dxa"/>
                  <w:tcBorders>
                    <w:tl2br w:val="nil"/>
                    <w:tr2bl w:val="nil"/>
                  </w:tcBorders>
                  <w:shd w:val="clear" w:color="auto" w:fill="auto"/>
                  <w:noWrap w:val="0"/>
                  <w:vAlign w:val="center"/>
                </w:tcPr>
                <w:p w14:paraId="02E47D21">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外购成品再生料，粒径为16-25mm</w:t>
                  </w:r>
                </w:p>
              </w:tc>
            </w:tr>
            <w:tr w14:paraId="0AFB11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34" w:type="dxa"/>
                  <w:tcBorders>
                    <w:tl2br w:val="nil"/>
                    <w:tr2bl w:val="nil"/>
                  </w:tcBorders>
                  <w:noWrap w:val="0"/>
                  <w:vAlign w:val="center"/>
                </w:tcPr>
                <w:p w14:paraId="2F0B35E5">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9</w:t>
                  </w:r>
                </w:p>
              </w:tc>
              <w:tc>
                <w:tcPr>
                  <w:tcW w:w="1768" w:type="dxa"/>
                  <w:tcBorders>
                    <w:tl2br w:val="nil"/>
                    <w:tr2bl w:val="nil"/>
                  </w:tcBorders>
                  <w:noWrap w:val="0"/>
                  <w:vAlign w:val="center"/>
                </w:tcPr>
                <w:p w14:paraId="73C8C8C2">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沥青</w:t>
                  </w:r>
                </w:p>
              </w:tc>
              <w:tc>
                <w:tcPr>
                  <w:tcW w:w="1231" w:type="dxa"/>
                  <w:tcBorders>
                    <w:tl2br w:val="nil"/>
                    <w:tr2bl w:val="nil"/>
                  </w:tcBorders>
                  <w:noWrap w:val="0"/>
                  <w:vAlign w:val="center"/>
                </w:tcPr>
                <w:p w14:paraId="30D281C8">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1.2</w:t>
                  </w:r>
                </w:p>
              </w:tc>
              <w:tc>
                <w:tcPr>
                  <w:tcW w:w="1192" w:type="dxa"/>
                  <w:tcBorders>
                    <w:tl2br w:val="nil"/>
                    <w:tr2bl w:val="nil"/>
                  </w:tcBorders>
                  <w:shd w:val="clear" w:color="auto" w:fill="auto"/>
                  <w:noWrap w:val="0"/>
                  <w:vAlign w:val="center"/>
                </w:tcPr>
                <w:p w14:paraId="06804FB6">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万</w:t>
                  </w:r>
                  <w:r>
                    <w:rPr>
                      <w:rFonts w:hint="default" w:ascii="Times New Roman" w:hAnsi="Times New Roman" w:cs="Times New Roman"/>
                      <w:color w:val="auto"/>
                      <w:sz w:val="21"/>
                      <w:szCs w:val="21"/>
                      <w:highlight w:val="none"/>
                    </w:rPr>
                    <w:t>t/a</w:t>
                  </w:r>
                </w:p>
              </w:tc>
              <w:tc>
                <w:tcPr>
                  <w:tcW w:w="1823" w:type="dxa"/>
                  <w:tcBorders>
                    <w:tl2br w:val="nil"/>
                    <w:tr2bl w:val="nil"/>
                  </w:tcBorders>
                  <w:shd w:val="clear" w:color="auto" w:fill="auto"/>
                  <w:noWrap w:val="0"/>
                  <w:vAlign w:val="center"/>
                </w:tcPr>
                <w:p w14:paraId="67465644">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120吨</w:t>
                  </w:r>
                </w:p>
              </w:tc>
              <w:tc>
                <w:tcPr>
                  <w:tcW w:w="2114" w:type="dxa"/>
                  <w:tcBorders>
                    <w:tl2br w:val="nil"/>
                    <w:tr2bl w:val="nil"/>
                  </w:tcBorders>
                  <w:noWrap w:val="0"/>
                  <w:vAlign w:val="center"/>
                </w:tcPr>
                <w:p w14:paraId="1DBB4430">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外购，厂区储罐暂存</w:t>
                  </w:r>
                </w:p>
              </w:tc>
            </w:tr>
            <w:tr w14:paraId="080C07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34" w:type="dxa"/>
                  <w:tcBorders>
                    <w:tl2br w:val="nil"/>
                    <w:tr2bl w:val="nil"/>
                  </w:tcBorders>
                  <w:shd w:val="clear" w:color="auto" w:fill="auto"/>
                  <w:noWrap w:val="0"/>
                  <w:vAlign w:val="center"/>
                </w:tcPr>
                <w:p w14:paraId="609E0D6A">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10</w:t>
                  </w:r>
                </w:p>
              </w:tc>
              <w:tc>
                <w:tcPr>
                  <w:tcW w:w="1768" w:type="dxa"/>
                  <w:tcBorders>
                    <w:tl2br w:val="nil"/>
                    <w:tr2bl w:val="nil"/>
                  </w:tcBorders>
                  <w:noWrap w:val="0"/>
                  <w:vAlign w:val="center"/>
                </w:tcPr>
                <w:p w14:paraId="114CC7FD">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导热油</w:t>
                  </w:r>
                </w:p>
              </w:tc>
              <w:tc>
                <w:tcPr>
                  <w:tcW w:w="1231" w:type="dxa"/>
                  <w:tcBorders>
                    <w:tl2br w:val="nil"/>
                    <w:tr2bl w:val="nil"/>
                  </w:tcBorders>
                  <w:shd w:val="clear" w:color="auto" w:fill="auto"/>
                  <w:noWrap w:val="0"/>
                  <w:vAlign w:val="center"/>
                </w:tcPr>
                <w:p w14:paraId="353E6820">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1</w:t>
                  </w:r>
                </w:p>
              </w:tc>
              <w:tc>
                <w:tcPr>
                  <w:tcW w:w="1192" w:type="dxa"/>
                  <w:tcBorders>
                    <w:tl2br w:val="nil"/>
                    <w:tr2bl w:val="nil"/>
                  </w:tcBorders>
                  <w:shd w:val="clear" w:color="auto" w:fill="auto"/>
                  <w:noWrap w:val="0"/>
                  <w:vAlign w:val="center"/>
                </w:tcPr>
                <w:p w14:paraId="7F01E8DB">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rPr>
                    <w:t>t/</w:t>
                  </w:r>
                  <w:r>
                    <w:rPr>
                      <w:rFonts w:hint="default" w:ascii="Times New Roman" w:hAnsi="Times New Roman" w:cs="Times New Roman"/>
                      <w:color w:val="auto"/>
                      <w:sz w:val="21"/>
                      <w:szCs w:val="21"/>
                      <w:highlight w:val="none"/>
                      <w:lang w:val="en-US" w:eastAsia="zh-CN"/>
                    </w:rPr>
                    <w:t>5</w:t>
                  </w:r>
                  <w:r>
                    <w:rPr>
                      <w:rFonts w:hint="default" w:ascii="Times New Roman" w:hAnsi="Times New Roman" w:cs="Times New Roman"/>
                      <w:color w:val="auto"/>
                      <w:sz w:val="21"/>
                      <w:szCs w:val="21"/>
                      <w:highlight w:val="none"/>
                    </w:rPr>
                    <w:t>a</w:t>
                  </w:r>
                </w:p>
              </w:tc>
              <w:tc>
                <w:tcPr>
                  <w:tcW w:w="1823" w:type="dxa"/>
                  <w:tcBorders>
                    <w:tl2br w:val="nil"/>
                    <w:tr2bl w:val="nil"/>
                  </w:tcBorders>
                  <w:shd w:val="clear" w:color="auto" w:fill="auto"/>
                  <w:noWrap w:val="0"/>
                  <w:vAlign w:val="center"/>
                </w:tcPr>
                <w:p w14:paraId="14442AA7">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2114" w:type="dxa"/>
                  <w:tcBorders>
                    <w:tl2br w:val="nil"/>
                    <w:tr2bl w:val="nil"/>
                  </w:tcBorders>
                  <w:noWrap w:val="0"/>
                  <w:vAlign w:val="center"/>
                </w:tcPr>
                <w:p w14:paraId="69A2E038">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r w14:paraId="4818A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34" w:type="dxa"/>
                  <w:tcBorders>
                    <w:tl2br w:val="nil"/>
                    <w:tr2bl w:val="nil"/>
                  </w:tcBorders>
                  <w:shd w:val="clear" w:color="auto" w:fill="auto"/>
                  <w:noWrap w:val="0"/>
                  <w:vAlign w:val="center"/>
                </w:tcPr>
                <w:p w14:paraId="61182AFD">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11</w:t>
                  </w:r>
                </w:p>
              </w:tc>
              <w:tc>
                <w:tcPr>
                  <w:tcW w:w="1768" w:type="dxa"/>
                  <w:tcBorders>
                    <w:tl2br w:val="nil"/>
                    <w:tr2bl w:val="nil"/>
                  </w:tcBorders>
                  <w:noWrap w:val="0"/>
                  <w:vAlign w:val="center"/>
                </w:tcPr>
                <w:p w14:paraId="03689A72">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天然气</w:t>
                  </w:r>
                </w:p>
              </w:tc>
              <w:tc>
                <w:tcPr>
                  <w:tcW w:w="1231" w:type="dxa"/>
                  <w:tcBorders>
                    <w:tl2br w:val="nil"/>
                    <w:tr2bl w:val="nil"/>
                  </w:tcBorders>
                  <w:noWrap w:val="0"/>
                  <w:vAlign w:val="center"/>
                </w:tcPr>
                <w:p w14:paraId="5BCF75BF">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110</w:t>
                  </w:r>
                </w:p>
              </w:tc>
              <w:tc>
                <w:tcPr>
                  <w:tcW w:w="1192" w:type="dxa"/>
                  <w:tcBorders>
                    <w:tl2br w:val="nil"/>
                    <w:tr2bl w:val="nil"/>
                  </w:tcBorders>
                  <w:noWrap w:val="0"/>
                  <w:vAlign w:val="center"/>
                </w:tcPr>
                <w:p w14:paraId="71E58878">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ascii="Times New Roman" w:hAnsi="Times New Roman" w:cs="Times New Roman"/>
                      <w:color w:val="auto"/>
                      <w:sz w:val="21"/>
                      <w:szCs w:val="21"/>
                      <w:highlight w:val="none"/>
                      <w:lang w:val="en-US" w:eastAsia="zh-CN"/>
                    </w:rPr>
                    <w:t>万</w:t>
                  </w:r>
                  <w:r>
                    <w:rPr>
                      <w:rFonts w:hint="eastAsia" w:ascii="Times New Roman" w:hAnsi="Times New Roman" w:cs="Times New Roman"/>
                      <w:color w:val="auto"/>
                      <w:sz w:val="21"/>
                      <w:szCs w:val="21"/>
                      <w:highlight w:val="none"/>
                      <w:lang w:val="en-US" w:eastAsia="zh-CN"/>
                    </w:rPr>
                    <w:t>m</w:t>
                  </w:r>
                  <w:r>
                    <w:rPr>
                      <w:rFonts w:hint="eastAsia" w:ascii="Times New Roman" w:hAnsi="Times New Roman" w:cs="Times New Roman"/>
                      <w:color w:val="auto"/>
                      <w:sz w:val="21"/>
                      <w:szCs w:val="21"/>
                      <w:highlight w:val="none"/>
                      <w:vertAlign w:val="superscript"/>
                      <w:lang w:val="en-US" w:eastAsia="zh-CN"/>
                    </w:rPr>
                    <w:t>3</w:t>
                  </w:r>
                  <w:r>
                    <w:rPr>
                      <w:rFonts w:hint="default" w:ascii="Times New Roman" w:hAnsi="Times New Roman" w:cs="Times New Roman"/>
                      <w:color w:val="auto"/>
                      <w:sz w:val="21"/>
                      <w:szCs w:val="21"/>
                      <w:highlight w:val="none"/>
                    </w:rPr>
                    <w:t>/a</w:t>
                  </w:r>
                </w:p>
              </w:tc>
              <w:tc>
                <w:tcPr>
                  <w:tcW w:w="1823" w:type="dxa"/>
                  <w:tcBorders>
                    <w:tl2br w:val="nil"/>
                    <w:tr2bl w:val="nil"/>
                  </w:tcBorders>
                  <w:noWrap w:val="0"/>
                  <w:vAlign w:val="center"/>
                </w:tcPr>
                <w:p w14:paraId="1C3EB333">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管道天然气</w:t>
                  </w:r>
                </w:p>
              </w:tc>
              <w:tc>
                <w:tcPr>
                  <w:tcW w:w="2114" w:type="dxa"/>
                  <w:tcBorders>
                    <w:tl2br w:val="nil"/>
                    <w:tr2bl w:val="nil"/>
                  </w:tcBorders>
                  <w:noWrap w:val="0"/>
                  <w:vAlign w:val="center"/>
                </w:tcPr>
                <w:p w14:paraId="5B1B0D78">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w:t>
                  </w:r>
                </w:p>
              </w:tc>
            </w:tr>
            <w:tr w14:paraId="748B24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34" w:type="dxa"/>
                  <w:tcBorders>
                    <w:tl2br w:val="nil"/>
                    <w:tr2bl w:val="nil"/>
                  </w:tcBorders>
                  <w:shd w:val="clear" w:color="auto" w:fill="auto"/>
                  <w:noWrap w:val="0"/>
                  <w:vAlign w:val="center"/>
                </w:tcPr>
                <w:p w14:paraId="377D4FD7">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cs="Times New Roman"/>
                      <w:color w:val="auto"/>
                      <w:sz w:val="21"/>
                      <w:szCs w:val="21"/>
                      <w:highlight w:val="none"/>
                      <w:lang w:val="en-US" w:eastAsia="zh-CN"/>
                    </w:rPr>
                    <w:t>12</w:t>
                  </w:r>
                </w:p>
              </w:tc>
              <w:tc>
                <w:tcPr>
                  <w:tcW w:w="1768" w:type="dxa"/>
                  <w:tcBorders>
                    <w:tl2br w:val="nil"/>
                    <w:tr2bl w:val="nil"/>
                  </w:tcBorders>
                  <w:noWrap w:val="0"/>
                  <w:vAlign w:val="center"/>
                </w:tcPr>
                <w:p w14:paraId="5473954B">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电</w:t>
                  </w:r>
                </w:p>
              </w:tc>
              <w:tc>
                <w:tcPr>
                  <w:tcW w:w="1231" w:type="dxa"/>
                  <w:tcBorders>
                    <w:tl2br w:val="nil"/>
                    <w:tr2bl w:val="nil"/>
                  </w:tcBorders>
                  <w:shd w:val="clear" w:color="auto" w:fill="auto"/>
                  <w:noWrap w:val="0"/>
                  <w:vAlign w:val="center"/>
                </w:tcPr>
                <w:p w14:paraId="30B23EF2">
                  <w:pPr>
                    <w:keepNext w:val="0"/>
                    <w:keepLines w:val="0"/>
                    <w:suppressLineNumbers w:val="0"/>
                    <w:tabs>
                      <w:tab w:val="left" w:pos="660"/>
                    </w:tabs>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color w:val="auto"/>
                      <w:highlight w:val="none"/>
                      <w:lang w:val="en-US" w:eastAsia="zh-CN" w:bidi="ar"/>
                    </w:rPr>
                    <w:t>70</w:t>
                  </w:r>
                  <w:r>
                    <w:rPr>
                      <w:rFonts w:hint="default"/>
                      <w:color w:val="auto"/>
                      <w:highlight w:val="none"/>
                      <w:lang w:bidi="ar"/>
                    </w:rPr>
                    <w:t>万</w:t>
                  </w:r>
                </w:p>
              </w:tc>
              <w:tc>
                <w:tcPr>
                  <w:tcW w:w="1192" w:type="dxa"/>
                  <w:tcBorders>
                    <w:tl2br w:val="nil"/>
                    <w:tr2bl w:val="nil"/>
                  </w:tcBorders>
                  <w:shd w:val="clear" w:color="auto" w:fill="auto"/>
                  <w:noWrap w:val="0"/>
                  <w:vAlign w:val="center"/>
                </w:tcPr>
                <w:p w14:paraId="5FE6041A">
                  <w:pPr>
                    <w:keepNext w:val="0"/>
                    <w:keepLines w:val="0"/>
                    <w:suppressLineNumbers w:val="0"/>
                    <w:tabs>
                      <w:tab w:val="left" w:pos="660"/>
                    </w:tabs>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default" w:eastAsia="Time new roman"/>
                      <w:color w:val="auto"/>
                      <w:highlight w:val="none"/>
                      <w:lang w:bidi="ar"/>
                    </w:rPr>
                    <w:t>kwh/a</w:t>
                  </w:r>
                </w:p>
              </w:tc>
              <w:tc>
                <w:tcPr>
                  <w:tcW w:w="1823" w:type="dxa"/>
                  <w:tcBorders>
                    <w:tl2br w:val="nil"/>
                    <w:tr2bl w:val="nil"/>
                  </w:tcBorders>
                  <w:noWrap w:val="0"/>
                  <w:vAlign w:val="center"/>
                </w:tcPr>
                <w:p w14:paraId="27BF6B07">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市政电网</w:t>
                  </w:r>
                </w:p>
              </w:tc>
              <w:tc>
                <w:tcPr>
                  <w:tcW w:w="2114" w:type="dxa"/>
                  <w:tcBorders>
                    <w:tl2br w:val="nil"/>
                    <w:tr2bl w:val="nil"/>
                  </w:tcBorders>
                  <w:noWrap w:val="0"/>
                  <w:vAlign w:val="center"/>
                </w:tcPr>
                <w:p w14:paraId="050F540A">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p>
              </w:tc>
            </w:tr>
            <w:tr w14:paraId="569599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734" w:type="dxa"/>
                  <w:tcBorders>
                    <w:tl2br w:val="nil"/>
                    <w:tr2bl w:val="nil"/>
                  </w:tcBorders>
                  <w:noWrap w:val="0"/>
                  <w:vAlign w:val="center"/>
                </w:tcPr>
                <w:p w14:paraId="7AC7B894">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13</w:t>
                  </w:r>
                </w:p>
              </w:tc>
              <w:tc>
                <w:tcPr>
                  <w:tcW w:w="1768" w:type="dxa"/>
                  <w:tcBorders>
                    <w:tl2br w:val="nil"/>
                    <w:tr2bl w:val="nil"/>
                  </w:tcBorders>
                  <w:noWrap w:val="0"/>
                  <w:vAlign w:val="center"/>
                </w:tcPr>
                <w:p w14:paraId="77A83651">
                  <w:pPr>
                    <w:keepNext w:val="0"/>
                    <w:keepLines w:val="0"/>
                    <w:suppressLineNumbers w:val="0"/>
                    <w:snapToGrid w:val="0"/>
                    <w:spacing w:before="0" w:beforeAutospacing="0" w:after="0" w:afterAutospacing="0" w:line="280" w:lineRule="exact"/>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水</w:t>
                  </w:r>
                </w:p>
              </w:tc>
              <w:tc>
                <w:tcPr>
                  <w:tcW w:w="1231" w:type="dxa"/>
                  <w:tcBorders>
                    <w:tl2br w:val="nil"/>
                    <w:tr2bl w:val="nil"/>
                  </w:tcBorders>
                  <w:noWrap w:val="0"/>
                  <w:vAlign w:val="center"/>
                </w:tcPr>
                <w:p w14:paraId="1FF83B8C">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594</w:t>
                  </w:r>
                </w:p>
              </w:tc>
              <w:tc>
                <w:tcPr>
                  <w:tcW w:w="1192" w:type="dxa"/>
                  <w:tcBorders>
                    <w:tl2br w:val="nil"/>
                    <w:tr2bl w:val="nil"/>
                  </w:tcBorders>
                  <w:noWrap w:val="0"/>
                  <w:vAlign w:val="center"/>
                </w:tcPr>
                <w:p w14:paraId="5AED3551">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r>
                    <w:rPr>
                      <w:rFonts w:hint="default"/>
                      <w:snapToGrid w:val="0"/>
                      <w:color w:val="auto"/>
                      <w:kern w:val="0"/>
                      <w:highlight w:val="none"/>
                      <w:lang w:bidi="ar"/>
                    </w:rPr>
                    <w:t>m</w:t>
                  </w:r>
                  <w:r>
                    <w:rPr>
                      <w:rFonts w:hint="default"/>
                      <w:snapToGrid w:val="0"/>
                      <w:color w:val="auto"/>
                      <w:kern w:val="0"/>
                      <w:highlight w:val="none"/>
                      <w:vertAlign w:val="superscript"/>
                      <w:lang w:bidi="ar"/>
                    </w:rPr>
                    <w:t>3</w:t>
                  </w:r>
                  <w:r>
                    <w:rPr>
                      <w:rFonts w:hint="default"/>
                      <w:snapToGrid w:val="0"/>
                      <w:color w:val="auto"/>
                      <w:kern w:val="0"/>
                      <w:highlight w:val="none"/>
                      <w:lang w:bidi="ar"/>
                    </w:rPr>
                    <w:t>/</w:t>
                  </w:r>
                  <w:r>
                    <w:rPr>
                      <w:rFonts w:hint="default" w:eastAsia="Time new roman"/>
                      <w:snapToGrid w:val="0"/>
                      <w:color w:val="auto"/>
                      <w:kern w:val="0"/>
                      <w:highlight w:val="none"/>
                      <w:lang w:bidi="ar"/>
                    </w:rPr>
                    <w:t>a</w:t>
                  </w:r>
                </w:p>
              </w:tc>
              <w:tc>
                <w:tcPr>
                  <w:tcW w:w="1823" w:type="dxa"/>
                  <w:tcBorders>
                    <w:tl2br w:val="nil"/>
                    <w:tr2bl w:val="nil"/>
                  </w:tcBorders>
                  <w:noWrap w:val="0"/>
                  <w:vAlign w:val="center"/>
                </w:tcPr>
                <w:p w14:paraId="197A16D1">
                  <w:pPr>
                    <w:keepNext w:val="0"/>
                    <w:keepLines w:val="0"/>
                    <w:suppressLineNumbers w:val="0"/>
                    <w:snapToGrid w:val="0"/>
                    <w:spacing w:before="0" w:beforeAutospacing="0" w:after="0" w:afterAutospacing="0" w:line="280" w:lineRule="exact"/>
                    <w:ind w:left="0" w:right="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市政给水管网</w:t>
                  </w:r>
                </w:p>
              </w:tc>
              <w:tc>
                <w:tcPr>
                  <w:tcW w:w="2114" w:type="dxa"/>
                  <w:tcBorders>
                    <w:tl2br w:val="nil"/>
                    <w:tr2bl w:val="nil"/>
                  </w:tcBorders>
                  <w:noWrap w:val="0"/>
                  <w:vAlign w:val="center"/>
                </w:tcPr>
                <w:p w14:paraId="3D5DC9FF">
                  <w:pPr>
                    <w:keepNext w:val="0"/>
                    <w:keepLines w:val="0"/>
                    <w:suppressLineNumbers w:val="0"/>
                    <w:snapToGrid w:val="0"/>
                    <w:spacing w:before="0" w:beforeAutospacing="0" w:after="0" w:afterAutospacing="0" w:line="280" w:lineRule="exact"/>
                    <w:ind w:left="0" w:right="0"/>
                    <w:jc w:val="center"/>
                    <w:rPr>
                      <w:rFonts w:hint="default" w:ascii="Times New Roman" w:hAnsi="Times New Roman" w:cs="Times New Roman"/>
                      <w:color w:val="auto"/>
                      <w:sz w:val="21"/>
                      <w:szCs w:val="21"/>
                      <w:highlight w:val="none"/>
                    </w:rPr>
                  </w:pPr>
                </w:p>
              </w:tc>
            </w:tr>
          </w:tbl>
          <w:p w14:paraId="2426CA87">
            <w:pPr>
              <w:keepNext w:val="0"/>
              <w:keepLines w:val="0"/>
              <w:pageBreakBefore w:val="0"/>
              <w:widowControl w:val="0"/>
              <w:suppressLineNumbers w:val="0"/>
              <w:kinsoku/>
              <w:wordWrap/>
              <w:overflowPunct/>
              <w:topLinePunct w:val="0"/>
              <w:bidi w:val="0"/>
              <w:spacing w:before="0" w:beforeAutospacing="0" w:after="0" w:afterAutospacing="0" w:line="360" w:lineRule="auto"/>
              <w:ind w:left="0" w:right="0" w:firstLine="482" w:firstLineChars="200"/>
              <w:rPr>
                <w:rFonts w:hint="default" w:ascii="Times New Roman"/>
                <w:b/>
                <w:bCs/>
                <w:sz w:val="24"/>
                <w:szCs w:val="24"/>
                <w:highlight w:val="none"/>
              </w:rPr>
            </w:pPr>
            <w:r>
              <w:rPr>
                <w:rFonts w:hint="default" w:ascii="Times New Roman"/>
                <w:b/>
                <w:bCs/>
                <w:sz w:val="24"/>
                <w:szCs w:val="24"/>
                <w:highlight w:val="none"/>
              </w:rPr>
              <w:t>原辅材料简介：</w:t>
            </w:r>
          </w:p>
          <w:p w14:paraId="0A4A017F">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2" w:firstLineChars="200"/>
              <w:textAlignment w:val="bottom"/>
              <w:rPr>
                <w:rFonts w:hint="default" w:ascii="Times New Roman"/>
                <w:b/>
                <w:bCs/>
                <w:sz w:val="24"/>
                <w:szCs w:val="24"/>
                <w:highlight w:val="none"/>
              </w:rPr>
            </w:pPr>
            <w:r>
              <w:rPr>
                <w:rFonts w:hint="default" w:ascii="Times New Roman"/>
                <w:b/>
                <w:bCs/>
                <w:sz w:val="24"/>
                <w:szCs w:val="24"/>
                <w:highlight w:val="none"/>
              </w:rPr>
              <w:t>沥青：</w:t>
            </w:r>
          </w:p>
          <w:p w14:paraId="076B9838">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textAlignment w:val="bottom"/>
              <w:rPr>
                <w:rFonts w:hint="default" w:ascii="Times New Roman"/>
                <w:sz w:val="24"/>
                <w:szCs w:val="24"/>
                <w:highlight w:val="none"/>
              </w:rPr>
            </w:pPr>
            <w:r>
              <w:rPr>
                <w:rFonts w:hint="default" w:ascii="Times New Roman"/>
                <w:sz w:val="24"/>
                <w:szCs w:val="24"/>
                <w:highlight w:val="none"/>
              </w:rPr>
              <w:t>①中文名称：沥青，②提炼物：</w:t>
            </w:r>
            <w:r>
              <w:rPr>
                <w:rFonts w:hint="default" w:ascii="Times New Roman"/>
                <w:sz w:val="24"/>
                <w:szCs w:val="24"/>
                <w:highlight w:val="none"/>
              </w:rPr>
              <w:fldChar w:fldCharType="begin"/>
            </w:r>
            <w:r>
              <w:rPr>
                <w:rFonts w:hint="default" w:ascii="Times New Roman"/>
                <w:sz w:val="24"/>
                <w:szCs w:val="24"/>
                <w:highlight w:val="none"/>
              </w:rPr>
              <w:instrText xml:space="preserve"> HYPERLINK "http://baike.baidu.com/view/16263.htm" \t "_blank" </w:instrText>
            </w:r>
            <w:r>
              <w:rPr>
                <w:rFonts w:hint="default" w:ascii="Times New Roman"/>
                <w:sz w:val="24"/>
                <w:szCs w:val="24"/>
                <w:highlight w:val="none"/>
              </w:rPr>
              <w:fldChar w:fldCharType="separate"/>
            </w:r>
            <w:r>
              <w:rPr>
                <w:rFonts w:hint="default" w:ascii="Times New Roman"/>
                <w:sz w:val="24"/>
                <w:szCs w:val="24"/>
                <w:highlight w:val="none"/>
              </w:rPr>
              <w:t>石油</w:t>
            </w:r>
            <w:r>
              <w:rPr>
                <w:rFonts w:hint="default" w:ascii="Times New Roman"/>
                <w:sz w:val="24"/>
                <w:szCs w:val="24"/>
                <w:highlight w:val="none"/>
              </w:rPr>
              <w:fldChar w:fldCharType="end"/>
            </w:r>
            <w:r>
              <w:rPr>
                <w:rFonts w:hint="default" w:ascii="Times New Roman"/>
                <w:sz w:val="24"/>
                <w:szCs w:val="24"/>
                <w:highlight w:val="none"/>
              </w:rPr>
              <w:t>，含量：99.48%。外观与性状：黑色液体，半固体或固体。③沸点（℃）：&lt;470，相对密度（水=1）：1.15-1.25，闪点（℃）：204.4，引燃温度（℃）：485，爆炸下限%（V/V）：30（g/立方厘米），溶解性：不溶于水，不溶于丙酮、乙醚、稀乙醇，溶于二硫化碳、四氯化碳等。④主要用途：用于涂料、塑料、橡胶等工业以及铺筑路面等。⑤健康危害：沥青及其烟气对皮肤粘膜具有刺激性，有光毒作用和致肿瘤作用。三种主要沥青毒性：煤焦沥青＞页岩沥青＞石油沥青，前二者有致癌性。⑥环境危害：对环境有危害，对大气可造成污染。⑦燃爆危险：本品可燃，具刺激性。⑧危险特性：遇明火、高热可燃。燃烧时放出有毒的刺激性烟雾。</w:t>
            </w:r>
          </w:p>
          <w:p w14:paraId="1A685D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2" w:firstLineChars="200"/>
              <w:jc w:val="left"/>
              <w:textAlignment w:val="auto"/>
              <w:rPr>
                <w:rFonts w:hint="eastAsia" w:ascii="Times New Roman"/>
                <w:sz w:val="24"/>
                <w:szCs w:val="24"/>
                <w:highlight w:val="none"/>
              </w:rPr>
            </w:pPr>
            <w:r>
              <w:rPr>
                <w:rFonts w:hint="eastAsia" w:ascii="Times New Roman"/>
                <w:b/>
                <w:bCs/>
                <w:sz w:val="24"/>
                <w:szCs w:val="24"/>
                <w:highlight w:val="none"/>
              </w:rPr>
              <w:t>导热油：</w:t>
            </w:r>
            <w:r>
              <w:rPr>
                <w:rFonts w:hint="eastAsia" w:ascii="Times New Roman"/>
                <w:sz w:val="24"/>
                <w:szCs w:val="24"/>
                <w:highlight w:val="none"/>
              </w:rPr>
              <w:t>导热油在</w:t>
            </w:r>
            <w:r>
              <w:rPr>
                <w:rFonts w:hint="eastAsia" w:ascii="Times New Roman"/>
                <w:sz w:val="24"/>
                <w:szCs w:val="24"/>
                <w:highlight w:val="none"/>
                <w:lang w:eastAsia="zh-CN"/>
              </w:rPr>
              <w:t>燃气导热油炉</w:t>
            </w:r>
            <w:r>
              <w:rPr>
                <w:rFonts w:hint="eastAsia" w:ascii="Times New Roman"/>
                <w:sz w:val="24"/>
                <w:szCs w:val="24"/>
                <w:highlight w:val="none"/>
              </w:rPr>
              <w:t>内循环，损失消耗较小。导热油又称传热油，正规名称为热载体油（GB/T4016-83），英文名称为 Heat transfer oil，所以也称热导油、热煤油等。导热油是一种热量的传递介质，由于其具有加热均匀，调温控制温准确，能在低蒸汽压下产生高温，传热效果好，节能，输送和操作方便等特点导热油主要成分为芳烃，一般芳烃含量≥99%。拟建项目采用的导热油为矿油型，是以精制矿物油加入抗氧剂、防焦剂等添加剂制成的热传导液，具有无毒、无味，在常温下不易氧化，无需氮封等特点。通过加入添加剂，消除了导热油的热氧化反应和热聚合反应，提高了导热油的稳定性，防止因产生结焦现象而引发的风险事故发生。导热油闭口闪点不得低于100℃，开口闪点不低于160℃。</w:t>
            </w:r>
          </w:p>
          <w:p w14:paraId="229CAD82">
            <w:pPr>
              <w:keepNext w:val="0"/>
              <w:keepLines w:val="0"/>
              <w:suppressLineNumbers w:val="0"/>
              <w:adjustRightInd w:val="0"/>
              <w:snapToGrid w:val="0"/>
              <w:spacing w:before="0" w:beforeAutospacing="0" w:after="0" w:afterAutospacing="0" w:line="480" w:lineRule="exact"/>
              <w:ind w:left="0" w:right="0"/>
              <w:jc w:val="cente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表2-4</w:t>
            </w: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ab/>
            </w:r>
            <w:r>
              <w:rPr>
                <w:rFonts w:hint="eastAsia" w:ascii="Times New Roman" w:hAnsi="Times New Roman" w:eastAsia="宋体" w:cs="Times New Roman"/>
                <w:b/>
                <w:bCs/>
                <w:color w:val="000000" w:themeColor="text1"/>
                <w:sz w:val="21"/>
                <w:szCs w:val="21"/>
                <w:highlight w:val="none"/>
                <w:lang w:val="en-US" w:eastAsia="zh-CN"/>
                <w14:textFill>
                  <w14:solidFill>
                    <w14:schemeClr w14:val="tx1"/>
                  </w14:solidFill>
                </w14:textFill>
              </w:rPr>
              <w:t>沥青混合料物料平衡表   t/a</w:t>
            </w:r>
          </w:p>
          <w:tbl>
            <w:tblPr>
              <w:tblStyle w:val="41"/>
              <w:tblW w:w="885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8"/>
              <w:gridCol w:w="2106"/>
              <w:gridCol w:w="1620"/>
              <w:gridCol w:w="2277"/>
              <w:gridCol w:w="1996"/>
            </w:tblGrid>
            <w:tr w14:paraId="1D09A6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584" w:type="dxa"/>
                  <w:gridSpan w:val="3"/>
                  <w:noWrap w:val="0"/>
                  <w:vAlign w:val="center"/>
                </w:tcPr>
                <w:p w14:paraId="6E7A0CCB">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color w:val="000000"/>
                      <w:kern w:val="0"/>
                      <w:sz w:val="21"/>
                      <w:szCs w:val="21"/>
                      <w:highlight w:val="none"/>
                      <w:lang w:bidi="ar"/>
                    </w:rPr>
                  </w:pPr>
                  <w:r>
                    <w:rPr>
                      <w:rFonts w:hint="eastAsia" w:ascii="宋体" w:hAnsi="宋体" w:eastAsia="宋体" w:cs="宋体"/>
                      <w:b/>
                      <w:bCs/>
                      <w:color w:val="000000"/>
                      <w:kern w:val="0"/>
                      <w:sz w:val="21"/>
                      <w:szCs w:val="21"/>
                      <w:highlight w:val="none"/>
                      <w:lang w:bidi="ar"/>
                    </w:rPr>
                    <w:t>投入项</w:t>
                  </w:r>
                </w:p>
              </w:tc>
              <w:tc>
                <w:tcPr>
                  <w:tcW w:w="4273" w:type="dxa"/>
                  <w:gridSpan w:val="2"/>
                  <w:noWrap w:val="0"/>
                  <w:vAlign w:val="center"/>
                </w:tcPr>
                <w:p w14:paraId="46549821">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bCs/>
                      <w:color w:val="000000"/>
                      <w:kern w:val="0"/>
                      <w:sz w:val="21"/>
                      <w:szCs w:val="21"/>
                      <w:highlight w:val="none"/>
                      <w:lang w:bidi="ar"/>
                    </w:rPr>
                  </w:pPr>
                  <w:r>
                    <w:rPr>
                      <w:rFonts w:hint="eastAsia" w:ascii="宋体" w:hAnsi="宋体" w:eastAsia="宋体" w:cs="宋体"/>
                      <w:b/>
                      <w:bCs/>
                      <w:color w:val="000000"/>
                      <w:kern w:val="0"/>
                      <w:sz w:val="21"/>
                      <w:szCs w:val="21"/>
                      <w:highlight w:val="none"/>
                      <w:lang w:bidi="ar"/>
                    </w:rPr>
                    <w:t>产出项</w:t>
                  </w:r>
                </w:p>
              </w:tc>
            </w:tr>
            <w:tr w14:paraId="1F8D85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964" w:type="dxa"/>
                  <w:gridSpan w:val="2"/>
                  <w:noWrap w:val="0"/>
                  <w:vAlign w:val="center"/>
                </w:tcPr>
                <w:p w14:paraId="61BA4818">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0"/>
                      <w:sz w:val="21"/>
                      <w:szCs w:val="21"/>
                      <w:highlight w:val="none"/>
                      <w:lang w:bidi="ar"/>
                    </w:rPr>
                  </w:pPr>
                  <w:r>
                    <w:rPr>
                      <w:rFonts w:hint="eastAsia" w:ascii="宋体" w:hAnsi="宋体" w:eastAsia="宋体" w:cs="宋体"/>
                      <w:b w:val="0"/>
                      <w:bCs w:val="0"/>
                      <w:color w:val="000000"/>
                      <w:kern w:val="0"/>
                      <w:sz w:val="21"/>
                      <w:szCs w:val="21"/>
                      <w:highlight w:val="none"/>
                      <w:lang w:bidi="ar"/>
                    </w:rPr>
                    <w:t>物料名称</w:t>
                  </w:r>
                </w:p>
              </w:tc>
              <w:tc>
                <w:tcPr>
                  <w:tcW w:w="1620" w:type="dxa"/>
                  <w:noWrap w:val="0"/>
                  <w:vAlign w:val="center"/>
                </w:tcPr>
                <w:p w14:paraId="79D737F9">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0"/>
                      <w:sz w:val="21"/>
                      <w:szCs w:val="21"/>
                      <w:highlight w:val="none"/>
                      <w:lang w:bidi="ar"/>
                    </w:rPr>
                  </w:pPr>
                  <w:r>
                    <w:rPr>
                      <w:rFonts w:hint="eastAsia" w:ascii="宋体" w:hAnsi="宋体" w:eastAsia="宋体" w:cs="宋体"/>
                      <w:b w:val="0"/>
                      <w:bCs w:val="0"/>
                      <w:color w:val="000000"/>
                      <w:kern w:val="0"/>
                      <w:sz w:val="21"/>
                      <w:szCs w:val="21"/>
                      <w:highlight w:val="none"/>
                      <w:lang w:bidi="ar"/>
                    </w:rPr>
                    <w:t>数量</w:t>
                  </w:r>
                </w:p>
              </w:tc>
              <w:tc>
                <w:tcPr>
                  <w:tcW w:w="2277" w:type="dxa"/>
                  <w:noWrap w:val="0"/>
                  <w:vAlign w:val="center"/>
                </w:tcPr>
                <w:p w14:paraId="64C0AE76">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0"/>
                      <w:sz w:val="21"/>
                      <w:szCs w:val="21"/>
                      <w:highlight w:val="none"/>
                      <w:lang w:bidi="ar"/>
                    </w:rPr>
                  </w:pPr>
                  <w:r>
                    <w:rPr>
                      <w:rFonts w:hint="eastAsia" w:ascii="宋体" w:hAnsi="宋体" w:eastAsia="宋体" w:cs="宋体"/>
                      <w:b w:val="0"/>
                      <w:bCs w:val="0"/>
                      <w:color w:val="000000"/>
                      <w:kern w:val="0"/>
                      <w:sz w:val="21"/>
                      <w:szCs w:val="21"/>
                      <w:highlight w:val="none"/>
                      <w:lang w:bidi="ar"/>
                    </w:rPr>
                    <w:t>物料名称</w:t>
                  </w:r>
                </w:p>
              </w:tc>
              <w:tc>
                <w:tcPr>
                  <w:tcW w:w="1996" w:type="dxa"/>
                  <w:noWrap w:val="0"/>
                  <w:vAlign w:val="center"/>
                </w:tcPr>
                <w:p w14:paraId="6787BCEF">
                  <w:pPr>
                    <w:keepNext w:val="0"/>
                    <w:keepLines w:val="0"/>
                    <w:widowControl/>
                    <w:suppressLineNumbers w:val="0"/>
                    <w:spacing w:before="0" w:beforeAutospacing="0" w:after="0" w:afterAutospacing="0"/>
                    <w:ind w:left="0" w:right="0"/>
                    <w:jc w:val="center"/>
                    <w:textAlignment w:val="center"/>
                    <w:rPr>
                      <w:rFonts w:hint="eastAsia" w:ascii="宋体" w:hAnsi="宋体" w:eastAsia="宋体" w:cs="宋体"/>
                      <w:b w:val="0"/>
                      <w:bCs w:val="0"/>
                      <w:color w:val="000000"/>
                      <w:kern w:val="0"/>
                      <w:sz w:val="21"/>
                      <w:szCs w:val="21"/>
                      <w:highlight w:val="none"/>
                      <w:lang w:bidi="ar"/>
                    </w:rPr>
                  </w:pPr>
                  <w:r>
                    <w:rPr>
                      <w:rFonts w:hint="eastAsia" w:ascii="宋体" w:hAnsi="宋体" w:eastAsia="宋体" w:cs="宋体"/>
                      <w:b w:val="0"/>
                      <w:bCs w:val="0"/>
                      <w:color w:val="000000"/>
                      <w:kern w:val="0"/>
                      <w:sz w:val="21"/>
                      <w:szCs w:val="21"/>
                      <w:highlight w:val="none"/>
                      <w:lang w:bidi="ar"/>
                    </w:rPr>
                    <w:t>数量</w:t>
                  </w:r>
                </w:p>
              </w:tc>
            </w:tr>
            <w:tr w14:paraId="57776B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8" w:type="dxa"/>
                  <w:vMerge w:val="restart"/>
                  <w:noWrap w:val="0"/>
                  <w:vAlign w:val="center"/>
                </w:tcPr>
                <w:p w14:paraId="3293898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spacing w:val="0"/>
                      <w:kern w:val="2"/>
                      <w:position w:val="0"/>
                      <w:sz w:val="21"/>
                      <w:szCs w:val="21"/>
                      <w:highlight w:val="none"/>
                      <w:lang w:val="en-US" w:eastAsia="zh-CN" w:bidi="ar-SA"/>
                    </w:rPr>
                  </w:pPr>
                  <w:r>
                    <w:rPr>
                      <w:rFonts w:hint="eastAsia" w:ascii="Times New Roman" w:hAnsi="Times New Roman" w:eastAsia="宋体" w:cs="Times New Roman"/>
                      <w:color w:val="000000"/>
                      <w:spacing w:val="0"/>
                      <w:kern w:val="2"/>
                      <w:position w:val="0"/>
                      <w:sz w:val="21"/>
                      <w:szCs w:val="21"/>
                      <w:highlight w:val="none"/>
                      <w:lang w:val="en-US" w:eastAsia="zh-CN" w:bidi="ar-SA"/>
                    </w:rPr>
                    <w:t>原辅料</w:t>
                  </w:r>
                </w:p>
              </w:tc>
              <w:tc>
                <w:tcPr>
                  <w:tcW w:w="2106" w:type="dxa"/>
                  <w:shd w:val="clear" w:color="auto" w:fill="auto"/>
                  <w:noWrap w:val="0"/>
                  <w:vAlign w:val="center"/>
                </w:tcPr>
                <w:p w14:paraId="3DA3CF0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default" w:ascii="Times New Roman"/>
                      <w:sz w:val="21"/>
                      <w:szCs w:val="21"/>
                      <w:highlight w:val="none"/>
                    </w:rPr>
                    <w:t>沥青</w:t>
                  </w:r>
                </w:p>
              </w:tc>
              <w:tc>
                <w:tcPr>
                  <w:tcW w:w="1620" w:type="dxa"/>
                  <w:shd w:val="clear" w:color="auto" w:fill="auto"/>
                  <w:noWrap w:val="0"/>
                  <w:vAlign w:val="center"/>
                </w:tcPr>
                <w:p w14:paraId="23BF494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cs="Times New Roman"/>
                      <w:color w:val="auto"/>
                      <w:kern w:val="2"/>
                      <w:sz w:val="21"/>
                      <w:szCs w:val="21"/>
                      <w:highlight w:val="none"/>
                      <w:lang w:val="en-US" w:eastAsia="zh-CN" w:bidi="ar"/>
                    </w:rPr>
                    <w:t>12000</w:t>
                  </w:r>
                </w:p>
              </w:tc>
              <w:tc>
                <w:tcPr>
                  <w:tcW w:w="2277" w:type="dxa"/>
                  <w:noWrap w:val="0"/>
                  <w:vAlign w:val="center"/>
                </w:tcPr>
                <w:p w14:paraId="0CDAE8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pacing w:val="0"/>
                      <w:kern w:val="2"/>
                      <w:position w:val="0"/>
                      <w:sz w:val="21"/>
                      <w:szCs w:val="21"/>
                      <w:highlight w:val="none"/>
                      <w:lang w:val="en-US" w:eastAsia="zh-CN" w:bidi="ar-SA"/>
                    </w:rPr>
                  </w:pPr>
                  <w:r>
                    <w:rPr>
                      <w:rFonts w:hint="eastAsia" w:ascii="Times New Roman" w:hAnsi="Times New Roman" w:eastAsia="宋体" w:cs="Times New Roman"/>
                      <w:color w:val="000000"/>
                      <w:spacing w:val="0"/>
                      <w:kern w:val="2"/>
                      <w:position w:val="0"/>
                      <w:sz w:val="21"/>
                      <w:szCs w:val="21"/>
                      <w:highlight w:val="none"/>
                      <w:lang w:val="en-US" w:eastAsia="zh-CN" w:bidi="ar-SA"/>
                    </w:rPr>
                    <w:t>产品</w:t>
                  </w:r>
                </w:p>
              </w:tc>
              <w:tc>
                <w:tcPr>
                  <w:tcW w:w="1996" w:type="dxa"/>
                  <w:noWrap w:val="0"/>
                  <w:vAlign w:val="center"/>
                </w:tcPr>
                <w:p w14:paraId="52976A9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pacing w:val="0"/>
                      <w:kern w:val="2"/>
                      <w:position w:val="0"/>
                      <w:sz w:val="21"/>
                      <w:szCs w:val="21"/>
                      <w:highlight w:val="none"/>
                      <w:lang w:val="en-US" w:eastAsia="zh-CN" w:bidi="ar-SA"/>
                    </w:rPr>
                  </w:pPr>
                  <w:r>
                    <w:rPr>
                      <w:rFonts w:hint="eastAsia" w:cs="Times New Roman"/>
                      <w:color w:val="000000"/>
                      <w:spacing w:val="0"/>
                      <w:kern w:val="2"/>
                      <w:position w:val="0"/>
                      <w:sz w:val="21"/>
                      <w:szCs w:val="21"/>
                      <w:highlight w:val="none"/>
                      <w:lang w:val="en-US" w:eastAsia="zh-CN" w:bidi="ar-SA"/>
                    </w:rPr>
                    <w:t>299979.789</w:t>
                  </w:r>
                </w:p>
              </w:tc>
            </w:tr>
            <w:tr w14:paraId="65493F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8" w:type="dxa"/>
                  <w:vMerge w:val="continue"/>
                  <w:noWrap w:val="0"/>
                  <w:vAlign w:val="center"/>
                </w:tcPr>
                <w:p w14:paraId="53E2F33D">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spacing w:val="0"/>
                      <w:kern w:val="2"/>
                      <w:position w:val="0"/>
                      <w:sz w:val="21"/>
                      <w:szCs w:val="21"/>
                      <w:highlight w:val="none"/>
                      <w:lang w:val="en-US" w:eastAsia="zh-CN" w:bidi="ar-SA"/>
                    </w:rPr>
                  </w:pPr>
                </w:p>
              </w:tc>
              <w:tc>
                <w:tcPr>
                  <w:tcW w:w="2106" w:type="dxa"/>
                  <w:shd w:val="clear" w:color="auto" w:fill="auto"/>
                  <w:noWrap w:val="0"/>
                  <w:vAlign w:val="center"/>
                </w:tcPr>
                <w:p w14:paraId="4318F1D7">
                  <w:pPr>
                    <w:keepNext w:val="0"/>
                    <w:keepLines w:val="0"/>
                    <w:suppressLineNumbers w:val="0"/>
                    <w:tabs>
                      <w:tab w:val="left" w:pos="660"/>
                    </w:tabs>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
                    </w:rPr>
                  </w:pPr>
                  <w:r>
                    <w:rPr>
                      <w:rFonts w:hint="eastAsia"/>
                      <w:color w:val="auto"/>
                      <w:highlight w:val="none"/>
                      <w:lang w:val="en-US" w:eastAsia="zh-CN" w:bidi="ar"/>
                    </w:rPr>
                    <w:t>机制砂</w:t>
                  </w:r>
                </w:p>
              </w:tc>
              <w:tc>
                <w:tcPr>
                  <w:tcW w:w="1620" w:type="dxa"/>
                  <w:shd w:val="clear" w:color="auto" w:fill="auto"/>
                  <w:noWrap w:val="0"/>
                  <w:vAlign w:val="center"/>
                </w:tcPr>
                <w:p w14:paraId="61083CFF">
                  <w:pPr>
                    <w:keepNext w:val="0"/>
                    <w:keepLines w:val="0"/>
                    <w:suppressLineNumbers w:val="0"/>
                    <w:tabs>
                      <w:tab w:val="left" w:pos="660"/>
                    </w:tabs>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cs="Times New Roman"/>
                      <w:color w:val="auto"/>
                      <w:kern w:val="2"/>
                      <w:sz w:val="21"/>
                      <w:szCs w:val="21"/>
                      <w:highlight w:val="none"/>
                      <w:lang w:val="en-US" w:eastAsia="zh-CN" w:bidi="ar"/>
                    </w:rPr>
                    <w:t>30000</w:t>
                  </w:r>
                </w:p>
              </w:tc>
              <w:tc>
                <w:tcPr>
                  <w:tcW w:w="2277" w:type="dxa"/>
                  <w:noWrap w:val="0"/>
                  <w:vAlign w:val="center"/>
                </w:tcPr>
                <w:p w14:paraId="1319A5B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pacing w:val="0"/>
                      <w:kern w:val="2"/>
                      <w:position w:val="0"/>
                      <w:sz w:val="21"/>
                      <w:szCs w:val="21"/>
                      <w:highlight w:val="none"/>
                      <w:lang w:val="en-US" w:eastAsia="zh-CN" w:bidi="ar-SA"/>
                    </w:rPr>
                  </w:pPr>
                  <w:r>
                    <w:rPr>
                      <w:rFonts w:hint="eastAsia" w:ascii="Times New Roman" w:hAnsi="Times New Roman" w:eastAsia="宋体" w:cs="Times New Roman"/>
                      <w:color w:val="000000"/>
                      <w:spacing w:val="0"/>
                      <w:kern w:val="2"/>
                      <w:position w:val="0"/>
                      <w:sz w:val="21"/>
                      <w:szCs w:val="21"/>
                      <w:highlight w:val="none"/>
                      <w:lang w:val="en-US" w:eastAsia="zh-CN" w:bidi="ar-SA"/>
                    </w:rPr>
                    <w:t>废气</w:t>
                  </w:r>
                </w:p>
              </w:tc>
              <w:tc>
                <w:tcPr>
                  <w:tcW w:w="1996" w:type="dxa"/>
                  <w:noWrap w:val="0"/>
                  <w:vAlign w:val="center"/>
                </w:tcPr>
                <w:p w14:paraId="39BFAE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pacing w:val="0"/>
                      <w:kern w:val="2"/>
                      <w:position w:val="0"/>
                      <w:sz w:val="21"/>
                      <w:szCs w:val="21"/>
                      <w:highlight w:val="none"/>
                      <w:lang w:val="en-US" w:eastAsia="zh-CN" w:bidi="ar-SA"/>
                    </w:rPr>
                  </w:pPr>
                  <w:r>
                    <w:rPr>
                      <w:rFonts w:hint="eastAsia" w:cs="Times New Roman"/>
                      <w:color w:val="000000"/>
                      <w:spacing w:val="0"/>
                      <w:kern w:val="2"/>
                      <w:position w:val="0"/>
                      <w:sz w:val="21"/>
                      <w:szCs w:val="21"/>
                      <w:highlight w:val="none"/>
                      <w:lang w:val="en-US" w:eastAsia="zh-CN" w:bidi="ar-SA"/>
                    </w:rPr>
                    <w:t>5.711</w:t>
                  </w:r>
                </w:p>
              </w:tc>
            </w:tr>
            <w:tr w14:paraId="443584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8" w:type="dxa"/>
                  <w:vMerge w:val="continue"/>
                  <w:noWrap w:val="0"/>
                  <w:vAlign w:val="center"/>
                </w:tcPr>
                <w:p w14:paraId="5DEB09D1">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spacing w:val="0"/>
                      <w:kern w:val="2"/>
                      <w:position w:val="0"/>
                      <w:sz w:val="21"/>
                      <w:szCs w:val="21"/>
                      <w:highlight w:val="none"/>
                      <w:lang w:val="en-US" w:eastAsia="zh-CN" w:bidi="ar-SA"/>
                    </w:rPr>
                  </w:pPr>
                </w:p>
              </w:tc>
              <w:tc>
                <w:tcPr>
                  <w:tcW w:w="2106" w:type="dxa"/>
                  <w:shd w:val="clear" w:color="auto" w:fill="auto"/>
                  <w:noWrap w:val="0"/>
                  <w:vAlign w:val="center"/>
                </w:tcPr>
                <w:p w14:paraId="61517DF3">
                  <w:pPr>
                    <w:keepNext w:val="0"/>
                    <w:keepLines w:val="0"/>
                    <w:suppressLineNumbers w:val="0"/>
                    <w:tabs>
                      <w:tab w:val="left" w:pos="660"/>
                    </w:tabs>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color w:val="auto"/>
                      <w:highlight w:val="none"/>
                      <w:lang w:val="en-US" w:eastAsia="zh-CN" w:bidi="ar"/>
                    </w:rPr>
                    <w:t>新料</w:t>
                  </w:r>
                </w:p>
              </w:tc>
              <w:tc>
                <w:tcPr>
                  <w:tcW w:w="1620" w:type="dxa"/>
                  <w:shd w:val="clear" w:color="auto" w:fill="auto"/>
                  <w:noWrap w:val="0"/>
                  <w:vAlign w:val="center"/>
                </w:tcPr>
                <w:p w14:paraId="6491E353">
                  <w:pPr>
                    <w:keepNext w:val="0"/>
                    <w:keepLines w:val="0"/>
                    <w:suppressLineNumbers w:val="0"/>
                    <w:tabs>
                      <w:tab w:val="left" w:pos="660"/>
                    </w:tabs>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cs="Times New Roman"/>
                      <w:color w:val="auto"/>
                      <w:kern w:val="2"/>
                      <w:sz w:val="21"/>
                      <w:szCs w:val="21"/>
                      <w:highlight w:val="none"/>
                      <w:lang w:val="en-US" w:eastAsia="zh-CN" w:bidi="ar"/>
                    </w:rPr>
                    <w:t>210000</w:t>
                  </w:r>
                </w:p>
              </w:tc>
              <w:tc>
                <w:tcPr>
                  <w:tcW w:w="2277" w:type="dxa"/>
                  <w:noWrap w:val="0"/>
                  <w:vAlign w:val="center"/>
                </w:tcPr>
                <w:p w14:paraId="634E54C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pacing w:val="0"/>
                      <w:kern w:val="2"/>
                      <w:position w:val="0"/>
                      <w:sz w:val="21"/>
                      <w:szCs w:val="21"/>
                      <w:highlight w:val="none"/>
                      <w:lang w:val="en-US" w:eastAsia="zh-CN" w:bidi="ar-SA"/>
                    </w:rPr>
                  </w:pPr>
                  <w:r>
                    <w:rPr>
                      <w:rFonts w:hint="eastAsia" w:cs="Times New Roman"/>
                      <w:color w:val="000000"/>
                      <w:spacing w:val="0"/>
                      <w:kern w:val="2"/>
                      <w:position w:val="0"/>
                      <w:sz w:val="21"/>
                      <w:szCs w:val="21"/>
                      <w:highlight w:val="none"/>
                      <w:lang w:val="en-US" w:eastAsia="zh-CN" w:bidi="ar-SA"/>
                    </w:rPr>
                    <w:t>固废</w:t>
                  </w:r>
                </w:p>
              </w:tc>
              <w:tc>
                <w:tcPr>
                  <w:tcW w:w="1996" w:type="dxa"/>
                  <w:noWrap w:val="0"/>
                  <w:vAlign w:val="center"/>
                </w:tcPr>
                <w:p w14:paraId="13EBC3C5">
                  <w:pPr>
                    <w:keepNext w:val="0"/>
                    <w:keepLines w:val="0"/>
                    <w:suppressLineNumbers w:val="0"/>
                    <w:tabs>
                      <w:tab w:val="left" w:pos="660"/>
                    </w:tabs>
                    <w:spacing w:before="0" w:beforeAutospacing="0" w:after="0" w:afterAutospacing="0"/>
                    <w:ind w:left="0" w:right="0"/>
                    <w:jc w:val="center"/>
                    <w:rPr>
                      <w:rFonts w:hint="default" w:ascii="Times New Roman" w:hAnsi="Times New Roman" w:eastAsia="宋体" w:cs="Times New Roman"/>
                      <w:color w:val="auto"/>
                      <w:highlight w:val="none"/>
                      <w:lang w:val="en-US" w:eastAsia="zh-CN" w:bidi="ar"/>
                    </w:rPr>
                  </w:pPr>
                  <w:r>
                    <w:rPr>
                      <w:rFonts w:hint="eastAsia" w:cs="Times New Roman"/>
                      <w:color w:val="auto"/>
                      <w:highlight w:val="none"/>
                      <w:lang w:val="en-US" w:eastAsia="zh-CN" w:bidi="ar"/>
                    </w:rPr>
                    <w:t>14.5</w:t>
                  </w:r>
                </w:p>
              </w:tc>
            </w:tr>
            <w:tr w14:paraId="1EA77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8" w:type="dxa"/>
                  <w:vMerge w:val="continue"/>
                  <w:noWrap w:val="0"/>
                  <w:vAlign w:val="center"/>
                </w:tcPr>
                <w:p w14:paraId="6DC1034F">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spacing w:val="0"/>
                      <w:kern w:val="2"/>
                      <w:position w:val="0"/>
                      <w:sz w:val="21"/>
                      <w:szCs w:val="21"/>
                      <w:highlight w:val="none"/>
                      <w:lang w:val="en-US" w:eastAsia="zh-CN" w:bidi="ar-SA"/>
                    </w:rPr>
                  </w:pPr>
                </w:p>
              </w:tc>
              <w:tc>
                <w:tcPr>
                  <w:tcW w:w="2106" w:type="dxa"/>
                  <w:shd w:val="clear" w:color="auto" w:fill="auto"/>
                  <w:noWrap w:val="0"/>
                  <w:vAlign w:val="center"/>
                </w:tcPr>
                <w:p w14:paraId="6154A2C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color w:val="auto"/>
                      <w:highlight w:val="none"/>
                      <w:lang w:val="en-US" w:eastAsia="zh-CN" w:bidi="ar"/>
                    </w:rPr>
                    <w:t>再生料</w:t>
                  </w:r>
                </w:p>
              </w:tc>
              <w:tc>
                <w:tcPr>
                  <w:tcW w:w="1620" w:type="dxa"/>
                  <w:shd w:val="clear" w:color="auto" w:fill="auto"/>
                  <w:noWrap w:val="0"/>
                  <w:vAlign w:val="center"/>
                </w:tcPr>
                <w:p w14:paraId="6F31B98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
                    </w:rPr>
                  </w:pPr>
                  <w:r>
                    <w:rPr>
                      <w:rFonts w:hint="eastAsia" w:cs="Times New Roman"/>
                      <w:color w:val="auto"/>
                      <w:kern w:val="2"/>
                      <w:sz w:val="21"/>
                      <w:szCs w:val="21"/>
                      <w:highlight w:val="none"/>
                      <w:lang w:val="en-US" w:eastAsia="zh-CN" w:bidi="ar"/>
                    </w:rPr>
                    <w:t>48000</w:t>
                  </w:r>
                </w:p>
              </w:tc>
              <w:tc>
                <w:tcPr>
                  <w:tcW w:w="2277" w:type="dxa"/>
                  <w:noWrap w:val="0"/>
                  <w:vAlign w:val="center"/>
                </w:tcPr>
                <w:p w14:paraId="7A7A1E34">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spacing w:val="0"/>
                      <w:kern w:val="2"/>
                      <w:position w:val="0"/>
                      <w:sz w:val="21"/>
                      <w:szCs w:val="21"/>
                      <w:highlight w:val="none"/>
                      <w:lang w:val="en-US" w:eastAsia="zh-CN" w:bidi="ar-SA"/>
                    </w:rPr>
                  </w:pPr>
                </w:p>
              </w:tc>
              <w:tc>
                <w:tcPr>
                  <w:tcW w:w="1996" w:type="dxa"/>
                  <w:noWrap w:val="0"/>
                  <w:vAlign w:val="center"/>
                </w:tcPr>
                <w:p w14:paraId="0BB8644D">
                  <w:pPr>
                    <w:keepNext w:val="0"/>
                    <w:keepLines w:val="0"/>
                    <w:suppressLineNumbers w:val="0"/>
                    <w:tabs>
                      <w:tab w:val="left" w:pos="660"/>
                    </w:tabs>
                    <w:spacing w:before="0" w:beforeAutospacing="0" w:after="0" w:afterAutospacing="0"/>
                    <w:ind w:left="0" w:right="0"/>
                    <w:jc w:val="center"/>
                    <w:rPr>
                      <w:rFonts w:hint="default" w:ascii="Times New Roman" w:hAnsi="Times New Roman" w:eastAsia="宋体" w:cs="Times New Roman"/>
                      <w:color w:val="auto"/>
                      <w:highlight w:val="none"/>
                      <w:lang w:val="en-US" w:eastAsia="zh-CN" w:bidi="ar"/>
                    </w:rPr>
                  </w:pPr>
                </w:p>
              </w:tc>
            </w:tr>
            <w:tr w14:paraId="17BEE6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58" w:type="dxa"/>
                  <w:noWrap w:val="0"/>
                  <w:vAlign w:val="center"/>
                </w:tcPr>
                <w:p w14:paraId="7C7A0AF6">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spacing w:val="0"/>
                      <w:kern w:val="2"/>
                      <w:position w:val="0"/>
                      <w:sz w:val="21"/>
                      <w:szCs w:val="21"/>
                      <w:highlight w:val="none"/>
                      <w:lang w:val="en-US" w:eastAsia="zh-CN" w:bidi="ar-SA"/>
                    </w:rPr>
                  </w:pPr>
                  <w:r>
                    <w:rPr>
                      <w:rFonts w:hint="eastAsia" w:ascii="Times New Roman" w:hAnsi="Times New Roman" w:eastAsia="宋体" w:cs="Times New Roman"/>
                      <w:color w:val="000000"/>
                      <w:spacing w:val="0"/>
                      <w:kern w:val="2"/>
                      <w:position w:val="0"/>
                      <w:sz w:val="21"/>
                      <w:szCs w:val="21"/>
                      <w:highlight w:val="none"/>
                      <w:lang w:val="en-US" w:eastAsia="zh-CN" w:bidi="ar-SA"/>
                    </w:rPr>
                    <w:t>合计</w:t>
                  </w:r>
                </w:p>
              </w:tc>
              <w:tc>
                <w:tcPr>
                  <w:tcW w:w="2106" w:type="dxa"/>
                  <w:noWrap w:val="0"/>
                  <w:vAlign w:val="center"/>
                </w:tcPr>
                <w:p w14:paraId="5353926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pacing w:val="0"/>
                      <w:kern w:val="2"/>
                      <w:position w:val="0"/>
                      <w:sz w:val="21"/>
                      <w:szCs w:val="21"/>
                      <w:highlight w:val="none"/>
                      <w:lang w:val="en-US" w:eastAsia="zh-CN" w:bidi="ar-SA"/>
                    </w:rPr>
                  </w:pPr>
                  <w:r>
                    <w:rPr>
                      <w:rFonts w:hint="eastAsia" w:ascii="Times New Roman" w:hAnsi="Times New Roman" w:cs="Times New Roman"/>
                      <w:color w:val="000000"/>
                      <w:spacing w:val="0"/>
                      <w:kern w:val="2"/>
                      <w:position w:val="0"/>
                      <w:sz w:val="21"/>
                      <w:szCs w:val="21"/>
                      <w:highlight w:val="none"/>
                      <w:lang w:val="en-US" w:eastAsia="zh-CN" w:bidi="ar-SA"/>
                    </w:rPr>
                    <w:t>/</w:t>
                  </w:r>
                </w:p>
              </w:tc>
              <w:tc>
                <w:tcPr>
                  <w:tcW w:w="1620" w:type="dxa"/>
                  <w:noWrap w:val="0"/>
                  <w:vAlign w:val="center"/>
                </w:tcPr>
                <w:p w14:paraId="39A6B7E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pacing w:val="0"/>
                      <w:kern w:val="2"/>
                      <w:position w:val="0"/>
                      <w:sz w:val="21"/>
                      <w:szCs w:val="21"/>
                      <w:highlight w:val="none"/>
                      <w:lang w:val="en-US" w:eastAsia="zh-CN" w:bidi="ar-SA"/>
                    </w:rPr>
                  </w:pPr>
                  <w:r>
                    <w:rPr>
                      <w:rFonts w:hint="eastAsia" w:cs="Times New Roman"/>
                      <w:color w:val="000000"/>
                      <w:spacing w:val="0"/>
                      <w:kern w:val="2"/>
                      <w:position w:val="0"/>
                      <w:sz w:val="21"/>
                      <w:szCs w:val="21"/>
                      <w:highlight w:val="none"/>
                      <w:lang w:val="en-US" w:eastAsia="zh-CN" w:bidi="ar-SA"/>
                    </w:rPr>
                    <w:t>300000</w:t>
                  </w:r>
                </w:p>
              </w:tc>
              <w:tc>
                <w:tcPr>
                  <w:tcW w:w="2277" w:type="dxa"/>
                  <w:noWrap w:val="0"/>
                  <w:vAlign w:val="center"/>
                </w:tcPr>
                <w:p w14:paraId="02F49722">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spacing w:val="0"/>
                      <w:kern w:val="2"/>
                      <w:position w:val="0"/>
                      <w:sz w:val="21"/>
                      <w:szCs w:val="21"/>
                      <w:highlight w:val="none"/>
                      <w:lang w:val="en-US" w:eastAsia="zh-CN" w:bidi="ar-SA"/>
                    </w:rPr>
                  </w:pPr>
                  <w:r>
                    <w:rPr>
                      <w:rFonts w:hint="eastAsia" w:ascii="Times New Roman" w:hAnsi="Times New Roman" w:eastAsia="宋体" w:cs="Times New Roman"/>
                      <w:color w:val="000000"/>
                      <w:spacing w:val="0"/>
                      <w:kern w:val="2"/>
                      <w:position w:val="0"/>
                      <w:sz w:val="21"/>
                      <w:szCs w:val="21"/>
                      <w:highlight w:val="none"/>
                      <w:lang w:val="en-US" w:eastAsia="zh-CN" w:bidi="ar-SA"/>
                    </w:rPr>
                    <w:t>合计</w:t>
                  </w:r>
                </w:p>
              </w:tc>
              <w:tc>
                <w:tcPr>
                  <w:tcW w:w="1996" w:type="dxa"/>
                  <w:noWrap w:val="0"/>
                  <w:vAlign w:val="center"/>
                </w:tcPr>
                <w:p w14:paraId="7811588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pacing w:val="0"/>
                      <w:kern w:val="2"/>
                      <w:position w:val="0"/>
                      <w:sz w:val="21"/>
                      <w:szCs w:val="21"/>
                      <w:highlight w:val="none"/>
                      <w:lang w:val="en-US" w:eastAsia="zh-CN" w:bidi="ar-SA"/>
                    </w:rPr>
                  </w:pPr>
                  <w:r>
                    <w:rPr>
                      <w:rFonts w:hint="eastAsia" w:cs="Times New Roman"/>
                      <w:color w:val="000000"/>
                      <w:spacing w:val="0"/>
                      <w:kern w:val="2"/>
                      <w:position w:val="0"/>
                      <w:sz w:val="21"/>
                      <w:szCs w:val="21"/>
                      <w:highlight w:val="none"/>
                      <w:lang w:val="en-US" w:eastAsia="zh-CN" w:bidi="ar-SA"/>
                    </w:rPr>
                    <w:t>300000</w:t>
                  </w:r>
                </w:p>
              </w:tc>
            </w:tr>
          </w:tbl>
          <w:p w14:paraId="3D6B0701">
            <w:pPr>
              <w:keepNext w:val="0"/>
              <w:keepLines w:val="0"/>
              <w:suppressLineNumbers w:val="0"/>
              <w:adjustRightInd w:val="0"/>
              <w:snapToGrid w:val="0"/>
              <w:spacing w:before="0" w:beforeAutospacing="0" w:after="0" w:afterAutospacing="0" w:line="480" w:lineRule="exact"/>
              <w:ind w:left="0" w:right="0"/>
              <w:jc w:val="left"/>
              <w:rPr>
                <w:rFonts w:hint="default"/>
                <w:b/>
                <w:bCs/>
                <w:color w:val="000000" w:themeColor="text1"/>
                <w:sz w:val="24"/>
                <w:szCs w:val="24"/>
                <w:highlight w:val="none"/>
                <w14:textFill>
                  <w14:solidFill>
                    <w14:schemeClr w14:val="tx1"/>
                  </w14:solidFill>
                </w14:textFill>
              </w:rPr>
            </w:pPr>
            <w:r>
              <w:rPr>
                <w:rFonts w:hint="default"/>
                <w:b/>
                <w:bCs/>
                <w:color w:val="000000" w:themeColor="text1"/>
                <w:sz w:val="24"/>
                <w:szCs w:val="24"/>
                <w:highlight w:val="none"/>
                <w14:textFill>
                  <w14:solidFill>
                    <w14:schemeClr w14:val="tx1"/>
                  </w14:solidFill>
                </w14:textFill>
              </w:rPr>
              <w:t>2.</w:t>
            </w:r>
            <w:r>
              <w:rPr>
                <w:rFonts w:hint="eastAsia"/>
                <w:b/>
                <w:bCs/>
                <w:color w:val="000000" w:themeColor="text1"/>
                <w:sz w:val="24"/>
                <w:szCs w:val="24"/>
                <w:highlight w:val="none"/>
                <w14:textFill>
                  <w14:solidFill>
                    <w14:schemeClr w14:val="tx1"/>
                  </w14:solidFill>
                </w14:textFill>
              </w:rPr>
              <w:t>5</w:t>
            </w:r>
            <w:r>
              <w:rPr>
                <w:rFonts w:hint="eastAsia" w:cs="宋体"/>
                <w:b/>
                <w:bCs/>
                <w:color w:val="000000" w:themeColor="text1"/>
                <w:sz w:val="24"/>
                <w:szCs w:val="24"/>
                <w:highlight w:val="none"/>
                <w14:textFill>
                  <w14:solidFill>
                    <w14:schemeClr w14:val="tx1"/>
                  </w14:solidFill>
                </w14:textFill>
              </w:rPr>
              <w:t>主要设备</w:t>
            </w:r>
          </w:p>
          <w:p w14:paraId="23A8BD4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default"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lang w:val="en-US" w:eastAsia="zh-CN"/>
                <w14:textFill>
                  <w14:solidFill>
                    <w14:schemeClr w14:val="tx1"/>
                  </w14:solidFill>
                </w14:textFill>
              </w:rPr>
              <w:t>本项目</w:t>
            </w:r>
            <w:r>
              <w:rPr>
                <w:rFonts w:hint="eastAsia" w:cs="宋体"/>
                <w:color w:val="000000" w:themeColor="text1"/>
                <w:sz w:val="24"/>
                <w:szCs w:val="24"/>
                <w:highlight w:val="none"/>
                <w14:textFill>
                  <w14:solidFill>
                    <w14:schemeClr w14:val="tx1"/>
                  </w14:solidFill>
                </w14:textFill>
              </w:rPr>
              <w:t>主要工艺设备见表</w:t>
            </w:r>
            <w:r>
              <w:rPr>
                <w:rFonts w:hint="eastAsia"/>
                <w:color w:val="000000" w:themeColor="text1"/>
                <w:sz w:val="24"/>
                <w:szCs w:val="24"/>
                <w:highlight w:val="none"/>
                <w14:textFill>
                  <w14:solidFill>
                    <w14:schemeClr w14:val="tx1"/>
                  </w14:solidFill>
                </w14:textFill>
              </w:rPr>
              <w:t>2-</w:t>
            </w:r>
            <w:r>
              <w:rPr>
                <w:rFonts w:hint="eastAsia"/>
                <w:color w:val="000000" w:themeColor="text1"/>
                <w:sz w:val="24"/>
                <w:szCs w:val="24"/>
                <w:highlight w:val="none"/>
                <w:lang w:val="en-US" w:eastAsia="zh-CN"/>
                <w14:textFill>
                  <w14:solidFill>
                    <w14:schemeClr w14:val="tx1"/>
                  </w14:solidFill>
                </w14:textFill>
              </w:rPr>
              <w:t>5</w:t>
            </w:r>
            <w:r>
              <w:rPr>
                <w:rFonts w:hint="eastAsia" w:cs="宋体"/>
                <w:color w:val="000000" w:themeColor="text1"/>
                <w:sz w:val="24"/>
                <w:szCs w:val="24"/>
                <w:highlight w:val="none"/>
                <w14:textFill>
                  <w14:solidFill>
                    <w14:schemeClr w14:val="tx1"/>
                  </w14:solidFill>
                </w14:textFill>
              </w:rPr>
              <w:t>。</w:t>
            </w:r>
          </w:p>
          <w:p w14:paraId="30C175BD">
            <w:pPr>
              <w:keepNext w:val="0"/>
              <w:keepLines w:val="0"/>
              <w:suppressLineNumbers w:val="0"/>
              <w:adjustRightInd w:val="0"/>
              <w:snapToGrid w:val="0"/>
              <w:spacing w:before="0" w:beforeAutospacing="0" w:after="0" w:afterAutospacing="0" w:line="480" w:lineRule="exact"/>
              <w:ind w:left="0" w:right="0"/>
              <w:jc w:val="center"/>
              <w:rPr>
                <w:rFonts w:hint="default"/>
                <w:b/>
                <w:bCs/>
                <w:color w:val="000000" w:themeColor="text1"/>
                <w:sz w:val="21"/>
                <w:szCs w:val="21"/>
                <w:highlight w:val="none"/>
                <w14:textFill>
                  <w14:solidFill>
                    <w14:schemeClr w14:val="tx1"/>
                  </w14:solidFill>
                </w14:textFill>
              </w:rPr>
            </w:pPr>
            <w:r>
              <w:rPr>
                <w:rFonts w:hint="eastAsia" w:cs="宋体"/>
                <w:b/>
                <w:bCs/>
                <w:color w:val="000000" w:themeColor="text1"/>
                <w:sz w:val="21"/>
                <w:szCs w:val="21"/>
                <w:highlight w:val="none"/>
                <w14:textFill>
                  <w14:solidFill>
                    <w14:schemeClr w14:val="tx1"/>
                  </w14:solidFill>
                </w14:textFill>
              </w:rPr>
              <w:t>表</w:t>
            </w:r>
            <w:r>
              <w:rPr>
                <w:rFonts w:hint="eastAsia"/>
                <w:b/>
                <w:bCs/>
                <w:color w:val="000000" w:themeColor="text1"/>
                <w:sz w:val="21"/>
                <w:szCs w:val="21"/>
                <w:highlight w:val="none"/>
                <w14:textFill>
                  <w14:solidFill>
                    <w14:schemeClr w14:val="tx1"/>
                  </w14:solidFill>
                </w14:textFill>
              </w:rPr>
              <w:t>2-</w:t>
            </w:r>
            <w:r>
              <w:rPr>
                <w:rFonts w:hint="eastAsia"/>
                <w:b/>
                <w:bCs/>
                <w:color w:val="000000" w:themeColor="text1"/>
                <w:sz w:val="21"/>
                <w:szCs w:val="21"/>
                <w:highlight w:val="none"/>
                <w:lang w:val="en-US" w:eastAsia="zh-CN"/>
                <w14:textFill>
                  <w14:solidFill>
                    <w14:schemeClr w14:val="tx1"/>
                  </w14:solidFill>
                </w14:textFill>
              </w:rPr>
              <w:t xml:space="preserve">5 </w:t>
            </w:r>
            <w:r>
              <w:rPr>
                <w:rFonts w:hint="default"/>
                <w:b/>
                <w:bCs/>
                <w:color w:val="000000" w:themeColor="text1"/>
                <w:sz w:val="21"/>
                <w:szCs w:val="21"/>
                <w:highlight w:val="none"/>
                <w14:textFill>
                  <w14:solidFill>
                    <w14:schemeClr w14:val="tx1"/>
                  </w14:solidFill>
                </w14:textFill>
              </w:rPr>
              <w:t xml:space="preserve"> </w:t>
            </w:r>
            <w:r>
              <w:rPr>
                <w:rFonts w:hint="eastAsia"/>
                <w:b/>
                <w:bCs/>
                <w:color w:val="000000" w:themeColor="text1"/>
                <w:sz w:val="21"/>
                <w:szCs w:val="21"/>
                <w:highlight w:val="none"/>
                <w:lang w:eastAsia="zh-CN"/>
                <w14:textFill>
                  <w14:solidFill>
                    <w14:schemeClr w14:val="tx1"/>
                  </w14:solidFill>
                </w14:textFill>
              </w:rPr>
              <w:t>本项目</w:t>
            </w:r>
            <w:r>
              <w:rPr>
                <w:rFonts w:hint="eastAsia" w:cs="宋体"/>
                <w:b/>
                <w:bCs/>
                <w:color w:val="000000" w:themeColor="text1"/>
                <w:sz w:val="21"/>
                <w:szCs w:val="21"/>
                <w:highlight w:val="none"/>
                <w14:textFill>
                  <w14:solidFill>
                    <w14:schemeClr w14:val="tx1"/>
                  </w14:solidFill>
                </w14:textFill>
              </w:rPr>
              <w:t>主要工艺设备一览表</w:t>
            </w:r>
          </w:p>
          <w:tbl>
            <w:tblPr>
              <w:tblStyle w:val="41"/>
              <w:tblW w:w="88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954"/>
              <w:gridCol w:w="3610"/>
              <w:gridCol w:w="1254"/>
              <w:gridCol w:w="1060"/>
              <w:gridCol w:w="1984"/>
            </w:tblGrid>
            <w:tr w14:paraId="0AEFE6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248B760F">
                  <w:pPr>
                    <w:keepNext w:val="0"/>
                    <w:keepLines w:val="0"/>
                    <w:suppressLineNumbers w:val="0"/>
                    <w:spacing w:before="0" w:beforeAutospacing="0" w:after="0" w:afterAutospacing="0"/>
                    <w:ind w:left="0" w:right="0"/>
                    <w:jc w:val="center"/>
                    <w:rPr>
                      <w:rFonts w:hint="default"/>
                      <w:b/>
                      <w:color w:val="auto"/>
                      <w:kern w:val="2"/>
                      <w:sz w:val="21"/>
                      <w:szCs w:val="21"/>
                      <w:highlight w:val="none"/>
                      <w:lang w:val="en-US" w:eastAsia="zh-CN" w:bidi="ar-SA"/>
                    </w:rPr>
                  </w:pPr>
                  <w:r>
                    <w:rPr>
                      <w:rFonts w:hint="eastAsia"/>
                      <w:b/>
                      <w:color w:val="auto"/>
                      <w:sz w:val="21"/>
                      <w:szCs w:val="21"/>
                      <w:highlight w:val="none"/>
                      <w:lang w:val="en-US" w:eastAsia="zh-CN"/>
                    </w:rPr>
                    <w:t>序号</w:t>
                  </w:r>
                </w:p>
              </w:tc>
              <w:tc>
                <w:tcPr>
                  <w:tcW w:w="3610" w:type="dxa"/>
                  <w:shd w:val="clear" w:color="auto" w:fill="auto"/>
                  <w:noWrap w:val="0"/>
                  <w:vAlign w:val="center"/>
                </w:tcPr>
                <w:p w14:paraId="019743D3">
                  <w:pPr>
                    <w:keepNext w:val="0"/>
                    <w:keepLines w:val="0"/>
                    <w:suppressLineNumbers w:val="0"/>
                    <w:spacing w:before="0" w:beforeAutospacing="0" w:after="0" w:afterAutospacing="0"/>
                    <w:ind w:left="0" w:right="0"/>
                    <w:jc w:val="center"/>
                    <w:rPr>
                      <w:rFonts w:hint="default"/>
                      <w:b/>
                      <w:color w:val="auto"/>
                      <w:sz w:val="21"/>
                      <w:szCs w:val="21"/>
                      <w:highlight w:val="none"/>
                    </w:rPr>
                  </w:pPr>
                  <w:r>
                    <w:rPr>
                      <w:rFonts w:hint="default"/>
                      <w:b/>
                      <w:color w:val="auto"/>
                      <w:sz w:val="21"/>
                      <w:szCs w:val="21"/>
                      <w:highlight w:val="none"/>
                    </w:rPr>
                    <w:t>设备名称</w:t>
                  </w:r>
                </w:p>
              </w:tc>
              <w:tc>
                <w:tcPr>
                  <w:tcW w:w="1254" w:type="dxa"/>
                  <w:shd w:val="clear" w:color="auto" w:fill="auto"/>
                  <w:noWrap w:val="0"/>
                  <w:vAlign w:val="center"/>
                </w:tcPr>
                <w:p w14:paraId="38E8C4BB">
                  <w:pPr>
                    <w:keepNext w:val="0"/>
                    <w:keepLines w:val="0"/>
                    <w:suppressLineNumbers w:val="0"/>
                    <w:spacing w:before="0" w:beforeAutospacing="0" w:after="0" w:afterAutospacing="0"/>
                    <w:ind w:left="0" w:right="0"/>
                    <w:jc w:val="center"/>
                    <w:rPr>
                      <w:rFonts w:hint="default"/>
                      <w:b/>
                      <w:color w:val="auto"/>
                      <w:kern w:val="2"/>
                      <w:sz w:val="21"/>
                      <w:szCs w:val="21"/>
                      <w:highlight w:val="none"/>
                      <w:lang w:val="en-US" w:eastAsia="zh-CN" w:bidi="ar-SA"/>
                    </w:rPr>
                  </w:pPr>
                  <w:r>
                    <w:rPr>
                      <w:rFonts w:hint="default"/>
                      <w:b/>
                      <w:color w:val="auto"/>
                      <w:sz w:val="21"/>
                      <w:szCs w:val="21"/>
                      <w:highlight w:val="none"/>
                    </w:rPr>
                    <w:t>单位</w:t>
                  </w:r>
                </w:p>
              </w:tc>
              <w:tc>
                <w:tcPr>
                  <w:tcW w:w="1060" w:type="dxa"/>
                  <w:shd w:val="clear" w:color="auto" w:fill="auto"/>
                  <w:noWrap w:val="0"/>
                  <w:vAlign w:val="center"/>
                </w:tcPr>
                <w:p w14:paraId="5D134835">
                  <w:pPr>
                    <w:keepNext w:val="0"/>
                    <w:keepLines w:val="0"/>
                    <w:suppressLineNumbers w:val="0"/>
                    <w:spacing w:before="0" w:beforeAutospacing="0" w:after="0" w:afterAutospacing="0"/>
                    <w:ind w:left="0" w:right="0"/>
                    <w:jc w:val="center"/>
                    <w:rPr>
                      <w:rFonts w:hint="default"/>
                      <w:b/>
                      <w:color w:val="auto"/>
                      <w:kern w:val="2"/>
                      <w:sz w:val="21"/>
                      <w:szCs w:val="21"/>
                      <w:highlight w:val="none"/>
                      <w:lang w:val="en-US" w:eastAsia="zh-CN" w:bidi="ar-SA"/>
                    </w:rPr>
                  </w:pPr>
                  <w:r>
                    <w:rPr>
                      <w:rFonts w:hint="default"/>
                      <w:b/>
                      <w:color w:val="auto"/>
                      <w:sz w:val="21"/>
                      <w:szCs w:val="21"/>
                      <w:highlight w:val="none"/>
                    </w:rPr>
                    <w:t>数量</w:t>
                  </w:r>
                </w:p>
              </w:tc>
              <w:tc>
                <w:tcPr>
                  <w:tcW w:w="1984" w:type="dxa"/>
                  <w:shd w:val="clear" w:color="auto" w:fill="auto"/>
                  <w:noWrap w:val="0"/>
                  <w:vAlign w:val="center"/>
                </w:tcPr>
                <w:p w14:paraId="0749BE5B">
                  <w:pPr>
                    <w:keepNext w:val="0"/>
                    <w:keepLines w:val="0"/>
                    <w:suppressLineNumbers w:val="0"/>
                    <w:spacing w:before="0" w:beforeAutospacing="0" w:after="0" w:afterAutospacing="0"/>
                    <w:ind w:left="0" w:right="0"/>
                    <w:jc w:val="center"/>
                    <w:rPr>
                      <w:rFonts w:hint="eastAsia" w:eastAsia="宋体"/>
                      <w:b/>
                      <w:color w:val="auto"/>
                      <w:sz w:val="21"/>
                      <w:szCs w:val="21"/>
                      <w:highlight w:val="none"/>
                      <w:lang w:val="en-US" w:eastAsia="zh-CN"/>
                    </w:rPr>
                  </w:pPr>
                  <w:r>
                    <w:rPr>
                      <w:rFonts w:hint="eastAsia"/>
                      <w:b/>
                      <w:color w:val="auto"/>
                      <w:sz w:val="21"/>
                      <w:szCs w:val="21"/>
                      <w:highlight w:val="none"/>
                      <w:lang w:val="en-US" w:eastAsia="zh-CN"/>
                    </w:rPr>
                    <w:t>备注</w:t>
                  </w:r>
                </w:p>
              </w:tc>
            </w:tr>
            <w:tr w14:paraId="21CC86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0DAB6C2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default"/>
                      <w:color w:val="auto"/>
                      <w:sz w:val="21"/>
                      <w:szCs w:val="21"/>
                      <w:highlight w:val="none"/>
                    </w:rPr>
                    <w:t>1</w:t>
                  </w:r>
                </w:p>
              </w:tc>
              <w:tc>
                <w:tcPr>
                  <w:tcW w:w="3610" w:type="dxa"/>
                  <w:shd w:val="clear" w:color="auto" w:fill="auto"/>
                  <w:noWrap w:val="0"/>
                  <w:vAlign w:val="center"/>
                </w:tcPr>
                <w:p w14:paraId="32C6904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冷料斗</w:t>
                  </w:r>
                </w:p>
              </w:tc>
              <w:tc>
                <w:tcPr>
                  <w:tcW w:w="1254" w:type="dxa"/>
                  <w:shd w:val="clear" w:color="auto" w:fill="auto"/>
                  <w:noWrap w:val="0"/>
                  <w:vAlign w:val="center"/>
                </w:tcPr>
                <w:p w14:paraId="49CD74C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个</w:t>
                  </w:r>
                </w:p>
              </w:tc>
              <w:tc>
                <w:tcPr>
                  <w:tcW w:w="1060" w:type="dxa"/>
                  <w:shd w:val="clear" w:color="auto" w:fill="auto"/>
                  <w:noWrap w:val="0"/>
                  <w:vAlign w:val="center"/>
                </w:tcPr>
                <w:p w14:paraId="273470F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9</w:t>
                  </w:r>
                </w:p>
              </w:tc>
              <w:tc>
                <w:tcPr>
                  <w:tcW w:w="1984" w:type="dxa"/>
                  <w:shd w:val="clear" w:color="auto" w:fill="auto"/>
                  <w:noWrap w:val="0"/>
                  <w:vAlign w:val="center"/>
                </w:tcPr>
                <w:p w14:paraId="46CE9A2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3米</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4米</w:t>
                  </w:r>
                </w:p>
              </w:tc>
            </w:tr>
            <w:tr w14:paraId="47EA5A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47825BD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default"/>
                      <w:color w:val="auto"/>
                      <w:sz w:val="21"/>
                      <w:szCs w:val="21"/>
                      <w:highlight w:val="none"/>
                    </w:rPr>
                    <w:t>2</w:t>
                  </w:r>
                </w:p>
              </w:tc>
              <w:tc>
                <w:tcPr>
                  <w:tcW w:w="3610" w:type="dxa"/>
                  <w:shd w:val="clear" w:color="auto" w:fill="auto"/>
                  <w:noWrap w:val="0"/>
                  <w:vAlign w:val="center"/>
                </w:tcPr>
                <w:p w14:paraId="3CF578DF">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输料皮带</w:t>
                  </w:r>
                </w:p>
              </w:tc>
              <w:tc>
                <w:tcPr>
                  <w:tcW w:w="1254" w:type="dxa"/>
                  <w:shd w:val="clear" w:color="auto" w:fill="auto"/>
                  <w:noWrap w:val="0"/>
                  <w:vAlign w:val="center"/>
                </w:tcPr>
                <w:p w14:paraId="5425F03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条</w:t>
                  </w:r>
                </w:p>
              </w:tc>
              <w:tc>
                <w:tcPr>
                  <w:tcW w:w="1060" w:type="dxa"/>
                  <w:shd w:val="clear" w:color="auto" w:fill="auto"/>
                  <w:noWrap w:val="0"/>
                  <w:vAlign w:val="center"/>
                </w:tcPr>
                <w:p w14:paraId="0804A2B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c>
                <w:tcPr>
                  <w:tcW w:w="1984" w:type="dxa"/>
                  <w:shd w:val="clear" w:color="auto" w:fill="auto"/>
                  <w:noWrap w:val="0"/>
                  <w:vAlign w:val="center"/>
                </w:tcPr>
                <w:p w14:paraId="6BBC384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0.8米</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12米</w:t>
                  </w:r>
                </w:p>
              </w:tc>
            </w:tr>
            <w:tr w14:paraId="236FC3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578F64B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default"/>
                      <w:color w:val="auto"/>
                      <w:sz w:val="21"/>
                      <w:szCs w:val="21"/>
                      <w:highlight w:val="none"/>
                    </w:rPr>
                    <w:t>3</w:t>
                  </w:r>
                </w:p>
              </w:tc>
              <w:tc>
                <w:tcPr>
                  <w:tcW w:w="3610" w:type="dxa"/>
                  <w:shd w:val="clear" w:color="auto" w:fill="auto"/>
                  <w:noWrap w:val="0"/>
                  <w:vAlign w:val="center"/>
                </w:tcPr>
                <w:p w14:paraId="30D2363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输料皮带</w:t>
                  </w:r>
                </w:p>
              </w:tc>
              <w:tc>
                <w:tcPr>
                  <w:tcW w:w="1254" w:type="dxa"/>
                  <w:shd w:val="clear" w:color="auto" w:fill="auto"/>
                  <w:noWrap w:val="0"/>
                  <w:vAlign w:val="center"/>
                </w:tcPr>
                <w:p w14:paraId="1B560C5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条</w:t>
                  </w:r>
                </w:p>
              </w:tc>
              <w:tc>
                <w:tcPr>
                  <w:tcW w:w="1060" w:type="dxa"/>
                  <w:shd w:val="clear" w:color="auto" w:fill="auto"/>
                  <w:noWrap w:val="0"/>
                  <w:vAlign w:val="center"/>
                </w:tcPr>
                <w:p w14:paraId="04EFC481">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w:t>
                  </w:r>
                </w:p>
              </w:tc>
              <w:tc>
                <w:tcPr>
                  <w:tcW w:w="1984" w:type="dxa"/>
                  <w:shd w:val="clear" w:color="auto" w:fill="auto"/>
                  <w:noWrap w:val="0"/>
                  <w:vAlign w:val="center"/>
                </w:tcPr>
                <w:p w14:paraId="30FC3E5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0.8米</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8米</w:t>
                  </w:r>
                </w:p>
              </w:tc>
            </w:tr>
            <w:tr w14:paraId="6EDDF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1840E1C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default"/>
                      <w:color w:val="auto"/>
                      <w:sz w:val="21"/>
                      <w:szCs w:val="21"/>
                      <w:highlight w:val="none"/>
                    </w:rPr>
                    <w:t>4</w:t>
                  </w:r>
                </w:p>
              </w:tc>
              <w:tc>
                <w:tcPr>
                  <w:tcW w:w="3610" w:type="dxa"/>
                  <w:shd w:val="clear" w:color="auto" w:fill="auto"/>
                  <w:noWrap w:val="0"/>
                  <w:vAlign w:val="center"/>
                </w:tcPr>
                <w:p w14:paraId="3EFED08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提升机</w:t>
                  </w:r>
                </w:p>
              </w:tc>
              <w:tc>
                <w:tcPr>
                  <w:tcW w:w="1254" w:type="dxa"/>
                  <w:shd w:val="clear" w:color="auto" w:fill="auto"/>
                  <w:noWrap w:val="0"/>
                  <w:vAlign w:val="center"/>
                </w:tcPr>
                <w:p w14:paraId="356BC14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套</w:t>
                  </w:r>
                </w:p>
              </w:tc>
              <w:tc>
                <w:tcPr>
                  <w:tcW w:w="1060" w:type="dxa"/>
                  <w:shd w:val="clear" w:color="auto" w:fill="auto"/>
                  <w:noWrap w:val="0"/>
                  <w:vAlign w:val="center"/>
                </w:tcPr>
                <w:p w14:paraId="7A484BD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1984" w:type="dxa"/>
                  <w:shd w:val="clear" w:color="auto" w:fill="auto"/>
                  <w:noWrap w:val="0"/>
                  <w:vAlign w:val="center"/>
                </w:tcPr>
                <w:p w14:paraId="3B57E9F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1米</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32米</w:t>
                  </w:r>
                </w:p>
              </w:tc>
            </w:tr>
            <w:tr w14:paraId="3C46FB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1E6A0427">
                  <w:pPr>
                    <w:keepNext w:val="0"/>
                    <w:keepLines w:val="0"/>
                    <w:suppressLineNumbers w:val="0"/>
                    <w:spacing w:before="0" w:beforeAutospacing="0" w:after="0" w:afterAutospacing="0"/>
                    <w:ind w:left="0" w:right="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5</w:t>
                  </w:r>
                </w:p>
              </w:tc>
              <w:tc>
                <w:tcPr>
                  <w:tcW w:w="3610" w:type="dxa"/>
                  <w:shd w:val="clear" w:color="auto" w:fill="auto"/>
                  <w:noWrap w:val="0"/>
                  <w:vAlign w:val="center"/>
                </w:tcPr>
                <w:p w14:paraId="257184C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提升机</w:t>
                  </w:r>
                </w:p>
              </w:tc>
              <w:tc>
                <w:tcPr>
                  <w:tcW w:w="1254" w:type="dxa"/>
                  <w:shd w:val="clear" w:color="auto" w:fill="auto"/>
                  <w:noWrap w:val="0"/>
                  <w:vAlign w:val="center"/>
                </w:tcPr>
                <w:p w14:paraId="774D42E0">
                  <w:pPr>
                    <w:keepNext w:val="0"/>
                    <w:keepLines w:val="0"/>
                    <w:suppressLineNumbers w:val="0"/>
                    <w:spacing w:before="0" w:beforeAutospacing="0" w:after="0" w:afterAutospacing="0"/>
                    <w:ind w:left="0" w:right="0"/>
                    <w:jc w:val="center"/>
                    <w:rPr>
                      <w:rFonts w:hint="eastAsia"/>
                      <w:color w:val="auto"/>
                      <w:sz w:val="21"/>
                      <w:szCs w:val="21"/>
                      <w:highlight w:val="none"/>
                    </w:rPr>
                  </w:pPr>
                  <w:r>
                    <w:rPr>
                      <w:rFonts w:hint="eastAsia" w:ascii="Times New Roman" w:hAnsi="Times New Roman" w:eastAsia="宋体" w:cs="Times New Roman"/>
                      <w:color w:val="auto"/>
                      <w:kern w:val="2"/>
                      <w:sz w:val="21"/>
                      <w:szCs w:val="21"/>
                      <w:highlight w:val="none"/>
                      <w:lang w:val="en-US" w:eastAsia="zh-CN" w:bidi="ar-SA"/>
                    </w:rPr>
                    <w:t>套</w:t>
                  </w:r>
                </w:p>
              </w:tc>
              <w:tc>
                <w:tcPr>
                  <w:tcW w:w="1060" w:type="dxa"/>
                  <w:shd w:val="clear" w:color="auto" w:fill="auto"/>
                  <w:noWrap w:val="0"/>
                  <w:vAlign w:val="center"/>
                </w:tcPr>
                <w:p w14:paraId="796AF7C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1984" w:type="dxa"/>
                  <w:shd w:val="clear" w:color="auto" w:fill="auto"/>
                  <w:noWrap w:val="0"/>
                  <w:vAlign w:val="center"/>
                </w:tcPr>
                <w:p w14:paraId="5F1EEF6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1米</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30米</w:t>
                  </w:r>
                </w:p>
              </w:tc>
            </w:tr>
            <w:tr w14:paraId="6831B2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4976894A">
                  <w:pPr>
                    <w:keepNext w:val="0"/>
                    <w:keepLines w:val="0"/>
                    <w:suppressLineNumbers w:val="0"/>
                    <w:spacing w:before="0" w:beforeAutospacing="0" w:after="0" w:afterAutospacing="0"/>
                    <w:ind w:left="0" w:right="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6</w:t>
                  </w:r>
                </w:p>
              </w:tc>
              <w:tc>
                <w:tcPr>
                  <w:tcW w:w="3610" w:type="dxa"/>
                  <w:shd w:val="clear" w:color="auto" w:fill="auto"/>
                  <w:noWrap w:val="0"/>
                  <w:vAlign w:val="center"/>
                </w:tcPr>
                <w:p w14:paraId="55BF55C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热再生滚筒</w:t>
                  </w:r>
                </w:p>
              </w:tc>
              <w:tc>
                <w:tcPr>
                  <w:tcW w:w="1254" w:type="dxa"/>
                  <w:shd w:val="clear" w:color="auto" w:fill="auto"/>
                  <w:noWrap w:val="0"/>
                  <w:vAlign w:val="center"/>
                </w:tcPr>
                <w:p w14:paraId="528AACBC">
                  <w:pPr>
                    <w:keepNext w:val="0"/>
                    <w:keepLines w:val="0"/>
                    <w:suppressLineNumbers w:val="0"/>
                    <w:spacing w:before="0" w:beforeAutospacing="0" w:after="0" w:afterAutospacing="0"/>
                    <w:ind w:left="0" w:right="0"/>
                    <w:jc w:val="center"/>
                    <w:rPr>
                      <w:rFonts w:hint="eastAsia"/>
                      <w:color w:val="auto"/>
                      <w:sz w:val="21"/>
                      <w:szCs w:val="21"/>
                      <w:highlight w:val="none"/>
                    </w:rPr>
                  </w:pPr>
                  <w:r>
                    <w:rPr>
                      <w:rFonts w:hint="eastAsia" w:ascii="Times New Roman" w:hAnsi="Times New Roman" w:eastAsia="宋体" w:cs="Times New Roman"/>
                      <w:color w:val="auto"/>
                      <w:kern w:val="2"/>
                      <w:sz w:val="21"/>
                      <w:szCs w:val="21"/>
                      <w:highlight w:val="none"/>
                      <w:lang w:val="en-US" w:eastAsia="zh-CN" w:bidi="ar-SA"/>
                    </w:rPr>
                    <w:t>套</w:t>
                  </w:r>
                </w:p>
              </w:tc>
              <w:tc>
                <w:tcPr>
                  <w:tcW w:w="1060" w:type="dxa"/>
                  <w:shd w:val="clear" w:color="auto" w:fill="auto"/>
                  <w:noWrap w:val="0"/>
                  <w:vAlign w:val="center"/>
                </w:tcPr>
                <w:p w14:paraId="20D7BEF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1984" w:type="dxa"/>
                  <w:shd w:val="clear" w:color="auto" w:fill="auto"/>
                  <w:noWrap w:val="0"/>
                  <w:vAlign w:val="center"/>
                </w:tcPr>
                <w:p w14:paraId="3006C51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2米</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13米</w:t>
                  </w:r>
                </w:p>
              </w:tc>
            </w:tr>
            <w:tr w14:paraId="1DA131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0156C12B">
                  <w:pPr>
                    <w:keepNext w:val="0"/>
                    <w:keepLines w:val="0"/>
                    <w:suppressLineNumbers w:val="0"/>
                    <w:spacing w:before="0" w:beforeAutospacing="0" w:after="0" w:afterAutospacing="0"/>
                    <w:ind w:left="0" w:right="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7</w:t>
                  </w:r>
                </w:p>
              </w:tc>
              <w:tc>
                <w:tcPr>
                  <w:tcW w:w="3610" w:type="dxa"/>
                  <w:shd w:val="clear" w:color="auto" w:fill="auto"/>
                  <w:noWrap w:val="0"/>
                  <w:vAlign w:val="center"/>
                </w:tcPr>
                <w:p w14:paraId="29E7094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原生料滚筒</w:t>
                  </w:r>
                </w:p>
              </w:tc>
              <w:tc>
                <w:tcPr>
                  <w:tcW w:w="1254" w:type="dxa"/>
                  <w:shd w:val="clear" w:color="auto" w:fill="auto"/>
                  <w:noWrap w:val="0"/>
                  <w:vAlign w:val="center"/>
                </w:tcPr>
                <w:p w14:paraId="48C17B97">
                  <w:pPr>
                    <w:keepNext w:val="0"/>
                    <w:keepLines w:val="0"/>
                    <w:suppressLineNumbers w:val="0"/>
                    <w:spacing w:before="0" w:beforeAutospacing="0" w:after="0" w:afterAutospacing="0"/>
                    <w:ind w:left="0" w:right="0"/>
                    <w:jc w:val="center"/>
                    <w:rPr>
                      <w:rFonts w:hint="eastAsia"/>
                      <w:color w:val="auto"/>
                      <w:sz w:val="21"/>
                      <w:szCs w:val="21"/>
                      <w:highlight w:val="none"/>
                    </w:rPr>
                  </w:pPr>
                  <w:r>
                    <w:rPr>
                      <w:rFonts w:hint="eastAsia" w:ascii="Times New Roman" w:hAnsi="Times New Roman" w:eastAsia="宋体" w:cs="Times New Roman"/>
                      <w:color w:val="auto"/>
                      <w:kern w:val="2"/>
                      <w:sz w:val="21"/>
                      <w:szCs w:val="21"/>
                      <w:highlight w:val="none"/>
                      <w:lang w:val="en-US" w:eastAsia="zh-CN" w:bidi="ar-SA"/>
                    </w:rPr>
                    <w:t>套</w:t>
                  </w:r>
                </w:p>
              </w:tc>
              <w:tc>
                <w:tcPr>
                  <w:tcW w:w="1060" w:type="dxa"/>
                  <w:shd w:val="clear" w:color="auto" w:fill="auto"/>
                  <w:noWrap w:val="0"/>
                  <w:vAlign w:val="center"/>
                </w:tcPr>
                <w:p w14:paraId="609948B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1984" w:type="dxa"/>
                  <w:shd w:val="clear" w:color="auto" w:fill="auto"/>
                  <w:noWrap w:val="0"/>
                  <w:vAlign w:val="center"/>
                </w:tcPr>
                <w:p w14:paraId="167C30A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3米</w:t>
                  </w:r>
                  <w:r>
                    <w:rPr>
                      <w:rFonts w:hint="default" w:ascii="Times New Roman" w:hAnsi="Times New Roman" w:eastAsia="宋体" w:cs="Times New Roman"/>
                      <w:color w:val="auto"/>
                      <w:kern w:val="2"/>
                      <w:sz w:val="21"/>
                      <w:szCs w:val="21"/>
                      <w:highlight w:val="none"/>
                      <w:lang w:val="en-US" w:eastAsia="zh-CN" w:bidi="ar-SA"/>
                    </w:rPr>
                    <w:t>×</w:t>
                  </w:r>
                  <w:r>
                    <w:rPr>
                      <w:rFonts w:hint="eastAsia" w:ascii="Times New Roman" w:hAnsi="Times New Roman" w:eastAsia="宋体" w:cs="Times New Roman"/>
                      <w:color w:val="auto"/>
                      <w:kern w:val="2"/>
                      <w:sz w:val="21"/>
                      <w:szCs w:val="21"/>
                      <w:highlight w:val="none"/>
                      <w:lang w:val="en-US" w:eastAsia="zh-CN" w:bidi="ar-SA"/>
                    </w:rPr>
                    <w:t>15米</w:t>
                  </w:r>
                </w:p>
              </w:tc>
            </w:tr>
            <w:tr w14:paraId="3E65E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295400F0">
                  <w:pPr>
                    <w:keepNext w:val="0"/>
                    <w:keepLines w:val="0"/>
                    <w:suppressLineNumbers w:val="0"/>
                    <w:spacing w:before="0" w:beforeAutospacing="0" w:after="0" w:afterAutospacing="0"/>
                    <w:ind w:left="0" w:right="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8</w:t>
                  </w:r>
                </w:p>
              </w:tc>
              <w:tc>
                <w:tcPr>
                  <w:tcW w:w="3610" w:type="dxa"/>
                  <w:shd w:val="clear" w:color="auto" w:fill="auto"/>
                  <w:noWrap w:val="0"/>
                  <w:vAlign w:val="center"/>
                </w:tcPr>
                <w:p w14:paraId="3253C326">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搅拌锅</w:t>
                  </w:r>
                </w:p>
              </w:tc>
              <w:tc>
                <w:tcPr>
                  <w:tcW w:w="1254" w:type="dxa"/>
                  <w:shd w:val="clear" w:color="auto" w:fill="auto"/>
                  <w:noWrap w:val="0"/>
                  <w:vAlign w:val="center"/>
                </w:tcPr>
                <w:p w14:paraId="51449E58">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个</w:t>
                  </w:r>
                </w:p>
              </w:tc>
              <w:tc>
                <w:tcPr>
                  <w:tcW w:w="1060" w:type="dxa"/>
                  <w:shd w:val="clear" w:color="auto" w:fill="auto"/>
                  <w:noWrap w:val="0"/>
                  <w:vAlign w:val="center"/>
                </w:tcPr>
                <w:p w14:paraId="2D28C8B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1984" w:type="dxa"/>
                  <w:shd w:val="clear" w:color="auto" w:fill="auto"/>
                  <w:noWrap w:val="0"/>
                  <w:vAlign w:val="center"/>
                </w:tcPr>
                <w:p w14:paraId="5EE47F1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4吨</w:t>
                  </w:r>
                </w:p>
              </w:tc>
            </w:tr>
            <w:tr w14:paraId="26F0DC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0651E2B2">
                  <w:pPr>
                    <w:keepNext w:val="0"/>
                    <w:keepLines w:val="0"/>
                    <w:suppressLineNumbers w:val="0"/>
                    <w:spacing w:before="0" w:beforeAutospacing="0" w:after="0" w:afterAutospacing="0"/>
                    <w:ind w:left="0" w:right="0"/>
                    <w:jc w:val="center"/>
                    <w:rPr>
                      <w:rFonts w:hint="eastAsia" w:eastAsia="宋体"/>
                      <w:color w:val="auto"/>
                      <w:sz w:val="21"/>
                      <w:szCs w:val="21"/>
                      <w:highlight w:val="none"/>
                      <w:lang w:val="en-US" w:eastAsia="zh-CN"/>
                    </w:rPr>
                  </w:pPr>
                  <w:r>
                    <w:rPr>
                      <w:rFonts w:hint="eastAsia"/>
                      <w:color w:val="auto"/>
                      <w:sz w:val="21"/>
                      <w:szCs w:val="21"/>
                      <w:highlight w:val="none"/>
                      <w:lang w:val="en-US" w:eastAsia="zh-CN"/>
                    </w:rPr>
                    <w:t>9</w:t>
                  </w:r>
                </w:p>
              </w:tc>
              <w:tc>
                <w:tcPr>
                  <w:tcW w:w="3610" w:type="dxa"/>
                  <w:shd w:val="clear" w:color="auto" w:fill="auto"/>
                  <w:noWrap w:val="0"/>
                  <w:vAlign w:val="center"/>
                </w:tcPr>
                <w:p w14:paraId="29AB15C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导热油炉</w:t>
                  </w:r>
                </w:p>
              </w:tc>
              <w:tc>
                <w:tcPr>
                  <w:tcW w:w="1254" w:type="dxa"/>
                  <w:shd w:val="clear" w:color="auto" w:fill="auto"/>
                  <w:noWrap w:val="0"/>
                  <w:vAlign w:val="center"/>
                </w:tcPr>
                <w:p w14:paraId="260D91C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个</w:t>
                  </w:r>
                </w:p>
              </w:tc>
              <w:tc>
                <w:tcPr>
                  <w:tcW w:w="1060" w:type="dxa"/>
                  <w:shd w:val="clear" w:color="auto" w:fill="auto"/>
                  <w:noWrap w:val="0"/>
                  <w:vAlign w:val="center"/>
                </w:tcPr>
                <w:p w14:paraId="313F88E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w:t>
                  </w:r>
                </w:p>
              </w:tc>
              <w:tc>
                <w:tcPr>
                  <w:tcW w:w="1984" w:type="dxa"/>
                  <w:shd w:val="clear" w:color="auto" w:fill="auto"/>
                  <w:noWrap w:val="0"/>
                  <w:vAlign w:val="center"/>
                </w:tcPr>
                <w:p w14:paraId="2885FB6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1000kw</w:t>
                  </w:r>
                </w:p>
              </w:tc>
            </w:tr>
            <w:tr w14:paraId="2B4E01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6364B1B0">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10</w:t>
                  </w:r>
                </w:p>
              </w:tc>
              <w:tc>
                <w:tcPr>
                  <w:tcW w:w="3610" w:type="dxa"/>
                  <w:shd w:val="clear" w:color="auto" w:fill="auto"/>
                  <w:noWrap w:val="0"/>
                  <w:vAlign w:val="center"/>
                </w:tcPr>
                <w:p w14:paraId="42A0206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沥青储存罐</w:t>
                  </w:r>
                </w:p>
              </w:tc>
              <w:tc>
                <w:tcPr>
                  <w:tcW w:w="1254" w:type="dxa"/>
                  <w:shd w:val="clear" w:color="auto" w:fill="auto"/>
                  <w:noWrap w:val="0"/>
                  <w:vAlign w:val="center"/>
                </w:tcPr>
                <w:p w14:paraId="4367C377">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个</w:t>
                  </w:r>
                </w:p>
              </w:tc>
              <w:tc>
                <w:tcPr>
                  <w:tcW w:w="1060" w:type="dxa"/>
                  <w:shd w:val="clear" w:color="auto" w:fill="auto"/>
                  <w:noWrap w:val="0"/>
                  <w:vAlign w:val="center"/>
                </w:tcPr>
                <w:p w14:paraId="783CECC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w:t>
                  </w:r>
                </w:p>
              </w:tc>
              <w:tc>
                <w:tcPr>
                  <w:tcW w:w="1984" w:type="dxa"/>
                  <w:shd w:val="clear" w:color="auto" w:fill="auto"/>
                  <w:noWrap w:val="0"/>
                  <w:vAlign w:val="center"/>
                </w:tcPr>
                <w:p w14:paraId="129E7D7B">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50吨/个</w:t>
                  </w:r>
                </w:p>
              </w:tc>
            </w:tr>
            <w:tr w14:paraId="788CEF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425" w:hRule="atLeast"/>
                <w:jc w:val="center"/>
              </w:trPr>
              <w:tc>
                <w:tcPr>
                  <w:tcW w:w="954" w:type="dxa"/>
                  <w:shd w:val="clear" w:color="auto" w:fill="auto"/>
                  <w:noWrap w:val="0"/>
                  <w:vAlign w:val="center"/>
                </w:tcPr>
                <w:p w14:paraId="43DD6388">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11</w:t>
                  </w:r>
                </w:p>
              </w:tc>
              <w:tc>
                <w:tcPr>
                  <w:tcW w:w="3610" w:type="dxa"/>
                  <w:shd w:val="clear" w:color="auto" w:fill="auto"/>
                  <w:noWrap w:val="0"/>
                  <w:vAlign w:val="center"/>
                </w:tcPr>
                <w:p w14:paraId="17AAD0ED">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废气处理设施</w:t>
                  </w:r>
                </w:p>
              </w:tc>
              <w:tc>
                <w:tcPr>
                  <w:tcW w:w="1254" w:type="dxa"/>
                  <w:shd w:val="clear" w:color="auto" w:fill="auto"/>
                  <w:noWrap w:val="0"/>
                  <w:vAlign w:val="center"/>
                </w:tcPr>
                <w:p w14:paraId="7215890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套</w:t>
                  </w:r>
                </w:p>
              </w:tc>
              <w:tc>
                <w:tcPr>
                  <w:tcW w:w="1060" w:type="dxa"/>
                  <w:shd w:val="clear" w:color="auto" w:fill="auto"/>
                  <w:noWrap w:val="0"/>
                  <w:vAlign w:val="center"/>
                </w:tcPr>
                <w:p w14:paraId="3C986630">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4</w:t>
                  </w:r>
                </w:p>
              </w:tc>
              <w:tc>
                <w:tcPr>
                  <w:tcW w:w="1984" w:type="dxa"/>
                  <w:shd w:val="clear" w:color="auto" w:fill="auto"/>
                  <w:noWrap w:val="0"/>
                  <w:vAlign w:val="center"/>
                </w:tcPr>
                <w:p w14:paraId="1C16975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b w:val="0"/>
                      <w:bCs w:val="0"/>
                      <w:color w:val="000000"/>
                      <w:sz w:val="21"/>
                      <w:szCs w:val="21"/>
                      <w:highlight w:val="none"/>
                      <w:lang w:val="en-US" w:eastAsia="zh-CN"/>
                    </w:rPr>
                    <w:t>-</w:t>
                  </w:r>
                </w:p>
              </w:tc>
            </w:tr>
          </w:tbl>
          <w:p w14:paraId="48666E00">
            <w:pPr>
              <w:keepNext w:val="0"/>
              <w:keepLines w:val="0"/>
              <w:suppressLineNumbers w:val="0"/>
              <w:adjustRightInd w:val="0"/>
              <w:snapToGrid w:val="0"/>
              <w:spacing w:before="0" w:beforeAutospacing="0" w:after="0" w:afterAutospacing="0" w:line="360" w:lineRule="auto"/>
              <w:ind w:left="0" w:right="0"/>
              <w:jc w:val="left"/>
              <w:rPr>
                <w:rFonts w:hint="default"/>
                <w:b/>
                <w:bCs/>
                <w:color w:val="000000" w:themeColor="text1"/>
                <w:sz w:val="24"/>
                <w:szCs w:val="24"/>
                <w:highlight w:val="none"/>
                <w14:textFill>
                  <w14:solidFill>
                    <w14:schemeClr w14:val="tx1"/>
                  </w14:solidFill>
                </w14:textFill>
              </w:rPr>
            </w:pPr>
            <w:r>
              <w:rPr>
                <w:rFonts w:hint="default"/>
                <w:b/>
                <w:bCs/>
                <w:color w:val="000000" w:themeColor="text1"/>
                <w:sz w:val="24"/>
                <w:szCs w:val="24"/>
                <w:highlight w:val="none"/>
                <w14:textFill>
                  <w14:solidFill>
                    <w14:schemeClr w14:val="tx1"/>
                  </w14:solidFill>
                </w14:textFill>
              </w:rPr>
              <w:t>2.</w:t>
            </w:r>
            <w:r>
              <w:rPr>
                <w:rFonts w:hint="eastAsia"/>
                <w:b/>
                <w:bCs/>
                <w:color w:val="000000" w:themeColor="text1"/>
                <w:sz w:val="24"/>
                <w:szCs w:val="24"/>
                <w:highlight w:val="none"/>
                <w14:textFill>
                  <w14:solidFill>
                    <w14:schemeClr w14:val="tx1"/>
                  </w14:solidFill>
                </w14:textFill>
              </w:rPr>
              <w:t>6</w:t>
            </w:r>
            <w:r>
              <w:rPr>
                <w:rFonts w:hint="eastAsia" w:cs="宋体"/>
                <w:b/>
                <w:bCs/>
                <w:color w:val="000000" w:themeColor="text1"/>
                <w:sz w:val="24"/>
                <w:szCs w:val="24"/>
                <w:highlight w:val="none"/>
                <w14:textFill>
                  <w14:solidFill>
                    <w14:schemeClr w14:val="tx1"/>
                  </w14:solidFill>
                </w14:textFill>
              </w:rPr>
              <w:t>公用工程</w:t>
            </w:r>
          </w:p>
          <w:p w14:paraId="0414219A">
            <w:pPr>
              <w:keepNext w:val="0"/>
              <w:keepLines w:val="0"/>
              <w:suppressLineNumbers w:val="0"/>
              <w:adjustRightInd w:val="0"/>
              <w:snapToGrid w:val="0"/>
              <w:spacing w:before="0" w:beforeAutospacing="0" w:after="0" w:afterAutospacing="0" w:line="360" w:lineRule="auto"/>
              <w:ind w:left="0" w:right="0"/>
              <w:jc w:val="left"/>
              <w:rPr>
                <w:rFonts w:hint="default"/>
                <w:color w:val="000000" w:themeColor="text1"/>
                <w:sz w:val="24"/>
                <w:highlight w:val="none"/>
                <w14:textFill>
                  <w14:solidFill>
                    <w14:schemeClr w14:val="tx1"/>
                  </w14:solidFill>
                </w14:textFill>
              </w:rPr>
            </w:pPr>
            <w:r>
              <w:rPr>
                <w:rFonts w:hint="default"/>
                <w:color w:val="000000" w:themeColor="text1"/>
                <w:sz w:val="24"/>
                <w:szCs w:val="24"/>
                <w:highlight w:val="none"/>
                <w14:textFill>
                  <w14:solidFill>
                    <w14:schemeClr w14:val="tx1"/>
                  </w14:solidFill>
                </w14:textFill>
              </w:rPr>
              <w:t>2.</w:t>
            </w:r>
            <w:r>
              <w:rPr>
                <w:rFonts w:hint="eastAsia"/>
                <w:color w:val="000000" w:themeColor="text1"/>
                <w:sz w:val="24"/>
                <w:szCs w:val="24"/>
                <w:highlight w:val="none"/>
                <w14:textFill>
                  <w14:solidFill>
                    <w14:schemeClr w14:val="tx1"/>
                  </w14:solidFill>
                </w14:textFill>
              </w:rPr>
              <w:t>6</w:t>
            </w:r>
            <w:r>
              <w:rPr>
                <w:rFonts w:hint="default"/>
                <w:color w:val="000000" w:themeColor="text1"/>
                <w:sz w:val="24"/>
                <w:szCs w:val="24"/>
                <w:highlight w:val="none"/>
                <w14:textFill>
                  <w14:solidFill>
                    <w14:schemeClr w14:val="tx1"/>
                  </w14:solidFill>
                </w14:textFill>
              </w:rPr>
              <w:t>.1</w:t>
            </w:r>
            <w:r>
              <w:rPr>
                <w:rFonts w:hint="eastAsia" w:cs="宋体"/>
                <w:color w:val="000000" w:themeColor="text1"/>
                <w:sz w:val="24"/>
                <w:szCs w:val="24"/>
                <w:highlight w:val="none"/>
                <w14:textFill>
                  <w14:solidFill>
                    <w14:schemeClr w14:val="tx1"/>
                  </w14:solidFill>
                </w14:textFill>
              </w:rPr>
              <w:t>给水</w:t>
            </w:r>
            <w:r>
              <w:rPr>
                <w:rFonts w:hint="eastAsia"/>
                <w:color w:val="000000" w:themeColor="text1"/>
                <w:sz w:val="24"/>
                <w:highlight w:val="none"/>
                <w14:textFill>
                  <w14:solidFill>
                    <w14:schemeClr w14:val="tx1"/>
                  </w14:solidFill>
                </w14:textFill>
              </w:rPr>
              <w:t xml:space="preserve">                                                                      </w:t>
            </w:r>
          </w:p>
          <w:p w14:paraId="3538C642">
            <w:pPr>
              <w:keepNext w:val="0"/>
              <w:keepLines w:val="0"/>
              <w:suppressLineNumbers w:val="0"/>
              <w:autoSpaceDE w:val="0"/>
              <w:autoSpaceDN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本项目生产</w:t>
            </w:r>
            <w:r>
              <w:rPr>
                <w:rFonts w:hint="eastAsia" w:ascii="Times New Roman" w:hAnsi="Times New Roman"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生活</w:t>
            </w:r>
            <w:r>
              <w:rPr>
                <w:rFonts w:hint="eastAsia" w:ascii="Times New Roman" w:hAnsi="Times New Roman" w:eastAsia="宋体" w:cs="Times New Roman"/>
                <w:color w:val="auto"/>
                <w:sz w:val="24"/>
                <w:highlight w:val="none"/>
              </w:rPr>
              <w:t>用水由</w:t>
            </w:r>
            <w:r>
              <w:rPr>
                <w:rFonts w:hint="eastAsia" w:cs="Times New Roman"/>
                <w:color w:val="auto"/>
                <w:sz w:val="24"/>
                <w:highlight w:val="none"/>
                <w:lang w:val="en-US" w:eastAsia="zh-CN"/>
              </w:rPr>
              <w:t>市政给水管网供给</w:t>
            </w:r>
            <w:r>
              <w:rPr>
                <w:rFonts w:hint="eastAsia" w:ascii="Times New Roman" w:hAnsi="Times New Roman" w:eastAsia="宋体" w:cs="Times New Roman"/>
                <w:color w:val="auto"/>
                <w:sz w:val="24"/>
                <w:highlight w:val="none"/>
              </w:rPr>
              <w:t>。</w:t>
            </w:r>
          </w:p>
          <w:p w14:paraId="1CFF9C54">
            <w:pPr>
              <w:keepNext w:val="0"/>
              <w:keepLines w:val="0"/>
              <w:suppressLineNumbers w:val="0"/>
              <w:autoSpaceDE w:val="0"/>
              <w:autoSpaceDN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（1）给水</w:t>
            </w:r>
          </w:p>
          <w:p w14:paraId="7D34E1B1">
            <w:pPr>
              <w:keepNext w:val="0"/>
              <w:keepLines w:val="0"/>
              <w:suppressLineNumbers w:val="0"/>
              <w:autoSpaceDE w:val="0"/>
              <w:autoSpaceDN w:val="0"/>
              <w:spacing w:before="0" w:beforeAutospacing="0" w:after="0" w:afterAutospacing="0" w:line="360" w:lineRule="auto"/>
              <w:ind w:left="0" w:right="0" w:firstLine="480" w:firstLineChars="200"/>
              <w:jc w:val="left"/>
              <w:rPr>
                <w:rFonts w:hint="eastAsia" w:ascii="Times New Roman" w:hAnsi="Times New Roman" w:eastAsia="宋体" w:cs="Times New Roman"/>
                <w:color w:val="auto"/>
                <w:sz w:val="24"/>
                <w:highlight w:val="none"/>
              </w:rPr>
            </w:pPr>
            <w:r>
              <w:rPr>
                <w:rFonts w:hint="eastAsia" w:ascii="Times New Roman" w:hAnsi="Times New Roman" w:eastAsia="宋体" w:cs="Times New Roman"/>
                <w:color w:val="auto"/>
                <w:sz w:val="24"/>
                <w:highlight w:val="none"/>
              </w:rPr>
              <w:t>①生活用水</w:t>
            </w:r>
          </w:p>
          <w:p w14:paraId="26051B62">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default" w:ascii="Times New Roman" w:hAnsi="Times New Roman" w:eastAsia="宋体" w:cs="Times New Roman"/>
                <w:bCs/>
                <w:color w:val="000000"/>
                <w:sz w:val="24"/>
                <w:szCs w:val="32"/>
                <w:highlight w:val="none"/>
              </w:rPr>
              <w:t>根据《陕西省行业用水定额》(DB61T943-2020)</w:t>
            </w:r>
            <w:r>
              <w:rPr>
                <w:rFonts w:hint="default" w:ascii="Times New Roman" w:hAnsi="Times New Roman" w:eastAsia="宋体" w:cs="Times New Roman"/>
                <w:bCs/>
                <w:color w:val="000000"/>
                <w:sz w:val="24"/>
                <w:szCs w:val="32"/>
                <w:highlight w:val="none"/>
                <w:lang w:eastAsia="zh-CN"/>
              </w:rPr>
              <w:t>，本项目</w:t>
            </w:r>
            <w:r>
              <w:rPr>
                <w:rFonts w:hint="default" w:ascii="Times New Roman" w:hAnsi="Times New Roman" w:eastAsia="宋体" w:cs="Times New Roman"/>
                <w:bCs/>
                <w:color w:val="000000"/>
                <w:sz w:val="24"/>
                <w:szCs w:val="32"/>
                <w:highlight w:val="none"/>
              </w:rPr>
              <w:t>办公用水定额取</w:t>
            </w:r>
            <w:r>
              <w:rPr>
                <w:rFonts w:hint="default" w:ascii="Times New Roman" w:hAnsi="Times New Roman" w:eastAsia="宋体" w:cs="Times New Roman"/>
                <w:bCs/>
                <w:color w:val="000000"/>
                <w:sz w:val="24"/>
                <w:szCs w:val="32"/>
                <w:highlight w:val="none"/>
                <w:lang w:val="en-US" w:eastAsia="zh-CN"/>
              </w:rPr>
              <w:t>10</w:t>
            </w:r>
            <w:r>
              <w:rPr>
                <w:rFonts w:hint="default" w:ascii="Times New Roman" w:hAnsi="Times New Roman" w:eastAsia="宋体" w:cs="Times New Roman"/>
                <w:bCs/>
                <w:color w:val="000000"/>
                <w:sz w:val="24"/>
                <w:szCs w:val="32"/>
                <w:highlight w:val="none"/>
              </w:rPr>
              <w:t>m</w:t>
            </w:r>
            <w:r>
              <w:rPr>
                <w:rFonts w:hint="default" w:ascii="Times New Roman" w:hAnsi="Times New Roman" w:eastAsia="宋体" w:cs="Times New Roman"/>
                <w:bCs/>
                <w:color w:val="000000"/>
                <w:sz w:val="24"/>
                <w:szCs w:val="32"/>
                <w:highlight w:val="none"/>
                <w:vertAlign w:val="superscript"/>
              </w:rPr>
              <w:t>3</w:t>
            </w:r>
            <w:r>
              <w:rPr>
                <w:rFonts w:hint="default" w:ascii="Times New Roman" w:hAnsi="Times New Roman" w:eastAsia="宋体" w:cs="Times New Roman"/>
                <w:bCs/>
                <w:color w:val="000000"/>
                <w:sz w:val="24"/>
                <w:szCs w:val="32"/>
                <w:highlight w:val="none"/>
              </w:rPr>
              <w:t>/（人·a）</w:t>
            </w:r>
            <w:r>
              <w:rPr>
                <w:rFonts w:hint="default" w:ascii="Times New Roman" w:hAnsi="Times New Roman" w:eastAsia="宋体" w:cs="Times New Roman"/>
                <w:bCs/>
                <w:color w:val="000000"/>
                <w:sz w:val="24"/>
                <w:szCs w:val="32"/>
                <w:highlight w:val="none"/>
                <w:lang w:eastAsia="zh-CN"/>
              </w:rPr>
              <w:t>，</w:t>
            </w:r>
            <w:r>
              <w:rPr>
                <w:rFonts w:hint="default" w:ascii="Times New Roman" w:hAnsi="Times New Roman" w:eastAsia="宋体" w:cs="Times New Roman"/>
                <w:bCs/>
                <w:color w:val="000000"/>
                <w:sz w:val="24"/>
                <w:szCs w:val="32"/>
                <w:highlight w:val="none"/>
              </w:rPr>
              <w:t>项目员工共计</w:t>
            </w:r>
            <w:r>
              <w:rPr>
                <w:rFonts w:hint="eastAsia" w:cs="Times New Roman"/>
                <w:bCs/>
                <w:color w:val="000000"/>
                <w:sz w:val="24"/>
                <w:szCs w:val="32"/>
                <w:highlight w:val="none"/>
                <w:lang w:val="en-US" w:eastAsia="zh-CN"/>
              </w:rPr>
              <w:t>24</w:t>
            </w:r>
            <w:r>
              <w:rPr>
                <w:rFonts w:hint="default" w:ascii="Times New Roman" w:hAnsi="Times New Roman" w:eastAsia="宋体" w:cs="Times New Roman"/>
                <w:bCs/>
                <w:color w:val="000000"/>
                <w:sz w:val="24"/>
                <w:szCs w:val="32"/>
                <w:highlight w:val="none"/>
              </w:rPr>
              <w:t>人，则项目员工生活用水量为</w:t>
            </w:r>
            <w:r>
              <w:rPr>
                <w:rFonts w:hint="eastAsia" w:ascii="Times New Roman" w:hAnsi="Times New Roman" w:eastAsia="宋体" w:cs="Times New Roman"/>
                <w:bCs/>
                <w:color w:val="000000"/>
                <w:sz w:val="24"/>
                <w:szCs w:val="32"/>
                <w:highlight w:val="none"/>
                <w:lang w:val="en-US" w:eastAsia="zh-CN"/>
              </w:rPr>
              <w:t>0.</w:t>
            </w:r>
            <w:r>
              <w:rPr>
                <w:rFonts w:hint="eastAsia" w:cs="Times New Roman"/>
                <w:bCs/>
                <w:color w:val="000000"/>
                <w:sz w:val="24"/>
                <w:szCs w:val="32"/>
                <w:highlight w:val="none"/>
                <w:lang w:val="en-US" w:eastAsia="zh-CN"/>
              </w:rPr>
              <w:t>8</w:t>
            </w:r>
            <w:r>
              <w:rPr>
                <w:rFonts w:hint="default" w:ascii="Times New Roman" w:hAnsi="Times New Roman" w:eastAsia="宋体" w:cs="Times New Roman"/>
                <w:bCs/>
                <w:color w:val="000000"/>
                <w:sz w:val="24"/>
                <w:szCs w:val="32"/>
                <w:highlight w:val="none"/>
              </w:rPr>
              <w:t>m</w:t>
            </w:r>
            <w:r>
              <w:rPr>
                <w:rFonts w:hint="default" w:ascii="Times New Roman" w:hAnsi="Times New Roman" w:eastAsia="宋体" w:cs="Times New Roman"/>
                <w:bCs/>
                <w:color w:val="000000"/>
                <w:sz w:val="24"/>
                <w:szCs w:val="32"/>
                <w:highlight w:val="none"/>
                <w:vertAlign w:val="superscript"/>
              </w:rPr>
              <w:t>3</w:t>
            </w:r>
            <w:r>
              <w:rPr>
                <w:rFonts w:hint="default" w:ascii="Times New Roman" w:hAnsi="Times New Roman" w:eastAsia="宋体" w:cs="Times New Roman"/>
                <w:bCs/>
                <w:color w:val="000000"/>
                <w:sz w:val="24"/>
                <w:szCs w:val="32"/>
                <w:highlight w:val="none"/>
              </w:rPr>
              <w:t>/d、即</w:t>
            </w:r>
            <w:r>
              <w:rPr>
                <w:rFonts w:hint="eastAsia" w:cs="Times New Roman"/>
                <w:bCs/>
                <w:color w:val="000000"/>
                <w:sz w:val="24"/>
                <w:szCs w:val="32"/>
                <w:highlight w:val="none"/>
                <w:lang w:val="en-US" w:eastAsia="zh-CN"/>
              </w:rPr>
              <w:t>24</w:t>
            </w:r>
            <w:r>
              <w:rPr>
                <w:rFonts w:hint="eastAsia" w:ascii="Times New Roman" w:hAnsi="Times New Roman" w:cs="Times New Roman"/>
                <w:bCs/>
                <w:color w:val="000000"/>
                <w:sz w:val="24"/>
                <w:szCs w:val="32"/>
                <w:highlight w:val="none"/>
                <w:lang w:val="en-US" w:eastAsia="zh-CN"/>
              </w:rPr>
              <w:t>0</w:t>
            </w:r>
            <w:r>
              <w:rPr>
                <w:rFonts w:hint="default" w:ascii="Times New Roman" w:hAnsi="Times New Roman" w:eastAsia="宋体" w:cs="Times New Roman"/>
                <w:bCs/>
                <w:color w:val="000000"/>
                <w:sz w:val="24"/>
                <w:szCs w:val="32"/>
                <w:highlight w:val="none"/>
              </w:rPr>
              <w:t>m</w:t>
            </w:r>
            <w:r>
              <w:rPr>
                <w:rFonts w:hint="default" w:ascii="Times New Roman" w:hAnsi="Times New Roman" w:eastAsia="宋体" w:cs="Times New Roman"/>
                <w:bCs/>
                <w:color w:val="000000"/>
                <w:sz w:val="24"/>
                <w:szCs w:val="32"/>
                <w:highlight w:val="none"/>
                <w:vertAlign w:val="superscript"/>
              </w:rPr>
              <w:t>3</w:t>
            </w:r>
            <w:r>
              <w:rPr>
                <w:rFonts w:hint="default" w:ascii="Times New Roman" w:hAnsi="Times New Roman" w:eastAsia="宋体" w:cs="Times New Roman"/>
                <w:bCs/>
                <w:color w:val="000000"/>
                <w:sz w:val="24"/>
                <w:szCs w:val="32"/>
                <w:highlight w:val="none"/>
              </w:rPr>
              <w:t>/a。生活污水量按照用水量的80%计算，则</w:t>
            </w:r>
            <w:r>
              <w:rPr>
                <w:rFonts w:hint="default" w:ascii="Times New Roman" w:hAnsi="Times New Roman" w:eastAsia="宋体" w:cs="Times New Roman"/>
                <w:bCs/>
                <w:color w:val="000000"/>
                <w:sz w:val="24"/>
                <w:szCs w:val="32"/>
                <w:highlight w:val="none"/>
                <w:lang w:eastAsia="zh-CN"/>
              </w:rPr>
              <w:t>员工</w:t>
            </w:r>
            <w:r>
              <w:rPr>
                <w:rFonts w:hint="default" w:ascii="Times New Roman" w:hAnsi="Times New Roman" w:eastAsia="宋体" w:cs="Times New Roman"/>
                <w:bCs/>
                <w:color w:val="000000"/>
                <w:sz w:val="24"/>
                <w:szCs w:val="32"/>
                <w:highlight w:val="none"/>
              </w:rPr>
              <w:t>生活污水产生量约为</w:t>
            </w:r>
            <w:r>
              <w:rPr>
                <w:rFonts w:hint="eastAsia" w:cs="Times New Roman"/>
                <w:bCs/>
                <w:color w:val="000000"/>
                <w:sz w:val="24"/>
                <w:szCs w:val="32"/>
                <w:highlight w:val="none"/>
                <w:lang w:val="en-US" w:eastAsia="zh-CN"/>
              </w:rPr>
              <w:t>0.64</w:t>
            </w:r>
            <w:r>
              <w:rPr>
                <w:rFonts w:hint="default" w:ascii="Times New Roman" w:hAnsi="Times New Roman" w:eastAsia="宋体" w:cs="Times New Roman"/>
                <w:bCs/>
                <w:color w:val="000000"/>
                <w:sz w:val="24"/>
                <w:szCs w:val="32"/>
                <w:highlight w:val="none"/>
              </w:rPr>
              <w:t>m</w:t>
            </w:r>
            <w:r>
              <w:rPr>
                <w:rFonts w:hint="default" w:ascii="Times New Roman" w:hAnsi="Times New Roman" w:eastAsia="宋体" w:cs="Times New Roman"/>
                <w:bCs/>
                <w:color w:val="000000"/>
                <w:sz w:val="24"/>
                <w:szCs w:val="32"/>
                <w:highlight w:val="none"/>
                <w:vertAlign w:val="superscript"/>
              </w:rPr>
              <w:t>3</w:t>
            </w:r>
            <w:r>
              <w:rPr>
                <w:rFonts w:hint="default" w:ascii="Times New Roman" w:hAnsi="Times New Roman" w:eastAsia="宋体" w:cs="Times New Roman"/>
                <w:bCs/>
                <w:color w:val="000000"/>
                <w:sz w:val="24"/>
                <w:szCs w:val="32"/>
                <w:highlight w:val="none"/>
              </w:rPr>
              <w:t>/d，即</w:t>
            </w:r>
            <w:r>
              <w:rPr>
                <w:rFonts w:hint="eastAsia" w:cs="Times New Roman"/>
                <w:bCs/>
                <w:color w:val="000000"/>
                <w:sz w:val="24"/>
                <w:szCs w:val="32"/>
                <w:highlight w:val="none"/>
                <w:lang w:val="en-US" w:eastAsia="zh-CN"/>
              </w:rPr>
              <w:t>192</w:t>
            </w:r>
            <w:r>
              <w:rPr>
                <w:rFonts w:hint="default" w:ascii="Times New Roman" w:hAnsi="Times New Roman" w:eastAsia="宋体" w:cs="Times New Roman"/>
                <w:bCs/>
                <w:color w:val="000000"/>
                <w:sz w:val="24"/>
                <w:szCs w:val="32"/>
                <w:highlight w:val="none"/>
              </w:rPr>
              <w:t>m</w:t>
            </w:r>
            <w:r>
              <w:rPr>
                <w:rFonts w:hint="default" w:ascii="Times New Roman" w:hAnsi="Times New Roman" w:eastAsia="宋体" w:cs="Times New Roman"/>
                <w:bCs/>
                <w:color w:val="000000"/>
                <w:sz w:val="24"/>
                <w:szCs w:val="32"/>
                <w:highlight w:val="none"/>
                <w:vertAlign w:val="superscript"/>
              </w:rPr>
              <w:t>3</w:t>
            </w:r>
            <w:r>
              <w:rPr>
                <w:rFonts w:hint="default" w:ascii="Times New Roman" w:hAnsi="Times New Roman" w:eastAsia="宋体" w:cs="Times New Roman"/>
                <w:bCs/>
                <w:color w:val="000000"/>
                <w:sz w:val="24"/>
                <w:szCs w:val="32"/>
                <w:highlight w:val="none"/>
              </w:rPr>
              <w:t>/a</w:t>
            </w:r>
            <w:r>
              <w:rPr>
                <w:rFonts w:hint="eastAsia" w:cs="Times New Roman"/>
                <w:bCs/>
                <w:color w:val="000000"/>
                <w:sz w:val="24"/>
                <w:szCs w:val="32"/>
                <w:highlight w:val="none"/>
                <w:lang w:eastAsia="zh-CN"/>
              </w:rPr>
              <w:t>，</w:t>
            </w:r>
            <w:r>
              <w:rPr>
                <w:rFonts w:hint="default" w:ascii="Times New Roman" w:hAnsi="Times New Roman" w:eastAsia="宋体" w:cs="Times New Roman"/>
                <w:bCs/>
                <w:color w:val="000000"/>
                <w:sz w:val="24"/>
                <w:szCs w:val="32"/>
                <w:highlight w:val="none"/>
              </w:rPr>
              <w:t>员工生活污水经</w:t>
            </w:r>
            <w:r>
              <w:rPr>
                <w:rFonts w:hint="eastAsia" w:cs="Times New Roman"/>
                <w:bCs/>
                <w:color w:val="000000"/>
                <w:sz w:val="24"/>
                <w:szCs w:val="32"/>
                <w:highlight w:val="none"/>
                <w:lang w:val="en-US" w:eastAsia="zh-CN"/>
              </w:rPr>
              <w:t>现有化粪池收集后排入市政污水管网排入泾河新城第二污水处理厂处理</w:t>
            </w:r>
            <w:r>
              <w:rPr>
                <w:rFonts w:hint="default" w:ascii="Times New Roman" w:hAnsi="Times New Roman" w:eastAsia="宋体" w:cs="Times New Roman"/>
                <w:bCs/>
                <w:color w:val="000000"/>
                <w:sz w:val="24"/>
                <w:szCs w:val="32"/>
                <w:highlight w:val="none"/>
              </w:rPr>
              <w:t>。</w:t>
            </w:r>
          </w:p>
          <w:p w14:paraId="7B6B2FD9">
            <w:pPr>
              <w:keepNext w:val="0"/>
              <w:keepLines w:val="0"/>
              <w:suppressLineNumbers w:val="0"/>
              <w:spacing w:before="0" w:beforeAutospacing="0" w:after="0" w:afterAutospacing="0" w:line="360" w:lineRule="auto"/>
              <w:ind w:left="0" w:right="0" w:firstLine="480" w:firstLineChars="200"/>
              <w:rPr>
                <w:rFonts w:hint="eastAsia" w:eastAsia="宋体"/>
                <w:color w:val="auto"/>
                <w:sz w:val="24"/>
                <w:highlight w:val="none"/>
                <w:lang w:val="en-US" w:eastAsia="zh-CN"/>
              </w:rPr>
            </w:pPr>
            <w:r>
              <w:rPr>
                <w:rFonts w:hint="eastAsia"/>
                <w:color w:val="auto"/>
                <w:sz w:val="24"/>
                <w:highlight w:val="none"/>
              </w:rPr>
              <w:t>②</w:t>
            </w:r>
            <w:r>
              <w:rPr>
                <w:rFonts w:hint="default" w:ascii="Times New Roman" w:hAnsi="Times New Roman" w:eastAsia="宋体" w:cs="Times New Roman"/>
                <w:bCs/>
                <w:color w:val="000000"/>
                <w:sz w:val="24"/>
                <w:szCs w:val="32"/>
                <w:highlight w:val="none"/>
              </w:rPr>
              <w:t>车辆冲洗用水</w:t>
            </w:r>
          </w:p>
          <w:p w14:paraId="3971E11C">
            <w:pPr>
              <w:keepNext w:val="0"/>
              <w:keepLines w:val="0"/>
              <w:suppressLineNumbers w:val="0"/>
              <w:autoSpaceDE w:val="0"/>
              <w:autoSpaceDN w:val="0"/>
              <w:spacing w:before="0" w:beforeAutospacing="0" w:after="0" w:afterAutospacing="0" w:line="360" w:lineRule="auto"/>
              <w:ind w:left="0" w:right="0" w:firstLine="480" w:firstLineChars="200"/>
              <w:jc w:val="left"/>
              <w:rPr>
                <w:rFonts w:hint="eastAsia" w:hAnsi="宋体" w:eastAsia="宋体"/>
                <w:color w:val="auto"/>
                <w:sz w:val="24"/>
                <w:highlight w:val="none"/>
                <w:lang w:eastAsia="zh-CN"/>
              </w:rPr>
            </w:pPr>
            <w:r>
              <w:rPr>
                <w:rFonts w:hint="default" w:ascii="Times New Roman" w:hAnsi="Times New Roman" w:eastAsia="宋体" w:cs="Times New Roman"/>
                <w:bCs/>
                <w:color w:val="000000"/>
                <w:sz w:val="24"/>
                <w:szCs w:val="32"/>
                <w:highlight w:val="none"/>
              </w:rPr>
              <w:t>为保持运输车辆清洁，减少道路扬尘产生，本次环评要求厂区运输车辆</w:t>
            </w:r>
            <w:r>
              <w:rPr>
                <w:rFonts w:hint="default" w:ascii="Times New Roman" w:hAnsi="Times New Roman" w:eastAsia="宋体" w:cs="Times New Roman"/>
                <w:bCs/>
                <w:color w:val="000000"/>
                <w:sz w:val="24"/>
                <w:szCs w:val="32"/>
                <w:highlight w:val="none"/>
                <w:lang w:val="en-US" w:eastAsia="zh-CN"/>
              </w:rPr>
              <w:t>进出厂区对轮胎</w:t>
            </w:r>
            <w:r>
              <w:rPr>
                <w:rFonts w:hint="default" w:ascii="Times New Roman" w:hAnsi="Times New Roman" w:eastAsia="宋体" w:cs="Times New Roman"/>
                <w:bCs/>
                <w:color w:val="000000"/>
                <w:sz w:val="24"/>
                <w:szCs w:val="32"/>
                <w:highlight w:val="none"/>
              </w:rPr>
              <w:t>进行冲</w:t>
            </w:r>
            <w:r>
              <w:rPr>
                <w:rFonts w:hint="default" w:ascii="Times New Roman" w:hAnsi="Times New Roman" w:eastAsia="宋体" w:cs="Times New Roman"/>
                <w:bCs/>
                <w:color w:val="000000"/>
                <w:sz w:val="24"/>
                <w:szCs w:val="32"/>
                <w:highlight w:val="none"/>
                <w:lang w:val="en-US" w:eastAsia="zh-CN"/>
              </w:rPr>
              <w:t>洗，</w:t>
            </w:r>
            <w:r>
              <w:rPr>
                <w:rFonts w:hint="default" w:ascii="Times New Roman" w:hAnsi="Times New Roman" w:eastAsia="宋体" w:cs="Times New Roman"/>
                <w:bCs/>
                <w:color w:val="000000"/>
                <w:sz w:val="24"/>
                <w:szCs w:val="32"/>
                <w:highlight w:val="none"/>
              </w:rPr>
              <w:t>冲车产生的废水引至</w:t>
            </w:r>
            <w:r>
              <w:rPr>
                <w:rFonts w:hint="default" w:ascii="Times New Roman" w:hAnsi="Times New Roman" w:eastAsia="宋体" w:cs="Times New Roman"/>
                <w:bCs/>
                <w:color w:val="000000"/>
                <w:sz w:val="24"/>
                <w:szCs w:val="32"/>
                <w:highlight w:val="none"/>
                <w:lang w:val="en-US" w:eastAsia="zh-CN"/>
              </w:rPr>
              <w:t>循环</w:t>
            </w:r>
            <w:r>
              <w:rPr>
                <w:rFonts w:hint="default" w:ascii="Times New Roman" w:hAnsi="Times New Roman" w:eastAsia="宋体" w:cs="Times New Roman"/>
                <w:bCs/>
                <w:color w:val="000000"/>
                <w:sz w:val="24"/>
                <w:szCs w:val="32"/>
                <w:highlight w:val="none"/>
              </w:rPr>
              <w:t>沉淀池</w:t>
            </w:r>
            <w:r>
              <w:rPr>
                <w:rFonts w:hint="default" w:ascii="Times New Roman" w:hAnsi="Times New Roman" w:eastAsia="宋体" w:cs="Times New Roman"/>
                <w:bCs/>
                <w:color w:val="000000"/>
                <w:sz w:val="24"/>
                <w:szCs w:val="32"/>
                <w:highlight w:val="none"/>
                <w:lang w:eastAsia="zh-CN"/>
              </w:rPr>
              <w:t>（</w:t>
            </w:r>
            <w:r>
              <w:rPr>
                <w:rFonts w:hint="eastAsia" w:cs="Times New Roman"/>
                <w:bCs/>
                <w:color w:val="000000"/>
                <w:sz w:val="24"/>
                <w:szCs w:val="32"/>
                <w:highlight w:val="none"/>
                <w:lang w:val="en-US" w:eastAsia="zh-CN"/>
              </w:rPr>
              <w:t>20</w:t>
            </w:r>
            <w:r>
              <w:rPr>
                <w:rFonts w:hint="default" w:ascii="Times New Roman" w:hAnsi="Times New Roman" w:eastAsia="宋体" w:cs="Times New Roman"/>
                <w:bCs/>
                <w:color w:val="000000"/>
                <w:sz w:val="24"/>
                <w:szCs w:val="32"/>
                <w:highlight w:val="none"/>
                <w:lang w:val="en-US" w:eastAsia="zh-CN"/>
              </w:rPr>
              <w:t>m</w:t>
            </w:r>
            <w:r>
              <w:rPr>
                <w:rFonts w:hint="default" w:ascii="Times New Roman" w:hAnsi="Times New Roman" w:eastAsia="宋体" w:cs="Times New Roman"/>
                <w:bCs/>
                <w:color w:val="000000"/>
                <w:sz w:val="24"/>
                <w:szCs w:val="32"/>
                <w:highlight w:val="none"/>
                <w:vertAlign w:val="superscript"/>
                <w:lang w:val="en-US" w:eastAsia="zh-CN"/>
              </w:rPr>
              <w:t>3</w:t>
            </w:r>
            <w:r>
              <w:rPr>
                <w:rFonts w:hint="default" w:ascii="Times New Roman" w:hAnsi="Times New Roman" w:eastAsia="宋体" w:cs="Times New Roman"/>
                <w:bCs/>
                <w:color w:val="000000"/>
                <w:sz w:val="24"/>
                <w:szCs w:val="32"/>
                <w:highlight w:val="none"/>
                <w:lang w:eastAsia="zh-CN"/>
              </w:rPr>
              <w:t>）</w:t>
            </w:r>
            <w:r>
              <w:rPr>
                <w:rFonts w:hint="default" w:ascii="Times New Roman" w:hAnsi="Times New Roman" w:eastAsia="宋体" w:cs="Times New Roman"/>
                <w:bCs/>
                <w:color w:val="000000"/>
                <w:sz w:val="24"/>
                <w:szCs w:val="32"/>
                <w:highlight w:val="none"/>
              </w:rPr>
              <w:t>进行沉淀，</w:t>
            </w:r>
            <w:r>
              <w:rPr>
                <w:rFonts w:hint="default" w:ascii="Times New Roman" w:hAnsi="Times New Roman" w:eastAsia="宋体" w:cs="Times New Roman"/>
                <w:bCs/>
                <w:color w:val="000000"/>
                <w:sz w:val="24"/>
                <w:szCs w:val="32"/>
                <w:highlight w:val="none"/>
                <w:lang w:val="en-US" w:eastAsia="zh-CN"/>
              </w:rPr>
              <w:t>定期补水，</w:t>
            </w:r>
            <w:r>
              <w:rPr>
                <w:rFonts w:hint="default" w:ascii="Times New Roman" w:hAnsi="Times New Roman" w:eastAsia="宋体" w:cs="Times New Roman"/>
                <w:bCs/>
                <w:color w:val="000000"/>
                <w:sz w:val="24"/>
                <w:szCs w:val="32"/>
                <w:highlight w:val="none"/>
              </w:rPr>
              <w:t>废水</w:t>
            </w:r>
            <w:r>
              <w:rPr>
                <w:rFonts w:hint="default" w:ascii="Times New Roman" w:hAnsi="Times New Roman" w:eastAsia="宋体" w:cs="Times New Roman"/>
                <w:bCs/>
                <w:color w:val="000000"/>
                <w:sz w:val="24"/>
                <w:szCs w:val="32"/>
                <w:highlight w:val="none"/>
                <w:lang w:val="en-US" w:eastAsia="zh-CN"/>
              </w:rPr>
              <w:t>循环使用</w:t>
            </w:r>
            <w:r>
              <w:rPr>
                <w:rFonts w:hint="default" w:ascii="Times New Roman" w:hAnsi="Times New Roman" w:eastAsia="宋体" w:cs="Times New Roman"/>
                <w:bCs/>
                <w:color w:val="000000"/>
                <w:sz w:val="24"/>
                <w:szCs w:val="32"/>
                <w:highlight w:val="none"/>
              </w:rPr>
              <w:t>。根据《行业用水定额》(DB61T943-2020)，车</w:t>
            </w:r>
            <w:r>
              <w:rPr>
                <w:rFonts w:hint="default" w:ascii="Times New Roman" w:hAnsi="Times New Roman" w:eastAsia="宋体" w:cs="Times New Roman"/>
                <w:bCs/>
                <w:color w:val="000000"/>
                <w:sz w:val="24"/>
                <w:szCs w:val="32"/>
                <w:highlight w:val="none"/>
                <w:lang w:val="en-US" w:eastAsia="zh-CN"/>
              </w:rPr>
              <w:t>辆循环用水冲洗</w:t>
            </w:r>
            <w:r>
              <w:rPr>
                <w:rFonts w:hint="default" w:ascii="Times New Roman" w:hAnsi="Times New Roman" w:eastAsia="宋体" w:cs="Times New Roman"/>
                <w:bCs/>
                <w:color w:val="000000"/>
                <w:sz w:val="24"/>
                <w:szCs w:val="32"/>
                <w:highlight w:val="none"/>
              </w:rPr>
              <w:t>量为</w:t>
            </w:r>
            <w:r>
              <w:rPr>
                <w:rFonts w:hint="default" w:ascii="Times New Roman" w:hAnsi="Times New Roman" w:eastAsia="宋体" w:cs="Times New Roman"/>
                <w:bCs/>
                <w:color w:val="000000"/>
                <w:sz w:val="24"/>
                <w:szCs w:val="32"/>
                <w:highlight w:val="none"/>
                <w:lang w:val="en-US" w:eastAsia="zh-CN"/>
              </w:rPr>
              <w:t>55L/辆·</w:t>
            </w:r>
            <w:r>
              <w:rPr>
                <w:rFonts w:hint="default" w:ascii="Times New Roman" w:hAnsi="Times New Roman" w:eastAsia="宋体" w:cs="Times New Roman"/>
                <w:bCs/>
                <w:color w:val="000000"/>
                <w:sz w:val="24"/>
                <w:szCs w:val="32"/>
                <w:highlight w:val="none"/>
              </w:rPr>
              <w:t>次</w:t>
            </w:r>
            <w:r>
              <w:rPr>
                <w:rFonts w:hint="default" w:ascii="Times New Roman" w:hAnsi="Times New Roman" w:eastAsia="宋体" w:cs="Times New Roman"/>
                <w:bCs/>
                <w:color w:val="000000"/>
                <w:sz w:val="24"/>
                <w:szCs w:val="32"/>
                <w:highlight w:val="none"/>
                <w:lang w:eastAsia="zh-CN"/>
              </w:rPr>
              <w:t>，</w:t>
            </w:r>
            <w:r>
              <w:rPr>
                <w:rFonts w:hint="default" w:eastAsia="宋体"/>
                <w:color w:val="000000"/>
                <w:sz w:val="24"/>
                <w:highlight w:val="none"/>
              </w:rPr>
              <w:t>根据建设单位</w:t>
            </w:r>
            <w:r>
              <w:rPr>
                <w:rFonts w:hint="eastAsia" w:eastAsia="宋体"/>
                <w:color w:val="000000"/>
                <w:sz w:val="24"/>
                <w:highlight w:val="none"/>
                <w:lang w:val="en-US" w:eastAsia="zh-CN"/>
              </w:rPr>
              <w:t>提供数据</w:t>
            </w:r>
            <w:r>
              <w:rPr>
                <w:rFonts w:hint="eastAsia" w:eastAsia="宋体"/>
                <w:color w:val="000000"/>
                <w:sz w:val="24"/>
                <w:highlight w:val="none"/>
                <w:lang w:eastAsia="zh-CN"/>
              </w:rPr>
              <w:t>，</w:t>
            </w:r>
            <w:r>
              <w:rPr>
                <w:rFonts w:hint="eastAsia" w:ascii="Times New Roman" w:hAnsi="Times New Roman" w:eastAsia="宋体" w:cs="Times New Roman"/>
                <w:bCs/>
                <w:color w:val="000000"/>
                <w:sz w:val="24"/>
                <w:szCs w:val="32"/>
                <w:highlight w:val="none"/>
                <w:lang w:eastAsia="zh-CN"/>
              </w:rPr>
              <w:t>项目</w:t>
            </w:r>
            <w:r>
              <w:rPr>
                <w:rFonts w:hint="default" w:ascii="Times New Roman" w:hAnsi="Times New Roman" w:eastAsia="宋体" w:cs="Times New Roman"/>
                <w:bCs/>
                <w:color w:val="000000"/>
                <w:sz w:val="24"/>
                <w:szCs w:val="32"/>
                <w:highlight w:val="none"/>
              </w:rPr>
              <w:t>厂区</w:t>
            </w:r>
            <w:r>
              <w:rPr>
                <w:rFonts w:hint="eastAsia" w:ascii="Times New Roman" w:hAnsi="Times New Roman" w:eastAsia="宋体" w:cs="Times New Roman"/>
                <w:bCs/>
                <w:color w:val="000000"/>
                <w:sz w:val="24"/>
                <w:szCs w:val="32"/>
                <w:highlight w:val="none"/>
                <w:lang w:val="en-US" w:eastAsia="zh-CN"/>
              </w:rPr>
              <w:t>最大</w:t>
            </w:r>
            <w:r>
              <w:rPr>
                <w:rFonts w:hint="default" w:ascii="Times New Roman" w:hAnsi="Times New Roman" w:eastAsia="宋体" w:cs="Times New Roman"/>
                <w:bCs/>
                <w:color w:val="000000"/>
                <w:sz w:val="24"/>
                <w:szCs w:val="32"/>
                <w:highlight w:val="none"/>
                <w:lang w:val="en-US" w:eastAsia="zh-CN"/>
              </w:rPr>
              <w:t>每日冲车次数约</w:t>
            </w:r>
            <w:r>
              <w:rPr>
                <w:rFonts w:hint="eastAsia" w:cs="Times New Roman"/>
                <w:bCs/>
                <w:color w:val="000000"/>
                <w:sz w:val="24"/>
                <w:szCs w:val="32"/>
                <w:highlight w:val="none"/>
                <w:lang w:val="en-US" w:eastAsia="zh-CN"/>
              </w:rPr>
              <w:t>33</w:t>
            </w:r>
            <w:r>
              <w:rPr>
                <w:rFonts w:hint="default" w:ascii="Times New Roman" w:hAnsi="Times New Roman" w:eastAsia="宋体" w:cs="Times New Roman"/>
                <w:bCs/>
                <w:color w:val="000000"/>
                <w:sz w:val="24"/>
                <w:szCs w:val="32"/>
                <w:highlight w:val="none"/>
                <w:lang w:val="en-US" w:eastAsia="zh-CN"/>
              </w:rPr>
              <w:t>辆次，</w:t>
            </w:r>
            <w:r>
              <w:rPr>
                <w:rFonts w:hint="default" w:ascii="Times New Roman" w:hAnsi="Times New Roman" w:eastAsia="宋体" w:cs="Times New Roman"/>
                <w:bCs/>
                <w:color w:val="000000"/>
                <w:sz w:val="24"/>
                <w:szCs w:val="32"/>
                <w:highlight w:val="none"/>
              </w:rPr>
              <w:t>则项目车辆日冲洗用水量为</w:t>
            </w:r>
            <w:r>
              <w:rPr>
                <w:rFonts w:hint="eastAsia" w:cs="Times New Roman"/>
                <w:bCs/>
                <w:color w:val="000000"/>
                <w:sz w:val="24"/>
                <w:szCs w:val="32"/>
                <w:highlight w:val="none"/>
                <w:lang w:val="en-US" w:eastAsia="zh-CN"/>
              </w:rPr>
              <w:t>1.8</w:t>
            </w:r>
            <w:r>
              <w:rPr>
                <w:rFonts w:hint="default" w:ascii="Times New Roman" w:hAnsi="Times New Roman" w:eastAsia="宋体" w:cs="Times New Roman"/>
                <w:bCs/>
                <w:color w:val="000000"/>
                <w:sz w:val="24"/>
                <w:szCs w:val="32"/>
                <w:highlight w:val="none"/>
              </w:rPr>
              <w:t>m</w:t>
            </w:r>
            <w:r>
              <w:rPr>
                <w:rFonts w:hint="default" w:ascii="Times New Roman" w:hAnsi="Times New Roman" w:eastAsia="宋体" w:cs="Times New Roman"/>
                <w:bCs/>
                <w:color w:val="000000"/>
                <w:sz w:val="24"/>
                <w:szCs w:val="32"/>
                <w:highlight w:val="none"/>
                <w:vertAlign w:val="superscript"/>
              </w:rPr>
              <w:t>3</w:t>
            </w:r>
            <w:r>
              <w:rPr>
                <w:rFonts w:hint="default" w:ascii="Times New Roman" w:hAnsi="Times New Roman" w:eastAsia="宋体" w:cs="Times New Roman"/>
                <w:bCs/>
                <w:color w:val="000000"/>
                <w:sz w:val="24"/>
                <w:szCs w:val="32"/>
                <w:highlight w:val="none"/>
              </w:rPr>
              <w:t>/d</w:t>
            </w:r>
            <w:r>
              <w:rPr>
                <w:rFonts w:hint="eastAsia" w:cs="Times New Roman"/>
                <w:bCs/>
                <w:color w:val="000000"/>
                <w:sz w:val="24"/>
                <w:szCs w:val="32"/>
                <w:highlight w:val="none"/>
                <w:lang w:eastAsia="zh-CN"/>
              </w:rPr>
              <w:t>。车辆冲洗废水全部回用，不外排，每天补充一次，补充水量为</w:t>
            </w:r>
            <w:r>
              <w:rPr>
                <w:rFonts w:hint="eastAsia" w:cs="Times New Roman"/>
                <w:bCs/>
                <w:color w:val="000000"/>
                <w:sz w:val="24"/>
                <w:szCs w:val="32"/>
                <w:highlight w:val="none"/>
                <w:lang w:val="en-US" w:eastAsia="zh-CN"/>
              </w:rPr>
              <w:t>0.18</w:t>
            </w:r>
            <w:r>
              <w:rPr>
                <w:rFonts w:hint="default" w:ascii="Times New Roman" w:hAnsi="Times New Roman" w:eastAsia="宋体" w:cs="Times New Roman"/>
                <w:bCs/>
                <w:color w:val="000000"/>
                <w:sz w:val="24"/>
                <w:szCs w:val="32"/>
                <w:highlight w:val="none"/>
              </w:rPr>
              <w:t>m</w:t>
            </w:r>
            <w:r>
              <w:rPr>
                <w:rFonts w:hint="default" w:ascii="Times New Roman" w:hAnsi="Times New Roman" w:eastAsia="宋体" w:cs="Times New Roman"/>
                <w:bCs/>
                <w:color w:val="000000"/>
                <w:sz w:val="24"/>
                <w:szCs w:val="32"/>
                <w:highlight w:val="none"/>
                <w:vertAlign w:val="superscript"/>
              </w:rPr>
              <w:t>3</w:t>
            </w:r>
            <w:r>
              <w:rPr>
                <w:rFonts w:hint="default" w:ascii="Times New Roman" w:hAnsi="Times New Roman" w:eastAsia="宋体" w:cs="Times New Roman"/>
                <w:bCs/>
                <w:color w:val="000000"/>
                <w:sz w:val="24"/>
                <w:szCs w:val="32"/>
                <w:highlight w:val="none"/>
              </w:rPr>
              <w:t>/d。</w:t>
            </w:r>
            <w:r>
              <w:rPr>
                <w:rFonts w:hint="eastAsia" w:cs="Times New Roman"/>
                <w:bCs/>
                <w:color w:val="000000"/>
                <w:sz w:val="24"/>
                <w:szCs w:val="32"/>
                <w:highlight w:val="none"/>
                <w:lang w:eastAsia="zh-CN"/>
              </w:rPr>
              <w:t>因此，车辆冲洗用水年用水量为</w:t>
            </w:r>
            <w:r>
              <w:rPr>
                <w:rFonts w:hint="eastAsia" w:cs="Times New Roman"/>
                <w:bCs/>
                <w:color w:val="000000"/>
                <w:sz w:val="24"/>
                <w:szCs w:val="32"/>
                <w:highlight w:val="none"/>
                <w:lang w:val="en-US" w:eastAsia="zh-CN"/>
              </w:rPr>
              <w:t>54</w:t>
            </w:r>
            <w:r>
              <w:rPr>
                <w:rFonts w:hint="default" w:ascii="Times New Roman" w:hAnsi="Times New Roman" w:eastAsia="宋体" w:cs="Times New Roman"/>
                <w:bCs/>
                <w:color w:val="000000"/>
                <w:sz w:val="24"/>
                <w:szCs w:val="32"/>
                <w:highlight w:val="none"/>
              </w:rPr>
              <w:t>m</w:t>
            </w:r>
            <w:r>
              <w:rPr>
                <w:rFonts w:hint="default" w:ascii="Times New Roman" w:hAnsi="Times New Roman" w:eastAsia="宋体" w:cs="Times New Roman"/>
                <w:bCs/>
                <w:color w:val="000000"/>
                <w:sz w:val="24"/>
                <w:szCs w:val="32"/>
                <w:highlight w:val="none"/>
                <w:vertAlign w:val="superscript"/>
              </w:rPr>
              <w:t>3</w:t>
            </w:r>
            <w:r>
              <w:rPr>
                <w:rFonts w:hint="default" w:ascii="Times New Roman" w:hAnsi="Times New Roman" w:eastAsia="宋体" w:cs="Times New Roman"/>
                <w:bCs/>
                <w:color w:val="000000"/>
                <w:sz w:val="24"/>
                <w:szCs w:val="32"/>
                <w:highlight w:val="none"/>
              </w:rPr>
              <w:t>/a</w:t>
            </w:r>
            <w:r>
              <w:rPr>
                <w:rFonts w:hint="eastAsia" w:hAnsi="宋体"/>
                <w:color w:val="auto"/>
                <w:sz w:val="24"/>
                <w:highlight w:val="none"/>
                <w:lang w:eastAsia="zh-CN"/>
              </w:rPr>
              <w:t>。</w:t>
            </w:r>
          </w:p>
          <w:p w14:paraId="051E4605">
            <w:pPr>
              <w:keepNext w:val="0"/>
              <w:keepLines w:val="0"/>
              <w:suppressLineNumbers w:val="0"/>
              <w:spacing w:before="0" w:beforeAutospacing="0" w:after="0" w:afterAutospacing="0" w:line="360" w:lineRule="auto"/>
              <w:ind w:left="0" w:right="0" w:firstLine="480" w:firstLineChars="200"/>
              <w:rPr>
                <w:rFonts w:hint="default"/>
                <w:color w:val="auto"/>
                <w:sz w:val="24"/>
                <w:highlight w:val="none"/>
              </w:rPr>
            </w:pPr>
            <w:r>
              <w:rPr>
                <w:rFonts w:hint="eastAsia"/>
                <w:color w:val="auto"/>
                <w:sz w:val="24"/>
                <w:highlight w:val="none"/>
              </w:rPr>
              <w:t>③喷淋用水</w:t>
            </w:r>
          </w:p>
          <w:p w14:paraId="23BDD19D">
            <w:pPr>
              <w:keepNext w:val="0"/>
              <w:keepLines w:val="0"/>
              <w:suppressLineNumbers w:val="0"/>
              <w:spacing w:before="0" w:beforeAutospacing="0" w:after="0" w:afterAutospacing="0" w:line="360" w:lineRule="auto"/>
              <w:ind w:left="0" w:right="0" w:firstLine="480" w:firstLineChars="200"/>
              <w:rPr>
                <w:rFonts w:hint="eastAsia"/>
                <w:color w:val="auto"/>
                <w:sz w:val="24"/>
                <w:highlight w:val="none"/>
              </w:rPr>
            </w:pPr>
            <w:r>
              <w:rPr>
                <w:rFonts w:hint="eastAsia"/>
                <w:color w:val="auto"/>
                <w:sz w:val="24"/>
                <w:highlight w:val="none"/>
              </w:rPr>
              <w:t>喷淋用水主要是原料库内设置的喷淋装置用水，每天喷淋2次，上下午各一次，每次喷淋时间半小时，用水量按1m</w:t>
            </w:r>
            <w:r>
              <w:rPr>
                <w:rFonts w:hint="eastAsia"/>
                <w:color w:val="auto"/>
                <w:sz w:val="24"/>
                <w:highlight w:val="none"/>
                <w:vertAlign w:val="superscript"/>
              </w:rPr>
              <w:t>3</w:t>
            </w:r>
            <w:r>
              <w:rPr>
                <w:rFonts w:hint="eastAsia"/>
                <w:color w:val="auto"/>
                <w:sz w:val="24"/>
                <w:highlight w:val="none"/>
              </w:rPr>
              <w:t>/h计算，则喷淋用水量为</w:t>
            </w:r>
            <w:r>
              <w:rPr>
                <w:rFonts w:hint="eastAsia"/>
                <w:color w:val="auto"/>
                <w:sz w:val="24"/>
                <w:highlight w:val="none"/>
                <w:lang w:val="en-US" w:eastAsia="zh-CN"/>
              </w:rPr>
              <w:t>300</w:t>
            </w:r>
            <w:r>
              <w:rPr>
                <w:rFonts w:hint="eastAsia"/>
                <w:color w:val="auto"/>
                <w:sz w:val="24"/>
                <w:highlight w:val="none"/>
              </w:rPr>
              <w:t>m</w:t>
            </w:r>
            <w:r>
              <w:rPr>
                <w:rFonts w:hint="eastAsia"/>
                <w:color w:val="auto"/>
                <w:sz w:val="24"/>
                <w:highlight w:val="none"/>
                <w:vertAlign w:val="superscript"/>
              </w:rPr>
              <w:t>3</w:t>
            </w:r>
            <w:r>
              <w:rPr>
                <w:rFonts w:hint="eastAsia"/>
                <w:color w:val="auto"/>
                <w:sz w:val="24"/>
                <w:highlight w:val="none"/>
              </w:rPr>
              <w:t>/a</w:t>
            </w:r>
            <w:r>
              <w:rPr>
                <w:rFonts w:hint="eastAsia"/>
                <w:color w:val="auto"/>
                <w:sz w:val="24"/>
                <w:highlight w:val="none"/>
                <w:lang w:eastAsia="zh-CN"/>
              </w:rPr>
              <w:t>，喷淋用水全部蒸发至空气中，无排水</w:t>
            </w:r>
            <w:r>
              <w:rPr>
                <w:rFonts w:hint="eastAsia"/>
                <w:color w:val="auto"/>
                <w:sz w:val="24"/>
                <w:highlight w:val="none"/>
              </w:rPr>
              <w:t>。</w:t>
            </w:r>
          </w:p>
          <w:p w14:paraId="5A6FA497">
            <w:pPr>
              <w:keepNext w:val="0"/>
              <w:keepLines w:val="0"/>
              <w:suppressLineNumbers w:val="0"/>
              <w:spacing w:before="0" w:beforeAutospacing="0" w:after="0" w:afterAutospacing="0" w:line="360" w:lineRule="auto"/>
              <w:ind w:left="0" w:right="0" w:firstLine="480" w:firstLineChars="200"/>
              <w:rPr>
                <w:rFonts w:hint="eastAsia" w:eastAsia="宋体"/>
                <w:color w:val="auto"/>
                <w:sz w:val="24"/>
                <w:highlight w:val="none"/>
                <w:lang w:val="en-US" w:eastAsia="zh-CN"/>
              </w:rPr>
            </w:pPr>
            <w:r>
              <w:rPr>
                <w:rFonts w:hint="eastAsia"/>
                <w:color w:val="auto"/>
                <w:sz w:val="24"/>
                <w:highlight w:val="none"/>
                <w:lang w:val="en-US" w:eastAsia="zh-CN"/>
              </w:rPr>
              <w:t>本项目用排水情况见下表：</w:t>
            </w:r>
          </w:p>
          <w:p w14:paraId="62D86C48">
            <w:pPr>
              <w:keepNext w:val="0"/>
              <w:keepLines w:val="0"/>
              <w:suppressLineNumbers w:val="0"/>
              <w:spacing w:before="0" w:beforeAutospacing="0" w:after="0" w:afterAutospacing="0"/>
              <w:ind w:left="0" w:right="0"/>
              <w:jc w:val="center"/>
              <w:rPr>
                <w:rFonts w:hint="default"/>
                <w:color w:val="auto"/>
                <w:szCs w:val="21"/>
                <w:highlight w:val="none"/>
              </w:rPr>
            </w:pPr>
            <w:r>
              <w:rPr>
                <w:rFonts w:hint="default"/>
                <w:b/>
                <w:bCs/>
                <w:color w:val="auto"/>
                <w:szCs w:val="21"/>
                <w:highlight w:val="none"/>
              </w:rPr>
              <w:t>表</w:t>
            </w:r>
            <w:r>
              <w:rPr>
                <w:rFonts w:hint="eastAsia"/>
                <w:b/>
                <w:bCs/>
                <w:color w:val="auto"/>
                <w:szCs w:val="21"/>
                <w:highlight w:val="none"/>
                <w:lang w:val="en-US" w:eastAsia="zh-CN"/>
              </w:rPr>
              <w:t>2</w:t>
            </w:r>
            <w:r>
              <w:rPr>
                <w:rFonts w:hint="eastAsia"/>
                <w:b/>
                <w:bCs/>
                <w:color w:val="auto"/>
                <w:szCs w:val="21"/>
                <w:highlight w:val="none"/>
              </w:rPr>
              <w:t>-6</w:t>
            </w:r>
            <w:r>
              <w:rPr>
                <w:rFonts w:hint="default"/>
                <w:b/>
                <w:bCs/>
                <w:color w:val="auto"/>
                <w:szCs w:val="21"/>
                <w:highlight w:val="none"/>
              </w:rPr>
              <w:t xml:space="preserve">  项目用</w:t>
            </w:r>
            <w:r>
              <w:rPr>
                <w:rFonts w:hint="eastAsia"/>
                <w:b/>
                <w:bCs/>
                <w:color w:val="auto"/>
                <w:szCs w:val="21"/>
                <w:highlight w:val="none"/>
                <w:lang w:eastAsia="zh-CN"/>
              </w:rPr>
              <w:t>排</w:t>
            </w:r>
            <w:r>
              <w:rPr>
                <w:rFonts w:hint="default"/>
                <w:b/>
                <w:bCs/>
                <w:color w:val="auto"/>
                <w:szCs w:val="21"/>
                <w:highlight w:val="none"/>
              </w:rPr>
              <w:t>水情况表</w:t>
            </w:r>
          </w:p>
          <w:tbl>
            <w:tblPr>
              <w:tblStyle w:val="41"/>
              <w:tblW w:w="88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17" w:type="dxa"/>
                <w:left w:w="0" w:type="dxa"/>
                <w:bottom w:w="17" w:type="dxa"/>
                <w:right w:w="0" w:type="dxa"/>
              </w:tblCellMar>
            </w:tblPr>
            <w:tblGrid>
              <w:gridCol w:w="1331"/>
              <w:gridCol w:w="1292"/>
              <w:gridCol w:w="926"/>
              <w:gridCol w:w="1059"/>
              <w:gridCol w:w="1167"/>
              <w:gridCol w:w="1387"/>
              <w:gridCol w:w="1701"/>
            </w:tblGrid>
            <w:tr w14:paraId="661994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0" w:type="dxa"/>
                  <w:bottom w:w="17" w:type="dxa"/>
                  <w:right w:w="0" w:type="dxa"/>
                </w:tblCellMar>
              </w:tblPrEx>
              <w:trPr>
                <w:trHeight w:val="425" w:hRule="atLeast"/>
                <w:jc w:val="center"/>
              </w:trPr>
              <w:tc>
                <w:tcPr>
                  <w:tcW w:w="1331" w:type="dxa"/>
                  <w:noWrap w:val="0"/>
                  <w:vAlign w:val="center"/>
                </w:tcPr>
                <w:p w14:paraId="4CC642CC">
                  <w:pPr>
                    <w:keepNext w:val="0"/>
                    <w:keepLines w:val="0"/>
                    <w:widowControl/>
                    <w:suppressLineNumbers w:val="0"/>
                    <w:spacing w:before="0" w:beforeAutospacing="0" w:after="0" w:afterAutospacing="0"/>
                    <w:ind w:left="0" w:right="0"/>
                    <w:jc w:val="center"/>
                    <w:rPr>
                      <w:rFonts w:hint="default"/>
                      <w:b/>
                      <w:color w:val="auto"/>
                      <w:kern w:val="0"/>
                      <w:sz w:val="21"/>
                      <w:szCs w:val="21"/>
                      <w:highlight w:val="none"/>
                    </w:rPr>
                  </w:pPr>
                  <w:r>
                    <w:rPr>
                      <w:rFonts w:hint="default" w:hAnsi="宋体"/>
                      <w:b/>
                      <w:color w:val="auto"/>
                      <w:kern w:val="0"/>
                      <w:sz w:val="21"/>
                      <w:szCs w:val="21"/>
                      <w:highlight w:val="none"/>
                    </w:rPr>
                    <w:t>用水名称</w:t>
                  </w:r>
                </w:p>
              </w:tc>
              <w:tc>
                <w:tcPr>
                  <w:tcW w:w="1292" w:type="dxa"/>
                  <w:noWrap w:val="0"/>
                  <w:vAlign w:val="center"/>
                </w:tcPr>
                <w:p w14:paraId="74D4F6CC">
                  <w:pPr>
                    <w:keepNext w:val="0"/>
                    <w:keepLines w:val="0"/>
                    <w:widowControl/>
                    <w:suppressLineNumbers w:val="0"/>
                    <w:spacing w:before="0" w:beforeAutospacing="0" w:after="0" w:afterAutospacing="0"/>
                    <w:ind w:left="0" w:right="0"/>
                    <w:jc w:val="center"/>
                    <w:rPr>
                      <w:rFonts w:hint="default"/>
                      <w:b/>
                      <w:color w:val="auto"/>
                      <w:kern w:val="0"/>
                      <w:sz w:val="21"/>
                      <w:szCs w:val="21"/>
                      <w:highlight w:val="none"/>
                    </w:rPr>
                  </w:pPr>
                  <w:r>
                    <w:rPr>
                      <w:rFonts w:hint="default" w:hAnsi="宋体"/>
                      <w:b/>
                      <w:color w:val="auto"/>
                      <w:kern w:val="0"/>
                      <w:sz w:val="21"/>
                      <w:szCs w:val="21"/>
                      <w:highlight w:val="none"/>
                    </w:rPr>
                    <w:t>用水标准</w:t>
                  </w:r>
                </w:p>
              </w:tc>
              <w:tc>
                <w:tcPr>
                  <w:tcW w:w="926" w:type="dxa"/>
                  <w:noWrap w:val="0"/>
                  <w:vAlign w:val="center"/>
                </w:tcPr>
                <w:p w14:paraId="3362E1E0">
                  <w:pPr>
                    <w:keepNext w:val="0"/>
                    <w:keepLines w:val="0"/>
                    <w:widowControl/>
                    <w:suppressLineNumbers w:val="0"/>
                    <w:spacing w:before="0" w:beforeAutospacing="0" w:after="0" w:afterAutospacing="0"/>
                    <w:ind w:left="0" w:right="0"/>
                    <w:jc w:val="center"/>
                    <w:rPr>
                      <w:rFonts w:hint="default"/>
                      <w:b/>
                      <w:color w:val="auto"/>
                      <w:kern w:val="0"/>
                      <w:sz w:val="21"/>
                      <w:szCs w:val="21"/>
                      <w:highlight w:val="none"/>
                    </w:rPr>
                  </w:pPr>
                  <w:r>
                    <w:rPr>
                      <w:rFonts w:hint="default" w:hAnsi="宋体"/>
                      <w:b/>
                      <w:color w:val="auto"/>
                      <w:kern w:val="0"/>
                      <w:sz w:val="21"/>
                      <w:szCs w:val="21"/>
                      <w:highlight w:val="none"/>
                    </w:rPr>
                    <w:t>数量</w:t>
                  </w:r>
                </w:p>
              </w:tc>
              <w:tc>
                <w:tcPr>
                  <w:tcW w:w="1059" w:type="dxa"/>
                  <w:noWrap w:val="0"/>
                  <w:vAlign w:val="center"/>
                </w:tcPr>
                <w:p w14:paraId="0E1F02D4">
                  <w:pPr>
                    <w:keepNext w:val="0"/>
                    <w:keepLines w:val="0"/>
                    <w:widowControl/>
                    <w:suppressLineNumbers w:val="0"/>
                    <w:spacing w:before="0" w:beforeAutospacing="0" w:after="0" w:afterAutospacing="0"/>
                    <w:ind w:left="0" w:right="0"/>
                    <w:jc w:val="center"/>
                    <w:rPr>
                      <w:rFonts w:hint="default"/>
                      <w:b/>
                      <w:color w:val="auto"/>
                      <w:kern w:val="0"/>
                      <w:sz w:val="21"/>
                      <w:szCs w:val="21"/>
                      <w:highlight w:val="none"/>
                    </w:rPr>
                  </w:pPr>
                  <w:r>
                    <w:rPr>
                      <w:rFonts w:hint="eastAsia" w:hAnsi="宋体"/>
                      <w:b/>
                      <w:color w:val="auto"/>
                      <w:kern w:val="0"/>
                      <w:sz w:val="21"/>
                      <w:szCs w:val="21"/>
                      <w:highlight w:val="none"/>
                    </w:rPr>
                    <w:t>日</w:t>
                  </w:r>
                  <w:r>
                    <w:rPr>
                      <w:rFonts w:hint="default" w:hAnsi="宋体"/>
                      <w:b/>
                      <w:color w:val="auto"/>
                      <w:kern w:val="0"/>
                      <w:sz w:val="21"/>
                      <w:szCs w:val="21"/>
                      <w:highlight w:val="none"/>
                    </w:rPr>
                    <w:t>用水量</w:t>
                  </w:r>
                </w:p>
              </w:tc>
              <w:tc>
                <w:tcPr>
                  <w:tcW w:w="1167" w:type="dxa"/>
                  <w:noWrap w:val="0"/>
                  <w:vAlign w:val="center"/>
                </w:tcPr>
                <w:p w14:paraId="495DB01C">
                  <w:pPr>
                    <w:keepNext w:val="0"/>
                    <w:keepLines w:val="0"/>
                    <w:widowControl/>
                    <w:suppressLineNumbers w:val="0"/>
                    <w:spacing w:before="0" w:beforeAutospacing="0" w:after="0" w:afterAutospacing="0"/>
                    <w:ind w:left="0" w:right="0"/>
                    <w:jc w:val="center"/>
                    <w:rPr>
                      <w:rFonts w:hint="default"/>
                      <w:b/>
                      <w:color w:val="auto"/>
                      <w:kern w:val="0"/>
                      <w:sz w:val="21"/>
                      <w:szCs w:val="21"/>
                      <w:highlight w:val="none"/>
                    </w:rPr>
                  </w:pPr>
                  <w:r>
                    <w:rPr>
                      <w:rFonts w:hint="default" w:hAnsi="宋体"/>
                      <w:b/>
                      <w:color w:val="auto"/>
                      <w:kern w:val="0"/>
                      <w:sz w:val="21"/>
                      <w:szCs w:val="21"/>
                      <w:highlight w:val="none"/>
                    </w:rPr>
                    <w:t>年用水量</w:t>
                  </w:r>
                </w:p>
              </w:tc>
              <w:tc>
                <w:tcPr>
                  <w:tcW w:w="1387" w:type="dxa"/>
                  <w:noWrap w:val="0"/>
                  <w:vAlign w:val="center"/>
                </w:tcPr>
                <w:p w14:paraId="3B51A7E8">
                  <w:pPr>
                    <w:keepNext w:val="0"/>
                    <w:keepLines w:val="0"/>
                    <w:widowControl/>
                    <w:suppressLineNumbers w:val="0"/>
                    <w:spacing w:before="0" w:beforeAutospacing="0" w:after="0" w:afterAutospacing="0"/>
                    <w:ind w:left="0" w:right="0"/>
                    <w:jc w:val="center"/>
                    <w:rPr>
                      <w:rFonts w:hint="default"/>
                      <w:b/>
                      <w:color w:val="auto"/>
                      <w:kern w:val="0"/>
                      <w:sz w:val="21"/>
                      <w:szCs w:val="21"/>
                      <w:highlight w:val="none"/>
                    </w:rPr>
                  </w:pPr>
                  <w:r>
                    <w:rPr>
                      <w:rFonts w:hint="eastAsia" w:hAnsi="宋体"/>
                      <w:b/>
                      <w:color w:val="auto"/>
                      <w:kern w:val="0"/>
                      <w:sz w:val="21"/>
                      <w:szCs w:val="21"/>
                      <w:highlight w:val="none"/>
                    </w:rPr>
                    <w:t>日</w:t>
                  </w:r>
                  <w:r>
                    <w:rPr>
                      <w:rFonts w:hint="default" w:hAnsi="宋体"/>
                      <w:b/>
                      <w:color w:val="auto"/>
                      <w:kern w:val="0"/>
                      <w:sz w:val="21"/>
                      <w:szCs w:val="21"/>
                      <w:highlight w:val="none"/>
                    </w:rPr>
                    <w:t>排放量</w:t>
                  </w:r>
                </w:p>
              </w:tc>
              <w:tc>
                <w:tcPr>
                  <w:tcW w:w="1701" w:type="dxa"/>
                  <w:noWrap w:val="0"/>
                  <w:vAlign w:val="center"/>
                </w:tcPr>
                <w:p w14:paraId="3EF2317B">
                  <w:pPr>
                    <w:keepNext w:val="0"/>
                    <w:keepLines w:val="0"/>
                    <w:widowControl/>
                    <w:suppressLineNumbers w:val="0"/>
                    <w:spacing w:before="0" w:beforeAutospacing="0" w:after="0" w:afterAutospacing="0"/>
                    <w:ind w:left="0" w:right="0"/>
                    <w:jc w:val="center"/>
                    <w:rPr>
                      <w:rFonts w:hint="default"/>
                      <w:b/>
                      <w:color w:val="auto"/>
                      <w:kern w:val="0"/>
                      <w:sz w:val="21"/>
                      <w:szCs w:val="21"/>
                      <w:highlight w:val="none"/>
                    </w:rPr>
                  </w:pPr>
                  <w:r>
                    <w:rPr>
                      <w:rFonts w:hint="default" w:hAnsi="宋体"/>
                      <w:b/>
                      <w:color w:val="auto"/>
                      <w:kern w:val="0"/>
                      <w:sz w:val="21"/>
                      <w:szCs w:val="21"/>
                      <w:highlight w:val="none"/>
                    </w:rPr>
                    <w:t>年排放量</w:t>
                  </w:r>
                </w:p>
              </w:tc>
            </w:tr>
            <w:tr w14:paraId="6FF320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0" w:type="dxa"/>
                  <w:bottom w:w="17" w:type="dxa"/>
                  <w:right w:w="0" w:type="dxa"/>
                </w:tblCellMar>
              </w:tblPrEx>
              <w:trPr>
                <w:trHeight w:val="425" w:hRule="atLeast"/>
                <w:jc w:val="center"/>
              </w:trPr>
              <w:tc>
                <w:tcPr>
                  <w:tcW w:w="1331" w:type="dxa"/>
                  <w:noWrap w:val="0"/>
                  <w:vAlign w:val="center"/>
                </w:tcPr>
                <w:p w14:paraId="77B08075">
                  <w:pPr>
                    <w:keepNext w:val="0"/>
                    <w:keepLines w:val="0"/>
                    <w:widowControl/>
                    <w:suppressLineNumbers w:val="0"/>
                    <w:spacing w:before="0" w:beforeAutospacing="0" w:after="0" w:afterAutospacing="0"/>
                    <w:ind w:left="0" w:right="0"/>
                    <w:jc w:val="center"/>
                    <w:rPr>
                      <w:rFonts w:hint="eastAsia" w:hAnsi="宋体" w:eastAsia="宋体"/>
                      <w:color w:val="auto"/>
                      <w:kern w:val="0"/>
                      <w:sz w:val="21"/>
                      <w:szCs w:val="21"/>
                      <w:highlight w:val="none"/>
                      <w:lang w:eastAsia="zh-CN"/>
                    </w:rPr>
                  </w:pPr>
                  <w:r>
                    <w:rPr>
                      <w:rFonts w:hint="eastAsia" w:hAnsi="宋体"/>
                      <w:color w:val="auto"/>
                      <w:kern w:val="0"/>
                      <w:sz w:val="21"/>
                      <w:szCs w:val="21"/>
                      <w:highlight w:val="none"/>
                      <w:lang w:eastAsia="zh-CN"/>
                    </w:rPr>
                    <w:t>员工生活用水</w:t>
                  </w:r>
                </w:p>
              </w:tc>
              <w:tc>
                <w:tcPr>
                  <w:tcW w:w="1292" w:type="dxa"/>
                  <w:noWrap w:val="0"/>
                  <w:vAlign w:val="center"/>
                </w:tcPr>
                <w:p w14:paraId="58CD67FB">
                  <w:pPr>
                    <w:keepNext w:val="0"/>
                    <w:keepLines w:val="0"/>
                    <w:widowControl/>
                    <w:suppressLineNumbers w:val="0"/>
                    <w:spacing w:before="0" w:beforeAutospacing="0" w:after="0" w:afterAutospacing="0"/>
                    <w:ind w:left="0" w:right="0"/>
                    <w:jc w:val="center"/>
                    <w:rPr>
                      <w:rFonts w:hint="eastAsia"/>
                      <w:color w:val="auto"/>
                      <w:kern w:val="0"/>
                      <w:sz w:val="21"/>
                      <w:szCs w:val="21"/>
                      <w:highlight w:val="none"/>
                    </w:rPr>
                  </w:pPr>
                  <w:r>
                    <w:rPr>
                      <w:rFonts w:hint="default" w:ascii="Times New Roman" w:hAnsi="Times New Roman" w:eastAsia="宋体" w:cs="Times New Roman"/>
                      <w:bCs/>
                      <w:color w:val="000000"/>
                      <w:sz w:val="21"/>
                      <w:szCs w:val="21"/>
                      <w:highlight w:val="none"/>
                      <w:lang w:val="en-US" w:eastAsia="zh-CN"/>
                    </w:rPr>
                    <w:t>10</w:t>
                  </w:r>
                  <w:r>
                    <w:rPr>
                      <w:rFonts w:hint="default" w:ascii="Times New Roman" w:hAnsi="Times New Roman" w:eastAsia="宋体" w:cs="Times New Roman"/>
                      <w:bCs/>
                      <w:color w:val="000000"/>
                      <w:sz w:val="21"/>
                      <w:szCs w:val="21"/>
                      <w:highlight w:val="none"/>
                    </w:rPr>
                    <w:t>m</w:t>
                  </w:r>
                  <w:r>
                    <w:rPr>
                      <w:rFonts w:hint="default" w:ascii="Times New Roman" w:hAnsi="Times New Roman" w:eastAsia="宋体" w:cs="Times New Roman"/>
                      <w:bCs/>
                      <w:color w:val="000000"/>
                      <w:sz w:val="21"/>
                      <w:szCs w:val="21"/>
                      <w:highlight w:val="none"/>
                      <w:vertAlign w:val="superscript"/>
                    </w:rPr>
                    <w:t>3</w:t>
                  </w:r>
                  <w:r>
                    <w:rPr>
                      <w:rFonts w:hint="default" w:ascii="Times New Roman" w:hAnsi="Times New Roman" w:eastAsia="宋体" w:cs="Times New Roman"/>
                      <w:bCs/>
                      <w:color w:val="000000"/>
                      <w:sz w:val="21"/>
                      <w:szCs w:val="21"/>
                      <w:highlight w:val="none"/>
                    </w:rPr>
                    <w:t>/（人·a）</w:t>
                  </w:r>
                </w:p>
              </w:tc>
              <w:tc>
                <w:tcPr>
                  <w:tcW w:w="926" w:type="dxa"/>
                  <w:noWrap w:val="0"/>
                  <w:vAlign w:val="center"/>
                </w:tcPr>
                <w:p w14:paraId="640E9432">
                  <w:pPr>
                    <w:keepNext w:val="0"/>
                    <w:keepLines w:val="0"/>
                    <w:widowControl/>
                    <w:suppressLineNumbers w:val="0"/>
                    <w:spacing w:before="0" w:beforeAutospacing="0" w:after="0" w:afterAutospacing="0"/>
                    <w:ind w:left="0" w:right="0"/>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24人</w:t>
                  </w:r>
                </w:p>
              </w:tc>
              <w:tc>
                <w:tcPr>
                  <w:tcW w:w="1059" w:type="dxa"/>
                  <w:noWrap w:val="0"/>
                  <w:vAlign w:val="center"/>
                </w:tcPr>
                <w:p w14:paraId="5FA81001">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0.8</w:t>
                  </w:r>
                </w:p>
              </w:tc>
              <w:tc>
                <w:tcPr>
                  <w:tcW w:w="1167" w:type="dxa"/>
                  <w:noWrap w:val="0"/>
                  <w:vAlign w:val="center"/>
                </w:tcPr>
                <w:p w14:paraId="07416890">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240</w:t>
                  </w:r>
                </w:p>
              </w:tc>
              <w:tc>
                <w:tcPr>
                  <w:tcW w:w="1387" w:type="dxa"/>
                  <w:noWrap w:val="0"/>
                  <w:vAlign w:val="center"/>
                </w:tcPr>
                <w:p w14:paraId="7453810D">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0.64</w:t>
                  </w:r>
                </w:p>
              </w:tc>
              <w:tc>
                <w:tcPr>
                  <w:tcW w:w="1701" w:type="dxa"/>
                  <w:noWrap w:val="0"/>
                  <w:vAlign w:val="center"/>
                </w:tcPr>
                <w:p w14:paraId="09E85669">
                  <w:pPr>
                    <w:keepNext w:val="0"/>
                    <w:keepLines w:val="0"/>
                    <w:suppressLineNumbers w:val="0"/>
                    <w:spacing w:before="0" w:beforeAutospacing="0" w:after="0" w:afterAutospacing="0"/>
                    <w:ind w:left="0" w:right="0"/>
                    <w:jc w:val="center"/>
                    <w:rPr>
                      <w:rFonts w:hint="default" w:eastAsia="宋体"/>
                      <w:color w:val="auto"/>
                      <w:sz w:val="21"/>
                      <w:szCs w:val="21"/>
                      <w:highlight w:val="none"/>
                      <w:lang w:val="en-US" w:eastAsia="zh-CN"/>
                    </w:rPr>
                  </w:pPr>
                  <w:r>
                    <w:rPr>
                      <w:rFonts w:hint="eastAsia"/>
                      <w:color w:val="auto"/>
                      <w:sz w:val="21"/>
                      <w:szCs w:val="21"/>
                      <w:highlight w:val="none"/>
                      <w:lang w:val="en-US" w:eastAsia="zh-CN"/>
                    </w:rPr>
                    <w:t>192</w:t>
                  </w:r>
                </w:p>
              </w:tc>
            </w:tr>
            <w:tr w14:paraId="78EC76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0" w:type="dxa"/>
                  <w:bottom w:w="17" w:type="dxa"/>
                  <w:right w:w="0" w:type="dxa"/>
                </w:tblCellMar>
              </w:tblPrEx>
              <w:trPr>
                <w:trHeight w:val="425" w:hRule="atLeast"/>
                <w:jc w:val="center"/>
              </w:trPr>
              <w:tc>
                <w:tcPr>
                  <w:tcW w:w="1331" w:type="dxa"/>
                  <w:noWrap w:val="0"/>
                  <w:vAlign w:val="center"/>
                </w:tcPr>
                <w:p w14:paraId="600B2484">
                  <w:pPr>
                    <w:keepNext w:val="0"/>
                    <w:keepLines w:val="0"/>
                    <w:widowControl/>
                    <w:suppressLineNumbers w:val="0"/>
                    <w:spacing w:before="0" w:beforeAutospacing="0" w:after="0" w:afterAutospacing="0"/>
                    <w:ind w:left="0" w:right="0"/>
                    <w:jc w:val="center"/>
                    <w:rPr>
                      <w:rFonts w:hint="default" w:ascii="Times New Roman" w:hAnsi="宋体" w:eastAsia="宋体" w:cs="Times New Roman"/>
                      <w:color w:val="auto"/>
                      <w:kern w:val="0"/>
                      <w:sz w:val="21"/>
                      <w:szCs w:val="21"/>
                      <w:highlight w:val="none"/>
                      <w:lang w:val="en-US" w:eastAsia="zh-CN" w:bidi="ar-SA"/>
                    </w:rPr>
                  </w:pPr>
                  <w:r>
                    <w:rPr>
                      <w:rFonts w:hint="eastAsia" w:hAnsi="宋体"/>
                      <w:color w:val="auto"/>
                      <w:kern w:val="0"/>
                      <w:sz w:val="21"/>
                      <w:szCs w:val="21"/>
                      <w:highlight w:val="none"/>
                    </w:rPr>
                    <w:t>车辆清洗用水</w:t>
                  </w:r>
                </w:p>
              </w:tc>
              <w:tc>
                <w:tcPr>
                  <w:tcW w:w="1292" w:type="dxa"/>
                  <w:shd w:val="clear" w:color="auto" w:fill="auto"/>
                  <w:noWrap w:val="0"/>
                  <w:vAlign w:val="center"/>
                </w:tcPr>
                <w:p w14:paraId="7136E15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val="en-US" w:eastAsia="zh-CN"/>
                    </w:rPr>
                    <w:t>55L/辆·</w:t>
                  </w:r>
                  <w:r>
                    <w:rPr>
                      <w:rFonts w:hint="default" w:ascii="Times New Roman" w:hAnsi="Times New Roman" w:eastAsia="宋体" w:cs="Times New Roman"/>
                      <w:color w:val="000000"/>
                      <w:sz w:val="21"/>
                      <w:szCs w:val="21"/>
                      <w:highlight w:val="none"/>
                    </w:rPr>
                    <w:t>次</w:t>
                  </w:r>
                </w:p>
              </w:tc>
              <w:tc>
                <w:tcPr>
                  <w:tcW w:w="926" w:type="dxa"/>
                  <w:shd w:val="clear" w:color="auto" w:fill="auto"/>
                  <w:noWrap w:val="0"/>
                  <w:vAlign w:val="center"/>
                </w:tcPr>
                <w:p w14:paraId="62EEB69E">
                  <w:pPr>
                    <w:keepNext w:val="0"/>
                    <w:keepLines w:val="0"/>
                    <w:widowControl/>
                    <w:suppressLineNumbers w:val="0"/>
                    <w:spacing w:before="0" w:beforeAutospacing="0" w:after="0" w:afterAutospacing="0"/>
                    <w:ind w:left="0" w:right="0"/>
                    <w:jc w:val="center"/>
                    <w:textAlignment w:val="center"/>
                    <w:rPr>
                      <w:rFonts w:hint="eastAsia" w:ascii="Times New Roman" w:hAnsi="Times New Roman" w:eastAsia="宋体" w:cs="Times New Roman"/>
                      <w:color w:val="000000"/>
                      <w:kern w:val="2"/>
                      <w:sz w:val="21"/>
                      <w:szCs w:val="21"/>
                      <w:highlight w:val="none"/>
                      <w:lang w:val="en-US" w:eastAsia="zh-CN" w:bidi="ar-SA"/>
                    </w:rPr>
                  </w:pPr>
                  <w:r>
                    <w:rPr>
                      <w:rFonts w:hint="eastAsia" w:cs="Times New Roman"/>
                      <w:i w:val="0"/>
                      <w:iCs w:val="0"/>
                      <w:color w:val="000000"/>
                      <w:kern w:val="0"/>
                      <w:sz w:val="21"/>
                      <w:szCs w:val="21"/>
                      <w:highlight w:val="none"/>
                      <w:u w:val="none"/>
                      <w:lang w:val="en-US" w:eastAsia="zh-CN" w:bidi="ar"/>
                    </w:rPr>
                    <w:t>33</w:t>
                  </w:r>
                  <w:r>
                    <w:rPr>
                      <w:rFonts w:hint="default" w:ascii="Times New Roman" w:hAnsi="Times New Roman" w:eastAsia="宋体" w:cs="Times New Roman"/>
                      <w:i w:val="0"/>
                      <w:iCs w:val="0"/>
                      <w:color w:val="000000"/>
                      <w:kern w:val="0"/>
                      <w:sz w:val="21"/>
                      <w:szCs w:val="21"/>
                      <w:highlight w:val="none"/>
                      <w:u w:val="none"/>
                      <w:lang w:val="en-US" w:eastAsia="zh-CN" w:bidi="ar"/>
                    </w:rPr>
                    <w:t>辆次/天</w:t>
                  </w:r>
                </w:p>
              </w:tc>
              <w:tc>
                <w:tcPr>
                  <w:tcW w:w="1059" w:type="dxa"/>
                  <w:noWrap w:val="0"/>
                  <w:vAlign w:val="center"/>
                </w:tcPr>
                <w:p w14:paraId="615079C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0.18</w:t>
                  </w:r>
                </w:p>
              </w:tc>
              <w:tc>
                <w:tcPr>
                  <w:tcW w:w="1167" w:type="dxa"/>
                  <w:noWrap w:val="0"/>
                  <w:vAlign w:val="center"/>
                </w:tcPr>
                <w:p w14:paraId="7D47317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lang w:val="en-US" w:eastAsia="zh-CN"/>
                    </w:rPr>
                    <w:t>54</w:t>
                  </w:r>
                </w:p>
              </w:tc>
              <w:tc>
                <w:tcPr>
                  <w:tcW w:w="1387" w:type="dxa"/>
                  <w:noWrap w:val="0"/>
                  <w:vAlign w:val="center"/>
                </w:tcPr>
                <w:p w14:paraId="0AADDF65">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0</w:t>
                  </w:r>
                </w:p>
              </w:tc>
              <w:tc>
                <w:tcPr>
                  <w:tcW w:w="1701" w:type="dxa"/>
                  <w:noWrap w:val="0"/>
                  <w:vAlign w:val="center"/>
                </w:tcPr>
                <w:p w14:paraId="1224F1CF">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0</w:t>
                  </w:r>
                </w:p>
              </w:tc>
            </w:tr>
            <w:tr w14:paraId="04DCE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0" w:type="dxa"/>
                  <w:bottom w:w="17" w:type="dxa"/>
                  <w:right w:w="0" w:type="dxa"/>
                </w:tblCellMar>
              </w:tblPrEx>
              <w:trPr>
                <w:trHeight w:val="425" w:hRule="atLeast"/>
                <w:jc w:val="center"/>
              </w:trPr>
              <w:tc>
                <w:tcPr>
                  <w:tcW w:w="1331" w:type="dxa"/>
                  <w:noWrap w:val="0"/>
                  <w:vAlign w:val="center"/>
                </w:tcPr>
                <w:p w14:paraId="76F5730E">
                  <w:pPr>
                    <w:keepNext w:val="0"/>
                    <w:keepLines w:val="0"/>
                    <w:widowControl/>
                    <w:suppressLineNumbers w:val="0"/>
                    <w:spacing w:before="0" w:beforeAutospacing="0" w:after="0" w:afterAutospacing="0"/>
                    <w:ind w:left="0" w:right="0"/>
                    <w:jc w:val="center"/>
                    <w:rPr>
                      <w:rFonts w:hint="default" w:ascii="Times New Roman" w:hAnsi="宋体" w:eastAsia="宋体" w:cs="Times New Roman"/>
                      <w:color w:val="auto"/>
                      <w:kern w:val="0"/>
                      <w:sz w:val="21"/>
                      <w:szCs w:val="21"/>
                      <w:highlight w:val="none"/>
                      <w:lang w:val="en-US" w:eastAsia="zh-CN" w:bidi="ar-SA"/>
                    </w:rPr>
                  </w:pPr>
                  <w:r>
                    <w:rPr>
                      <w:rFonts w:hint="eastAsia" w:hAnsi="宋体"/>
                      <w:color w:val="auto"/>
                      <w:kern w:val="0"/>
                      <w:sz w:val="21"/>
                      <w:szCs w:val="21"/>
                      <w:highlight w:val="none"/>
                    </w:rPr>
                    <w:t>喷淋用水</w:t>
                  </w:r>
                </w:p>
              </w:tc>
              <w:tc>
                <w:tcPr>
                  <w:tcW w:w="1292" w:type="dxa"/>
                  <w:noWrap w:val="0"/>
                  <w:vAlign w:val="center"/>
                </w:tcPr>
                <w:p w14:paraId="0623116D">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rPr>
                    <w:t>/</w:t>
                  </w:r>
                </w:p>
              </w:tc>
              <w:tc>
                <w:tcPr>
                  <w:tcW w:w="926" w:type="dxa"/>
                  <w:noWrap w:val="0"/>
                  <w:vAlign w:val="center"/>
                </w:tcPr>
                <w:p w14:paraId="498CC562">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auto"/>
                      <w:kern w:val="0"/>
                      <w:sz w:val="21"/>
                      <w:szCs w:val="21"/>
                      <w:highlight w:val="none"/>
                      <w:lang w:val="en-US" w:eastAsia="zh-CN" w:bidi="ar-SA"/>
                    </w:rPr>
                  </w:pPr>
                  <w:r>
                    <w:rPr>
                      <w:rFonts w:hint="eastAsia"/>
                      <w:color w:val="auto"/>
                      <w:kern w:val="0"/>
                      <w:sz w:val="21"/>
                      <w:szCs w:val="21"/>
                      <w:highlight w:val="none"/>
                    </w:rPr>
                    <w:t>/</w:t>
                  </w:r>
                </w:p>
              </w:tc>
              <w:tc>
                <w:tcPr>
                  <w:tcW w:w="1059" w:type="dxa"/>
                  <w:noWrap w:val="0"/>
                  <w:vAlign w:val="center"/>
                </w:tcPr>
                <w:p w14:paraId="511998CE">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1</w:t>
                  </w:r>
                </w:p>
              </w:tc>
              <w:tc>
                <w:tcPr>
                  <w:tcW w:w="1167" w:type="dxa"/>
                  <w:noWrap w:val="0"/>
                  <w:vAlign w:val="center"/>
                </w:tcPr>
                <w:p w14:paraId="3F6611D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300</w:t>
                  </w:r>
                </w:p>
              </w:tc>
              <w:tc>
                <w:tcPr>
                  <w:tcW w:w="1387" w:type="dxa"/>
                  <w:noWrap w:val="0"/>
                  <w:vAlign w:val="center"/>
                </w:tcPr>
                <w:p w14:paraId="0258824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0</w:t>
                  </w:r>
                </w:p>
              </w:tc>
              <w:tc>
                <w:tcPr>
                  <w:tcW w:w="1701" w:type="dxa"/>
                  <w:noWrap w:val="0"/>
                  <w:vAlign w:val="center"/>
                </w:tcPr>
                <w:p w14:paraId="35D80B94">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1"/>
                      <w:szCs w:val="21"/>
                      <w:highlight w:val="none"/>
                      <w:lang w:val="en-US" w:eastAsia="zh-CN" w:bidi="ar-SA"/>
                    </w:rPr>
                  </w:pPr>
                  <w:r>
                    <w:rPr>
                      <w:rFonts w:hint="eastAsia"/>
                      <w:color w:val="auto"/>
                      <w:sz w:val="21"/>
                      <w:szCs w:val="21"/>
                      <w:highlight w:val="none"/>
                    </w:rPr>
                    <w:t>0</w:t>
                  </w:r>
                </w:p>
              </w:tc>
            </w:tr>
            <w:tr w14:paraId="1809A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7" w:type="dxa"/>
                  <w:left w:w="0" w:type="dxa"/>
                  <w:bottom w:w="17" w:type="dxa"/>
                  <w:right w:w="0" w:type="dxa"/>
                </w:tblCellMar>
              </w:tblPrEx>
              <w:trPr>
                <w:trHeight w:val="425" w:hRule="atLeast"/>
                <w:jc w:val="center"/>
              </w:trPr>
              <w:tc>
                <w:tcPr>
                  <w:tcW w:w="3549" w:type="dxa"/>
                  <w:gridSpan w:val="3"/>
                  <w:noWrap w:val="0"/>
                  <w:vAlign w:val="center"/>
                </w:tcPr>
                <w:p w14:paraId="4E981D70">
                  <w:pPr>
                    <w:keepNext w:val="0"/>
                    <w:keepLines w:val="0"/>
                    <w:suppressLineNumbers w:val="0"/>
                    <w:spacing w:before="0" w:beforeAutospacing="0" w:after="0" w:afterAutospacing="0"/>
                    <w:ind w:left="0" w:right="0"/>
                    <w:jc w:val="center"/>
                    <w:rPr>
                      <w:rFonts w:hint="eastAsia" w:ascii="Times New Roman" w:hAnsi="Times New Roman" w:cs="Times New Roman"/>
                      <w:color w:val="auto"/>
                      <w:sz w:val="21"/>
                      <w:szCs w:val="21"/>
                      <w:highlight w:val="none"/>
                      <w:lang w:val="en-US" w:eastAsia="zh-CN"/>
                    </w:rPr>
                  </w:pPr>
                  <w:r>
                    <w:rPr>
                      <w:rFonts w:hint="eastAsia" w:ascii="Times New Roman" w:hAnsi="Times New Roman" w:cs="Times New Roman"/>
                      <w:color w:val="auto"/>
                      <w:sz w:val="21"/>
                      <w:szCs w:val="21"/>
                      <w:highlight w:val="none"/>
                      <w:lang w:val="en-US" w:eastAsia="zh-CN"/>
                    </w:rPr>
                    <w:t>总计</w:t>
                  </w:r>
                </w:p>
              </w:tc>
              <w:tc>
                <w:tcPr>
                  <w:tcW w:w="1059" w:type="dxa"/>
                  <w:noWrap w:val="0"/>
                  <w:vAlign w:val="center"/>
                </w:tcPr>
                <w:p w14:paraId="28F66685">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lang w:val="en-US" w:eastAsia="zh-CN"/>
                    </w:rPr>
                  </w:pPr>
                  <w:r>
                    <w:rPr>
                      <w:rFonts w:hint="eastAsia" w:cs="Times New Roman"/>
                      <w:i w:val="0"/>
                      <w:iCs w:val="0"/>
                      <w:color w:val="000000"/>
                      <w:kern w:val="0"/>
                      <w:sz w:val="21"/>
                      <w:szCs w:val="21"/>
                      <w:highlight w:val="none"/>
                      <w:u w:val="none"/>
                      <w:lang w:val="en-US" w:eastAsia="zh-CN" w:bidi="ar"/>
                    </w:rPr>
                    <w:t>1.98</w:t>
                  </w:r>
                </w:p>
              </w:tc>
              <w:tc>
                <w:tcPr>
                  <w:tcW w:w="1167" w:type="dxa"/>
                  <w:noWrap w:val="0"/>
                  <w:vAlign w:val="center"/>
                </w:tcPr>
                <w:p w14:paraId="0B00C146">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color w:val="auto"/>
                      <w:sz w:val="21"/>
                      <w:szCs w:val="21"/>
                      <w:highlight w:val="none"/>
                      <w:lang w:val="en-US" w:eastAsia="zh-CN"/>
                    </w:rPr>
                  </w:pPr>
                  <w:r>
                    <w:rPr>
                      <w:rFonts w:hint="eastAsia" w:cs="Times New Roman"/>
                      <w:i w:val="0"/>
                      <w:iCs w:val="0"/>
                      <w:color w:val="000000"/>
                      <w:kern w:val="0"/>
                      <w:sz w:val="21"/>
                      <w:szCs w:val="21"/>
                      <w:highlight w:val="none"/>
                      <w:u w:val="none"/>
                      <w:lang w:val="en-US" w:eastAsia="zh-CN" w:bidi="ar"/>
                    </w:rPr>
                    <w:t>594</w:t>
                  </w:r>
                </w:p>
              </w:tc>
              <w:tc>
                <w:tcPr>
                  <w:tcW w:w="1387" w:type="dxa"/>
                  <w:noWrap w:val="0"/>
                  <w:vAlign w:val="center"/>
                </w:tcPr>
                <w:p w14:paraId="6B50486E">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0.64</w:t>
                  </w:r>
                </w:p>
              </w:tc>
              <w:tc>
                <w:tcPr>
                  <w:tcW w:w="1701" w:type="dxa"/>
                  <w:noWrap w:val="0"/>
                  <w:vAlign w:val="center"/>
                </w:tcPr>
                <w:p w14:paraId="171CCE44">
                  <w:pPr>
                    <w:keepNext w:val="0"/>
                    <w:keepLines w:val="0"/>
                    <w:suppressLineNumbers w:val="0"/>
                    <w:spacing w:before="0" w:beforeAutospacing="0" w:after="0" w:afterAutospacing="0"/>
                    <w:ind w:left="0" w:right="0"/>
                    <w:jc w:val="center"/>
                    <w:rPr>
                      <w:rFonts w:hint="default" w:ascii="Times New Roman" w:hAnsi="Times New Roman" w:cs="Times New Roman"/>
                      <w:color w:val="auto"/>
                      <w:sz w:val="21"/>
                      <w:szCs w:val="21"/>
                      <w:highlight w:val="none"/>
                      <w:lang w:val="en-US" w:eastAsia="zh-CN"/>
                    </w:rPr>
                  </w:pPr>
                  <w:r>
                    <w:rPr>
                      <w:rFonts w:hint="eastAsia" w:cs="Times New Roman"/>
                      <w:color w:val="auto"/>
                      <w:sz w:val="21"/>
                      <w:szCs w:val="21"/>
                      <w:highlight w:val="none"/>
                      <w:lang w:val="en-US" w:eastAsia="zh-CN"/>
                    </w:rPr>
                    <w:t>192</w:t>
                  </w:r>
                </w:p>
              </w:tc>
            </w:tr>
          </w:tbl>
          <w:p w14:paraId="16FCF765">
            <w:pPr>
              <w:pStyle w:val="5"/>
              <w:keepNext w:val="0"/>
              <w:keepLines w:val="0"/>
              <w:numPr>
                <w:ilvl w:val="2"/>
                <w:numId w:val="0"/>
              </w:numPr>
              <w:suppressLineNumbers w:val="0"/>
              <w:snapToGrid w:val="0"/>
              <w:spacing w:before="0" w:beforeAutospacing="0" w:after="0" w:afterAutospacing="0" w:line="240" w:lineRule="auto"/>
              <w:ind w:left="0" w:right="0"/>
              <w:jc w:val="center"/>
              <w:rPr>
                <w:rFonts w:hint="default"/>
                <w:color w:val="auto"/>
                <w:sz w:val="21"/>
                <w:szCs w:val="21"/>
                <w:highlight w:val="green"/>
              </w:rPr>
            </w:pPr>
            <w:r>
              <w:rPr>
                <w:rFonts w:hint="default"/>
                <w:sz w:val="21"/>
              </w:rPr>
              <mc:AlternateContent>
                <mc:Choice Requires="wps">
                  <w:drawing>
                    <wp:anchor distT="0" distB="0" distL="114300" distR="114300" simplePos="0" relativeHeight="251661312" behindDoc="0" locked="0" layoutInCell="1" allowOverlap="1">
                      <wp:simplePos x="0" y="0"/>
                      <wp:positionH relativeFrom="column">
                        <wp:posOffset>2003425</wp:posOffset>
                      </wp:positionH>
                      <wp:positionV relativeFrom="paragraph">
                        <wp:posOffset>201930</wp:posOffset>
                      </wp:positionV>
                      <wp:extent cx="843915" cy="292100"/>
                      <wp:effectExtent l="0" t="0" r="0" b="0"/>
                      <wp:wrapNone/>
                      <wp:docPr id="27" name="矩形 27"/>
                      <wp:cNvGraphicFramePr/>
                      <a:graphic xmlns:a="http://schemas.openxmlformats.org/drawingml/2006/main">
                        <a:graphicData uri="http://schemas.microsoft.com/office/word/2010/wordprocessingShape">
                          <wps:wsp>
                            <wps:cNvSpPr/>
                            <wps:spPr>
                              <a:xfrm>
                                <a:off x="0" y="0"/>
                                <a:ext cx="843915" cy="292100"/>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2C3BE21F">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损耗0.16</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57.75pt;margin-top:15.9pt;height:23pt;width:66.45pt;z-index:251661312;v-text-anchor:middle;mso-width-relative:page;mso-height-relative:page;" filled="f" stroked="f" coordsize="21600,21600" o:gfxdata="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SInOltcAAAAJAQAA&#10;DwAAAAAAAAABACAAAAAiAAAAZHJzL2Rvd25yZXYueG1sUEsBAhQAFAAAAAgAh07iQB5djm5TAgAA&#10;lwQAAA4AAAAAAAAAAQAgAAAAJgEAAGRycy9lMm9Eb2MueG1sUEsFBgAAAAAGAAYAWQEAAOsFAAAA&#10;AA==&#10;">
                      <v:fill on="f" focussize="0,0"/>
                      <v:stroke on="f" weight="1pt"/>
                      <v:imagedata o:title=""/>
                      <o:lock v:ext="edit" aspectratio="f"/>
                      <v:textbox>
                        <w:txbxContent>
                          <w:p w14:paraId="2C3BE21F">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损耗0.16</w:t>
                            </w:r>
                          </w:p>
                        </w:txbxContent>
                      </v:textbox>
                    </v:rect>
                  </w:pict>
                </mc:Fallback>
              </mc:AlternateContent>
            </w:r>
          </w:p>
          <w:p w14:paraId="7773CD2E">
            <w:pPr>
              <w:keepNext w:val="0"/>
              <w:keepLines w:val="0"/>
              <w:suppressLineNumbers w:val="0"/>
              <w:spacing w:before="0" w:beforeAutospacing="0" w:after="0" w:afterAutospacing="0"/>
              <w:ind w:left="0" w:right="0"/>
              <w:rPr>
                <w:rFonts w:hint="default"/>
                <w:color w:val="auto"/>
                <w:sz w:val="21"/>
                <w:szCs w:val="21"/>
                <w:highlight w:val="green"/>
              </w:rPr>
            </w:pPr>
            <w:r>
              <w:rPr>
                <w:rFonts w:hint="default"/>
                <w:sz w:val="21"/>
              </w:rPr>
              <mc:AlternateContent>
                <mc:Choice Requires="wpg">
                  <w:drawing>
                    <wp:anchor distT="0" distB="0" distL="114300" distR="114300" simplePos="0" relativeHeight="251662336" behindDoc="0" locked="0" layoutInCell="1" allowOverlap="1">
                      <wp:simplePos x="0" y="0"/>
                      <wp:positionH relativeFrom="column">
                        <wp:posOffset>857250</wp:posOffset>
                      </wp:positionH>
                      <wp:positionV relativeFrom="paragraph">
                        <wp:posOffset>85725</wp:posOffset>
                      </wp:positionV>
                      <wp:extent cx="4350385" cy="1931035"/>
                      <wp:effectExtent l="0" t="8890" r="0" b="22225"/>
                      <wp:wrapNone/>
                      <wp:docPr id="34" name="组合 34"/>
                      <wp:cNvGraphicFramePr/>
                      <a:graphic xmlns:a="http://schemas.openxmlformats.org/drawingml/2006/main">
                        <a:graphicData uri="http://schemas.microsoft.com/office/word/2010/wordprocessingGroup">
                          <wpg:wgp>
                            <wpg:cNvGrpSpPr/>
                            <wpg:grpSpPr>
                              <a:xfrm>
                                <a:off x="0" y="0"/>
                                <a:ext cx="4350385" cy="1931035"/>
                                <a:chOff x="5967" y="262516"/>
                                <a:chExt cx="6851" cy="3041"/>
                              </a:xfrm>
                            </wpg:grpSpPr>
                            <wps:wsp>
                              <wps:cNvPr id="4" name="矩形 4"/>
                              <wps:cNvSpPr/>
                              <wps:spPr>
                                <a:xfrm>
                                  <a:off x="7286" y="262784"/>
                                  <a:ext cx="1222" cy="503"/>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EEADB87">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生活用水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0" name="矩形 10"/>
                              <wps:cNvSpPr/>
                              <wps:spPr>
                                <a:xfrm>
                                  <a:off x="7299" y="263920"/>
                                  <a:ext cx="1716" cy="503"/>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1C9C3021">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车辆清洗用水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1" name="矩形 11"/>
                              <wps:cNvSpPr/>
                              <wps:spPr>
                                <a:xfrm>
                                  <a:off x="7308" y="265055"/>
                                  <a:ext cx="1222" cy="503"/>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7F00734">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喷淋用水</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 name="直接连接符 12"/>
                              <wps:cNvCnPr/>
                              <wps:spPr>
                                <a:xfrm flipH="1">
                                  <a:off x="6633" y="263046"/>
                                  <a:ext cx="10" cy="2250"/>
                                </a:xfrm>
                                <a:prstGeom prst="line">
                                  <a:avLst/>
                                </a:prstGeom>
                                <a:ln w="12700">
                                  <a:solidFill>
                                    <a:schemeClr val="tx1"/>
                                  </a:solidFill>
                                </a:ln>
                              </wps:spPr>
                              <wps:style>
                                <a:lnRef idx="2">
                                  <a:schemeClr val="accent1"/>
                                </a:lnRef>
                                <a:fillRef idx="0">
                                  <a:srgbClr val="FFFFFF"/>
                                </a:fillRef>
                                <a:effectRef idx="0">
                                  <a:srgbClr val="FFFFFF"/>
                                </a:effectRef>
                                <a:fontRef idx="minor">
                                  <a:schemeClr val="tx1"/>
                                </a:fontRef>
                              </wps:style>
                              <wps:bodyPr/>
                            </wps:wsp>
                            <wps:wsp>
                              <wps:cNvPr id="13" name="直接箭头连接符 13"/>
                              <wps:cNvCnPr/>
                              <wps:spPr>
                                <a:xfrm flipV="1">
                                  <a:off x="6632" y="263036"/>
                                  <a:ext cx="664" cy="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14" name="直接箭头连接符 14"/>
                              <wps:cNvCnPr/>
                              <wps:spPr>
                                <a:xfrm flipV="1">
                                  <a:off x="6642" y="264161"/>
                                  <a:ext cx="664" cy="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15" name="直接箭头连接符 15"/>
                              <wps:cNvCnPr/>
                              <wps:spPr>
                                <a:xfrm flipV="1">
                                  <a:off x="6653" y="265286"/>
                                  <a:ext cx="664" cy="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16" name="直接箭头连接符 16"/>
                              <wps:cNvCnPr/>
                              <wps:spPr>
                                <a:xfrm flipV="1">
                                  <a:off x="5967" y="264161"/>
                                  <a:ext cx="664" cy="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18" name="直接箭头连接符 18"/>
                              <wps:cNvCnPr/>
                              <wps:spPr>
                                <a:xfrm flipV="1">
                                  <a:off x="8517" y="263025"/>
                                  <a:ext cx="664" cy="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19" name="矩形 19"/>
                              <wps:cNvSpPr/>
                              <wps:spPr>
                                <a:xfrm>
                                  <a:off x="9163" y="262784"/>
                                  <a:ext cx="1094" cy="503"/>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C5004BA">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化粪池</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0" name="直接箭头连接符 20"/>
                              <wps:cNvCnPr/>
                              <wps:spPr>
                                <a:xfrm flipV="1">
                                  <a:off x="10276" y="263037"/>
                                  <a:ext cx="664" cy="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21" name="矩形 21"/>
                              <wps:cNvSpPr/>
                              <wps:spPr>
                                <a:xfrm>
                                  <a:off x="10902" y="262673"/>
                                  <a:ext cx="1917" cy="845"/>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6C91CA58">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泾河新城第二水处理厂处理</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2" name="矩形 22"/>
                              <wps:cNvSpPr/>
                              <wps:spPr>
                                <a:xfrm>
                                  <a:off x="6530" y="262640"/>
                                  <a:ext cx="783" cy="471"/>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0258DAAE">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0.8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3" name="矩形 23"/>
                              <wps:cNvSpPr/>
                              <wps:spPr>
                                <a:xfrm>
                                  <a:off x="6562" y="263786"/>
                                  <a:ext cx="783" cy="471"/>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436A0779">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0.18</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4" name="矩形 24"/>
                              <wps:cNvSpPr/>
                              <wps:spPr>
                                <a:xfrm>
                                  <a:off x="6551" y="264879"/>
                                  <a:ext cx="783" cy="471"/>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00D2AEFE">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1</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曲线连接符 26"/>
                              <wps:cNvCnPr/>
                              <wps:spPr>
                                <a:xfrm flipV="1">
                                  <a:off x="7683" y="262516"/>
                                  <a:ext cx="310" cy="235"/>
                                </a:xfrm>
                                <a:prstGeom prst="curvedConnector3">
                                  <a:avLst>
                                    <a:gd name="adj1" fmla="val 50323"/>
                                  </a:avLst>
                                </a:prstGeom>
                                <a:ln w="1270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28" name="矩形 28"/>
                              <wps:cNvSpPr/>
                              <wps:spPr>
                                <a:xfrm>
                                  <a:off x="8459" y="262683"/>
                                  <a:ext cx="783" cy="471"/>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5A995795">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0.64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9" name="矩形 29"/>
                              <wps:cNvSpPr/>
                              <wps:spPr>
                                <a:xfrm>
                                  <a:off x="10227" y="262715"/>
                                  <a:ext cx="783" cy="471"/>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4320E359">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0.64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1" name="曲线连接符 31"/>
                              <wps:cNvCnPr/>
                              <wps:spPr>
                                <a:xfrm flipV="1">
                                  <a:off x="7748" y="263663"/>
                                  <a:ext cx="310" cy="235"/>
                                </a:xfrm>
                                <a:prstGeom prst="curvedConnector3">
                                  <a:avLst>
                                    <a:gd name="adj1" fmla="val 50323"/>
                                  </a:avLst>
                                </a:prstGeom>
                                <a:ln w="1270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30" name="矩形 30"/>
                              <wps:cNvSpPr/>
                              <wps:spPr>
                                <a:xfrm>
                                  <a:off x="8073" y="263456"/>
                                  <a:ext cx="1329" cy="460"/>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224E691D">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损耗0.14</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33" name="曲线连接符 33"/>
                              <wps:cNvCnPr/>
                              <wps:spPr>
                                <a:xfrm flipV="1">
                                  <a:off x="7737" y="264798"/>
                                  <a:ext cx="310" cy="235"/>
                                </a:xfrm>
                                <a:prstGeom prst="curvedConnector3">
                                  <a:avLst>
                                    <a:gd name="adj1" fmla="val 50323"/>
                                  </a:avLst>
                                </a:prstGeom>
                                <a:ln w="1270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wps:wsp>
                              <wps:cNvPr id="32" name="矩形 32"/>
                              <wps:cNvSpPr/>
                              <wps:spPr>
                                <a:xfrm>
                                  <a:off x="8062" y="264591"/>
                                  <a:ext cx="1329" cy="460"/>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14705485">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损耗1</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anchor>
                  </w:drawing>
                </mc:Choice>
                <mc:Fallback>
                  <w:pict>
                    <v:group id="_x0000_s1026" o:spid="_x0000_s1026" o:spt="203" style="position:absolute;left:0pt;margin-left:67.5pt;margin-top:6.75pt;height:152.05pt;width:342.55pt;z-index:251662336;mso-width-relative:page;mso-height-relative:page;" coordorigin="5967,262516" coordsize="6851,3041" o:gfxdata="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&#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">
                      <o:lock v:ext="edit" aspectratio="f"/>
                      <v:rect id="_x0000_s1026" o:spid="_x0000_s1026" o:spt="1" style="position:absolute;left:7286;top:262784;height:503;width:1222;v-text-anchor:middle;" filled="f" stroked="t" coordsize="21600,21600" o:gfxdata="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STeCvQAA&#10;ANoAAAAPAAAAAAAAAAEAIAAAACIAAABkcnMvZG93bnJldi54bWxQSwECFAAUAAAACACHTuJAMy8F&#10;njsAAAA5AAAAEAAAAAAAAAABACAAAAAMAQAAZHJzL3NoYXBleG1sLnhtbFBLBQYAAAAABgAGAFsB&#10;AAC2AwAAAAA=&#10;">
                        <v:fill on="f" focussize="0,0"/>
                        <v:stroke weight="1pt" color="#000000 [3213]" joinstyle="round"/>
                        <v:imagedata o:title=""/>
                        <o:lock v:ext="edit" aspectratio="f"/>
                        <v:textbox>
                          <w:txbxContent>
                            <w:p w14:paraId="3EEADB87">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生活用水</w:t>
                              </w:r>
                            </w:p>
                          </w:txbxContent>
                        </v:textbox>
                      </v:rect>
                      <v:rect id="_x0000_s1026" o:spid="_x0000_s1026" o:spt="1" style="position:absolute;left:7299;top:263920;height:503;width:1716;v-text-anchor:middle;" filled="f" stroked="t" coordsize="21600,21600" o:gfxdata="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OieHb4A&#10;AADbAAAADwAAAAAAAAABACAAAAAiAAAAZHJzL2Rvd25yZXYueG1sUEsBAhQAFAAAAAgAh07iQDMv&#10;BZ47AAAAOQAAABAAAAAAAAAAAQAgAAAADQEAAGRycy9zaGFwZXhtbC54bWxQSwUGAAAAAAYABgBb&#10;AQAAtwMAAAAA&#10;">
                        <v:fill on="f" focussize="0,0"/>
                        <v:stroke weight="1pt" color="#000000 [3213]" joinstyle="round"/>
                        <v:imagedata o:title=""/>
                        <o:lock v:ext="edit" aspectratio="f"/>
                        <v:textbox>
                          <w:txbxContent>
                            <w:p w14:paraId="1C9C3021">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车辆清洗用水</w:t>
                              </w:r>
                            </w:p>
                          </w:txbxContent>
                        </v:textbox>
                      </v:rect>
                      <v:rect id="_x0000_s1026" o:spid="_x0000_s1026" o:spt="1" style="position:absolute;left:7308;top:265055;height:503;width:1222;v-text-anchor:middle;" filled="f" stroked="t" coordsize="21600,21600" o:gfxdata="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R6Q7hrsAAADb&#10;AAAADwAAAAAAAAABACAAAAAiAAAAZHJzL2Rvd25yZXYueG1sUEsBAhQAFAAAAAgAh07iQDMvBZ47&#10;AAAAOQAAABAAAAAAAAAAAQAgAAAACgEAAGRycy9zaGFwZXhtbC54bWxQSwUGAAAAAAYABgBbAQAA&#10;tAMAAAAA&#10;">
                        <v:fill on="f" focussize="0,0"/>
                        <v:stroke weight="1pt" color="#000000 [3213]" joinstyle="round"/>
                        <v:imagedata o:title=""/>
                        <o:lock v:ext="edit" aspectratio="f"/>
                        <v:textbox>
                          <w:txbxContent>
                            <w:p w14:paraId="47F00734">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喷淋用水</w:t>
                              </w:r>
                            </w:p>
                          </w:txbxContent>
                        </v:textbox>
                      </v:rect>
                      <v:line id="_x0000_s1026" o:spid="_x0000_s1026" o:spt="20" style="position:absolute;left:6633;top:263046;flip:x;height:2250;width:10;" filled="f" stroked="t" coordsize="21600,21600" o:gfxdata="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2B1nS5AAAA2wAA&#10;AA8AAAAAAAAAAQAgAAAAIgAAAGRycy9kb3ducmV2LnhtbFBLAQIUABQAAAAIAIdO4kAzLwWeOwAA&#10;ADkAAAAQAAAAAAAAAAEAIAAAAAgBAABkcnMvc2hhcGV4bWwueG1sUEsFBgAAAAAGAAYAWwEAALID&#10;AAAAAA==&#10;">
                        <v:fill on="f" focussize="0,0"/>
                        <v:stroke weight="1pt" color="#000000 [3213]" joinstyle="round"/>
                        <v:imagedata o:title=""/>
                        <o:lock v:ext="edit" aspectratio="f"/>
                      </v:line>
                      <v:shape id="_x0000_s1026" o:spid="_x0000_s1026" o:spt="32" type="#_x0000_t32" style="position:absolute;left:6632;top:263036;flip:y;height:5;width:664;" filled="f" stroked="t" coordsize="21600,21600" o:gfxdata="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rTOm28AAAA&#10;2w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shape id="_x0000_s1026" o:spid="_x0000_s1026" o:spt="32" type="#_x0000_t32" style="position:absolute;left:6642;top:264161;flip:y;height:5;width:664;" filled="f" stroked="t" coordsize="21600,21600" o:gfxdata="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U6ohm8AAAA&#10;2w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shape id="_x0000_s1026" o:spid="_x0000_s1026" o:spt="32" type="#_x0000_t32" style="position:absolute;left:6653;top:265286;flip:y;height:5;width:664;" filled="f" stroked="t" coordsize="21600,21600" o:gfxdata="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p2B4K8AAAA&#10;2wAAAA8AAAAAAAAAAQAgAAAAIgAAAGRycy9kb3ducmV2LnhtbFBLAQIUABQAAAAIAIdO4kAzLwWe&#10;OwAAADkAAAAQAAAAAAAAAAEAIAAAAAsBAABkcnMvc2hhcGV4bWwueG1sUEsFBgAAAAAGAAYAWwEA&#10;ALUDAAAAAA==&#10;">
                        <v:fill on="f" focussize="0,0"/>
                        <v:stroke weight="1pt" color="#000000 [3213]" joinstyle="round" endarrow="block"/>
                        <v:imagedata o:title=""/>
                        <o:lock v:ext="edit" aspectratio="f"/>
                      </v:shape>
                      <v:shape id="_x0000_s1026" o:spid="_x0000_s1026" o:spt="32" type="#_x0000_t32" style="position:absolute;left:5967;top:264161;flip:y;height:5;width:664;" filled="f" stroked="t" coordsize="21600,21600" o:gfxdata="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pJn1vQAA&#10;ANsAAAAPAAAAAAAAAAEAIAAAACIAAABkcnMvZG93bnJldi54bWxQSwECFAAUAAAACACHTuJAMy8F&#10;njsAAAA5AAAAEAAAAAAAAAABACAAAAAMAQAAZHJzL3NoYXBleG1sLnhtbFBLBQYAAAAABgAGAFsB&#10;AAC2AwAAAAA=&#10;">
                        <v:fill on="f" focussize="0,0"/>
                        <v:stroke weight="1pt" color="#000000 [3213]" joinstyle="round" endarrow="block"/>
                        <v:imagedata o:title=""/>
                        <o:lock v:ext="edit" aspectratio="f"/>
                      </v:shape>
                      <v:shape id="_x0000_s1026" o:spid="_x0000_s1026" o:spt="32" type="#_x0000_t32" style="position:absolute;left:8517;top:263025;flip:y;height:5;width:664;" filled="f" stroked="t" coordsize="21600,21600" o:gfxdata="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kd6gc&#10;wAAAANsAAAAPAAAAAAAAAAEAIAAAACIAAABkcnMvZG93bnJldi54bWxQSwECFAAUAAAACACHTuJA&#10;My8FnjsAAAA5AAAAEAAAAAAAAAABACAAAAAPAQAAZHJzL3NoYXBleG1sLnhtbFBLBQYAAAAABgAG&#10;AFsBAAC5AwAAAAA=&#10;">
                        <v:fill on="f" focussize="0,0"/>
                        <v:stroke weight="1pt" color="#000000 [3213]" joinstyle="round" endarrow="block"/>
                        <v:imagedata o:title=""/>
                        <o:lock v:ext="edit" aspectratio="f"/>
                      </v:shape>
                      <v:rect id="_x0000_s1026" o:spid="_x0000_s1026" o:spt="1" style="position:absolute;left:9163;top:262784;height:503;width:1094;v-text-anchor:middle;" filled="f" stroked="t" coordsize="21600,21600" o:gfxdata="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dI3gLsAAADb&#10;AAAADwAAAAAAAAABACAAAAAiAAAAZHJzL2Rvd25yZXYueG1sUEsBAhQAFAAAAAgAh07iQDMvBZ47&#10;AAAAOQAAABAAAAAAAAAAAQAgAAAACgEAAGRycy9zaGFwZXhtbC54bWxQSwUGAAAAAAYABgBbAQAA&#10;tAMAAAAA&#10;">
                        <v:fill on="f" focussize="0,0"/>
                        <v:stroke weight="1pt" color="#000000 [3213]" joinstyle="round"/>
                        <v:imagedata o:title=""/>
                        <o:lock v:ext="edit" aspectratio="f"/>
                        <v:textbox>
                          <w:txbxContent>
                            <w:p w14:paraId="3C5004BA">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化粪池</w:t>
                              </w:r>
                            </w:p>
                          </w:txbxContent>
                        </v:textbox>
                      </v:rect>
                      <v:shape id="_x0000_s1026" o:spid="_x0000_s1026" o:spt="32" type="#_x0000_t32" style="position:absolute;left:10276;top:263037;flip:y;height:5;width:664;" filled="f" stroked="t" coordsize="21600,21600" o:gfxdata="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1G1up7sAAADb&#10;AAAADwAAAAAAAAABACAAAAAiAAAAZHJzL2Rvd25yZXYueG1sUEsBAhQAFAAAAAgAh07iQDMvBZ47&#10;AAAAOQAAABAAAAAAAAAAAQAgAAAACgEAAGRycy9zaGFwZXhtbC54bWxQSwUGAAAAAAYABgBbAQAA&#10;tAMAAAAA&#10;">
                        <v:fill on="f" focussize="0,0"/>
                        <v:stroke weight="1pt" color="#000000 [3213]" joinstyle="round" endarrow="block"/>
                        <v:imagedata o:title=""/>
                        <o:lock v:ext="edit" aspectratio="f"/>
                      </v:shape>
                      <v:rect id="_x0000_s1026" o:spid="_x0000_s1026" o:spt="1" style="position:absolute;left:10902;top:262673;height:845;width:1917;v-text-anchor:middle;" filled="f" stroked="f" coordsize="21600,21600" o:gfxdata="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LHKEG8AAAA&#10;2wAAAA8AAAAAAAAAAQAgAAAAIgAAAGRycy9kb3ducmV2LnhtbFBLAQIUABQAAAAIAIdO4kAzLwWe&#10;OwAAADkAAAAQAAAAAAAAAAEAIAAAAAsBAABkcnMvc2hhcGV4bWwueG1sUEsFBgAAAAAGAAYAWwEA&#10;ALUDAAAAAA==&#10;">
                        <v:fill on="f" focussize="0,0"/>
                        <v:stroke on="f" weight="1pt"/>
                        <v:imagedata o:title=""/>
                        <o:lock v:ext="edit" aspectratio="f"/>
                        <v:textbox>
                          <w:txbxContent>
                            <w:p w14:paraId="6C91CA58">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泾河新城第二水处理厂处理</w:t>
                              </w:r>
                            </w:p>
                          </w:txbxContent>
                        </v:textbox>
                      </v:rect>
                      <v:rect id="_x0000_s1026" o:spid="_x0000_s1026" o:spt="1" style="position:absolute;left:6530;top:262640;height:471;width:783;v-text-anchor:middle;" filled="f" stroked="f" coordsize="21600,21600" o:gfxdata="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hW2NrsAAADb&#10;AAAADwAAAAAAAAABACAAAAAiAAAAZHJzL2Rvd25yZXYueG1sUEsBAhQAFAAAAAgAh07iQDMvBZ47&#10;AAAAOQAAABAAAAAAAAAAAQAgAAAACgEAAGRycy9zaGFwZXhtbC54bWxQSwUGAAAAAAYABgBbAQAA&#10;tAMAAAAA&#10;">
                        <v:fill on="f" focussize="0,0"/>
                        <v:stroke on="f" weight="1pt"/>
                        <v:imagedata o:title=""/>
                        <o:lock v:ext="edit" aspectratio="f"/>
                        <v:textbox>
                          <w:txbxContent>
                            <w:p w14:paraId="0258DAAE">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0.8</w:t>
                              </w:r>
                            </w:p>
                          </w:txbxContent>
                        </v:textbox>
                      </v:rect>
                      <v:rect id="_x0000_s1026" o:spid="_x0000_s1026" o:spt="1" style="position:absolute;left:6562;top:263786;height:471;width:783;v-text-anchor:middle;" filled="f" stroked="f" coordsize="21600,21600" o:gfxdata="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1ZE628AAAA&#10;2wAAAA8AAAAAAAAAAQAgAAAAIgAAAGRycy9kb3ducmV2LnhtbFBLAQIUABQAAAAIAIdO4kAzLwWe&#10;OwAAADkAAAAQAAAAAAAAAAEAIAAAAAsBAABkcnMvc2hhcGV4bWwueG1sUEsFBgAAAAAGAAYAWwEA&#10;ALUDAAAAAA==&#10;">
                        <v:fill on="f" focussize="0,0"/>
                        <v:stroke on="f" weight="1pt"/>
                        <v:imagedata o:title=""/>
                        <o:lock v:ext="edit" aspectratio="f"/>
                        <v:textbox>
                          <w:txbxContent>
                            <w:p w14:paraId="436A0779">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0.18</w:t>
                              </w:r>
                            </w:p>
                          </w:txbxContent>
                        </v:textbox>
                      </v:rect>
                      <v:rect id="_x0000_s1026" o:spid="_x0000_s1026" o:spt="1" style="position:absolute;left:6551;top:264879;height:471;width:783;v-text-anchor:middle;" filled="f" stroked="f" coordsize="21600,21600" o:gfxdata="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Kwi9m8AAAA&#10;2wAAAA8AAAAAAAAAAQAgAAAAIgAAAGRycy9kb3ducmV2LnhtbFBLAQIUABQAAAAIAIdO4kAzLwWe&#10;OwAAADkAAAAQAAAAAAAAAAEAIAAAAAsBAABkcnMvc2hhcGV4bWwueG1sUEsFBgAAAAAGAAYAWwEA&#10;ALUDAAAAAA==&#10;">
                        <v:fill on="f" focussize="0,0"/>
                        <v:stroke on="f" weight="1pt"/>
                        <v:imagedata o:title=""/>
                        <o:lock v:ext="edit" aspectratio="f"/>
                        <v:textbox>
                          <w:txbxContent>
                            <w:p w14:paraId="00D2AEFE">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1</w:t>
                              </w:r>
                            </w:p>
                          </w:txbxContent>
                        </v:textbox>
                      </v:rect>
                      <v:shape id="_x0000_s1026" o:spid="_x0000_s1026" o:spt="38" type="#_x0000_t38" style="position:absolute;left:7683;top:262516;flip:y;height:235;width:310;" filled="f" stroked="t" coordsize="21600,21600" o:gfxdata="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YUIpbbsAAADb&#10;AAAADwAAAAAAAAABACAAAAAiAAAAZHJzL2Rvd25yZXYueG1sUEsBAhQAFAAAAAgAh07iQDMvBZ47&#10;AAAAOQAAABAAAAAAAAAAAQAgAAAACgEAAGRycy9zaGFwZXhtbC54bWxQSwUGAAAAAAYABgBbAQAA&#10;tAMAAAAA&#10;" adj="10870">
                        <v:fill on="f" focussize="0,0"/>
                        <v:stroke weight="1pt" color="#000000 [3213]" joinstyle="round" dashstyle="dash" endarrow="block"/>
                        <v:imagedata o:title=""/>
                        <o:lock v:ext="edit" aspectratio="f"/>
                      </v:shape>
                      <v:rect id="_x0000_s1026" o:spid="_x0000_s1026" o:spt="1" style="position:absolute;left:8459;top:262683;height:471;width:783;v-text-anchor:middle;" filled="f" stroked="f" coordsize="21600,21600" o:gfxdata="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M/2B3LgAAADbAAAA&#10;DwAAAAAAAAABACAAAAAiAAAAZHJzL2Rvd25yZXYueG1sUEsBAhQAFAAAAAgAh07iQDMvBZ47AAAA&#10;OQAAABAAAAAAAAAAAQAgAAAABwEAAGRycy9zaGFwZXhtbC54bWxQSwUGAAAAAAYABgBbAQAAsQMA&#10;AAAA&#10;">
                        <v:fill on="f" focussize="0,0"/>
                        <v:stroke on="f" weight="1pt"/>
                        <v:imagedata o:title=""/>
                        <o:lock v:ext="edit" aspectratio="f"/>
                        <v:textbox>
                          <w:txbxContent>
                            <w:p w14:paraId="5A995795">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0.64</w:t>
                              </w:r>
                            </w:p>
                          </w:txbxContent>
                        </v:textbox>
                      </v:rect>
                      <v:rect id="_x0000_s1026" o:spid="_x0000_s1026" o:spt="1" style="position:absolute;left:10227;top:262715;height:471;width:783;v-text-anchor:middle;" filled="f" stroked="f" coordsize="21600,21600" o:gfxdata="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LEkR7sAAADb&#10;AAAADwAAAAAAAAABACAAAAAiAAAAZHJzL2Rvd25yZXYueG1sUEsBAhQAFAAAAAgAh07iQDMvBZ47&#10;AAAAOQAAABAAAAAAAAAAAQAgAAAACgEAAGRycy9zaGFwZXhtbC54bWxQSwUGAAAAAAYABgBbAQAA&#10;tAMAAAAA&#10;">
                        <v:fill on="f" focussize="0,0"/>
                        <v:stroke on="f" weight="1pt"/>
                        <v:imagedata o:title=""/>
                        <o:lock v:ext="edit" aspectratio="f"/>
                        <v:textbox>
                          <w:txbxContent>
                            <w:p w14:paraId="4320E359">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0.64</w:t>
                              </w:r>
                            </w:p>
                          </w:txbxContent>
                        </v:textbox>
                      </v:rect>
                      <v:shape id="_x0000_s1026" o:spid="_x0000_s1026" o:spt="38" type="#_x0000_t38" style="position:absolute;left:7748;top:263663;flip:y;height:235;width:310;" filled="f" stroked="t" coordsize="21600,21600" o:gfxdata="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tyJ8S8AAAA&#10;2wAAAA8AAAAAAAAAAQAgAAAAIgAAAGRycy9kb3ducmV2LnhtbFBLAQIUABQAAAAIAIdO4kAzLwWe&#10;OwAAADkAAAAQAAAAAAAAAAEAIAAAAAsBAABkcnMvc2hhcGV4bWwueG1sUEsFBgAAAAAGAAYAWwEA&#10;ALUDAAAAAA==&#10;" adj="10870">
                        <v:fill on="f" focussize="0,0"/>
                        <v:stroke weight="1pt" color="#000000 [3213]" joinstyle="round" dashstyle="dash" endarrow="block"/>
                        <v:imagedata o:title=""/>
                        <o:lock v:ext="edit" aspectratio="f"/>
                      </v:shape>
                      <v:rect id="_x0000_s1026" o:spid="_x0000_s1026" o:spt="1" style="position:absolute;left:8073;top:263456;height:460;width:1329;v-text-anchor:middle;" filled="f" stroked="f" coordsize="21600,21600" o:gfxdata="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EhSGwe5AAAA2wAA&#10;AA8AAAAAAAAAAQAgAAAAIgAAAGRycy9kb3ducmV2LnhtbFBLAQIUABQAAAAIAIdO4kAzLwWeOwAA&#10;ADkAAAAQAAAAAAAAAAEAIAAAAAgBAABkcnMvc2hhcGV4bWwueG1sUEsFBgAAAAAGAAYAWwEAALID&#10;AAAAAA==&#10;">
                        <v:fill on="f" focussize="0,0"/>
                        <v:stroke on="f" weight="1pt"/>
                        <v:imagedata o:title=""/>
                        <o:lock v:ext="edit" aspectratio="f"/>
                        <v:textbox>
                          <w:txbxContent>
                            <w:p w14:paraId="224E691D">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损耗0.14</w:t>
                              </w:r>
                            </w:p>
                          </w:txbxContent>
                        </v:textbox>
                      </v:rect>
                      <v:shape id="_x0000_s1026" o:spid="_x0000_s1026" o:spt="38" type="#_x0000_t38" style="position:absolute;left:7737;top:264798;flip:y;height:235;width:310;" filled="f" stroked="t" coordsize="21600,21600" o:gfxdata="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TsHCi8AAAA&#10;2wAAAA8AAAAAAAAAAQAgAAAAIgAAAGRycy9kb3ducmV2LnhtbFBLAQIUABQAAAAIAIdO4kAzLwWe&#10;OwAAADkAAAAQAAAAAAAAAAEAIAAAAAsBAABkcnMvc2hhcGV4bWwueG1sUEsFBgAAAAAGAAYAWwEA&#10;ALUDAAAAAA==&#10;" adj="10870">
                        <v:fill on="f" focussize="0,0"/>
                        <v:stroke weight="1pt" color="#000000 [3213]" joinstyle="round" dashstyle="dash" endarrow="block"/>
                        <v:imagedata o:title=""/>
                        <o:lock v:ext="edit" aspectratio="f"/>
                      </v:shape>
                      <v:rect id="_x0000_s1026" o:spid="_x0000_s1026" o:spt="1" style="position:absolute;left:8062;top:264591;height:460;width:1329;v-text-anchor:middle;" filled="f" stroked="f" coordsize="21600,21600" o:gfxdata="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fMIOu8AAAA&#10;2wAAAA8AAAAAAAAAAQAgAAAAIgAAAGRycy9kb3ducmV2LnhtbFBLAQIUABQAAAAIAIdO4kAzLwWe&#10;OwAAADkAAAAQAAAAAAAAAAEAIAAAAAsBAABkcnMvc2hhcGV4bWwueG1sUEsFBgAAAAAGAAYAWwEA&#10;ALUDAAAAAA==&#10;">
                        <v:fill on="f" focussize="0,0"/>
                        <v:stroke on="f" weight="1pt"/>
                        <v:imagedata o:title=""/>
                        <o:lock v:ext="edit" aspectratio="f"/>
                        <v:textbox>
                          <w:txbxContent>
                            <w:p w14:paraId="14705485">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损耗1</w:t>
                              </w:r>
                            </w:p>
                          </w:txbxContent>
                        </v:textbox>
                      </v:rect>
                    </v:group>
                  </w:pict>
                </mc:Fallback>
              </mc:AlternateContent>
            </w:r>
          </w:p>
          <w:p w14:paraId="7C9BA07F">
            <w:pPr>
              <w:keepNext w:val="0"/>
              <w:keepLines w:val="0"/>
              <w:suppressLineNumbers w:val="0"/>
              <w:spacing w:before="0" w:beforeAutospacing="0" w:after="0" w:afterAutospacing="0"/>
              <w:ind w:left="0" w:right="0"/>
              <w:rPr>
                <w:rFonts w:hint="default"/>
                <w:color w:val="auto"/>
                <w:sz w:val="21"/>
                <w:szCs w:val="21"/>
                <w:highlight w:val="green"/>
              </w:rPr>
            </w:pPr>
          </w:p>
          <w:p w14:paraId="778F23F5">
            <w:pPr>
              <w:keepNext w:val="0"/>
              <w:keepLines w:val="0"/>
              <w:suppressLineNumbers w:val="0"/>
              <w:spacing w:before="0" w:beforeAutospacing="0" w:after="0" w:afterAutospacing="0"/>
              <w:ind w:left="0" w:right="0"/>
              <w:rPr>
                <w:rFonts w:hint="default"/>
                <w:color w:val="auto"/>
                <w:sz w:val="21"/>
                <w:szCs w:val="21"/>
                <w:highlight w:val="green"/>
              </w:rPr>
            </w:pPr>
          </w:p>
          <w:p w14:paraId="020E3B03">
            <w:pPr>
              <w:keepNext w:val="0"/>
              <w:keepLines w:val="0"/>
              <w:suppressLineNumbers w:val="0"/>
              <w:spacing w:before="0" w:beforeAutospacing="0" w:after="0" w:afterAutospacing="0"/>
              <w:ind w:left="0" w:right="0"/>
              <w:rPr>
                <w:rFonts w:hint="default"/>
                <w:color w:val="auto"/>
                <w:sz w:val="21"/>
                <w:szCs w:val="21"/>
                <w:highlight w:val="green"/>
              </w:rPr>
            </w:pPr>
          </w:p>
          <w:p w14:paraId="3FC74E15">
            <w:pPr>
              <w:keepNext w:val="0"/>
              <w:keepLines w:val="0"/>
              <w:suppressLineNumbers w:val="0"/>
              <w:spacing w:before="0" w:beforeAutospacing="0" w:after="0" w:afterAutospacing="0"/>
              <w:ind w:left="0" w:right="0"/>
              <w:rPr>
                <w:rFonts w:hint="default"/>
                <w:color w:val="auto"/>
                <w:sz w:val="21"/>
                <w:szCs w:val="21"/>
                <w:highlight w:val="green"/>
              </w:rPr>
            </w:pPr>
            <w:r>
              <w:rPr>
                <w:rFonts w:hint="default"/>
                <w:sz w:val="21"/>
              </w:rPr>
              <mc:AlternateContent>
                <mc:Choice Requires="wps">
                  <w:drawing>
                    <wp:anchor distT="0" distB="0" distL="114300" distR="114300" simplePos="0" relativeHeight="251660288" behindDoc="0" locked="0" layoutInCell="1" allowOverlap="1">
                      <wp:simplePos x="0" y="0"/>
                      <wp:positionH relativeFrom="column">
                        <wp:posOffset>548005</wp:posOffset>
                      </wp:positionH>
                      <wp:positionV relativeFrom="paragraph">
                        <wp:posOffset>67945</wp:posOffset>
                      </wp:positionV>
                      <wp:extent cx="775970" cy="536575"/>
                      <wp:effectExtent l="0" t="0" r="0" b="0"/>
                      <wp:wrapNone/>
                      <wp:docPr id="17" name="矩形 17"/>
                      <wp:cNvGraphicFramePr/>
                      <a:graphic xmlns:a="http://schemas.openxmlformats.org/drawingml/2006/main">
                        <a:graphicData uri="http://schemas.microsoft.com/office/word/2010/wordprocessingShape">
                          <wps:wsp>
                            <wps:cNvSpPr/>
                            <wps:spPr>
                              <a:xfrm>
                                <a:off x="0" y="0"/>
                                <a:ext cx="775970" cy="536575"/>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28A82679">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新鲜水1.98</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43.15pt;margin-top:5.35pt;height:42.25pt;width:61.1pt;z-index:251660288;v-text-anchor:middle;mso-width-relative:page;mso-height-relative:page;" filled="f" stroked="f" coordsize="21600,21600" o:gfxdata="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heUcXdYAAAAIAQAADwAA&#10;AAAAAAABACAAAAAiAAAAZHJzL2Rvd25yZXYueG1sUEsBAhQAFAAAAAgAh07iQASIcUtRAgAAlwQA&#10;AA4AAAAAAAAAAQAgAAAAJQEAAGRycy9lMm9Eb2MueG1sUEsFBgAAAAAGAAYAWQEAAOgFAAAAAA==&#10;">
                      <v:fill on="f" focussize="0,0"/>
                      <v:stroke on="f" weight="1pt"/>
                      <v:imagedata o:title=""/>
                      <o:lock v:ext="edit" aspectratio="f"/>
                      <v:textbox>
                        <w:txbxContent>
                          <w:p w14:paraId="28A82679">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新鲜水1.98</w:t>
                            </w:r>
                          </w:p>
                        </w:txbxContent>
                      </v:textbox>
                    </v:rect>
                  </w:pict>
                </mc:Fallback>
              </mc:AlternateContent>
            </w:r>
          </w:p>
          <w:p w14:paraId="5AF60E95">
            <w:pPr>
              <w:keepNext w:val="0"/>
              <w:keepLines w:val="0"/>
              <w:suppressLineNumbers w:val="0"/>
              <w:spacing w:before="0" w:beforeAutospacing="0" w:after="0" w:afterAutospacing="0"/>
              <w:ind w:left="0" w:right="0"/>
              <w:rPr>
                <w:rFonts w:hint="default"/>
                <w:color w:val="auto"/>
                <w:sz w:val="21"/>
                <w:szCs w:val="21"/>
                <w:highlight w:val="green"/>
              </w:rPr>
            </w:pPr>
          </w:p>
          <w:p w14:paraId="7944E50D">
            <w:pPr>
              <w:keepNext w:val="0"/>
              <w:keepLines w:val="0"/>
              <w:suppressLineNumbers w:val="0"/>
              <w:spacing w:before="0" w:beforeAutospacing="0" w:after="0" w:afterAutospacing="0"/>
              <w:ind w:left="0" w:right="0"/>
              <w:rPr>
                <w:rFonts w:hint="default"/>
                <w:color w:val="auto"/>
                <w:sz w:val="21"/>
                <w:szCs w:val="21"/>
                <w:highlight w:val="none"/>
              </w:rPr>
            </w:pPr>
          </w:p>
          <w:p w14:paraId="0E92235B">
            <w:pPr>
              <w:keepNext w:val="0"/>
              <w:keepLines w:val="0"/>
              <w:suppressLineNumbers w:val="0"/>
              <w:spacing w:before="0" w:beforeAutospacing="0" w:after="0" w:afterAutospacing="0"/>
              <w:ind w:left="0" w:right="0"/>
              <w:rPr>
                <w:rFonts w:hint="default"/>
                <w:color w:val="auto"/>
                <w:sz w:val="21"/>
                <w:szCs w:val="21"/>
                <w:highlight w:val="none"/>
              </w:rPr>
            </w:pPr>
          </w:p>
          <w:p w14:paraId="5D66EDD8">
            <w:pPr>
              <w:keepNext w:val="0"/>
              <w:keepLines w:val="0"/>
              <w:suppressLineNumbers w:val="0"/>
              <w:spacing w:before="0" w:beforeAutospacing="0" w:after="0" w:afterAutospacing="0"/>
              <w:ind w:left="0" w:right="0"/>
              <w:rPr>
                <w:rFonts w:hint="default"/>
                <w:color w:val="auto"/>
                <w:sz w:val="21"/>
                <w:szCs w:val="21"/>
                <w:highlight w:val="none"/>
              </w:rPr>
            </w:pPr>
          </w:p>
          <w:p w14:paraId="5482EC8F">
            <w:pPr>
              <w:keepNext w:val="0"/>
              <w:keepLines w:val="0"/>
              <w:suppressLineNumbers w:val="0"/>
              <w:spacing w:before="0" w:beforeAutospacing="0" w:after="0" w:afterAutospacing="0"/>
              <w:ind w:left="0" w:right="0"/>
              <w:rPr>
                <w:rFonts w:hint="default"/>
                <w:color w:val="auto"/>
                <w:sz w:val="21"/>
                <w:szCs w:val="21"/>
                <w:highlight w:val="none"/>
              </w:rPr>
            </w:pPr>
          </w:p>
          <w:p w14:paraId="4930E410">
            <w:pPr>
              <w:keepNext w:val="0"/>
              <w:keepLines w:val="0"/>
              <w:suppressLineNumbers w:val="0"/>
              <w:spacing w:before="0" w:beforeAutospacing="0" w:after="0" w:afterAutospacing="0"/>
              <w:ind w:left="0" w:right="0"/>
              <w:rPr>
                <w:rFonts w:hint="default"/>
                <w:color w:val="auto"/>
                <w:sz w:val="21"/>
                <w:szCs w:val="21"/>
                <w:highlight w:val="none"/>
              </w:rPr>
            </w:pPr>
          </w:p>
          <w:p w14:paraId="5F3A4902">
            <w:pPr>
              <w:keepNext w:val="0"/>
              <w:keepLines w:val="0"/>
              <w:suppressLineNumbers w:val="0"/>
              <w:spacing w:before="0" w:beforeAutospacing="0" w:after="0" w:afterAutospacing="0"/>
              <w:ind w:left="0" w:right="0"/>
              <w:rPr>
                <w:rFonts w:hint="default"/>
                <w:color w:val="auto"/>
                <w:sz w:val="21"/>
                <w:szCs w:val="21"/>
                <w:highlight w:val="none"/>
              </w:rPr>
            </w:pPr>
          </w:p>
          <w:p w14:paraId="012F26F6">
            <w:pPr>
              <w:keepNext w:val="0"/>
              <w:keepLines w:val="0"/>
              <w:suppressLineNumbers w:val="0"/>
              <w:spacing w:before="0" w:beforeAutospacing="0" w:after="0" w:afterAutospacing="0"/>
              <w:ind w:left="0" w:right="0"/>
              <w:rPr>
                <w:rFonts w:hint="default"/>
                <w:color w:val="auto"/>
                <w:sz w:val="21"/>
                <w:szCs w:val="21"/>
                <w:highlight w:val="none"/>
              </w:rPr>
            </w:pPr>
          </w:p>
          <w:p w14:paraId="1C0D50BC">
            <w:pPr>
              <w:keepNext w:val="0"/>
              <w:keepLines w:val="0"/>
              <w:suppressLineNumbers w:val="0"/>
              <w:spacing w:before="0" w:beforeAutospacing="0" w:after="0" w:afterAutospacing="0"/>
              <w:ind w:left="0" w:right="0"/>
              <w:rPr>
                <w:rFonts w:hint="default"/>
                <w:color w:val="auto"/>
                <w:sz w:val="21"/>
                <w:szCs w:val="21"/>
                <w:highlight w:val="none"/>
              </w:rPr>
            </w:pPr>
          </w:p>
          <w:p w14:paraId="52EF96DA">
            <w:pPr>
              <w:keepNext w:val="0"/>
              <w:keepLines w:val="0"/>
              <w:suppressLineNumbers w:val="0"/>
              <w:spacing w:before="0" w:beforeAutospacing="0" w:after="0" w:afterAutospacing="0"/>
              <w:ind w:left="0" w:right="0"/>
              <w:rPr>
                <w:rFonts w:hint="default"/>
                <w:color w:val="auto"/>
                <w:sz w:val="21"/>
                <w:szCs w:val="21"/>
                <w:highlight w:val="none"/>
              </w:rPr>
            </w:pPr>
          </w:p>
          <w:p w14:paraId="1682C8D3">
            <w:pPr>
              <w:keepNext w:val="0"/>
              <w:keepLines w:val="0"/>
              <w:suppressLineNumbers w:val="0"/>
              <w:spacing w:before="0" w:beforeAutospacing="0" w:after="0" w:afterAutospacing="0"/>
              <w:ind w:left="0" w:right="0"/>
              <w:rPr>
                <w:rFonts w:hint="default"/>
                <w:color w:val="auto"/>
                <w:sz w:val="21"/>
                <w:szCs w:val="21"/>
                <w:highlight w:val="none"/>
              </w:rPr>
            </w:pPr>
          </w:p>
          <w:p w14:paraId="6C12AC03">
            <w:pPr>
              <w:keepNext w:val="0"/>
              <w:keepLines w:val="0"/>
              <w:suppressLineNumbers w:val="0"/>
              <w:bidi w:val="0"/>
              <w:spacing w:before="0" w:beforeAutospacing="0" w:after="0" w:afterAutospacing="0" w:line="360" w:lineRule="auto"/>
              <w:ind w:left="0" w:right="0"/>
              <w:jc w:val="center"/>
              <w:rPr>
                <w:rFonts w:hint="default"/>
                <w:b/>
                <w:bCs/>
                <w:color w:val="000000" w:themeColor="text1"/>
                <w:sz w:val="22"/>
                <w:szCs w:val="22"/>
                <w:highlight w:val="none"/>
                <w:lang w:val="en-US" w:eastAsia="zh-CN"/>
                <w14:textFill>
                  <w14:solidFill>
                    <w14:schemeClr w14:val="tx1"/>
                  </w14:solidFill>
                </w14:textFill>
              </w:rPr>
            </w:pPr>
            <w:r>
              <w:rPr>
                <w:rFonts w:hint="default"/>
                <w:color w:val="auto"/>
                <w:sz w:val="21"/>
                <w:szCs w:val="21"/>
                <w:highlight w:val="none"/>
              </w:rPr>
              <w:t>图</w:t>
            </w:r>
            <w:r>
              <w:rPr>
                <w:rFonts w:hint="eastAsia"/>
                <w:color w:val="auto"/>
                <w:sz w:val="21"/>
                <w:szCs w:val="21"/>
                <w:highlight w:val="none"/>
                <w:lang w:val="en-US" w:eastAsia="zh-CN"/>
              </w:rPr>
              <w:t>2-1</w:t>
            </w:r>
            <w:r>
              <w:rPr>
                <w:rFonts w:hint="default"/>
                <w:color w:val="auto"/>
                <w:sz w:val="21"/>
                <w:szCs w:val="21"/>
                <w:highlight w:val="none"/>
              </w:rPr>
              <w:t xml:space="preserve">  项目水平衡图（m</w:t>
            </w:r>
            <w:r>
              <w:rPr>
                <w:rFonts w:hint="default"/>
                <w:color w:val="auto"/>
                <w:sz w:val="21"/>
                <w:szCs w:val="21"/>
                <w:highlight w:val="none"/>
                <w:vertAlign w:val="superscript"/>
              </w:rPr>
              <w:t>3</w:t>
            </w:r>
            <w:r>
              <w:rPr>
                <w:rFonts w:hint="default"/>
                <w:color w:val="auto"/>
                <w:sz w:val="21"/>
                <w:szCs w:val="21"/>
                <w:highlight w:val="none"/>
              </w:rPr>
              <w:t>/d）</w:t>
            </w:r>
          </w:p>
          <w:p w14:paraId="1F6CFC85">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000000" w:themeColor="text1"/>
                <w:sz w:val="24"/>
                <w:szCs w:val="24"/>
                <w:highlight w:val="none"/>
                <w14:textFill>
                  <w14:solidFill>
                    <w14:schemeClr w14:val="tx1"/>
                  </w14:solidFill>
                </w14:textFill>
              </w:rPr>
            </w:pPr>
            <w:r>
              <w:rPr>
                <w:rFonts w:hint="eastAsia" w:cs="宋体"/>
                <w:color w:val="000000" w:themeColor="text1"/>
                <w:kern w:val="0"/>
                <w:sz w:val="24"/>
                <w:szCs w:val="24"/>
                <w:highlight w:val="none"/>
                <w14:textFill>
                  <w14:solidFill>
                    <w14:schemeClr w14:val="tx1"/>
                  </w14:solidFill>
                </w14:textFill>
              </w:rPr>
              <w:t>（</w:t>
            </w:r>
            <w:r>
              <w:rPr>
                <w:rFonts w:hint="default"/>
                <w:color w:val="000000" w:themeColor="text1"/>
                <w:kern w:val="0"/>
                <w:sz w:val="24"/>
                <w:szCs w:val="24"/>
                <w:highlight w:val="none"/>
                <w14:textFill>
                  <w14:solidFill>
                    <w14:schemeClr w14:val="tx1"/>
                  </w14:solidFill>
                </w14:textFill>
              </w:rPr>
              <w:t>3</w:t>
            </w:r>
            <w:r>
              <w:rPr>
                <w:rFonts w:hint="eastAsia" w:cs="宋体"/>
                <w:color w:val="000000" w:themeColor="text1"/>
                <w:kern w:val="0"/>
                <w:sz w:val="24"/>
                <w:szCs w:val="24"/>
                <w:highlight w:val="none"/>
                <w14:textFill>
                  <w14:solidFill>
                    <w14:schemeClr w14:val="tx1"/>
                  </w14:solidFill>
                </w14:textFill>
              </w:rPr>
              <w:t>）供电</w:t>
            </w:r>
          </w:p>
          <w:p w14:paraId="205DF4E7">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000000" w:themeColor="text1"/>
                <w:sz w:val="24"/>
                <w:szCs w:val="24"/>
                <w:highlight w:val="none"/>
                <w14:textFill>
                  <w14:solidFill>
                    <w14:schemeClr w14:val="tx1"/>
                  </w14:solidFill>
                </w14:textFill>
              </w:rPr>
            </w:pPr>
            <w:r>
              <w:rPr>
                <w:rFonts w:hint="eastAsia" w:cs="宋体"/>
                <w:color w:val="000000" w:themeColor="text1"/>
                <w:kern w:val="0"/>
                <w:sz w:val="24"/>
                <w:szCs w:val="24"/>
                <w:highlight w:val="none"/>
                <w14:textFill>
                  <w14:solidFill>
                    <w14:schemeClr w14:val="tx1"/>
                  </w14:solidFill>
                </w14:textFill>
              </w:rPr>
              <w:t>项目</w:t>
            </w:r>
            <w:r>
              <w:rPr>
                <w:rFonts w:hint="eastAsia" w:cs="宋体"/>
                <w:color w:val="000000" w:themeColor="text1"/>
                <w:kern w:val="0"/>
                <w:sz w:val="24"/>
                <w:szCs w:val="24"/>
                <w:highlight w:val="none"/>
                <w:lang w:eastAsia="zh-CN"/>
                <w14:textFill>
                  <w14:solidFill>
                    <w14:schemeClr w14:val="tx1"/>
                  </w14:solidFill>
                </w14:textFill>
              </w:rPr>
              <w:t>供电由市政供电管网供给</w:t>
            </w:r>
            <w:r>
              <w:rPr>
                <w:rFonts w:hint="eastAsia" w:cs="宋体"/>
                <w:color w:val="000000" w:themeColor="text1"/>
                <w:kern w:val="0"/>
                <w:sz w:val="24"/>
                <w:szCs w:val="24"/>
                <w:highlight w:val="none"/>
                <w14:textFill>
                  <w14:solidFill>
                    <w14:schemeClr w14:val="tx1"/>
                  </w14:solidFill>
                </w14:textFill>
              </w:rPr>
              <w:t>。</w:t>
            </w:r>
          </w:p>
          <w:p w14:paraId="30C4CCE7">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000000" w:themeColor="text1"/>
                <w:kern w:val="0"/>
                <w:sz w:val="24"/>
                <w:szCs w:val="24"/>
                <w:highlight w:val="none"/>
                <w14:textFill>
                  <w14:solidFill>
                    <w14:schemeClr w14:val="tx1"/>
                  </w14:solidFill>
                </w14:textFill>
              </w:rPr>
            </w:pPr>
            <w:r>
              <w:rPr>
                <w:rFonts w:hint="eastAsia" w:cs="宋体"/>
                <w:color w:val="000000" w:themeColor="text1"/>
                <w:kern w:val="0"/>
                <w:sz w:val="24"/>
                <w:szCs w:val="24"/>
                <w:highlight w:val="none"/>
                <w14:textFill>
                  <w14:solidFill>
                    <w14:schemeClr w14:val="tx1"/>
                  </w14:solidFill>
                </w14:textFill>
              </w:rPr>
              <w:t>（</w:t>
            </w:r>
            <w:r>
              <w:rPr>
                <w:rFonts w:hint="default"/>
                <w:color w:val="000000" w:themeColor="text1"/>
                <w:kern w:val="0"/>
                <w:sz w:val="24"/>
                <w:szCs w:val="24"/>
                <w:highlight w:val="none"/>
                <w14:textFill>
                  <w14:solidFill>
                    <w14:schemeClr w14:val="tx1"/>
                  </w14:solidFill>
                </w14:textFill>
              </w:rPr>
              <w:t>4</w:t>
            </w:r>
            <w:r>
              <w:rPr>
                <w:rFonts w:hint="eastAsia" w:cs="宋体"/>
                <w:color w:val="000000" w:themeColor="text1"/>
                <w:kern w:val="0"/>
                <w:sz w:val="24"/>
                <w:szCs w:val="24"/>
                <w:highlight w:val="none"/>
                <w14:textFill>
                  <w14:solidFill>
                    <w14:schemeClr w14:val="tx1"/>
                  </w14:solidFill>
                </w14:textFill>
              </w:rPr>
              <w:t>）制冷供暖</w:t>
            </w:r>
          </w:p>
          <w:p w14:paraId="575D7CDD">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s="宋体"/>
                <w:color w:val="000000" w:themeColor="text1"/>
                <w:kern w:val="0"/>
                <w:sz w:val="24"/>
                <w:szCs w:val="24"/>
                <w:highlight w:val="none"/>
                <w14:textFill>
                  <w14:solidFill>
                    <w14:schemeClr w14:val="tx1"/>
                  </w14:solidFill>
                </w14:textFill>
              </w:rPr>
            </w:pPr>
            <w:r>
              <w:rPr>
                <w:rFonts w:hint="eastAsia" w:cs="宋体"/>
                <w:color w:val="000000" w:themeColor="text1"/>
                <w:kern w:val="0"/>
                <w:sz w:val="24"/>
                <w:szCs w:val="24"/>
                <w:highlight w:val="none"/>
                <w14:textFill>
                  <w14:solidFill>
                    <w14:schemeClr w14:val="tx1"/>
                  </w14:solidFill>
                </w14:textFill>
              </w:rPr>
              <w:t>项目办公楼制冷、供暖均采用分体空调。</w:t>
            </w:r>
          </w:p>
          <w:p w14:paraId="4AA44FBE">
            <w:pPr>
              <w:keepNext w:val="0"/>
              <w:keepLines w:val="0"/>
              <w:suppressLineNumbers w:val="0"/>
              <w:adjustRightInd w:val="0"/>
              <w:snapToGrid w:val="0"/>
              <w:spacing w:before="0" w:beforeAutospacing="0" w:after="0" w:afterAutospacing="0" w:line="480" w:lineRule="exact"/>
              <w:ind w:left="0" w:right="0"/>
              <w:jc w:val="left"/>
              <w:rPr>
                <w:rFonts w:hint="default"/>
                <w:b/>
                <w:bCs/>
                <w:color w:val="000000" w:themeColor="text1"/>
                <w:sz w:val="24"/>
                <w:szCs w:val="24"/>
                <w:highlight w:val="none"/>
                <w14:textFill>
                  <w14:solidFill>
                    <w14:schemeClr w14:val="tx1"/>
                  </w14:solidFill>
                </w14:textFill>
              </w:rPr>
            </w:pPr>
            <w:r>
              <w:rPr>
                <w:rFonts w:hint="default"/>
                <w:b/>
                <w:bCs/>
                <w:color w:val="000000" w:themeColor="text1"/>
                <w:sz w:val="24"/>
                <w:szCs w:val="24"/>
                <w:highlight w:val="none"/>
                <w14:textFill>
                  <w14:solidFill>
                    <w14:schemeClr w14:val="tx1"/>
                  </w14:solidFill>
                </w14:textFill>
              </w:rPr>
              <w:t>2.</w:t>
            </w:r>
            <w:r>
              <w:rPr>
                <w:rFonts w:hint="eastAsia"/>
                <w:b/>
                <w:bCs/>
                <w:color w:val="000000" w:themeColor="text1"/>
                <w:sz w:val="24"/>
                <w:szCs w:val="24"/>
                <w:highlight w:val="none"/>
                <w14:textFill>
                  <w14:solidFill>
                    <w14:schemeClr w14:val="tx1"/>
                  </w14:solidFill>
                </w14:textFill>
              </w:rPr>
              <w:t>7</w:t>
            </w:r>
            <w:r>
              <w:rPr>
                <w:rFonts w:hint="eastAsia" w:cs="宋体"/>
                <w:b/>
                <w:bCs/>
                <w:color w:val="000000" w:themeColor="text1"/>
                <w:sz w:val="24"/>
                <w:szCs w:val="24"/>
                <w:highlight w:val="none"/>
                <w14:textFill>
                  <w14:solidFill>
                    <w14:schemeClr w14:val="tx1"/>
                  </w14:solidFill>
                </w14:textFill>
              </w:rPr>
              <w:t>劳动员工与工作制度</w:t>
            </w:r>
          </w:p>
          <w:p w14:paraId="2529812A">
            <w:pPr>
              <w:keepNext w:val="0"/>
              <w:keepLines w:val="0"/>
              <w:suppressLineNumbers w:val="0"/>
              <w:adjustRightInd w:val="0"/>
              <w:snapToGrid w:val="0"/>
              <w:spacing w:before="0" w:beforeAutospacing="0" w:after="0" w:afterAutospacing="0" w:line="480" w:lineRule="exact"/>
              <w:ind w:left="0" w:right="0" w:firstLine="480" w:firstLineChars="200"/>
              <w:jc w:val="left"/>
              <w:rPr>
                <w:rFonts w:hint="eastAsia"/>
                <w:color w:val="000000" w:themeColor="text1"/>
                <w:sz w:val="24"/>
                <w:szCs w:val="24"/>
                <w:highlight w:val="none"/>
                <w:lang w:val="en-US" w:eastAsia="zh-CN"/>
                <w14:textFill>
                  <w14:solidFill>
                    <w14:schemeClr w14:val="tx1"/>
                  </w14:solidFill>
                </w14:textFill>
              </w:rPr>
            </w:pPr>
            <w:r>
              <w:rPr>
                <w:rFonts w:hint="eastAsia" w:cs="宋体"/>
                <w:color w:val="000000" w:themeColor="text1"/>
                <w:kern w:val="0"/>
                <w:sz w:val="24"/>
                <w:szCs w:val="24"/>
                <w:highlight w:val="none"/>
                <w:lang w:eastAsia="zh-CN"/>
                <w14:textFill>
                  <w14:solidFill>
                    <w14:schemeClr w14:val="tx1"/>
                  </w14:solidFill>
                </w14:textFill>
              </w:rPr>
              <w:t>本项目</w:t>
            </w:r>
            <w:r>
              <w:rPr>
                <w:rFonts w:hint="eastAsia" w:cs="宋体"/>
                <w:color w:val="000000" w:themeColor="text1"/>
                <w:kern w:val="0"/>
                <w:sz w:val="24"/>
                <w:szCs w:val="24"/>
                <w:highlight w:val="none"/>
                <w:lang w:val="en-US" w:eastAsia="zh-CN"/>
                <w14:textFill>
                  <w14:solidFill>
                    <w14:schemeClr w14:val="tx1"/>
                  </w14:solidFill>
                </w14:textFill>
              </w:rPr>
              <w:t>劳动定员24</w:t>
            </w:r>
            <w:r>
              <w:rPr>
                <w:rFonts w:hint="eastAsia" w:cs="宋体"/>
                <w:color w:val="000000" w:themeColor="text1"/>
                <w:kern w:val="0"/>
                <w:sz w:val="24"/>
                <w:szCs w:val="24"/>
                <w:highlight w:val="none"/>
                <w:lang w:eastAsia="zh-CN"/>
                <w14:textFill>
                  <w14:solidFill>
                    <w14:schemeClr w14:val="tx1"/>
                  </w14:solidFill>
                </w14:textFill>
              </w:rPr>
              <w:t>人，全年生产约</w:t>
            </w:r>
            <w:r>
              <w:rPr>
                <w:rFonts w:hint="eastAsia" w:cs="宋体"/>
                <w:color w:val="000000" w:themeColor="text1"/>
                <w:kern w:val="0"/>
                <w:sz w:val="24"/>
                <w:szCs w:val="24"/>
                <w:highlight w:val="none"/>
                <w:lang w:val="en-US" w:eastAsia="zh-CN"/>
                <w14:textFill>
                  <w14:solidFill>
                    <w14:schemeClr w14:val="tx1"/>
                  </w14:solidFill>
                </w14:textFill>
              </w:rPr>
              <w:t>300天</w:t>
            </w:r>
            <w:r>
              <w:rPr>
                <w:rFonts w:hint="eastAsia" w:cs="宋体"/>
                <w:color w:val="000000" w:themeColor="text1"/>
                <w:kern w:val="0"/>
                <w:sz w:val="24"/>
                <w:szCs w:val="24"/>
                <w:highlight w:val="none"/>
                <w:lang w:eastAsia="zh-CN"/>
                <w14:textFill>
                  <w14:solidFill>
                    <w14:schemeClr w14:val="tx1"/>
                  </w14:solidFill>
                </w14:textFill>
              </w:rPr>
              <w:t>，实行单班制，每班8小时。</w:t>
            </w:r>
          </w:p>
          <w:p w14:paraId="68BFF00F">
            <w:pPr>
              <w:keepNext w:val="0"/>
              <w:keepLines w:val="0"/>
              <w:suppressLineNumbers w:val="0"/>
              <w:adjustRightInd w:val="0"/>
              <w:snapToGrid w:val="0"/>
              <w:spacing w:before="0" w:beforeAutospacing="0" w:after="0" w:afterAutospacing="0" w:line="480" w:lineRule="exact"/>
              <w:ind w:left="0" w:right="0"/>
              <w:jc w:val="left"/>
              <w:rPr>
                <w:rFonts w:hint="eastAsia"/>
                <w:color w:val="000000" w:themeColor="text1"/>
                <w:sz w:val="24"/>
                <w:szCs w:val="24"/>
                <w:highlight w:val="none"/>
                <w:lang w:val="en-US" w:eastAsia="zh-CN"/>
                <w14:textFill>
                  <w14:solidFill>
                    <w14:schemeClr w14:val="tx1"/>
                  </w14:solidFill>
                </w14:textFill>
              </w:rPr>
            </w:pPr>
          </w:p>
          <w:p w14:paraId="42C1E090">
            <w:pPr>
              <w:pStyle w:val="51"/>
              <w:keepNext w:val="0"/>
              <w:keepLines w:val="0"/>
              <w:suppressLineNumbers w:val="0"/>
              <w:spacing w:before="0" w:beforeAutospacing="0" w:after="0" w:afterAutospacing="0"/>
              <w:ind w:left="0" w:right="0"/>
              <w:rPr>
                <w:rFonts w:hint="eastAsia"/>
                <w:lang w:val="en-US" w:eastAsia="zh-CN"/>
              </w:rPr>
            </w:pPr>
          </w:p>
          <w:p w14:paraId="665A8FB4">
            <w:pPr>
              <w:keepNext w:val="0"/>
              <w:keepLines w:val="0"/>
              <w:suppressLineNumbers w:val="0"/>
              <w:adjustRightInd w:val="0"/>
              <w:snapToGrid w:val="0"/>
              <w:spacing w:before="0" w:beforeAutospacing="0" w:after="0" w:afterAutospacing="0" w:line="480" w:lineRule="exact"/>
              <w:ind w:left="0" w:right="0"/>
              <w:jc w:val="left"/>
              <w:rPr>
                <w:rFonts w:hint="eastAsia"/>
                <w:color w:val="000000" w:themeColor="text1"/>
                <w:sz w:val="24"/>
                <w:szCs w:val="24"/>
                <w:highlight w:val="none"/>
                <w:lang w:val="en-US" w:eastAsia="zh-CN"/>
                <w14:textFill>
                  <w14:solidFill>
                    <w14:schemeClr w14:val="tx1"/>
                  </w14:solidFill>
                </w14:textFill>
              </w:rPr>
            </w:pPr>
          </w:p>
          <w:p w14:paraId="6EA31385">
            <w:pPr>
              <w:keepNext w:val="0"/>
              <w:keepLines w:val="0"/>
              <w:suppressLineNumbers w:val="0"/>
              <w:adjustRightInd w:val="0"/>
              <w:snapToGrid w:val="0"/>
              <w:spacing w:before="0" w:beforeAutospacing="0" w:after="0" w:afterAutospacing="0" w:line="480" w:lineRule="exact"/>
              <w:ind w:left="0" w:right="0"/>
              <w:jc w:val="left"/>
              <w:rPr>
                <w:rFonts w:hint="eastAsia"/>
                <w:color w:val="000000" w:themeColor="text1"/>
                <w:sz w:val="24"/>
                <w:szCs w:val="24"/>
                <w:highlight w:val="none"/>
                <w:lang w:val="en-US" w:eastAsia="zh-CN"/>
                <w14:textFill>
                  <w14:solidFill>
                    <w14:schemeClr w14:val="tx1"/>
                  </w14:solidFill>
                </w14:textFill>
              </w:rPr>
            </w:pPr>
          </w:p>
          <w:p w14:paraId="3CBEA8AB">
            <w:pPr>
              <w:pStyle w:val="4"/>
              <w:suppressLineNumbers w:val="0"/>
              <w:spacing w:beforeAutospacing="0" w:afterAutospacing="0"/>
              <w:ind w:left="0" w:right="0"/>
              <w:rPr>
                <w:rFonts w:hint="default"/>
                <w:lang w:val="en-US" w:eastAsia="zh-CN"/>
              </w:rPr>
            </w:pPr>
          </w:p>
        </w:tc>
      </w:tr>
      <w:tr w14:paraId="33A3963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jc w:val="center"/>
        </w:trPr>
        <w:tc>
          <w:tcPr>
            <w:tcW w:w="525" w:type="dxa"/>
            <w:vAlign w:val="center"/>
          </w:tcPr>
          <w:p w14:paraId="57F951EB">
            <w:pPr>
              <w:pStyle w:val="37"/>
              <w:keepNext w:val="0"/>
              <w:keepLines w:val="0"/>
              <w:suppressLineNumbers w:val="0"/>
              <w:adjustRightInd w:val="0"/>
              <w:snapToGrid w:val="0"/>
              <w:spacing w:before="0" w:beforeAutospacing="0" w:after="0" w:afterAutospacing="0"/>
              <w:ind w:left="0" w:right="0"/>
              <w:jc w:val="center"/>
              <w:rPr>
                <w:rFonts w:hint="default" w:ascii="Times New Roman" w:hAnsi="Times New Roman"/>
                <w:color w:val="000000" w:themeColor="text1"/>
                <w:highlight w:val="none"/>
                <w14:textFill>
                  <w14:solidFill>
                    <w14:schemeClr w14:val="tx1"/>
                  </w14:solidFill>
                </w14:textFill>
              </w:rPr>
            </w:pPr>
            <w:r>
              <w:rPr>
                <w:rFonts w:hint="eastAsia" w:ascii="Times New Roman" w:hAnsi="Times New Roman" w:cs="宋体"/>
                <w:color w:val="000000" w:themeColor="text1"/>
                <w:highlight w:val="none"/>
                <w14:textFill>
                  <w14:solidFill>
                    <w14:schemeClr w14:val="tx1"/>
                  </w14:solidFill>
                </w14:textFill>
              </w:rPr>
              <w:t>工艺流程和产排污环节</w:t>
            </w:r>
          </w:p>
        </w:tc>
        <w:tc>
          <w:tcPr>
            <w:tcW w:w="9093" w:type="dxa"/>
          </w:tcPr>
          <w:p w14:paraId="16BB2A53">
            <w:pPr>
              <w:keepNext w:val="0"/>
              <w:keepLines w:val="0"/>
              <w:suppressLineNumbers w:val="0"/>
              <w:adjustRightInd w:val="0"/>
              <w:snapToGrid w:val="0"/>
              <w:spacing w:before="0" w:beforeAutospacing="0" w:after="0" w:afterAutospacing="0" w:line="360" w:lineRule="auto"/>
              <w:ind w:left="0" w:right="0"/>
              <w:jc w:val="left"/>
              <w:rPr>
                <w:rFonts w:hint="default" w:ascii="Times New Roman" w:hAnsi="Times New Roman" w:eastAsia="宋体" w:cs="Times New Roman"/>
                <w:b/>
                <w:bCs/>
                <w:color w:val="000000" w:themeColor="text1"/>
                <w:sz w:val="24"/>
                <w:szCs w:val="24"/>
                <w:highlight w:val="none"/>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2.8</w:t>
            </w:r>
            <w:r>
              <w:rPr>
                <w:rFonts w:hint="default" w:ascii="Times New Roman" w:hAnsi="Times New Roman" w:eastAsia="宋体" w:cs="Times New Roman"/>
                <w:b/>
                <w:bCs/>
                <w:color w:val="000000" w:themeColor="text1"/>
                <w:sz w:val="24"/>
                <w:szCs w:val="24"/>
                <w:highlight w:val="none"/>
                <w14:textFill>
                  <w14:solidFill>
                    <w14:schemeClr w14:val="tx1"/>
                  </w14:solidFill>
                </w14:textFill>
              </w:rPr>
              <w:t>施工期工艺流程</w:t>
            </w:r>
          </w:p>
          <w:p w14:paraId="4E8CF8EC">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highlight w:val="none"/>
              </w:rPr>
            </w:pPr>
            <w:r>
              <w:rPr>
                <w:rFonts w:hint="eastAsia" w:ascii="宋体" w:hAnsi="宋体"/>
                <w:bCs/>
                <w:color w:val="000000"/>
                <w:sz w:val="24"/>
                <w:szCs w:val="24"/>
                <w:highlight w:val="none"/>
                <w:lang w:val="en-US" w:eastAsia="zh-CN"/>
              </w:rPr>
              <w:t>本项目</w:t>
            </w:r>
            <w:r>
              <w:rPr>
                <w:rFonts w:hint="eastAsia" w:hAnsi="宋体"/>
                <w:bCs/>
                <w:color w:val="000000"/>
                <w:sz w:val="24"/>
                <w:szCs w:val="24"/>
                <w:highlight w:val="none"/>
                <w:lang w:val="en-US" w:eastAsia="zh-CN"/>
              </w:rPr>
              <w:t>利用</w:t>
            </w:r>
            <w:r>
              <w:rPr>
                <w:rFonts w:hint="eastAsia" w:cs="Times New Roman"/>
                <w:color w:val="000000"/>
                <w:sz w:val="24"/>
                <w:highlight w:val="none"/>
                <w:lang w:val="en-US" w:eastAsia="zh-CN"/>
              </w:rPr>
              <w:t>陕西大洋金马路桥工程有限公司遗留的沥青拌合设施，主要对设备进行简单维护保养及整改。</w:t>
            </w:r>
            <w:r>
              <w:rPr>
                <w:rFonts w:hint="eastAsia" w:hAnsi="宋体"/>
                <w:bCs/>
                <w:color w:val="000000"/>
                <w:sz w:val="24"/>
                <w:szCs w:val="24"/>
                <w:highlight w:val="none"/>
                <w:lang w:val="en-US" w:eastAsia="zh-CN"/>
              </w:rPr>
              <w:t>项目工程</w:t>
            </w:r>
            <w:r>
              <w:rPr>
                <w:rFonts w:hint="eastAsia" w:ascii="宋体" w:hAnsi="宋体"/>
                <w:bCs/>
                <w:color w:val="000000"/>
                <w:sz w:val="24"/>
                <w:szCs w:val="24"/>
                <w:highlight w:val="none"/>
                <w:lang w:val="en-US" w:eastAsia="zh-CN"/>
              </w:rPr>
              <w:t>施工期废气、废水、噪声、固废等对周围环境影响较小</w:t>
            </w:r>
            <w:r>
              <w:rPr>
                <w:rFonts w:hint="eastAsia" w:hAnsi="宋体"/>
                <w:bCs/>
                <w:color w:val="000000"/>
                <w:sz w:val="24"/>
                <w:szCs w:val="24"/>
                <w:highlight w:val="none"/>
                <w:lang w:val="en-US" w:eastAsia="zh-CN"/>
              </w:rPr>
              <w:t>。</w:t>
            </w:r>
          </w:p>
          <w:p w14:paraId="2C565C07">
            <w:pPr>
              <w:keepNext w:val="0"/>
              <w:keepLines w:val="0"/>
              <w:suppressLineNumbers w:val="0"/>
              <w:adjustRightInd w:val="0"/>
              <w:snapToGrid w:val="0"/>
              <w:spacing w:before="0" w:beforeAutospacing="0" w:after="0" w:afterAutospacing="0" w:line="360" w:lineRule="auto"/>
              <w:ind w:left="0" w:right="0"/>
              <w:jc w:val="left"/>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pPr>
            <w:r>
              <w:rPr>
                <w:rFonts w:hint="eastAsia" w:ascii="Times New Roman" w:hAnsi="Times New Roman" w:eastAsia="宋体" w:cs="Times New Roman"/>
                <w:b/>
                <w:bCs/>
                <w:color w:val="000000" w:themeColor="text1"/>
                <w:sz w:val="24"/>
                <w:szCs w:val="24"/>
                <w:highlight w:val="none"/>
                <w:lang w:val="en-US" w:eastAsia="zh-CN"/>
                <w14:textFill>
                  <w14:solidFill>
                    <w14:schemeClr w14:val="tx1"/>
                  </w14:solidFill>
                </w14:textFill>
              </w:rPr>
              <w:t>2.9运营期工艺流程</w:t>
            </w:r>
          </w:p>
          <w:p w14:paraId="237BB28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highlight w:val="green"/>
              </w:rPr>
            </w:pPr>
            <w:r>
              <w:rPr>
                <w:rFonts w:hint="default"/>
                <w:sz w:val="21"/>
              </w:rPr>
              <mc:AlternateContent>
                <mc:Choice Requires="wps">
                  <w:drawing>
                    <wp:anchor distT="0" distB="0" distL="114300" distR="114300" simplePos="0" relativeHeight="251675648" behindDoc="0" locked="0" layoutInCell="1" allowOverlap="1">
                      <wp:simplePos x="0" y="0"/>
                      <wp:positionH relativeFrom="column">
                        <wp:posOffset>5176520</wp:posOffset>
                      </wp:positionH>
                      <wp:positionV relativeFrom="paragraph">
                        <wp:posOffset>283845</wp:posOffset>
                      </wp:positionV>
                      <wp:extent cx="6350" cy="327025"/>
                      <wp:effectExtent l="36830" t="0" r="33020" b="15875"/>
                      <wp:wrapNone/>
                      <wp:docPr id="47" name="直接箭头连接符 47"/>
                      <wp:cNvGraphicFramePr/>
                      <a:graphic xmlns:a="http://schemas.openxmlformats.org/drawingml/2006/main">
                        <a:graphicData uri="http://schemas.microsoft.com/office/word/2010/wordprocessingShape">
                          <wps:wsp>
                            <wps:cNvCnPr/>
                            <wps:spPr>
                              <a:xfrm flipH="1" flipV="1">
                                <a:off x="0" y="0"/>
                                <a:ext cx="6350" cy="327025"/>
                              </a:xfrm>
                              <a:prstGeom prst="straightConnector1">
                                <a:avLst/>
                              </a:prstGeom>
                              <a:ln w="1270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407.6pt;margin-top:22.35pt;height:25.75pt;width:0.5pt;z-index:251675648;mso-width-relative:page;mso-height-relative:page;" filled="f" stroked="t" coordsize="21600,21600" o:gfxdata="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C8yZzLWAAAACQEA&#10;AA8AAAAAAAAAAQAgAAAAIgAAAGRycy9kb3ducmV2LnhtbFBLAQIUABQAAAAIAIdO4kAhNOrmHAIA&#10;AAwEAAAOAAAAAAAAAAEAIAAAACUBAABkcnMvZTJvRG9jLnhtbFBLBQYAAAAABgAGAFkBAACzBQAA&#10;AAA=&#10;">
                      <v:fill on="f" focussize="0,0"/>
                      <v:stroke weight="1pt" color="#000000 [3213]" joinstyle="round" dashstyle="dash" endarrow="block"/>
                      <v:imagedata o:title=""/>
                      <o:lock v:ext="edit" aspectratio="f"/>
                    </v:shape>
                  </w:pict>
                </mc:Fallback>
              </mc:AlternateContent>
            </w:r>
            <w:r>
              <w:rPr>
                <w:rFonts w:hint="default"/>
                <w:sz w:val="21"/>
              </w:rPr>
              <mc:AlternateContent>
                <mc:Choice Requires="wps">
                  <w:drawing>
                    <wp:anchor distT="0" distB="0" distL="114300" distR="114300" simplePos="0" relativeHeight="251676672" behindDoc="0" locked="0" layoutInCell="1" allowOverlap="1">
                      <wp:simplePos x="0" y="0"/>
                      <wp:positionH relativeFrom="column">
                        <wp:posOffset>4648200</wp:posOffset>
                      </wp:positionH>
                      <wp:positionV relativeFrom="paragraph">
                        <wp:posOffset>60960</wp:posOffset>
                      </wp:positionV>
                      <wp:extent cx="972185" cy="252095"/>
                      <wp:effectExtent l="0" t="0" r="0" b="0"/>
                      <wp:wrapNone/>
                      <wp:docPr id="48" name="矩形 48"/>
                      <wp:cNvGraphicFramePr/>
                      <a:graphic xmlns:a="http://schemas.openxmlformats.org/drawingml/2006/main">
                        <a:graphicData uri="http://schemas.microsoft.com/office/word/2010/wordprocessingShape">
                          <wps:wsp>
                            <wps:cNvSpPr/>
                            <wps:spPr>
                              <a:xfrm>
                                <a:off x="0" y="0"/>
                                <a:ext cx="972185" cy="252095"/>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686085AE">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66pt;margin-top:4.8pt;height:19.85pt;width:76.55pt;z-index:251676672;v-text-anchor:middle;mso-width-relative:page;mso-height-relative:page;" filled="f" stroked="f" coordsize="21600,21600" o:gfxdata="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">
                      <v:fill on="f" focussize="0,0"/>
                      <v:stroke on="f" weight="1pt"/>
                      <v:imagedata o:title=""/>
                      <o:lock v:ext="edit" aspectratio="f"/>
                      <v:textbox>
                        <w:txbxContent>
                          <w:p w14:paraId="686085AE">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v:textbox>
                    </v:rect>
                  </w:pict>
                </mc:Fallback>
              </mc:AlternateContent>
            </w:r>
          </w:p>
          <w:p w14:paraId="62D8228E">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highlight w:val="green"/>
              </w:rPr>
            </w:pPr>
            <w:r>
              <w:rPr>
                <w:rFonts w:hint="default"/>
                <w:sz w:val="21"/>
              </w:rPr>
              <mc:AlternateContent>
                <mc:Choice Requires="wps">
                  <w:drawing>
                    <wp:anchor distT="0" distB="0" distL="114300" distR="114300" simplePos="0" relativeHeight="251674624" behindDoc="0" locked="0" layoutInCell="1" allowOverlap="1">
                      <wp:simplePos x="0" y="0"/>
                      <wp:positionH relativeFrom="column">
                        <wp:posOffset>4910455</wp:posOffset>
                      </wp:positionH>
                      <wp:positionV relativeFrom="paragraph">
                        <wp:posOffset>258445</wp:posOffset>
                      </wp:positionV>
                      <wp:extent cx="537210" cy="428625"/>
                      <wp:effectExtent l="6350" t="6350" r="8890" b="22225"/>
                      <wp:wrapNone/>
                      <wp:docPr id="46" name="矩形 46"/>
                      <wp:cNvGraphicFramePr/>
                      <a:graphic xmlns:a="http://schemas.openxmlformats.org/drawingml/2006/main">
                        <a:graphicData uri="http://schemas.microsoft.com/office/word/2010/wordprocessingShape">
                          <wps:wsp>
                            <wps:cNvSpPr/>
                            <wps:spPr>
                              <a:xfrm>
                                <a:off x="0" y="0"/>
                                <a:ext cx="537210" cy="42862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24483DE0">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导热油锅炉</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86.65pt;margin-top:20.35pt;height:33.75pt;width:42.3pt;z-index:251674624;v-text-anchor:middle;mso-width-relative:page;mso-height-relative:page;" filled="f" stroked="t" coordsize="21600,21600" o:gfxdata="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3e6jC2QAAAAoBAAAPAAAAAAAAAAEAIAAAACIAAABkcnMvZG93bnJldi54bWxQSwECFAAU&#10;AAAACACHTuJAGzN49mICAADABAAADgAAAAAAAAABACAAAAAoAQAAZHJzL2Uyb0RvYy54bWxQSwUG&#10;AAAAAAYABgBZAQAA/AUAAAAA&#10;">
                      <v:fill on="f" focussize="0,0"/>
                      <v:stroke weight="1pt" color="#000000 [3213]" joinstyle="round"/>
                      <v:imagedata o:title=""/>
                      <o:lock v:ext="edit" aspectratio="f"/>
                      <v:textbox>
                        <w:txbxContent>
                          <w:p w14:paraId="24483DE0">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导热油锅炉</w:t>
                            </w:r>
                          </w:p>
                        </w:txbxContent>
                      </v:textbox>
                    </v:rect>
                  </w:pict>
                </mc:Fallback>
              </mc:AlternateContent>
            </w:r>
            <w:r>
              <w:rPr>
                <w:rFonts w:hint="default"/>
                <w:sz w:val="21"/>
              </w:rPr>
              <mc:AlternateContent>
                <mc:Choice Requires="wps">
                  <w:drawing>
                    <wp:anchor distT="0" distB="0" distL="114300" distR="114300" simplePos="0" relativeHeight="251672576" behindDoc="0" locked="0" layoutInCell="1" allowOverlap="1">
                      <wp:simplePos x="0" y="0"/>
                      <wp:positionH relativeFrom="column">
                        <wp:posOffset>4091305</wp:posOffset>
                      </wp:positionH>
                      <wp:positionV relativeFrom="paragraph">
                        <wp:posOffset>339725</wp:posOffset>
                      </wp:positionV>
                      <wp:extent cx="537210" cy="252095"/>
                      <wp:effectExtent l="6350" t="6350" r="8890" b="8255"/>
                      <wp:wrapNone/>
                      <wp:docPr id="44" name="矩形 44"/>
                      <wp:cNvGraphicFramePr/>
                      <a:graphic xmlns:a="http://schemas.openxmlformats.org/drawingml/2006/main">
                        <a:graphicData uri="http://schemas.microsoft.com/office/word/2010/wordprocessingShape">
                          <wps:wsp>
                            <wps:cNvSpPr/>
                            <wps:spPr>
                              <a:xfrm>
                                <a:off x="0" y="0"/>
                                <a:ext cx="537210" cy="25209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90F5E81">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沥青</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22.15pt;margin-top:26.75pt;height:19.85pt;width:42.3pt;z-index:251672576;v-text-anchor:middle;mso-width-relative:page;mso-height-relative:page;" filled="f" stroked="t" coordsize="21600,21600" o:gfxdata="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A62UA2QAAAAkBAAAPAAAAAAAAAAEAIAAAACIAAABkcnMvZG93bnJldi54bWxQSwECFAAU&#10;AAAACACHTuJA6RVTOmICAADABAAADgAAAAAAAAABACAAAAAoAQAAZHJzL2Uyb0RvYy54bWxQSwUG&#10;AAAAAAYABgBZAQAA/AUAAAAA&#10;">
                      <v:fill on="f" focussize="0,0"/>
                      <v:stroke weight="1pt" color="#000000 [3213]" joinstyle="round"/>
                      <v:imagedata o:title=""/>
                      <o:lock v:ext="edit" aspectratio="f"/>
                      <v:textbox>
                        <w:txbxContent>
                          <w:p w14:paraId="490F5E81">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沥青</w:t>
                            </w:r>
                          </w:p>
                        </w:txbxContent>
                      </v:textbox>
                    </v:rect>
                  </w:pict>
                </mc:Fallback>
              </mc:AlternateContent>
            </w:r>
          </w:p>
          <w:p w14:paraId="4CFA3BEB">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highlight w:val="green"/>
              </w:rPr>
            </w:pPr>
            <w:r>
              <w:rPr>
                <w:rFonts w:hint="default"/>
                <w:sz w:val="21"/>
              </w:rPr>
              <mc:AlternateContent>
                <mc:Choice Requires="wps">
                  <w:drawing>
                    <wp:anchor distT="0" distB="0" distL="114300" distR="114300" simplePos="0" relativeHeight="251686912" behindDoc="0" locked="0" layoutInCell="1" allowOverlap="1">
                      <wp:simplePos x="0" y="0"/>
                      <wp:positionH relativeFrom="column">
                        <wp:posOffset>1858645</wp:posOffset>
                      </wp:positionH>
                      <wp:positionV relativeFrom="paragraph">
                        <wp:posOffset>264795</wp:posOffset>
                      </wp:positionV>
                      <wp:extent cx="6350" cy="327025"/>
                      <wp:effectExtent l="36830" t="0" r="33020" b="15875"/>
                      <wp:wrapNone/>
                      <wp:docPr id="59" name="直接箭头连接符 59"/>
                      <wp:cNvGraphicFramePr/>
                      <a:graphic xmlns:a="http://schemas.openxmlformats.org/drawingml/2006/main">
                        <a:graphicData uri="http://schemas.microsoft.com/office/word/2010/wordprocessingShape">
                          <wps:wsp>
                            <wps:cNvCnPr/>
                            <wps:spPr>
                              <a:xfrm flipH="1" flipV="1">
                                <a:off x="0" y="0"/>
                                <a:ext cx="6350" cy="327025"/>
                              </a:xfrm>
                              <a:prstGeom prst="straightConnector1">
                                <a:avLst/>
                              </a:prstGeom>
                              <a:ln w="1270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146.35pt;margin-top:20.85pt;height:25.75pt;width:0.5pt;z-index:251686912;mso-width-relative:page;mso-height-relative:page;" filled="f" stroked="t" coordsize="21600,21600" o:gfxdata="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hadCjWAAAACQEA&#10;AA8AAAAAAAAAAQAgAAAAIgAAAGRycy9kb3ducmV2LnhtbFBLAQIUABQAAAAIAIdO4kB0PrCEHAIA&#10;AAwEAAAOAAAAAAAAAAEAIAAAACUBAABkcnMvZTJvRG9jLnhtbFBLBQYAAAAABgAGAFkBAACzBQAA&#10;AAA=&#10;">
                      <v:fill on="f" focussize="0,0"/>
                      <v:stroke weight="1pt" color="#000000 [3213]" joinstyle="round" dashstyle="dash" endarrow="block"/>
                      <v:imagedata o:title=""/>
                      <o:lock v:ext="edit" aspectratio="f"/>
                    </v:shape>
                  </w:pict>
                </mc:Fallback>
              </mc:AlternateContent>
            </w:r>
            <w:r>
              <w:rPr>
                <w:rFonts w:hint="default"/>
                <w:sz w:val="21"/>
              </w:rPr>
              <mc:AlternateContent>
                <mc:Choice Requires="wps">
                  <w:drawing>
                    <wp:anchor distT="0" distB="0" distL="114300" distR="114300" simplePos="0" relativeHeight="251687936" behindDoc="0" locked="0" layoutInCell="1" allowOverlap="1">
                      <wp:simplePos x="0" y="0"/>
                      <wp:positionH relativeFrom="column">
                        <wp:posOffset>1348105</wp:posOffset>
                      </wp:positionH>
                      <wp:positionV relativeFrom="paragraph">
                        <wp:posOffset>91440</wp:posOffset>
                      </wp:positionV>
                      <wp:extent cx="972185" cy="252095"/>
                      <wp:effectExtent l="0" t="0" r="0" b="0"/>
                      <wp:wrapNone/>
                      <wp:docPr id="58" name="矩形 58"/>
                      <wp:cNvGraphicFramePr/>
                      <a:graphic xmlns:a="http://schemas.openxmlformats.org/drawingml/2006/main">
                        <a:graphicData uri="http://schemas.microsoft.com/office/word/2010/wordprocessingShape">
                          <wps:wsp>
                            <wps:cNvSpPr/>
                            <wps:spPr>
                              <a:xfrm>
                                <a:off x="0" y="0"/>
                                <a:ext cx="972185" cy="252095"/>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6128C6D7">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6.15pt;margin-top:7.2pt;height:19.85pt;width:76.55pt;z-index:251687936;v-text-anchor:middle;mso-width-relative:page;mso-height-relative:page;" filled="f" stroked="f" coordsize="21600,21600" o:gfxdata="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ALi6VdcAAAAJAQAA&#10;DwAAAAAAAAABACAAAAAiAAAAZHJzL2Rvd25yZXYueG1sUEsBAhQAFAAAAAgAh07iQBpmN7hTAgAA&#10;lwQAAA4AAAAAAAAAAQAgAAAAJgEAAGRycy9lMm9Eb2MueG1sUEsFBgAAAAAGAAYAWQEAAOsFAAAA&#10;AA==&#10;">
                      <v:fill on="f" focussize="0,0"/>
                      <v:stroke on="f" weight="1pt"/>
                      <v:imagedata o:title=""/>
                      <o:lock v:ext="edit" aspectratio="f"/>
                      <v:textbox>
                        <w:txbxContent>
                          <w:p w14:paraId="6128C6D7">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v:textbox>
                    </v:rect>
                  </w:pict>
                </mc:Fallback>
              </mc:AlternateContent>
            </w:r>
            <w:r>
              <w:rPr>
                <w:rFonts w:hint="default"/>
                <w:sz w:val="21"/>
              </w:rPr>
              <mc:AlternateContent>
                <mc:Choice Requires="wps">
                  <w:drawing>
                    <wp:anchor distT="0" distB="0" distL="114300" distR="114300" simplePos="0" relativeHeight="251677696" behindDoc="0" locked="0" layoutInCell="1" allowOverlap="1">
                      <wp:simplePos x="0" y="0"/>
                      <wp:positionH relativeFrom="column">
                        <wp:posOffset>4620895</wp:posOffset>
                      </wp:positionH>
                      <wp:positionV relativeFrom="paragraph">
                        <wp:posOffset>120015</wp:posOffset>
                      </wp:positionV>
                      <wp:extent cx="292100" cy="1270"/>
                      <wp:effectExtent l="0" t="37465" r="12700" b="37465"/>
                      <wp:wrapNone/>
                      <wp:docPr id="49" name="直接箭头连接符 49"/>
                      <wp:cNvGraphicFramePr/>
                      <a:graphic xmlns:a="http://schemas.openxmlformats.org/drawingml/2006/main">
                        <a:graphicData uri="http://schemas.microsoft.com/office/word/2010/wordprocessingShape">
                          <wps:wsp>
                            <wps:cNvCnPr/>
                            <wps:spPr>
                              <a:xfrm flipH="1">
                                <a:off x="0" y="0"/>
                                <a:ext cx="292100" cy="127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363.85pt;margin-top:9.45pt;height:0.1pt;width:23pt;z-index:251677696;mso-width-relative:page;mso-height-relative:page;" filled="f" stroked="t" coordsize="21600,21600" o:gfxdata="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H3Jp9faAAAACQEAAA8A&#10;AAAAAAAAAQAgAAAAIgAAAGRycy9kb3ducmV2LnhtbFBLAQIUABQAAAAIAIdO4kBBoUR+FQIAAAME&#10;AAAOAAAAAAAAAAEAIAAAACkBAABkcnMvZTJvRG9jLnhtbFBLBQYAAAAABgAGAFkBAACwBQAAAAA=&#10;">
                      <v:fill on="f" focussize="0,0"/>
                      <v:stroke weight="1pt" color="#000000 [3213]" joinstyle="round" endarrow="block"/>
                      <v:imagedata o:title=""/>
                      <o:lock v:ext="edit" aspectratio="f"/>
                    </v:shape>
                  </w:pict>
                </mc:Fallback>
              </mc:AlternateContent>
            </w:r>
            <w:r>
              <w:rPr>
                <w:rFonts w:hint="default"/>
                <w:sz w:val="21"/>
              </w:rPr>
              <mc:AlternateContent>
                <mc:Choice Requires="wps">
                  <w:drawing>
                    <wp:anchor distT="0" distB="0" distL="114300" distR="114300" simplePos="0" relativeHeight="251673600" behindDoc="0" locked="0" layoutInCell="1" allowOverlap="1">
                      <wp:simplePos x="0" y="0"/>
                      <wp:positionH relativeFrom="column">
                        <wp:posOffset>4376420</wp:posOffset>
                      </wp:positionH>
                      <wp:positionV relativeFrom="paragraph">
                        <wp:posOffset>248285</wp:posOffset>
                      </wp:positionV>
                      <wp:extent cx="6350" cy="348615"/>
                      <wp:effectExtent l="36830" t="0" r="33020" b="13335"/>
                      <wp:wrapNone/>
                      <wp:docPr id="45" name="直接箭头连接符 45"/>
                      <wp:cNvGraphicFramePr/>
                      <a:graphic xmlns:a="http://schemas.openxmlformats.org/drawingml/2006/main">
                        <a:graphicData uri="http://schemas.microsoft.com/office/word/2010/wordprocessingShape">
                          <wps:wsp>
                            <wps:cNvCnPr/>
                            <wps:spPr>
                              <a:xfrm flipH="1">
                                <a:off x="0" y="0"/>
                                <a:ext cx="6350" cy="34861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344.6pt;margin-top:19.55pt;height:27.45pt;width:0.5pt;z-index:251673600;mso-width-relative:page;mso-height-relative:page;" filled="f" stroked="t" coordsize="21600,21600" o:gfxdata="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ZAWkktsAAAAJ&#10;AQAADwAAAAAAAAABACAAAAAiAAAAZHJzL2Rvd25yZXYueG1sUEsBAhQAFAAAAAgAh07iQLjwsa8Z&#10;AgAAAwQAAA4AAAAAAAAAAQAgAAAAKgEAAGRycy9lMm9Eb2MueG1sUEsFBgAAAAAGAAYAWQEAALUF&#10;AAAAAA==&#10;">
                      <v:fill on="f" focussize="0,0"/>
                      <v:stroke weight="1pt" color="#000000 [3213]" joinstyle="round" endarrow="block"/>
                      <v:imagedata o:title=""/>
                      <o:lock v:ext="edit" aspectratio="f"/>
                    </v:shape>
                  </w:pict>
                </mc:Fallback>
              </mc:AlternateContent>
            </w:r>
            <w:r>
              <w:rPr>
                <w:rFonts w:hint="default"/>
                <w:sz w:val="21"/>
              </w:rPr>
              <mc:AlternateContent>
                <mc:Choice Requires="wps">
                  <w:drawing>
                    <wp:anchor distT="0" distB="0" distL="114300" distR="114300" simplePos="0" relativeHeight="251670528" behindDoc="0" locked="0" layoutInCell="1" allowOverlap="1">
                      <wp:simplePos x="0" y="0"/>
                      <wp:positionH relativeFrom="column">
                        <wp:posOffset>2606675</wp:posOffset>
                      </wp:positionH>
                      <wp:positionV relativeFrom="paragraph">
                        <wp:posOffset>98425</wp:posOffset>
                      </wp:positionV>
                      <wp:extent cx="972185" cy="252095"/>
                      <wp:effectExtent l="0" t="0" r="0" b="0"/>
                      <wp:wrapNone/>
                      <wp:docPr id="42" name="矩形 42"/>
                      <wp:cNvGraphicFramePr/>
                      <a:graphic xmlns:a="http://schemas.openxmlformats.org/drawingml/2006/main">
                        <a:graphicData uri="http://schemas.microsoft.com/office/word/2010/wordprocessingShape">
                          <wps:wsp>
                            <wps:cNvSpPr/>
                            <wps:spPr>
                              <a:xfrm>
                                <a:off x="0" y="0"/>
                                <a:ext cx="972185" cy="252095"/>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021EC131">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5.25pt;margin-top:7.75pt;height:19.85pt;width:76.55pt;z-index:251670528;v-text-anchor:middle;mso-width-relative:page;mso-height-relative:page;" filled="f" stroked="f" coordsize="21600,21600" o:gfxdata="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E04nG9cAAAAJAQAA&#10;DwAAAAAAAAABACAAAAAiAAAAZHJzL2Rvd25yZXYueG1sUEsBAhQAFAAAAAgAh07iQPblSPRTAgAA&#10;lwQAAA4AAAAAAAAAAQAgAAAAJgEAAGRycy9lMm9Eb2MueG1sUEsFBgAAAAAGAAYAWQEAAOsFAAAA&#10;AA==&#10;">
                      <v:fill on="f" focussize="0,0"/>
                      <v:stroke on="f" weight="1pt"/>
                      <v:imagedata o:title=""/>
                      <o:lock v:ext="edit" aspectratio="f"/>
                      <v:textbox>
                        <w:txbxContent>
                          <w:p w14:paraId="021EC131">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v:textbox>
                    </v:rect>
                  </w:pict>
                </mc:Fallback>
              </mc:AlternateContent>
            </w:r>
            <w:r>
              <w:rPr>
                <w:rFonts w:hint="default"/>
                <w:sz w:val="21"/>
              </w:rPr>
              <mc:AlternateContent>
                <mc:Choice Requires="wps">
                  <w:drawing>
                    <wp:anchor distT="0" distB="0" distL="114300" distR="114300" simplePos="0" relativeHeight="251669504" behindDoc="0" locked="0" layoutInCell="1" allowOverlap="1">
                      <wp:simplePos x="0" y="0"/>
                      <wp:positionH relativeFrom="column">
                        <wp:posOffset>3117215</wp:posOffset>
                      </wp:positionH>
                      <wp:positionV relativeFrom="paragraph">
                        <wp:posOffset>271780</wp:posOffset>
                      </wp:positionV>
                      <wp:extent cx="6350" cy="327025"/>
                      <wp:effectExtent l="36830" t="0" r="33020" b="15875"/>
                      <wp:wrapNone/>
                      <wp:docPr id="41" name="直接箭头连接符 41"/>
                      <wp:cNvGraphicFramePr/>
                      <a:graphic xmlns:a="http://schemas.openxmlformats.org/drawingml/2006/main">
                        <a:graphicData uri="http://schemas.microsoft.com/office/word/2010/wordprocessingShape">
                          <wps:wsp>
                            <wps:cNvCnPr/>
                            <wps:spPr>
                              <a:xfrm flipH="1" flipV="1">
                                <a:off x="0" y="0"/>
                                <a:ext cx="6350" cy="327025"/>
                              </a:xfrm>
                              <a:prstGeom prst="straightConnector1">
                                <a:avLst/>
                              </a:prstGeom>
                              <a:ln w="1270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245.45pt;margin-top:21.4pt;height:25.75pt;width:0.5pt;z-index:251669504;mso-width-relative:page;mso-height-relative:page;" filled="f" stroked="t" coordsize="21600,21600" o:gfxdata="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MjVq9rWAAAACQEA&#10;AA8AAAAAAAAAAQAgAAAAIgAAAGRycy9kb3ducmV2LnhtbFBLAQIUABQAAAAIAIdO4kAOi52FHAIA&#10;AAwEAAAOAAAAAAAAAAEAIAAAACUBAABkcnMvZTJvRG9jLnhtbFBLBQYAAAAABgAGAFkBAACzBQAA&#10;AAA=&#10;">
                      <v:fill on="f" focussize="0,0"/>
                      <v:stroke weight="1pt" color="#000000 [3213]" joinstyle="round" dashstyle="dash" endarrow="block"/>
                      <v:imagedata o:title=""/>
                      <o:lock v:ext="edit" aspectratio="f"/>
                    </v:shape>
                  </w:pict>
                </mc:Fallback>
              </mc:AlternateContent>
            </w:r>
          </w:p>
          <w:p w14:paraId="1556CD9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highlight w:val="green"/>
              </w:rPr>
            </w:pPr>
            <w:r>
              <w:rPr>
                <w:rFonts w:hint="default"/>
                <w:sz w:val="21"/>
              </w:rPr>
              <mc:AlternateContent>
                <mc:Choice Requires="wps">
                  <w:drawing>
                    <wp:anchor distT="0" distB="0" distL="114300" distR="114300" simplePos="0" relativeHeight="251671552" behindDoc="0" locked="0" layoutInCell="1" allowOverlap="1">
                      <wp:simplePos x="0" y="0"/>
                      <wp:positionH relativeFrom="column">
                        <wp:posOffset>3994785</wp:posOffset>
                      </wp:positionH>
                      <wp:positionV relativeFrom="paragraph">
                        <wp:posOffset>243840</wp:posOffset>
                      </wp:positionV>
                      <wp:extent cx="734060" cy="1005840"/>
                      <wp:effectExtent l="6350" t="6350" r="21590" b="16510"/>
                      <wp:wrapNone/>
                      <wp:docPr id="43" name="矩形 43"/>
                      <wp:cNvGraphicFramePr/>
                      <a:graphic xmlns:a="http://schemas.openxmlformats.org/drawingml/2006/main">
                        <a:graphicData uri="http://schemas.microsoft.com/office/word/2010/wordprocessingShape">
                          <wps:wsp>
                            <wps:cNvSpPr/>
                            <wps:spPr>
                              <a:xfrm>
                                <a:off x="0" y="0"/>
                                <a:ext cx="734060" cy="1005840"/>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064D6BB">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拌合</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14.55pt;margin-top:19.2pt;height:79.2pt;width:57.8pt;z-index:251671552;v-text-anchor:middle;mso-width-relative:page;mso-height-relative:page;" filled="f" stroked="t" coordsize="21600,21600" o:gfxdata="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0J9tDNkAAAAKAQAADwAAAAAAAAABACAAAAAiAAAAZHJzL2Rvd25yZXYueG1sUEsBAhQA&#10;FAAAAAgAh07iQHnCJTRjAgAAwQQAAA4AAAAAAAAAAQAgAAAAKAEAAGRycy9lMm9Eb2MueG1sUEsF&#10;BgAAAAAGAAYAWQEAAP0FAAAAAA==&#10;">
                      <v:fill on="f" focussize="0,0"/>
                      <v:stroke weight="1pt" color="#000000 [3213]" joinstyle="round"/>
                      <v:imagedata o:title=""/>
                      <o:lock v:ext="edit" aspectratio="f"/>
                      <v:textbox>
                        <w:txbxContent>
                          <w:p w14:paraId="7064D6BB">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拌合</w:t>
                            </w:r>
                          </w:p>
                        </w:txbxContent>
                      </v:textbox>
                    </v:rect>
                  </w:pict>
                </mc:Fallback>
              </mc:AlternateContent>
            </w:r>
            <w:r>
              <w:rPr>
                <w:rFonts w:hint="default"/>
                <w:sz w:val="21"/>
              </w:rPr>
              <mc:AlternateContent>
                <mc:Choice Requires="wps">
                  <w:drawing>
                    <wp:anchor distT="0" distB="0" distL="114300" distR="114300" simplePos="0" relativeHeight="251663360" behindDoc="0" locked="0" layoutInCell="1" allowOverlap="1">
                      <wp:simplePos x="0" y="0"/>
                      <wp:positionH relativeFrom="column">
                        <wp:posOffset>260350</wp:posOffset>
                      </wp:positionH>
                      <wp:positionV relativeFrom="paragraph">
                        <wp:posOffset>221615</wp:posOffset>
                      </wp:positionV>
                      <wp:extent cx="734060" cy="252095"/>
                      <wp:effectExtent l="6350" t="6350" r="21590" b="8255"/>
                      <wp:wrapNone/>
                      <wp:docPr id="35" name="矩形 35"/>
                      <wp:cNvGraphicFramePr/>
                      <a:graphic xmlns:a="http://schemas.openxmlformats.org/drawingml/2006/main">
                        <a:graphicData uri="http://schemas.microsoft.com/office/word/2010/wordprocessingShape">
                          <wps:wsp>
                            <wps:cNvSpPr/>
                            <wps:spPr>
                              <a:xfrm>
                                <a:off x="1695450" y="2663190"/>
                                <a:ext cx="734060" cy="25209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B67A8B0">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新生料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5pt;margin-top:17.45pt;height:19.85pt;width:57.8pt;z-index:251663360;v-text-anchor:middle;mso-width-relative:page;mso-height-relative:page;" filled="f" stroked="t" coordsize="21600,21600" o:gfxdata="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Btc2vY1gAAAAgBAAAPAAAAAAAAAAEAIAAAACIAAABkcnMvZG93bnJldi54&#10;bWxQSwECFAAUAAAACACHTuJAuvSBKW4CAADMBAAADgAAAAAAAAABACAAAAAlAQAAZHJzL2Uyb0Rv&#10;Yy54bWxQSwUGAAAAAAYABgBZAQAABQYAAAAA&#10;">
                      <v:fill on="f" focussize="0,0"/>
                      <v:stroke weight="1pt" color="#000000 [3213]" joinstyle="round"/>
                      <v:imagedata o:title=""/>
                      <o:lock v:ext="edit" aspectratio="f"/>
                      <v:textbox>
                        <w:txbxContent>
                          <w:p w14:paraId="7B67A8B0">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新生料</w:t>
                            </w:r>
                          </w:p>
                        </w:txbxContent>
                      </v:textbox>
                    </v:rect>
                  </w:pict>
                </mc:Fallback>
              </mc:AlternateContent>
            </w:r>
            <w:r>
              <w:rPr>
                <w:rFonts w:hint="default"/>
                <w:sz w:val="21"/>
              </w:rPr>
              <mc:AlternateContent>
                <mc:Choice Requires="wps">
                  <w:drawing>
                    <wp:anchor distT="0" distB="0" distL="114300" distR="114300" simplePos="0" relativeHeight="251667456" behindDoc="0" locked="0" layoutInCell="1" allowOverlap="1">
                      <wp:simplePos x="0" y="0"/>
                      <wp:positionH relativeFrom="column">
                        <wp:posOffset>2743200</wp:posOffset>
                      </wp:positionH>
                      <wp:positionV relativeFrom="paragraph">
                        <wp:posOffset>241300</wp:posOffset>
                      </wp:positionV>
                      <wp:extent cx="734060" cy="252095"/>
                      <wp:effectExtent l="6350" t="6350" r="21590" b="8255"/>
                      <wp:wrapNone/>
                      <wp:docPr id="39" name="矩形 39"/>
                      <wp:cNvGraphicFramePr/>
                      <a:graphic xmlns:a="http://schemas.openxmlformats.org/drawingml/2006/main">
                        <a:graphicData uri="http://schemas.microsoft.com/office/word/2010/wordprocessingShape">
                          <wps:wsp>
                            <wps:cNvSpPr/>
                            <wps:spPr>
                              <a:xfrm>
                                <a:off x="0" y="0"/>
                                <a:ext cx="734060" cy="25209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70EC4540">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烘干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6pt;margin-top:19pt;height:19.85pt;width:57.8pt;z-index:251667456;v-text-anchor:middle;mso-width-relative:page;mso-height-relative:page;" filled="f" stroked="t" coordsize="21600,21600" o:gfxdata="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AWW6lNkAAAAJAQAADwAAAAAAAAABACAAAAAiAAAAZHJzL2Rvd25yZXYueG1sUEsBAhQA&#10;FAAAAAgAh07iQBMHwwdjAgAAwAQAAA4AAAAAAAAAAQAgAAAAKAEAAGRycy9lMm9Eb2MueG1sUEsF&#10;BgAAAAAGAAYAWQEAAP0FAAAAAA==&#10;">
                      <v:fill on="f" focussize="0,0"/>
                      <v:stroke weight="1pt" color="#000000 [3213]" joinstyle="round"/>
                      <v:imagedata o:title=""/>
                      <o:lock v:ext="edit" aspectratio="f"/>
                      <v:textbox>
                        <w:txbxContent>
                          <w:p w14:paraId="70EC4540">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烘干</w:t>
                            </w:r>
                          </w:p>
                        </w:txbxContent>
                      </v:textbox>
                    </v:rect>
                  </w:pict>
                </mc:Fallback>
              </mc:AlternateContent>
            </w:r>
            <w:r>
              <w:rPr>
                <w:rFonts w:hint="default"/>
                <w:sz w:val="21"/>
              </w:rPr>
              <mc:AlternateContent>
                <mc:Choice Requires="wps">
                  <w:drawing>
                    <wp:anchor distT="0" distB="0" distL="114300" distR="114300" simplePos="0" relativeHeight="251664384" behindDoc="0" locked="0" layoutInCell="1" allowOverlap="1">
                      <wp:simplePos x="0" y="0"/>
                      <wp:positionH relativeFrom="column">
                        <wp:posOffset>1504950</wp:posOffset>
                      </wp:positionH>
                      <wp:positionV relativeFrom="paragraph">
                        <wp:posOffset>223520</wp:posOffset>
                      </wp:positionV>
                      <wp:extent cx="734060" cy="252095"/>
                      <wp:effectExtent l="6350" t="6350" r="21590" b="8255"/>
                      <wp:wrapNone/>
                      <wp:docPr id="36" name="矩形 36"/>
                      <wp:cNvGraphicFramePr/>
                      <a:graphic xmlns:a="http://schemas.openxmlformats.org/drawingml/2006/main">
                        <a:graphicData uri="http://schemas.microsoft.com/office/word/2010/wordprocessingShape">
                          <wps:wsp>
                            <wps:cNvSpPr/>
                            <wps:spPr>
                              <a:xfrm>
                                <a:off x="0" y="0"/>
                                <a:ext cx="734060" cy="25209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48D9613E">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投料口</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8.5pt;margin-top:17.6pt;height:19.85pt;width:57.8pt;z-index:251664384;v-text-anchor:middle;mso-width-relative:page;mso-height-relative:page;" filled="f" stroked="t" coordsize="21600,21600" o:gfxdata="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NVnmbdkAAAAJAQAADwAAAAAAAAABACAAAAAiAAAAZHJzL2Rvd25yZXYueG1sUEsBAhQA&#10;FAAAAAgAh07iQKnQDXZjAgAAwAQAAA4AAAAAAAAAAQAgAAAAKAEAAGRycy9lMm9Eb2MueG1sUEsF&#10;BgAAAAAGAAYAWQEAAP0FAAAAAA==&#10;">
                      <v:fill on="f" focussize="0,0"/>
                      <v:stroke weight="1pt" color="#000000 [3213]" joinstyle="round"/>
                      <v:imagedata o:title=""/>
                      <o:lock v:ext="edit" aspectratio="f"/>
                      <v:textbox>
                        <w:txbxContent>
                          <w:p w14:paraId="48D9613E">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投料口</w:t>
                            </w:r>
                          </w:p>
                        </w:txbxContent>
                      </v:textbox>
                    </v:rect>
                  </w:pict>
                </mc:Fallback>
              </mc:AlternateContent>
            </w:r>
            <w:r>
              <w:rPr>
                <w:rFonts w:hint="default"/>
                <w:sz w:val="21"/>
              </w:rPr>
              <mc:AlternateContent>
                <mc:Choice Requires="wps">
                  <w:drawing>
                    <wp:anchor distT="0" distB="0" distL="114300" distR="114300" simplePos="0" relativeHeight="251666432" behindDoc="0" locked="0" layoutInCell="1" allowOverlap="1">
                      <wp:simplePos x="0" y="0"/>
                      <wp:positionH relativeFrom="column">
                        <wp:posOffset>2245995</wp:posOffset>
                      </wp:positionH>
                      <wp:positionV relativeFrom="paragraph">
                        <wp:posOffset>346710</wp:posOffset>
                      </wp:positionV>
                      <wp:extent cx="497205" cy="3175"/>
                      <wp:effectExtent l="0" t="37465" r="17145" b="35560"/>
                      <wp:wrapNone/>
                      <wp:docPr id="38" name="直接箭头连接符 38"/>
                      <wp:cNvGraphicFramePr/>
                      <a:graphic xmlns:a="http://schemas.openxmlformats.org/drawingml/2006/main">
                        <a:graphicData uri="http://schemas.microsoft.com/office/word/2010/wordprocessingShape">
                          <wps:wsp>
                            <wps:cNvCnPr/>
                            <wps:spPr>
                              <a:xfrm flipV="1">
                                <a:off x="0" y="0"/>
                                <a:ext cx="497205" cy="317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176.85pt;margin-top:27.3pt;height:0.25pt;width:39.15pt;z-index:251666432;mso-width-relative:page;mso-height-relative:page;" filled="f" stroked="t" coordsize="21600,21600" o:gfxdata="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CzcwSrcAAAA&#10;CQEAAA8AAAAAAAAAAQAgAAAAIgAAAGRycy9kb3ducmV2LnhtbFBLAQIUABQAAAAIAIdO4kAyD8Pq&#10;GQIAAAMEAAAOAAAAAAAAAAEAIAAAACsBAABkcnMvZTJvRG9jLnhtbFBLBQYAAAAABgAGAFkBAAC2&#10;BQAAAAA=&#10;">
                      <v:fill on="f" focussize="0,0"/>
                      <v:stroke weight="1pt" color="#000000 [3213]" joinstyle="round" endarrow="block"/>
                      <v:imagedata o:title=""/>
                      <o:lock v:ext="edit" aspectratio="f"/>
                    </v:shape>
                  </w:pict>
                </mc:Fallback>
              </mc:AlternateContent>
            </w:r>
            <w:r>
              <w:rPr>
                <w:rFonts w:hint="default"/>
                <w:sz w:val="21"/>
              </w:rPr>
              <mc:AlternateContent>
                <mc:Choice Requires="wps">
                  <w:drawing>
                    <wp:anchor distT="0" distB="0" distL="114300" distR="114300" simplePos="0" relativeHeight="251665408" behindDoc="0" locked="0" layoutInCell="1" allowOverlap="1">
                      <wp:simplePos x="0" y="0"/>
                      <wp:positionH relativeFrom="column">
                        <wp:posOffset>1000760</wp:posOffset>
                      </wp:positionH>
                      <wp:positionV relativeFrom="paragraph">
                        <wp:posOffset>349885</wp:posOffset>
                      </wp:positionV>
                      <wp:extent cx="504190" cy="6985"/>
                      <wp:effectExtent l="0" t="36830" r="10160" b="32385"/>
                      <wp:wrapNone/>
                      <wp:docPr id="37" name="直接箭头连接符 37"/>
                      <wp:cNvGraphicFramePr/>
                      <a:graphic xmlns:a="http://schemas.openxmlformats.org/drawingml/2006/main">
                        <a:graphicData uri="http://schemas.microsoft.com/office/word/2010/wordprocessingShape">
                          <wps:wsp>
                            <wps:cNvCnPr/>
                            <wps:spPr>
                              <a:xfrm flipV="1">
                                <a:off x="2429510" y="2782570"/>
                                <a:ext cx="504190" cy="698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78.8pt;margin-top:27.55pt;height:0.55pt;width:39.7pt;z-index:251665408;mso-width-relative:page;mso-height-relative:page;" filled="f" stroked="t" coordsize="21600,21600" o:gfxdata="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">
                      <v:fill on="f" focussize="0,0"/>
                      <v:stroke weight="1pt" color="#000000 [3213]" joinstyle="round" endarrow="block"/>
                      <v:imagedata o:title=""/>
                      <o:lock v:ext="edit" aspectratio="f"/>
                    </v:shape>
                  </w:pict>
                </mc:Fallback>
              </mc:AlternateContent>
            </w:r>
          </w:p>
          <w:p w14:paraId="3579AF24">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highlight w:val="green"/>
              </w:rPr>
            </w:pPr>
            <w:r>
              <w:rPr>
                <w:rFonts w:hint="default"/>
                <w:sz w:val="21"/>
              </w:rPr>
              <mc:AlternateContent>
                <mc:Choice Requires="wps">
                  <w:drawing>
                    <wp:anchor distT="0" distB="0" distL="114300" distR="114300" simplePos="0" relativeHeight="251689984" behindDoc="0" locked="0" layoutInCell="1" allowOverlap="1">
                      <wp:simplePos x="0" y="0"/>
                      <wp:positionH relativeFrom="column">
                        <wp:posOffset>1361440</wp:posOffset>
                      </wp:positionH>
                      <wp:positionV relativeFrom="paragraph">
                        <wp:posOffset>107950</wp:posOffset>
                      </wp:positionV>
                      <wp:extent cx="972185" cy="252095"/>
                      <wp:effectExtent l="0" t="0" r="0" b="0"/>
                      <wp:wrapNone/>
                      <wp:docPr id="61" name="矩形 61"/>
                      <wp:cNvGraphicFramePr/>
                      <a:graphic xmlns:a="http://schemas.openxmlformats.org/drawingml/2006/main">
                        <a:graphicData uri="http://schemas.microsoft.com/office/word/2010/wordprocessingShape">
                          <wps:wsp>
                            <wps:cNvSpPr/>
                            <wps:spPr>
                              <a:xfrm>
                                <a:off x="0" y="0"/>
                                <a:ext cx="972185" cy="252095"/>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07941D35">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07.2pt;margin-top:8.5pt;height:19.85pt;width:76.55pt;z-index:251689984;v-text-anchor:middle;mso-width-relative:page;mso-height-relative:page;" filled="f" stroked="f" coordsize="21600,21600" o:gfxdata="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FxcwpNcAAAAJAQAA&#10;DwAAAAAAAAABACAAAAAiAAAAZHJzL2Rvd25yZXYueG1sUEsBAhQAFAAAAAgAh07iQHvfN+pTAgAA&#10;lwQAAA4AAAAAAAAAAQAgAAAAJgEAAGRycy9lMm9Eb2MueG1sUEsFBgAAAAAGAAYAWQEAAOsFAAAA&#10;AA==&#10;">
                      <v:fill on="f" focussize="0,0"/>
                      <v:stroke on="f" weight="1pt"/>
                      <v:imagedata o:title=""/>
                      <o:lock v:ext="edit" aspectratio="f"/>
                      <v:textbox>
                        <w:txbxContent>
                          <w:p w14:paraId="07941D35">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v:textbox>
                    </v:rect>
                  </w:pict>
                </mc:Fallback>
              </mc:AlternateContent>
            </w:r>
            <w:r>
              <w:rPr>
                <w:rFonts w:hint="default"/>
                <w:sz w:val="21"/>
              </w:rPr>
              <mc:AlternateContent>
                <mc:Choice Requires="wps">
                  <w:drawing>
                    <wp:anchor distT="0" distB="0" distL="114300" distR="114300" simplePos="0" relativeHeight="251688960" behindDoc="0" locked="0" layoutInCell="1" allowOverlap="1">
                      <wp:simplePos x="0" y="0"/>
                      <wp:positionH relativeFrom="column">
                        <wp:posOffset>1871980</wp:posOffset>
                      </wp:positionH>
                      <wp:positionV relativeFrom="paragraph">
                        <wp:posOffset>281305</wp:posOffset>
                      </wp:positionV>
                      <wp:extent cx="6350" cy="327025"/>
                      <wp:effectExtent l="36830" t="0" r="33020" b="15875"/>
                      <wp:wrapNone/>
                      <wp:docPr id="60" name="直接箭头连接符 60"/>
                      <wp:cNvGraphicFramePr/>
                      <a:graphic xmlns:a="http://schemas.openxmlformats.org/drawingml/2006/main">
                        <a:graphicData uri="http://schemas.microsoft.com/office/word/2010/wordprocessingShape">
                          <wps:wsp>
                            <wps:cNvCnPr/>
                            <wps:spPr>
                              <a:xfrm flipH="1" flipV="1">
                                <a:off x="0" y="0"/>
                                <a:ext cx="6350" cy="327025"/>
                              </a:xfrm>
                              <a:prstGeom prst="straightConnector1">
                                <a:avLst/>
                              </a:prstGeom>
                              <a:ln w="1270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147.4pt;margin-top:22.15pt;height:25.75pt;width:0.5pt;z-index:251688960;mso-width-relative:page;mso-height-relative:page;" filled="f" stroked="t" coordsize="21600,21600" o:gfxdata="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A5yiQx1gAAAAkBAAAP&#10;AAAAAAAAAAEAIAAAACIAAABkcnMvZG93bnJldi54bWxQSwECFAAUAAAACACHTuJAwYbyqBoCAAAM&#10;BAAADgAAAAAAAAABACAAAAAlAQAAZHJzL2Uyb0RvYy54bWxQSwUGAAAAAAYABgBZAQAAsQUAAAAA&#10;">
                      <v:fill on="f" focussize="0,0"/>
                      <v:stroke weight="1pt" color="#000000 [3213]" joinstyle="round" dashstyle="dash" endarrow="block"/>
                      <v:imagedata o:title=""/>
                      <o:lock v:ext="edit" aspectratio="f"/>
                    </v:shape>
                  </w:pict>
                </mc:Fallback>
              </mc:AlternateContent>
            </w:r>
            <w:r>
              <w:rPr>
                <w:rFonts w:hint="default"/>
                <w:sz w:val="21"/>
              </w:rPr>
              <mc:AlternateContent>
                <mc:Choice Requires="wps">
                  <w:drawing>
                    <wp:anchor distT="0" distB="0" distL="114300" distR="114300" simplePos="0" relativeHeight="251685888" behindDoc="0" locked="0" layoutInCell="1" allowOverlap="1">
                      <wp:simplePos x="0" y="0"/>
                      <wp:positionH relativeFrom="column">
                        <wp:posOffset>2626995</wp:posOffset>
                      </wp:positionH>
                      <wp:positionV relativeFrom="paragraph">
                        <wp:posOffset>121920</wp:posOffset>
                      </wp:positionV>
                      <wp:extent cx="972185" cy="252095"/>
                      <wp:effectExtent l="0" t="0" r="0" b="0"/>
                      <wp:wrapNone/>
                      <wp:docPr id="56" name="矩形 56"/>
                      <wp:cNvGraphicFramePr/>
                      <a:graphic xmlns:a="http://schemas.openxmlformats.org/drawingml/2006/main">
                        <a:graphicData uri="http://schemas.microsoft.com/office/word/2010/wordprocessingShape">
                          <wps:wsp>
                            <wps:cNvSpPr/>
                            <wps:spPr>
                              <a:xfrm>
                                <a:off x="0" y="0"/>
                                <a:ext cx="972185" cy="252095"/>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65FF7001">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6.85pt;margin-top:9.6pt;height:19.85pt;width:76.55pt;z-index:251685888;v-text-anchor:middle;mso-width-relative:page;mso-height-relative:page;" filled="f" stroked="f" coordsize="21600,21600" o:gfxdata="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">
                      <v:fill on="f" focussize="0,0"/>
                      <v:stroke on="f" weight="1pt"/>
                      <v:imagedata o:title=""/>
                      <o:lock v:ext="edit" aspectratio="f"/>
                      <v:textbox>
                        <w:txbxContent>
                          <w:p w14:paraId="65FF7001">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废气、噪声</w:t>
                            </w:r>
                          </w:p>
                        </w:txbxContent>
                      </v:textbox>
                    </v:rect>
                  </w:pict>
                </mc:Fallback>
              </mc:AlternateContent>
            </w:r>
            <w:r>
              <w:rPr>
                <w:rFonts w:hint="default"/>
                <w:sz w:val="21"/>
              </w:rPr>
              <mc:AlternateContent>
                <mc:Choice Requires="wps">
                  <w:drawing>
                    <wp:anchor distT="0" distB="0" distL="114300" distR="114300" simplePos="0" relativeHeight="251684864" behindDoc="0" locked="0" layoutInCell="1" allowOverlap="1">
                      <wp:simplePos x="0" y="0"/>
                      <wp:positionH relativeFrom="column">
                        <wp:posOffset>3137535</wp:posOffset>
                      </wp:positionH>
                      <wp:positionV relativeFrom="paragraph">
                        <wp:posOffset>295275</wp:posOffset>
                      </wp:positionV>
                      <wp:extent cx="6350" cy="327025"/>
                      <wp:effectExtent l="36830" t="0" r="33020" b="15875"/>
                      <wp:wrapNone/>
                      <wp:docPr id="57" name="直接箭头连接符 57"/>
                      <wp:cNvGraphicFramePr/>
                      <a:graphic xmlns:a="http://schemas.openxmlformats.org/drawingml/2006/main">
                        <a:graphicData uri="http://schemas.microsoft.com/office/word/2010/wordprocessingShape">
                          <wps:wsp>
                            <wps:cNvCnPr/>
                            <wps:spPr>
                              <a:xfrm flipH="1" flipV="1">
                                <a:off x="0" y="0"/>
                                <a:ext cx="6350" cy="327025"/>
                              </a:xfrm>
                              <a:prstGeom prst="straightConnector1">
                                <a:avLst/>
                              </a:prstGeom>
                              <a:ln w="12700">
                                <a:solidFill>
                                  <a:schemeClr val="tx1"/>
                                </a:solidFill>
                                <a:prstDash val="dash"/>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 y;margin-left:247.05pt;margin-top:23.25pt;height:25.75pt;width:0.5pt;z-index:251684864;mso-width-relative:page;mso-height-relative:page;" filled="f" stroked="t" coordsize="21600,21600" o:gfxdata="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EVJtrTWAAAACQEA&#10;AA8AAAAAAAAAAQAgAAAAIgAAAGRycy9kb3ducmV2LnhtbFBLAQIUABQAAAAIAIdO4kDPKnJjHAIA&#10;AAwEAAAOAAAAAAAAAAEAIAAAACUBAABkcnMvZTJvRG9jLnhtbFBLBQYAAAAABgAGAFkBAACzBQAA&#10;AAA=&#10;">
                      <v:fill on="f" focussize="0,0"/>
                      <v:stroke weight="1pt" color="#000000 [3213]" joinstyle="round" dashstyle="dash" endarrow="block"/>
                      <v:imagedata o:title=""/>
                      <o:lock v:ext="edit" aspectratio="f"/>
                    </v:shape>
                  </w:pict>
                </mc:Fallback>
              </mc:AlternateContent>
            </w:r>
            <w:r>
              <w:rPr>
                <w:rFonts w:hint="default"/>
                <w:sz w:val="21"/>
              </w:rPr>
              <mc:AlternateContent>
                <mc:Choice Requires="wps">
                  <w:drawing>
                    <wp:anchor distT="0" distB="0" distL="114300" distR="114300" simplePos="0" relativeHeight="251668480" behindDoc="0" locked="0" layoutInCell="1" allowOverlap="1">
                      <wp:simplePos x="0" y="0"/>
                      <wp:positionH relativeFrom="column">
                        <wp:posOffset>3477260</wp:posOffset>
                      </wp:positionH>
                      <wp:positionV relativeFrom="paragraph">
                        <wp:posOffset>18415</wp:posOffset>
                      </wp:positionV>
                      <wp:extent cx="517525" cy="0"/>
                      <wp:effectExtent l="0" t="38100" r="15875" b="38100"/>
                      <wp:wrapNone/>
                      <wp:docPr id="40" name="直接箭头连接符 40"/>
                      <wp:cNvGraphicFramePr/>
                      <a:graphic xmlns:a="http://schemas.openxmlformats.org/drawingml/2006/main">
                        <a:graphicData uri="http://schemas.microsoft.com/office/word/2010/wordprocessingShape">
                          <wps:wsp>
                            <wps:cNvCnPr/>
                            <wps:spPr>
                              <a:xfrm>
                                <a:off x="0" y="0"/>
                                <a:ext cx="51752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73.8pt;margin-top:1.45pt;height:0pt;width:40.75pt;z-index:251668480;mso-width-relative:page;mso-height-relative:page;" filled="f" stroked="t" coordsize="21600,21600" o:gfxdata="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HtLhY/UAAAABwEAAA8AAAAAAAAAAQAgAAAAIgAA&#10;AGRycy9kb3ducmV2LnhtbFBLAQIUABQAAAAIAIdO4kB8nu8CDAIAAPYDAAAOAAAAAAAAAAEAIAAA&#10;ACMBAABkcnMvZTJvRG9jLnhtbFBLBQYAAAAABgAGAFkBAAChBQAAAAA=&#10;">
                      <v:fill on="f" focussize="0,0"/>
                      <v:stroke weight="1pt" color="#000000 [3213]" joinstyle="round" endarrow="block"/>
                      <v:imagedata o:title=""/>
                      <o:lock v:ext="edit" aspectratio="f"/>
                    </v:shape>
                  </w:pict>
                </mc:Fallback>
              </mc:AlternateContent>
            </w:r>
          </w:p>
          <w:p w14:paraId="47EDB96A">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highlight w:val="green"/>
              </w:rPr>
            </w:pPr>
            <w:r>
              <w:rPr>
                <w:rFonts w:hint="default"/>
                <w:sz w:val="21"/>
              </w:rPr>
              <mc:AlternateContent>
                <mc:Choice Requires="wps">
                  <w:drawing>
                    <wp:anchor distT="0" distB="0" distL="114300" distR="114300" simplePos="0" relativeHeight="251682816" behindDoc="0" locked="0" layoutInCell="1" allowOverlap="1">
                      <wp:simplePos x="0" y="0"/>
                      <wp:positionH relativeFrom="column">
                        <wp:posOffset>2743200</wp:posOffset>
                      </wp:positionH>
                      <wp:positionV relativeFrom="paragraph">
                        <wp:posOffset>257175</wp:posOffset>
                      </wp:positionV>
                      <wp:extent cx="734060" cy="252095"/>
                      <wp:effectExtent l="6350" t="6350" r="21590" b="8255"/>
                      <wp:wrapNone/>
                      <wp:docPr id="51" name="矩形 51"/>
                      <wp:cNvGraphicFramePr/>
                      <a:graphic xmlns:a="http://schemas.openxmlformats.org/drawingml/2006/main">
                        <a:graphicData uri="http://schemas.microsoft.com/office/word/2010/wordprocessingShape">
                          <wps:wsp>
                            <wps:cNvSpPr/>
                            <wps:spPr>
                              <a:xfrm>
                                <a:off x="0" y="0"/>
                                <a:ext cx="734060" cy="25209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902C907">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烘干</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16pt;margin-top:20.25pt;height:19.85pt;width:57.8pt;z-index:251682816;v-text-anchor:middle;mso-width-relative:page;mso-height-relative:page;" filled="f" stroked="t" coordsize="21600,21600" o:gfxdata="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WHb9g2QAAAAkBAAAPAAAAAAAAAAEAIAAAACIAAABkcnMvZG93bnJldi54bWxQSwECFAAU&#10;AAAACACHTuJA3nZn7WICAADABAAADgAAAAAAAAABACAAAAAoAQAAZHJzL2Uyb0RvYy54bWxQSwUG&#10;AAAAAAYABgBZAQAA/AUAAAAA&#10;">
                      <v:fill on="f" focussize="0,0"/>
                      <v:stroke weight="1pt" color="#000000 [3213]" joinstyle="round"/>
                      <v:imagedata o:title=""/>
                      <o:lock v:ext="edit" aspectratio="f"/>
                      <v:textbox>
                        <w:txbxContent>
                          <w:p w14:paraId="3902C907">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烘干</w:t>
                            </w:r>
                          </w:p>
                        </w:txbxContent>
                      </v:textbox>
                    </v:rect>
                  </w:pict>
                </mc:Fallback>
              </mc:AlternateContent>
            </w:r>
            <w:r>
              <w:rPr>
                <w:rFonts w:hint="default"/>
                <w:sz w:val="21"/>
              </w:rPr>
              <mc:AlternateContent>
                <mc:Choice Requires="wps">
                  <w:drawing>
                    <wp:anchor distT="0" distB="0" distL="114300" distR="114300" simplePos="0" relativeHeight="251679744" behindDoc="0" locked="0" layoutInCell="1" allowOverlap="1">
                      <wp:simplePos x="0" y="0"/>
                      <wp:positionH relativeFrom="column">
                        <wp:posOffset>1504950</wp:posOffset>
                      </wp:positionH>
                      <wp:positionV relativeFrom="paragraph">
                        <wp:posOffset>239395</wp:posOffset>
                      </wp:positionV>
                      <wp:extent cx="734060" cy="252095"/>
                      <wp:effectExtent l="6350" t="6350" r="21590" b="8255"/>
                      <wp:wrapNone/>
                      <wp:docPr id="52" name="矩形 52"/>
                      <wp:cNvGraphicFramePr/>
                      <a:graphic xmlns:a="http://schemas.openxmlformats.org/drawingml/2006/main">
                        <a:graphicData uri="http://schemas.microsoft.com/office/word/2010/wordprocessingShape">
                          <wps:wsp>
                            <wps:cNvSpPr/>
                            <wps:spPr>
                              <a:xfrm>
                                <a:off x="0" y="0"/>
                                <a:ext cx="734060" cy="25209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4B2A761">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投料口</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118.5pt;margin-top:18.85pt;height:19.85pt;width:57.8pt;z-index:251679744;v-text-anchor:middle;mso-width-relative:page;mso-height-relative:page;" filled="f" stroked="t" coordsize="21600,21600" o:gfxdata="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C9INWC2QAAAAkBAAAPAAAAAAAAAAEAIAAAACIAAABkcnMvZG93bnJldi54bWxQSwECFAAU&#10;AAAACACHTuJArBik92ICAADABAAADgAAAAAAAAABACAAAAAoAQAAZHJzL2Uyb0RvYy54bWxQSwUG&#10;AAAAAAYABgBZAQAA/AUAAAAA&#10;">
                      <v:fill on="f" focussize="0,0"/>
                      <v:stroke weight="1pt" color="#000000 [3213]" joinstyle="round"/>
                      <v:imagedata o:title=""/>
                      <o:lock v:ext="edit" aspectratio="f"/>
                      <v:textbox>
                        <w:txbxContent>
                          <w:p w14:paraId="34B2A761">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投料口</w:t>
                            </w:r>
                          </w:p>
                        </w:txbxContent>
                      </v:textbox>
                    </v:rect>
                  </w:pict>
                </mc:Fallback>
              </mc:AlternateContent>
            </w:r>
            <w:r>
              <w:rPr>
                <w:rFonts w:hint="default"/>
                <w:sz w:val="21"/>
              </w:rPr>
              <mc:AlternateContent>
                <mc:Choice Requires="wps">
                  <w:drawing>
                    <wp:anchor distT="0" distB="0" distL="114300" distR="114300" simplePos="0" relativeHeight="251678720" behindDoc="0" locked="0" layoutInCell="1" allowOverlap="1">
                      <wp:simplePos x="0" y="0"/>
                      <wp:positionH relativeFrom="column">
                        <wp:posOffset>260350</wp:posOffset>
                      </wp:positionH>
                      <wp:positionV relativeFrom="paragraph">
                        <wp:posOffset>237490</wp:posOffset>
                      </wp:positionV>
                      <wp:extent cx="734060" cy="252095"/>
                      <wp:effectExtent l="6350" t="6350" r="21590" b="8255"/>
                      <wp:wrapNone/>
                      <wp:docPr id="50" name="矩形 50"/>
                      <wp:cNvGraphicFramePr/>
                      <a:graphic xmlns:a="http://schemas.openxmlformats.org/drawingml/2006/main">
                        <a:graphicData uri="http://schemas.microsoft.com/office/word/2010/wordprocessingShape">
                          <wps:wsp>
                            <wps:cNvSpPr/>
                            <wps:spPr>
                              <a:xfrm>
                                <a:off x="0" y="0"/>
                                <a:ext cx="734060" cy="252095"/>
                              </a:xfrm>
                              <a:prstGeom prst="rect">
                                <a:avLst/>
                              </a:prstGeom>
                              <a:noFill/>
                              <a:ln w="12700">
                                <a:solidFill>
                                  <a:schemeClr val="tx1"/>
                                </a:solidFill>
                              </a:ln>
                            </wps:spPr>
                            <wps:style>
                              <a:lnRef idx="2">
                                <a:schemeClr val="accent1">
                                  <a:lumMod val="75000"/>
                                </a:schemeClr>
                              </a:lnRef>
                              <a:fillRef idx="1">
                                <a:schemeClr val="accent1"/>
                              </a:fillRef>
                              <a:effectRef idx="0">
                                <a:srgbClr val="FFFFFF"/>
                              </a:effectRef>
                              <a:fontRef idx="minor">
                                <a:schemeClr val="lt1"/>
                              </a:fontRef>
                            </wps:style>
                            <wps:txbx>
                              <w:txbxContent>
                                <w:p w14:paraId="355F9515">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再生料</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20.5pt;margin-top:18.7pt;height:19.85pt;width:57.8pt;z-index:251678720;v-text-anchor:middle;mso-width-relative:page;mso-height-relative:page;" filled="f" stroked="t" coordsize="21600,21600" o:gfxdata="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oLcdutcAAAAIAQAADwAAAAAAAAABACAAAAAiAAAAZHJzL2Rvd25yZXYueG1sUEsBAhQAFAAA&#10;AAgAh07iQPCs2eRiAgAAwAQAAA4AAAAAAAAAAQAgAAAAJgEAAGRycy9lMm9Eb2MueG1sUEsFBgAA&#10;AAAGAAYAWQEAAPoFAAAAAA==&#10;">
                      <v:fill on="f" focussize="0,0"/>
                      <v:stroke weight="1pt" color="#000000 [3213]" joinstyle="round"/>
                      <v:imagedata o:title=""/>
                      <o:lock v:ext="edit" aspectratio="f"/>
                      <v:textbox>
                        <w:txbxContent>
                          <w:p w14:paraId="355F9515">
                            <w:pPr>
                              <w:jc w:val="center"/>
                              <w:rPr>
                                <w:rFonts w:hint="eastAsia"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再生料</w:t>
                            </w:r>
                          </w:p>
                        </w:txbxContent>
                      </v:textbox>
                    </v:rect>
                  </w:pict>
                </mc:Fallback>
              </mc:AlternateContent>
            </w:r>
          </w:p>
          <w:p w14:paraId="2C304816">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highlight w:val="green"/>
              </w:rPr>
            </w:pPr>
            <w:r>
              <w:rPr>
                <w:rFonts w:hint="default"/>
                <w:sz w:val="21"/>
              </w:rPr>
              <mc:AlternateContent>
                <mc:Choice Requires="wps">
                  <w:drawing>
                    <wp:anchor distT="0" distB="0" distL="114300" distR="114300" simplePos="0" relativeHeight="251691008" behindDoc="0" locked="0" layoutInCell="1" allowOverlap="1">
                      <wp:simplePos x="0" y="0"/>
                      <wp:positionH relativeFrom="column">
                        <wp:posOffset>4382770</wp:posOffset>
                      </wp:positionH>
                      <wp:positionV relativeFrom="paragraph">
                        <wp:posOffset>192405</wp:posOffset>
                      </wp:positionV>
                      <wp:extent cx="5715" cy="498475"/>
                      <wp:effectExtent l="37465" t="0" r="33020" b="15875"/>
                      <wp:wrapNone/>
                      <wp:docPr id="62" name="直接箭头连接符 62"/>
                      <wp:cNvGraphicFramePr/>
                      <a:graphic xmlns:a="http://schemas.openxmlformats.org/drawingml/2006/main">
                        <a:graphicData uri="http://schemas.microsoft.com/office/word/2010/wordprocessingShape">
                          <wps:wsp>
                            <wps:cNvCnPr/>
                            <wps:spPr>
                              <a:xfrm flipH="1">
                                <a:off x="0" y="0"/>
                                <a:ext cx="5715" cy="49847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x;margin-left:345.1pt;margin-top:15.15pt;height:39.25pt;width:0.45pt;z-index:251691008;mso-width-relative:page;mso-height-relative:page;" filled="f" stroked="t" coordsize="21600,21600" o:gfxdata="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K6rbbLbAAAA&#10;CgEAAA8AAAAAAAAAAQAgAAAAIgAAAGRycy9kb3ducmV2LnhtbFBLAQIUABQAAAAIAIdO4kC4Z7Sp&#10;GgIAAAMEAAAOAAAAAAAAAAEAIAAAACoBAABkcnMvZTJvRG9jLnhtbFBLBQYAAAAABgAGAFkBAAC2&#10;BQAAAAA=&#10;">
                      <v:fill on="f" focussize="0,0"/>
                      <v:stroke weight="1pt" color="#000000 [3213]" joinstyle="round" endarrow="block"/>
                      <v:imagedata o:title=""/>
                      <o:lock v:ext="edit" aspectratio="f"/>
                    </v:shape>
                  </w:pict>
                </mc:Fallback>
              </mc:AlternateContent>
            </w:r>
            <w:r>
              <w:rPr>
                <w:rFonts w:hint="default"/>
                <w:sz w:val="21"/>
              </w:rPr>
              <mc:AlternateContent>
                <mc:Choice Requires="wps">
                  <w:drawing>
                    <wp:anchor distT="0" distB="0" distL="114300" distR="114300" simplePos="0" relativeHeight="251683840" behindDoc="0" locked="0" layoutInCell="1" allowOverlap="1">
                      <wp:simplePos x="0" y="0"/>
                      <wp:positionH relativeFrom="column">
                        <wp:posOffset>3477260</wp:posOffset>
                      </wp:positionH>
                      <wp:positionV relativeFrom="paragraph">
                        <wp:posOffset>43180</wp:posOffset>
                      </wp:positionV>
                      <wp:extent cx="517525" cy="0"/>
                      <wp:effectExtent l="0" t="38100" r="15875" b="38100"/>
                      <wp:wrapNone/>
                      <wp:docPr id="55" name="直接箭头连接符 55"/>
                      <wp:cNvGraphicFramePr/>
                      <a:graphic xmlns:a="http://schemas.openxmlformats.org/drawingml/2006/main">
                        <a:graphicData uri="http://schemas.microsoft.com/office/word/2010/wordprocessingShape">
                          <wps:wsp>
                            <wps:cNvCnPr/>
                            <wps:spPr>
                              <a:xfrm>
                                <a:off x="0" y="0"/>
                                <a:ext cx="517525" cy="0"/>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margin-left:273.8pt;margin-top:3.4pt;height:0pt;width:40.75pt;z-index:251683840;mso-width-relative:page;mso-height-relative:page;" filled="f" stroked="t" coordsize="21600,21600" o:gfxdata="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">
                      <v:fill on="f" focussize="0,0"/>
                      <v:stroke weight="1pt" color="#000000 [3213]" joinstyle="round" endarrow="block"/>
                      <v:imagedata o:title=""/>
                      <o:lock v:ext="edit" aspectratio="f"/>
                    </v:shape>
                  </w:pict>
                </mc:Fallback>
              </mc:AlternateContent>
            </w:r>
            <w:r>
              <w:rPr>
                <w:rFonts w:hint="default"/>
                <w:sz w:val="21"/>
              </w:rPr>
              <mc:AlternateContent>
                <mc:Choice Requires="wps">
                  <w:drawing>
                    <wp:anchor distT="0" distB="0" distL="114300" distR="114300" simplePos="0" relativeHeight="251681792" behindDoc="0" locked="0" layoutInCell="1" allowOverlap="1">
                      <wp:simplePos x="0" y="0"/>
                      <wp:positionH relativeFrom="column">
                        <wp:posOffset>2245995</wp:posOffset>
                      </wp:positionH>
                      <wp:positionV relativeFrom="paragraph">
                        <wp:posOffset>10795</wp:posOffset>
                      </wp:positionV>
                      <wp:extent cx="497205" cy="3175"/>
                      <wp:effectExtent l="0" t="37465" r="17145" b="35560"/>
                      <wp:wrapNone/>
                      <wp:docPr id="53" name="直接箭头连接符 53"/>
                      <wp:cNvGraphicFramePr/>
                      <a:graphic xmlns:a="http://schemas.openxmlformats.org/drawingml/2006/main">
                        <a:graphicData uri="http://schemas.microsoft.com/office/word/2010/wordprocessingShape">
                          <wps:wsp>
                            <wps:cNvCnPr/>
                            <wps:spPr>
                              <a:xfrm flipV="1">
                                <a:off x="0" y="0"/>
                                <a:ext cx="497205" cy="317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176.85pt;margin-top:0.85pt;height:0.25pt;width:39.15pt;z-index:251681792;mso-width-relative:page;mso-height-relative:page;" filled="f" stroked="t" coordsize="21600,21600" o:gfxdata="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">
                      <v:fill on="f" focussize="0,0"/>
                      <v:stroke weight="1pt" color="#000000 [3213]" joinstyle="round" endarrow="block"/>
                      <v:imagedata o:title=""/>
                      <o:lock v:ext="edit" aspectratio="f"/>
                    </v:shape>
                  </w:pict>
                </mc:Fallback>
              </mc:AlternateContent>
            </w:r>
            <w:r>
              <w:rPr>
                <w:rFonts w:hint="default"/>
                <w:sz w:val="21"/>
              </w:rPr>
              <mc:AlternateContent>
                <mc:Choice Requires="wps">
                  <w:drawing>
                    <wp:anchor distT="0" distB="0" distL="114300" distR="114300" simplePos="0" relativeHeight="251680768" behindDoc="0" locked="0" layoutInCell="1" allowOverlap="1">
                      <wp:simplePos x="0" y="0"/>
                      <wp:positionH relativeFrom="column">
                        <wp:posOffset>1000760</wp:posOffset>
                      </wp:positionH>
                      <wp:positionV relativeFrom="paragraph">
                        <wp:posOffset>13970</wp:posOffset>
                      </wp:positionV>
                      <wp:extent cx="504190" cy="6985"/>
                      <wp:effectExtent l="0" t="36830" r="10160" b="32385"/>
                      <wp:wrapNone/>
                      <wp:docPr id="54" name="直接箭头连接符 54"/>
                      <wp:cNvGraphicFramePr/>
                      <a:graphic xmlns:a="http://schemas.openxmlformats.org/drawingml/2006/main">
                        <a:graphicData uri="http://schemas.microsoft.com/office/word/2010/wordprocessingShape">
                          <wps:wsp>
                            <wps:cNvCnPr/>
                            <wps:spPr>
                              <a:xfrm flipV="1">
                                <a:off x="0" y="0"/>
                                <a:ext cx="504190" cy="6985"/>
                              </a:xfrm>
                              <a:prstGeom prst="straightConnector1">
                                <a:avLst/>
                              </a:prstGeom>
                              <a:ln w="12700">
                                <a:solidFill>
                                  <a:schemeClr val="tx1"/>
                                </a:solidFill>
                                <a:headEnd type="none"/>
                                <a:tailEnd type="triangle" w="med" len="med"/>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shape id="_x0000_s1026" o:spid="_x0000_s1026" o:spt="32" type="#_x0000_t32" style="position:absolute;left:0pt;flip:y;margin-left:78.8pt;margin-top:1.1pt;height:0.55pt;width:39.7pt;z-index:251680768;mso-width-relative:page;mso-height-relative:page;" filled="f" stroked="t" coordsize="21600,21600" o:gfxdata="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MrnfQtkAAAAHAQAA&#10;DwAAAAAAAAABACAAAAAiAAAAZHJzL2Rvd25yZXYueG1sUEsBAhQAFAAAAAgAh07iQFy11C4YAgAA&#10;AwQAAA4AAAAAAAAAAQAgAAAAKAEAAGRycy9lMm9Eb2MueG1sUEsFBgAAAAAGAAYAWQEAALIFAAAA&#10;AA==&#10;">
                      <v:fill on="f" focussize="0,0"/>
                      <v:stroke weight="1pt" color="#000000 [3213]" joinstyle="round" endarrow="block"/>
                      <v:imagedata o:title=""/>
                      <o:lock v:ext="edit" aspectratio="f"/>
                    </v:shape>
                  </w:pict>
                </mc:Fallback>
              </mc:AlternateContent>
            </w:r>
          </w:p>
          <w:p w14:paraId="2C09372F">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highlight w:val="green"/>
              </w:rPr>
            </w:pPr>
            <w:r>
              <w:rPr>
                <w:rFonts w:hint="default"/>
                <w:sz w:val="21"/>
              </w:rPr>
              <mc:AlternateContent>
                <mc:Choice Requires="wps">
                  <w:drawing>
                    <wp:anchor distT="0" distB="0" distL="114300" distR="114300" simplePos="0" relativeHeight="251692032" behindDoc="0" locked="0" layoutInCell="1" allowOverlap="1">
                      <wp:simplePos x="0" y="0"/>
                      <wp:positionH relativeFrom="column">
                        <wp:posOffset>3919855</wp:posOffset>
                      </wp:positionH>
                      <wp:positionV relativeFrom="paragraph">
                        <wp:posOffset>334010</wp:posOffset>
                      </wp:positionV>
                      <wp:extent cx="972185" cy="252095"/>
                      <wp:effectExtent l="0" t="0" r="0" b="0"/>
                      <wp:wrapNone/>
                      <wp:docPr id="63" name="矩形 63"/>
                      <wp:cNvGraphicFramePr/>
                      <a:graphic xmlns:a="http://schemas.openxmlformats.org/drawingml/2006/main">
                        <a:graphicData uri="http://schemas.microsoft.com/office/word/2010/wordprocessingShape">
                          <wps:wsp>
                            <wps:cNvSpPr/>
                            <wps:spPr>
                              <a:xfrm>
                                <a:off x="0" y="0"/>
                                <a:ext cx="972185" cy="252095"/>
                              </a:xfrm>
                              <a:prstGeom prst="rect">
                                <a:avLst/>
                              </a:prstGeom>
                              <a:noFill/>
                              <a:ln w="12700">
                                <a:noFill/>
                              </a:ln>
                            </wps:spPr>
                            <wps:style>
                              <a:lnRef idx="2">
                                <a:schemeClr val="accent1">
                                  <a:lumMod val="75000"/>
                                </a:schemeClr>
                              </a:lnRef>
                              <a:fillRef idx="1">
                                <a:schemeClr val="accent1"/>
                              </a:fillRef>
                              <a:effectRef idx="0">
                                <a:srgbClr val="FFFFFF"/>
                              </a:effectRef>
                              <a:fontRef idx="minor">
                                <a:schemeClr val="lt1"/>
                              </a:fontRef>
                            </wps:style>
                            <wps:txbx>
                              <w:txbxContent>
                                <w:p w14:paraId="74EB2934">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成品</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id="_x0000_s1026" o:spid="_x0000_s1026" o:spt="1" style="position:absolute;left:0pt;margin-left:308.65pt;margin-top:26.3pt;height:19.85pt;width:76.55pt;z-index:251692032;v-text-anchor:middle;mso-width-relative:page;mso-height-relative:page;" filled="f" stroked="f" coordsize="21600,21600" o:gfxdata="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">
                      <v:fill on="f" focussize="0,0"/>
                      <v:stroke on="f" weight="1pt"/>
                      <v:imagedata o:title=""/>
                      <o:lock v:ext="edit" aspectratio="f"/>
                      <v:textbox>
                        <w:txbxContent>
                          <w:p w14:paraId="74EB2934">
                            <w:pPr>
                              <w:jc w:val="center"/>
                              <w:rPr>
                                <w:rFonts w:hint="default" w:eastAsia="宋体"/>
                                <w:color w:val="000000" w:themeColor="text1"/>
                                <w:sz w:val="21"/>
                                <w:lang w:val="en-US" w:eastAsia="zh-CN"/>
                                <w14:textFill>
                                  <w14:solidFill>
                                    <w14:schemeClr w14:val="tx1"/>
                                  </w14:solidFill>
                                </w14:textFill>
                              </w:rPr>
                            </w:pPr>
                            <w:r>
                              <w:rPr>
                                <w:rFonts w:hint="eastAsia"/>
                                <w:color w:val="000000" w:themeColor="text1"/>
                                <w:sz w:val="21"/>
                                <w:lang w:val="en-US" w:eastAsia="zh-CN"/>
                                <w14:textFill>
                                  <w14:solidFill>
                                    <w14:schemeClr w14:val="tx1"/>
                                  </w14:solidFill>
                                </w14:textFill>
                              </w:rPr>
                              <w:t>成品</w:t>
                            </w:r>
                          </w:p>
                        </w:txbxContent>
                      </v:textbox>
                    </v:rect>
                  </w:pict>
                </mc:Fallback>
              </mc:AlternateContent>
            </w:r>
          </w:p>
          <w:p w14:paraId="25B614F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560" w:lineRule="exact"/>
              <w:ind w:left="0" w:right="0"/>
              <w:jc w:val="center"/>
              <w:textAlignment w:val="auto"/>
              <w:rPr>
                <w:rFonts w:hint="default" w:ascii="Times New Roman"/>
                <w:b/>
                <w:highlight w:val="green"/>
              </w:rPr>
            </w:pPr>
          </w:p>
          <w:p w14:paraId="6B1D5380">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157" w:beforeLines="50" w:beforeAutospacing="0" w:after="0" w:afterAutospacing="0" w:line="560" w:lineRule="exact"/>
              <w:ind w:left="0" w:right="0"/>
              <w:jc w:val="center"/>
              <w:textAlignment w:val="auto"/>
              <w:rPr>
                <w:rFonts w:hint="default" w:ascii="Times New Roman"/>
                <w:b/>
                <w:color w:val="000000" w:themeColor="text1"/>
                <w:highlight w:val="none"/>
                <w14:textFill>
                  <w14:solidFill>
                    <w14:schemeClr w14:val="tx1"/>
                  </w14:solidFill>
                </w14:textFill>
              </w:rPr>
            </w:pPr>
            <w:r>
              <w:rPr>
                <w:rFonts w:hint="default" w:ascii="Times New Roman"/>
                <w:b/>
                <w:color w:val="000000" w:themeColor="text1"/>
                <w:highlight w:val="none"/>
                <w14:textFill>
                  <w14:solidFill>
                    <w14:schemeClr w14:val="tx1"/>
                  </w14:solidFill>
                </w14:textFill>
              </w:rPr>
              <w:t>图</w:t>
            </w:r>
            <w:r>
              <w:rPr>
                <w:rFonts w:hint="eastAsia" w:ascii="Times New Roman"/>
                <w:b/>
                <w:color w:val="000000" w:themeColor="text1"/>
                <w:highlight w:val="none"/>
                <w:lang w:val="en-US" w:eastAsia="zh-CN"/>
                <w14:textFill>
                  <w14:solidFill>
                    <w14:schemeClr w14:val="tx1"/>
                  </w14:solidFill>
                </w14:textFill>
              </w:rPr>
              <w:t>2</w:t>
            </w:r>
            <w:r>
              <w:rPr>
                <w:rFonts w:hint="eastAsia"/>
                <w:b/>
                <w:color w:val="000000" w:themeColor="text1"/>
                <w:highlight w:val="none"/>
                <w:lang w:val="en-US" w:eastAsia="zh-CN"/>
                <w14:textFill>
                  <w14:solidFill>
                    <w14:schemeClr w14:val="tx1"/>
                  </w14:solidFill>
                </w14:textFill>
              </w:rPr>
              <w:t>-2</w:t>
            </w:r>
            <w:r>
              <w:rPr>
                <w:rFonts w:hint="default" w:ascii="Times New Roman"/>
                <w:b/>
                <w:color w:val="000000" w:themeColor="text1"/>
                <w:highlight w:val="none"/>
                <w14:textFill>
                  <w14:solidFill>
                    <w14:schemeClr w14:val="tx1"/>
                  </w14:solidFill>
                </w14:textFill>
              </w:rPr>
              <w:t xml:space="preserve">  </w:t>
            </w:r>
            <w:r>
              <w:rPr>
                <w:rFonts w:hint="eastAsia" w:ascii="Times New Roman"/>
                <w:b/>
                <w:color w:val="000000" w:themeColor="text1"/>
                <w:highlight w:val="none"/>
                <w14:textFill>
                  <w14:solidFill>
                    <w14:schemeClr w14:val="tx1"/>
                  </w14:solidFill>
                </w14:textFill>
              </w:rPr>
              <w:t>沥青</w:t>
            </w:r>
            <w:r>
              <w:rPr>
                <w:rFonts w:hint="eastAsia"/>
                <w:b/>
                <w:color w:val="000000" w:themeColor="text1"/>
                <w:highlight w:val="none"/>
                <w:lang w:val="en-US" w:eastAsia="zh-CN"/>
                <w14:textFill>
                  <w14:solidFill>
                    <w14:schemeClr w14:val="tx1"/>
                  </w14:solidFill>
                </w14:textFill>
              </w:rPr>
              <w:t>混合料</w:t>
            </w:r>
            <w:r>
              <w:rPr>
                <w:rFonts w:hint="default" w:ascii="Times New Roman"/>
                <w:b/>
                <w:color w:val="000000" w:themeColor="text1"/>
                <w:highlight w:val="none"/>
                <w14:textFill>
                  <w14:solidFill>
                    <w14:schemeClr w14:val="tx1"/>
                  </w14:solidFill>
                </w14:textFill>
              </w:rPr>
              <w:t>工艺流程</w:t>
            </w:r>
          </w:p>
          <w:p w14:paraId="6822FA4A">
            <w:pPr>
              <w:keepNext w:val="0"/>
              <w:keepLines w:val="0"/>
              <w:suppressLineNumbers w:val="0"/>
              <w:adjustRightInd w:val="0"/>
              <w:snapToGrid w:val="0"/>
              <w:spacing w:before="0" w:beforeAutospacing="0" w:after="0" w:afterAutospacing="0" w:line="480" w:lineRule="exact"/>
              <w:ind w:left="0" w:right="0" w:firstLine="480" w:firstLineChars="200"/>
              <w:jc w:val="left"/>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t>工艺流程简述：</w:t>
            </w:r>
          </w:p>
          <w:p w14:paraId="0B4EE958">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ascii="Times New Roman" w:hAnsi="Times New Roman" w:eastAsia="宋体" w:cs="宋体"/>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宋体"/>
                <w:color w:val="000000" w:themeColor="text1"/>
                <w:kern w:val="0"/>
                <w:sz w:val="24"/>
                <w:szCs w:val="24"/>
                <w:highlight w:val="none"/>
                <w:lang w:val="en-US" w:eastAsia="zh-CN"/>
                <w14:textFill>
                  <w14:solidFill>
                    <w14:schemeClr w14:val="tx1"/>
                  </w14:solidFill>
                </w14:textFill>
              </w:rPr>
              <w:t>①</w:t>
            </w:r>
            <w:r>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t>沥青预处理：由专用沥青运输车将沥青通过密闭沥青管道送至沥青储罐，初始沥青温度为130℃左右，使用</w:t>
            </w:r>
            <w:r>
              <w:rPr>
                <w:rFonts w:hint="eastAsia" w:cs="宋体"/>
                <w:color w:val="000000" w:themeColor="text1"/>
                <w:kern w:val="0"/>
                <w:sz w:val="24"/>
                <w:szCs w:val="24"/>
                <w:highlight w:val="none"/>
                <w:lang w:val="en-US" w:eastAsia="zh-CN"/>
                <w14:textFill>
                  <w14:solidFill>
                    <w14:schemeClr w14:val="tx1"/>
                  </w14:solidFill>
                </w14:textFill>
              </w:rPr>
              <w:t>天然气</w:t>
            </w:r>
            <w:r>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t>导热油炉，将其加热至150~170℃之间，由沥青泵输送到沥青计量器，按一定的配比重量后通过专用管道送入沥青混凝土搅拌缸内与骨料、</w:t>
            </w:r>
            <w:r>
              <w:rPr>
                <w:rFonts w:hint="eastAsia" w:cs="宋体"/>
                <w:color w:val="000000" w:themeColor="text1"/>
                <w:kern w:val="0"/>
                <w:sz w:val="24"/>
                <w:szCs w:val="24"/>
                <w:highlight w:val="none"/>
                <w:lang w:val="en-US" w:eastAsia="zh-CN"/>
                <w14:textFill>
                  <w14:solidFill>
                    <w14:schemeClr w14:val="tx1"/>
                  </w14:solidFill>
                </w14:textFill>
              </w:rPr>
              <w:t>机制砂</w:t>
            </w:r>
            <w:r>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t>混合。</w:t>
            </w:r>
            <w:r>
              <w:rPr>
                <w:rFonts w:hint="eastAsia" w:cs="宋体"/>
                <w:color w:val="000000" w:themeColor="text1"/>
                <w:kern w:val="0"/>
                <w:sz w:val="24"/>
                <w:szCs w:val="24"/>
                <w:highlight w:val="none"/>
                <w:lang w:val="en-US" w:eastAsia="zh-CN"/>
                <w14:textFill>
                  <w14:solidFill>
                    <w14:schemeClr w14:val="tx1"/>
                  </w14:solidFill>
                </w14:textFill>
              </w:rPr>
              <w:t>此过程主要产生沥青储罐大小呼吸废气及导热油炉燃烧废气。</w:t>
            </w:r>
          </w:p>
          <w:p w14:paraId="51C4940F">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ascii="Times New Roman" w:hAnsi="Times New Roman" w:eastAsia="宋体" w:cs="宋体"/>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宋体"/>
                <w:color w:val="000000" w:themeColor="text1"/>
                <w:kern w:val="0"/>
                <w:sz w:val="24"/>
                <w:szCs w:val="24"/>
                <w:highlight w:val="none"/>
                <w:lang w:val="en-US" w:eastAsia="zh-CN"/>
                <w14:textFill>
                  <w14:solidFill>
                    <w14:schemeClr w14:val="tx1"/>
                  </w14:solidFill>
                </w14:textFill>
              </w:rPr>
              <w:t>②</w:t>
            </w:r>
            <w:r>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t>骨料预处理：</w:t>
            </w:r>
            <w:r>
              <w:rPr>
                <w:rFonts w:hint="eastAsia" w:cs="宋体"/>
                <w:color w:val="000000" w:themeColor="text1"/>
                <w:kern w:val="0"/>
                <w:sz w:val="24"/>
                <w:szCs w:val="24"/>
                <w:highlight w:val="none"/>
                <w:lang w:val="en-US" w:eastAsia="zh-CN"/>
                <w14:textFill>
                  <w14:solidFill>
                    <w14:schemeClr w14:val="tx1"/>
                  </w14:solidFill>
                </w14:textFill>
              </w:rPr>
              <w:t>分为新生料和再生料，其中新生料</w:t>
            </w:r>
            <w:r>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t>外购供应商已</w:t>
            </w:r>
            <w:r>
              <w:rPr>
                <w:rFonts w:hint="eastAsia" w:cs="宋体"/>
                <w:color w:val="000000" w:themeColor="text1"/>
                <w:kern w:val="0"/>
                <w:sz w:val="24"/>
                <w:szCs w:val="24"/>
                <w:highlight w:val="none"/>
                <w:lang w:val="en-US" w:eastAsia="zh-CN"/>
                <w14:textFill>
                  <w14:solidFill>
                    <w14:schemeClr w14:val="tx1"/>
                  </w14:solidFill>
                </w14:textFill>
              </w:rPr>
              <w:t>清</w:t>
            </w:r>
            <w:r>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t>洗的骨料，由汽车运入厂区后堆放在骨料堆场。生产时，将骨料用铲车从骨料堆场送入冷料料斗，然后通过密闭的皮带输送至冷料给料机自动给料。</w:t>
            </w:r>
            <w:r>
              <w:rPr>
                <w:rFonts w:hint="eastAsia" w:cs="宋体"/>
                <w:color w:val="000000" w:themeColor="text1"/>
                <w:kern w:val="0"/>
                <w:sz w:val="24"/>
                <w:szCs w:val="24"/>
                <w:highlight w:val="none"/>
                <w:lang w:val="en-US" w:eastAsia="zh-CN"/>
                <w14:textFill>
                  <w14:solidFill>
                    <w14:schemeClr w14:val="tx1"/>
                  </w14:solidFill>
                </w14:textFill>
              </w:rPr>
              <w:t>再生料为外购破碎好的不同粒径沥青路面再生料，</w:t>
            </w:r>
            <w:r>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t>生产时，将骨料用铲车从骨料堆场送入再生冷料料斗，然后通过密闭的皮带输送至再生冷料给料机自动给料。</w:t>
            </w:r>
          </w:p>
          <w:p w14:paraId="20A2272A">
            <w:pPr>
              <w:keepNext w:val="0"/>
              <w:keepLines w:val="0"/>
              <w:suppressLineNumbers w:val="0"/>
              <w:adjustRightInd w:val="0"/>
              <w:snapToGrid w:val="0"/>
              <w:spacing w:before="0" w:beforeAutospacing="0" w:after="0" w:afterAutospacing="0" w:line="480" w:lineRule="exact"/>
              <w:ind w:left="0" w:right="0" w:firstLine="480" w:firstLineChars="200"/>
              <w:jc w:val="left"/>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pPr>
            <w:r>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t>为使沥青混凝土产品不至于因过快冷却而带来运输不便，</w:t>
            </w:r>
            <w:r>
              <w:rPr>
                <w:rFonts w:hint="eastAsia" w:cs="宋体"/>
                <w:color w:val="000000" w:themeColor="text1"/>
                <w:kern w:val="0"/>
                <w:sz w:val="24"/>
                <w:szCs w:val="24"/>
                <w:highlight w:val="none"/>
                <w:lang w:val="en-US" w:eastAsia="zh-CN"/>
                <w14:textFill>
                  <w14:solidFill>
                    <w14:schemeClr w14:val="tx1"/>
                  </w14:solidFill>
                </w14:textFill>
              </w:rPr>
              <w:t>所有骨料根据不同比例配比在</w:t>
            </w:r>
            <w:r>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t>和沥青混合之前需经过加热预处理。骨料由密闭的皮带输送给料机送入烘干滚筒内，烘干滚筒采用逆料流加热方式，使用</w:t>
            </w:r>
            <w:r>
              <w:rPr>
                <w:rFonts w:hint="eastAsia" w:cs="宋体"/>
                <w:color w:val="000000" w:themeColor="text1"/>
                <w:kern w:val="0"/>
                <w:sz w:val="24"/>
                <w:szCs w:val="24"/>
                <w:highlight w:val="none"/>
                <w:lang w:val="en-US" w:eastAsia="zh-CN"/>
                <w14:textFill>
                  <w14:solidFill>
                    <w14:schemeClr w14:val="tx1"/>
                  </w14:solidFill>
                </w14:textFill>
              </w:rPr>
              <w:t>天然气</w:t>
            </w:r>
            <w:r>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t>加热烘干筒，烘干筒出料口一端喷入，热气流逆着料流方向穿过滚筒时被骨料吸走热量。为了使骨料均匀受热，烘干滚筒不停的转动，滚筒内的提升叶片将筒内的冷骨料不断的升起和抛下。随后，将加热的骨料通过提升机经计量后送入拌合缸。</w:t>
            </w:r>
          </w:p>
          <w:p w14:paraId="4888B745">
            <w:pPr>
              <w:keepNext w:val="0"/>
              <w:keepLines w:val="0"/>
              <w:suppressLineNumbers w:val="0"/>
              <w:adjustRightInd w:val="0"/>
              <w:snapToGrid w:val="0"/>
              <w:spacing w:before="0" w:beforeAutospacing="0" w:after="0" w:afterAutospacing="0" w:line="480" w:lineRule="exact"/>
              <w:ind w:left="0" w:right="0" w:firstLine="480" w:firstLineChars="200"/>
              <w:jc w:val="left"/>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宋体"/>
                <w:color w:val="000000" w:themeColor="text1"/>
                <w:kern w:val="0"/>
                <w:sz w:val="24"/>
                <w:szCs w:val="24"/>
                <w:highlight w:val="none"/>
                <w:lang w:val="en-US" w:eastAsia="zh-CN"/>
                <w14:textFill>
                  <w14:solidFill>
                    <w14:schemeClr w14:val="tx1"/>
                  </w14:solidFill>
                </w14:textFill>
              </w:rPr>
              <w:t>③</w:t>
            </w:r>
            <w:r>
              <w:rPr>
                <w:rFonts w:hint="eastAsia" w:cs="宋体"/>
                <w:color w:val="000000" w:themeColor="text1"/>
                <w:kern w:val="0"/>
                <w:sz w:val="24"/>
                <w:szCs w:val="24"/>
                <w:highlight w:val="none"/>
                <w:lang w:val="en-US" w:eastAsia="zh-CN"/>
                <w14:textFill>
                  <w14:solidFill>
                    <w14:schemeClr w14:val="tx1"/>
                  </w14:solidFill>
                </w14:textFill>
              </w:rPr>
              <w:t>粉料</w:t>
            </w:r>
            <w:r>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t>输送：</w:t>
            </w:r>
            <w:r>
              <w:rPr>
                <w:rFonts w:hint="eastAsia" w:cs="宋体"/>
                <w:color w:val="000000" w:themeColor="text1"/>
                <w:kern w:val="0"/>
                <w:sz w:val="24"/>
                <w:szCs w:val="24"/>
                <w:highlight w:val="none"/>
                <w:lang w:val="en-US" w:eastAsia="zh-CN"/>
                <w14:textFill>
                  <w14:solidFill>
                    <w14:schemeClr w14:val="tx1"/>
                  </w14:solidFill>
                </w14:textFill>
              </w:rPr>
              <w:t>项目新生料烘干过程产生大量粉尘经布袋除尘器处理后排放，粉尘</w:t>
            </w:r>
            <w:r>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t>暂存于筒仓中</w:t>
            </w:r>
            <w:r>
              <w:rPr>
                <w:rFonts w:hint="eastAsia" w:cs="宋体"/>
                <w:color w:val="000000" w:themeColor="text1"/>
                <w:kern w:val="0"/>
                <w:sz w:val="24"/>
                <w:szCs w:val="24"/>
                <w:highlight w:val="none"/>
                <w:lang w:val="en-US" w:eastAsia="zh-CN"/>
                <w14:textFill>
                  <w14:solidFill>
                    <w14:schemeClr w14:val="tx1"/>
                  </w14:solidFill>
                </w14:textFill>
              </w:rPr>
              <w:t>，主要为矿石粉，</w:t>
            </w:r>
            <w:r>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t>通过给料机、提升机、计量装置后进入拌合缸。</w:t>
            </w:r>
          </w:p>
          <w:p w14:paraId="1A3B1543">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ascii="Times New Roman" w:hAnsi="Times New Roman" w:eastAsia="宋体" w:cs="宋体"/>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宋体"/>
                <w:color w:val="000000" w:themeColor="text1"/>
                <w:kern w:val="0"/>
                <w:sz w:val="24"/>
                <w:szCs w:val="24"/>
                <w:highlight w:val="none"/>
                <w:lang w:val="en-US" w:eastAsia="zh-CN"/>
                <w14:textFill>
                  <w14:solidFill>
                    <w14:schemeClr w14:val="tx1"/>
                  </w14:solidFill>
                </w14:textFill>
              </w:rPr>
              <w:t>④</w:t>
            </w:r>
            <w:r>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t>搅拌混合工序：进入拌合缸的骨料、矿粉与热沥青拌合后即为成品。</w:t>
            </w:r>
            <w:r>
              <w:rPr>
                <w:rFonts w:hint="eastAsia" w:cs="宋体"/>
                <w:color w:val="000000" w:themeColor="text1"/>
                <w:kern w:val="0"/>
                <w:sz w:val="24"/>
                <w:szCs w:val="24"/>
                <w:highlight w:val="none"/>
                <w:lang w:val="en-US" w:eastAsia="zh-CN"/>
                <w14:textFill>
                  <w14:solidFill>
                    <w14:schemeClr w14:val="tx1"/>
                  </w14:solidFill>
                </w14:textFill>
              </w:rPr>
              <w:t>此过程为封闭状态。主要产生噪声、沥青拌合废气，主要为沥青烟、颗粒物等。</w:t>
            </w:r>
          </w:p>
          <w:p w14:paraId="243681A2">
            <w:pPr>
              <w:keepNext w:val="0"/>
              <w:keepLines w:val="0"/>
              <w:suppressLineNumbers w:val="0"/>
              <w:adjustRightInd w:val="0"/>
              <w:snapToGrid w:val="0"/>
              <w:spacing w:before="0" w:beforeAutospacing="0" w:after="0" w:afterAutospacing="0" w:line="480" w:lineRule="exact"/>
              <w:ind w:left="0" w:right="0" w:firstLine="480" w:firstLineChars="200"/>
              <w:jc w:val="left"/>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pPr>
            <w:r>
              <w:rPr>
                <w:rFonts w:hint="default" w:ascii="Times New Roman" w:hAnsi="Times New Roman" w:eastAsia="宋体" w:cs="宋体"/>
                <w:color w:val="000000" w:themeColor="text1"/>
                <w:kern w:val="0"/>
                <w:sz w:val="24"/>
                <w:szCs w:val="24"/>
                <w:highlight w:val="none"/>
                <w:lang w:val="en-US" w:eastAsia="zh-CN"/>
                <w14:textFill>
                  <w14:solidFill>
                    <w14:schemeClr w14:val="tx1"/>
                  </w14:solidFill>
                </w14:textFill>
              </w:rPr>
              <w:t>⑤</w:t>
            </w:r>
            <w:r>
              <w:rPr>
                <w:rFonts w:hint="eastAsia" w:ascii="Times New Roman" w:hAnsi="Times New Roman" w:eastAsia="宋体" w:cs="宋体"/>
                <w:color w:val="000000" w:themeColor="text1"/>
                <w:kern w:val="0"/>
                <w:sz w:val="24"/>
                <w:szCs w:val="24"/>
                <w:highlight w:val="none"/>
                <w:lang w:val="en-US" w:eastAsia="zh-CN"/>
                <w14:textFill>
                  <w14:solidFill>
                    <w14:schemeClr w14:val="tx1"/>
                  </w14:solidFill>
                </w14:textFill>
              </w:rPr>
              <w:t>放料运输：</w:t>
            </w:r>
            <w:r>
              <w:rPr>
                <w:rFonts w:hint="default" w:ascii="Times New Roman" w:hAnsi="Times New Roman" w:cs="Times New Roman"/>
                <w:color w:val="auto"/>
                <w:sz w:val="24"/>
                <w:szCs w:val="24"/>
                <w:highlight w:val="none"/>
              </w:rPr>
              <w:t>成品出料装入运输车斗送出，生产出料过程为间断式</w:t>
            </w:r>
            <w:r>
              <w:rPr>
                <w:rFonts w:hint="eastAsia" w:ascii="Times New Roman" w:hAnsi="Times New Roman" w:cs="Times New Roman"/>
                <w:color w:val="auto"/>
                <w:sz w:val="24"/>
                <w:szCs w:val="24"/>
                <w:highlight w:val="none"/>
                <w:lang w:eastAsia="zh-CN"/>
              </w:rPr>
              <w:t>，</w:t>
            </w:r>
            <w:r>
              <w:rPr>
                <w:rFonts w:hint="eastAsia" w:cs="Times New Roman"/>
                <w:color w:val="auto"/>
                <w:sz w:val="24"/>
                <w:szCs w:val="24"/>
                <w:highlight w:val="none"/>
                <w:lang w:val="en-US" w:eastAsia="zh-CN"/>
              </w:rPr>
              <w:t>且</w:t>
            </w:r>
            <w:r>
              <w:rPr>
                <w:rFonts w:hint="eastAsia" w:ascii="Times New Roman" w:hAnsi="Times New Roman" w:cs="Times New Roman"/>
                <w:color w:val="auto"/>
                <w:sz w:val="24"/>
                <w:szCs w:val="24"/>
                <w:highlight w:val="none"/>
                <w:lang w:val="en-US" w:eastAsia="zh-CN"/>
              </w:rPr>
              <w:t>在出料口设置负压收集废气装置，</w:t>
            </w:r>
            <w:r>
              <w:rPr>
                <w:rFonts w:hint="eastAsia" w:cs="宋体"/>
                <w:color w:val="000000" w:themeColor="text1"/>
                <w:kern w:val="0"/>
                <w:sz w:val="24"/>
                <w:szCs w:val="24"/>
                <w:highlight w:val="none"/>
                <w:lang w:val="en-US" w:eastAsia="zh-CN"/>
                <w14:textFill>
                  <w14:solidFill>
                    <w14:schemeClr w14:val="tx1"/>
                  </w14:solidFill>
                </w14:textFill>
              </w:rPr>
              <w:t>主要为沥青烟、颗粒物等</w:t>
            </w:r>
          </w:p>
          <w:p w14:paraId="7974BE3C">
            <w:pPr>
              <w:keepNext w:val="0"/>
              <w:keepLines w:val="0"/>
              <w:pageBreakBefore w:val="0"/>
              <w:widowControl w:val="0"/>
              <w:suppressLineNumbers w:val="0"/>
              <w:tabs>
                <w:tab w:val="left" w:pos="851"/>
                <w:tab w:val="left" w:pos="1134"/>
                <w:tab w:val="left" w:pos="1276"/>
              </w:tabs>
              <w:kinsoku/>
              <w:wordWrap/>
              <w:overflowPunct/>
              <w:topLinePunct w:val="0"/>
              <w:autoSpaceDE/>
              <w:autoSpaceDN/>
              <w:bidi w:val="0"/>
              <w:adjustRightInd w:val="0"/>
              <w:snapToGrid w:val="0"/>
              <w:spacing w:before="0" w:beforeAutospacing="0" w:after="0" w:afterAutospacing="0" w:line="360" w:lineRule="auto"/>
              <w:ind w:left="0" w:right="0"/>
              <w:jc w:val="left"/>
              <w:textAlignment w:val="auto"/>
              <w:rPr>
                <w:rFonts w:hint="eastAsia" w:eastAsia="宋体"/>
                <w:color w:val="000000" w:themeColor="text1"/>
                <w:sz w:val="24"/>
                <w:szCs w:val="24"/>
                <w:highlight w:val="green"/>
                <w:lang w:val="en-US" w:eastAsia="zh-CN"/>
                <w14:textFill>
                  <w14:solidFill>
                    <w14:schemeClr w14:val="tx1"/>
                  </w14:solidFill>
                </w14:textFill>
              </w:rPr>
            </w:pPr>
          </w:p>
        </w:tc>
      </w:tr>
      <w:tr w14:paraId="3BDC41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25" w:type="dxa"/>
            <w:tcBorders>
              <w:bottom w:val="single" w:color="auto" w:sz="8" w:space="0"/>
            </w:tcBorders>
            <w:vAlign w:val="center"/>
          </w:tcPr>
          <w:p w14:paraId="026E6F5C">
            <w:pPr>
              <w:pStyle w:val="37"/>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color w:val="000000" w:themeColor="text1"/>
                <w:sz w:val="21"/>
                <w:szCs w:val="21"/>
                <w:highlight w:val="none"/>
                <w14:textFill>
                  <w14:solidFill>
                    <w14:schemeClr w14:val="tx1"/>
                  </w14:solidFill>
                </w14:textFill>
              </w:rPr>
            </w:pPr>
            <w:r>
              <w:rPr>
                <w:rFonts w:hint="eastAsia" w:ascii="Times New Roman" w:hAnsi="Times New Roman" w:cs="宋体"/>
                <w:color w:val="000000" w:themeColor="text1"/>
                <w:highlight w:val="none"/>
                <w14:textFill>
                  <w14:solidFill>
                    <w14:schemeClr w14:val="tx1"/>
                  </w14:solidFill>
                </w14:textFill>
              </w:rPr>
              <w:t>与项目有关的原有环境污染问题</w:t>
            </w:r>
          </w:p>
        </w:tc>
        <w:tc>
          <w:tcPr>
            <w:tcW w:w="9093" w:type="dxa"/>
            <w:tcBorders>
              <w:bottom w:val="single" w:color="auto" w:sz="8" w:space="0"/>
            </w:tcBorders>
            <w:vAlign w:val="top"/>
          </w:tcPr>
          <w:p w14:paraId="597E72EC">
            <w:pPr>
              <w:keepNext w:val="0"/>
              <w:keepLines w:val="0"/>
              <w:pageBreakBefore w:val="0"/>
              <w:widowControl w:val="0"/>
              <w:suppressLineNumbers w:val="0"/>
              <w:tabs>
                <w:tab w:val="left" w:pos="851"/>
                <w:tab w:val="left" w:pos="1134"/>
                <w:tab w:val="left" w:pos="1276"/>
              </w:tabs>
              <w:kinsoku/>
              <w:wordWrap/>
              <w:overflowPunct/>
              <w:topLinePunct w:val="0"/>
              <w:autoSpaceDE/>
              <w:autoSpaceDN/>
              <w:bidi w:val="0"/>
              <w:adjustRightInd w:val="0"/>
              <w:snapToGrid w:val="0"/>
              <w:spacing w:before="313" w:beforeLines="100" w:beforeAutospacing="0" w:after="0" w:afterAutospacing="0" w:line="360" w:lineRule="auto"/>
              <w:ind w:left="0" w:right="0" w:firstLine="480" w:firstLineChars="200"/>
              <w:jc w:val="left"/>
              <w:textAlignment w:val="auto"/>
              <w:rPr>
                <w:rFonts w:hint="eastAsia"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本项目</w:t>
            </w:r>
            <w:r>
              <w:rPr>
                <w:rFonts w:hint="eastAsia" w:cs="Times New Roman"/>
                <w:color w:val="000000" w:themeColor="text1"/>
                <w:kern w:val="0"/>
                <w:sz w:val="24"/>
                <w:szCs w:val="24"/>
                <w:highlight w:val="none"/>
                <w:lang w:val="en-US" w:eastAsia="zh-CN" w:bidi="ar-SA"/>
                <w14:textFill>
                  <w14:solidFill>
                    <w14:schemeClr w14:val="tx1"/>
                  </w14:solidFill>
                </w14:textFill>
              </w:rPr>
              <w:t>原为陕西大洋金马路桥工程有限公司厂区，也为生产沥青混合料公司，已停产多年。</w:t>
            </w:r>
            <w:r>
              <w:rPr>
                <w:rFonts w:hint="default" w:ascii="Times New Roman" w:hAnsi="Times New Roman" w:eastAsia="宋体" w:cs="Times New Roman"/>
                <w:color w:val="000000" w:themeColor="text1"/>
                <w:kern w:val="0"/>
                <w:sz w:val="24"/>
                <w:szCs w:val="24"/>
                <w:highlight w:val="none"/>
                <w:lang w:val="en-US" w:eastAsia="zh-CN" w:bidi="ar-SA"/>
                <w14:textFill>
                  <w14:solidFill>
                    <w14:schemeClr w14:val="tx1"/>
                  </w14:solidFill>
                </w14:textFill>
              </w:rPr>
              <w:t>无原有环境问题。</w:t>
            </w:r>
          </w:p>
          <w:p w14:paraId="4155D76E">
            <w:pPr>
              <w:keepNext w:val="0"/>
              <w:keepLines w:val="0"/>
              <w:pageBreakBefore w:val="0"/>
              <w:widowControl w:val="0"/>
              <w:suppressLineNumbers w:val="0"/>
              <w:tabs>
                <w:tab w:val="left" w:pos="851"/>
                <w:tab w:val="left" w:pos="1134"/>
                <w:tab w:val="left" w:pos="1276"/>
              </w:tabs>
              <w:kinsoku/>
              <w:wordWrap/>
              <w:overflowPunct/>
              <w:topLinePunct w:val="0"/>
              <w:autoSpaceDE/>
              <w:autoSpaceDN/>
              <w:bidi w:val="0"/>
              <w:adjustRightInd w:val="0"/>
              <w:snapToGrid w:val="0"/>
              <w:spacing w:before="0" w:beforeAutospacing="0" w:after="0" w:afterAutospacing="0" w:line="480" w:lineRule="exact"/>
              <w:ind w:left="0" w:right="0" w:firstLine="480" w:firstLineChars="200"/>
              <w:jc w:val="left"/>
              <w:textAlignment w:val="auto"/>
              <w:rPr>
                <w:rFonts w:hint="eastAsia"/>
                <w:color w:val="000000" w:themeColor="text1"/>
                <w:kern w:val="0"/>
                <w:sz w:val="24"/>
                <w:szCs w:val="24"/>
                <w:highlight w:val="none"/>
                <w:lang w:eastAsia="zh-CN"/>
                <w14:textFill>
                  <w14:solidFill>
                    <w14:schemeClr w14:val="tx1"/>
                  </w14:solidFill>
                </w14:textFill>
              </w:rPr>
            </w:pPr>
          </w:p>
          <w:p w14:paraId="6F4CA815">
            <w:pPr>
              <w:keepNext w:val="0"/>
              <w:keepLines w:val="0"/>
              <w:pageBreakBefore w:val="0"/>
              <w:widowControl w:val="0"/>
              <w:suppressLineNumbers w:val="0"/>
              <w:tabs>
                <w:tab w:val="left" w:pos="851"/>
                <w:tab w:val="left" w:pos="1134"/>
                <w:tab w:val="left" w:pos="1276"/>
              </w:tabs>
              <w:kinsoku/>
              <w:wordWrap/>
              <w:overflowPunct/>
              <w:topLinePunct w:val="0"/>
              <w:autoSpaceDE/>
              <w:autoSpaceDN/>
              <w:bidi w:val="0"/>
              <w:adjustRightInd w:val="0"/>
              <w:snapToGrid w:val="0"/>
              <w:spacing w:before="0" w:beforeAutospacing="0" w:after="0" w:afterAutospacing="0" w:line="480" w:lineRule="exact"/>
              <w:ind w:left="0" w:right="0"/>
              <w:jc w:val="left"/>
              <w:textAlignment w:val="auto"/>
              <w:rPr>
                <w:rFonts w:hint="default"/>
                <w:color w:val="000000" w:themeColor="text1"/>
                <w:kern w:val="0"/>
                <w:sz w:val="24"/>
                <w:szCs w:val="24"/>
                <w:highlight w:val="green"/>
                <w:lang w:val="en-US"/>
                <w14:textFill>
                  <w14:solidFill>
                    <w14:schemeClr w14:val="tx1"/>
                  </w14:solidFill>
                </w14:textFill>
              </w:rPr>
            </w:pPr>
          </w:p>
          <w:p w14:paraId="79EE1AFD">
            <w:pPr>
              <w:pStyle w:val="4"/>
              <w:suppressLineNumbers w:val="0"/>
              <w:spacing w:beforeAutospacing="0" w:afterAutospacing="0"/>
              <w:ind w:left="0" w:right="0"/>
              <w:rPr>
                <w:rFonts w:hint="default"/>
                <w:color w:val="000000" w:themeColor="text1"/>
                <w:kern w:val="0"/>
                <w:sz w:val="24"/>
                <w:szCs w:val="24"/>
                <w:highlight w:val="green"/>
                <w:lang w:val="en-US"/>
                <w14:textFill>
                  <w14:solidFill>
                    <w14:schemeClr w14:val="tx1"/>
                  </w14:solidFill>
                </w14:textFill>
              </w:rPr>
            </w:pPr>
          </w:p>
          <w:p w14:paraId="14C6CAFF">
            <w:pPr>
              <w:keepNext w:val="0"/>
              <w:keepLines w:val="0"/>
              <w:suppressLineNumbers w:val="0"/>
              <w:spacing w:before="0" w:beforeAutospacing="0" w:after="0" w:afterAutospacing="0"/>
              <w:ind w:left="0" w:right="0"/>
              <w:rPr>
                <w:rFonts w:hint="default"/>
                <w:color w:val="000000" w:themeColor="text1"/>
                <w:kern w:val="0"/>
                <w:sz w:val="24"/>
                <w:szCs w:val="24"/>
                <w:highlight w:val="green"/>
                <w:lang w:val="en-US"/>
                <w14:textFill>
                  <w14:solidFill>
                    <w14:schemeClr w14:val="tx1"/>
                  </w14:solidFill>
                </w14:textFill>
              </w:rPr>
            </w:pPr>
          </w:p>
          <w:p w14:paraId="07BF8F41">
            <w:pPr>
              <w:pStyle w:val="4"/>
              <w:suppressLineNumbers w:val="0"/>
              <w:spacing w:beforeAutospacing="0" w:afterAutospacing="0"/>
              <w:ind w:left="0" w:right="0"/>
              <w:rPr>
                <w:rFonts w:hint="default"/>
                <w:color w:val="000000" w:themeColor="text1"/>
                <w:kern w:val="0"/>
                <w:sz w:val="24"/>
                <w:szCs w:val="24"/>
                <w:highlight w:val="green"/>
                <w:lang w:val="en-US"/>
                <w14:textFill>
                  <w14:solidFill>
                    <w14:schemeClr w14:val="tx1"/>
                  </w14:solidFill>
                </w14:textFill>
              </w:rPr>
            </w:pPr>
          </w:p>
          <w:p w14:paraId="663A466D">
            <w:pPr>
              <w:keepNext w:val="0"/>
              <w:keepLines w:val="0"/>
              <w:suppressLineNumbers w:val="0"/>
              <w:spacing w:before="0" w:beforeAutospacing="0" w:after="0" w:afterAutospacing="0"/>
              <w:ind w:left="0" w:right="0"/>
              <w:rPr>
                <w:rFonts w:hint="default"/>
                <w:color w:val="000000" w:themeColor="text1"/>
                <w:kern w:val="0"/>
                <w:sz w:val="24"/>
                <w:szCs w:val="24"/>
                <w:highlight w:val="green"/>
                <w:lang w:val="en-US"/>
                <w14:textFill>
                  <w14:solidFill>
                    <w14:schemeClr w14:val="tx1"/>
                  </w14:solidFill>
                </w14:textFill>
              </w:rPr>
            </w:pPr>
          </w:p>
          <w:p w14:paraId="521CB0E8">
            <w:pPr>
              <w:pStyle w:val="4"/>
              <w:suppressLineNumbers w:val="0"/>
              <w:spacing w:beforeAutospacing="0" w:afterAutospacing="0"/>
              <w:ind w:left="0" w:right="0"/>
              <w:rPr>
                <w:rFonts w:hint="default"/>
                <w:color w:val="000000" w:themeColor="text1"/>
                <w:kern w:val="0"/>
                <w:sz w:val="24"/>
                <w:szCs w:val="24"/>
                <w:highlight w:val="green"/>
                <w:lang w:val="en-US"/>
                <w14:textFill>
                  <w14:solidFill>
                    <w14:schemeClr w14:val="tx1"/>
                  </w14:solidFill>
                </w14:textFill>
              </w:rPr>
            </w:pPr>
          </w:p>
          <w:p w14:paraId="537071CA">
            <w:pPr>
              <w:keepNext w:val="0"/>
              <w:keepLines w:val="0"/>
              <w:suppressLineNumbers w:val="0"/>
              <w:spacing w:before="0" w:beforeAutospacing="0" w:after="0" w:afterAutospacing="0"/>
              <w:ind w:left="0" w:right="0"/>
              <w:rPr>
                <w:rFonts w:hint="default"/>
                <w:color w:val="000000" w:themeColor="text1"/>
                <w:kern w:val="0"/>
                <w:sz w:val="24"/>
                <w:szCs w:val="24"/>
                <w:highlight w:val="green"/>
                <w:lang w:val="en-US"/>
                <w14:textFill>
                  <w14:solidFill>
                    <w14:schemeClr w14:val="tx1"/>
                  </w14:solidFill>
                </w14:textFill>
              </w:rPr>
            </w:pPr>
          </w:p>
          <w:p w14:paraId="6FE7848F">
            <w:pPr>
              <w:pStyle w:val="4"/>
              <w:suppressLineNumbers w:val="0"/>
              <w:spacing w:beforeAutospacing="0" w:afterAutospacing="0"/>
              <w:ind w:left="0" w:right="0"/>
              <w:rPr>
                <w:rFonts w:hint="default"/>
                <w:color w:val="000000" w:themeColor="text1"/>
                <w:kern w:val="0"/>
                <w:sz w:val="24"/>
                <w:szCs w:val="24"/>
                <w:highlight w:val="green"/>
                <w:lang w:val="en-US"/>
                <w14:textFill>
                  <w14:solidFill>
                    <w14:schemeClr w14:val="tx1"/>
                  </w14:solidFill>
                </w14:textFill>
              </w:rPr>
            </w:pPr>
          </w:p>
          <w:p w14:paraId="6F078738">
            <w:pPr>
              <w:keepNext w:val="0"/>
              <w:keepLines w:val="0"/>
              <w:suppressLineNumbers w:val="0"/>
              <w:spacing w:before="0" w:beforeAutospacing="0" w:after="0" w:afterAutospacing="0"/>
              <w:ind w:left="0" w:right="0"/>
              <w:rPr>
                <w:rFonts w:hint="default"/>
                <w:color w:val="000000" w:themeColor="text1"/>
                <w:kern w:val="0"/>
                <w:sz w:val="24"/>
                <w:szCs w:val="24"/>
                <w:highlight w:val="green"/>
                <w:lang w:val="en-US"/>
                <w14:textFill>
                  <w14:solidFill>
                    <w14:schemeClr w14:val="tx1"/>
                  </w14:solidFill>
                </w14:textFill>
              </w:rPr>
            </w:pPr>
          </w:p>
          <w:p w14:paraId="011DCF49">
            <w:pPr>
              <w:pStyle w:val="4"/>
              <w:suppressLineNumbers w:val="0"/>
              <w:spacing w:beforeAutospacing="0" w:afterAutospacing="0"/>
              <w:ind w:left="0" w:right="0"/>
              <w:rPr>
                <w:rFonts w:hint="default"/>
                <w:lang w:val="en-US"/>
              </w:rPr>
            </w:pPr>
          </w:p>
        </w:tc>
      </w:tr>
    </w:tbl>
    <w:p w14:paraId="6350DA7A">
      <w:pPr>
        <w:pStyle w:val="37"/>
        <w:jc w:val="center"/>
        <w:rPr>
          <w:rFonts w:ascii="Times New Roman" w:hAnsi="Times New Roman"/>
          <w:snapToGrid w:val="0"/>
          <w:color w:val="000000" w:themeColor="text1"/>
          <w:sz w:val="36"/>
          <w:szCs w:val="36"/>
          <w:highlight w:val="green"/>
          <w14:textFill>
            <w14:solidFill>
              <w14:schemeClr w14:val="tx1"/>
            </w14:solidFill>
          </w14:textFill>
        </w:rPr>
        <w:sectPr>
          <w:pgSz w:w="11906" w:h="16838"/>
          <w:pgMar w:top="1418" w:right="1418" w:bottom="1134" w:left="1701" w:header="851" w:footer="851" w:gutter="0"/>
          <w:pgBorders>
            <w:top w:val="none" w:sz="0" w:space="0"/>
            <w:left w:val="none" w:sz="0" w:space="0"/>
            <w:bottom w:val="none" w:sz="0" w:space="0"/>
            <w:right w:val="none" w:sz="0" w:space="0"/>
          </w:pgBorders>
          <w:pgNumType w:fmt="decimal"/>
          <w:cols w:space="720" w:num="1"/>
          <w:docGrid w:linePitch="312" w:charSpace="0"/>
        </w:sectPr>
      </w:pPr>
    </w:p>
    <w:p w14:paraId="732778B9">
      <w:pPr>
        <w:pStyle w:val="37"/>
        <w:jc w:val="center"/>
        <w:outlineLvl w:val="0"/>
        <w:rPr>
          <w:rFonts w:ascii="Times New Roman" w:hAnsi="Times New Roman"/>
          <w:b/>
          <w:bCs/>
          <w:snapToGrid w:val="0"/>
          <w:color w:val="000000" w:themeColor="text1"/>
          <w:sz w:val="30"/>
          <w:szCs w:val="30"/>
          <w:highlight w:val="none"/>
          <w14:textFill>
            <w14:solidFill>
              <w14:schemeClr w14:val="tx1"/>
            </w14:solidFill>
          </w14:textFill>
        </w:rPr>
      </w:pPr>
      <w:r>
        <w:rPr>
          <w:rFonts w:hint="eastAsia" w:ascii="Times New Roman" w:hAnsi="Times New Roman"/>
          <w:b/>
          <w:bCs/>
          <w:snapToGrid w:val="0"/>
          <w:color w:val="000000" w:themeColor="text1"/>
          <w:sz w:val="30"/>
          <w:szCs w:val="30"/>
          <w:highlight w:val="none"/>
          <w14:textFill>
            <w14:solidFill>
              <w14:schemeClr w14:val="tx1"/>
            </w14:solidFill>
          </w14:textFill>
        </w:rPr>
        <w:t>三、区域环境质量现状、环境保护目标及评价标准</w:t>
      </w:r>
    </w:p>
    <w:tbl>
      <w:tblPr>
        <w:tblStyle w:val="41"/>
        <w:tblW w:w="9548"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10"/>
        <w:gridCol w:w="9038"/>
      </w:tblGrid>
      <w:tr w14:paraId="132624A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9" w:hRule="atLeast"/>
          <w:jc w:val="center"/>
        </w:trPr>
        <w:tc>
          <w:tcPr>
            <w:tcW w:w="510" w:type="dxa"/>
            <w:tcBorders>
              <w:top w:val="single" w:color="auto" w:sz="8" w:space="0"/>
            </w:tcBorders>
            <w:vAlign w:val="center"/>
          </w:tcPr>
          <w:p w14:paraId="07BABC25">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kern w:val="0"/>
                <w:sz w:val="24"/>
                <w:szCs w:val="24"/>
                <w:highlight w:val="none"/>
                <w14:textFill>
                  <w14:solidFill>
                    <w14:schemeClr w14:val="tx1"/>
                  </w14:solidFill>
                </w14:textFill>
              </w:rPr>
            </w:pPr>
            <w:r>
              <w:rPr>
                <w:rFonts w:hint="default"/>
                <w:color w:val="000000" w:themeColor="text1"/>
                <w:kern w:val="0"/>
                <w:sz w:val="24"/>
                <w:szCs w:val="24"/>
                <w:highlight w:val="none"/>
                <w14:textFill>
                  <w14:solidFill>
                    <w14:schemeClr w14:val="tx1"/>
                  </w14:solidFill>
                </w14:textFill>
              </w:rPr>
              <w:t>区域</w:t>
            </w:r>
          </w:p>
          <w:p w14:paraId="164B3938">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kern w:val="0"/>
                <w:sz w:val="24"/>
                <w:szCs w:val="24"/>
                <w:highlight w:val="none"/>
                <w14:textFill>
                  <w14:solidFill>
                    <w14:schemeClr w14:val="tx1"/>
                  </w14:solidFill>
                </w14:textFill>
              </w:rPr>
            </w:pPr>
            <w:r>
              <w:rPr>
                <w:rFonts w:hint="default"/>
                <w:color w:val="000000" w:themeColor="text1"/>
                <w:kern w:val="0"/>
                <w:sz w:val="24"/>
                <w:szCs w:val="24"/>
                <w:highlight w:val="none"/>
                <w14:textFill>
                  <w14:solidFill>
                    <w14:schemeClr w14:val="tx1"/>
                  </w14:solidFill>
                </w14:textFill>
              </w:rPr>
              <w:t>环境</w:t>
            </w:r>
          </w:p>
          <w:p w14:paraId="5C62EA51">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kern w:val="0"/>
                <w:sz w:val="24"/>
                <w:szCs w:val="24"/>
                <w:highlight w:val="none"/>
                <w14:textFill>
                  <w14:solidFill>
                    <w14:schemeClr w14:val="tx1"/>
                  </w14:solidFill>
                </w14:textFill>
              </w:rPr>
            </w:pPr>
            <w:r>
              <w:rPr>
                <w:rFonts w:hint="default"/>
                <w:color w:val="000000" w:themeColor="text1"/>
                <w:kern w:val="0"/>
                <w:sz w:val="24"/>
                <w:szCs w:val="24"/>
                <w:highlight w:val="none"/>
                <w14:textFill>
                  <w14:solidFill>
                    <w14:schemeClr w14:val="tx1"/>
                  </w14:solidFill>
                </w14:textFill>
              </w:rPr>
              <w:t>质量</w:t>
            </w:r>
          </w:p>
          <w:p w14:paraId="0B077F3F">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kern w:val="0"/>
                <w:highlight w:val="none"/>
                <w14:textFill>
                  <w14:solidFill>
                    <w14:schemeClr w14:val="tx1"/>
                  </w14:solidFill>
                </w14:textFill>
              </w:rPr>
            </w:pPr>
            <w:r>
              <w:rPr>
                <w:rFonts w:hint="default"/>
                <w:color w:val="000000" w:themeColor="text1"/>
                <w:kern w:val="0"/>
                <w:sz w:val="24"/>
                <w:szCs w:val="24"/>
                <w:highlight w:val="none"/>
                <w14:textFill>
                  <w14:solidFill>
                    <w14:schemeClr w14:val="tx1"/>
                  </w14:solidFill>
                </w14:textFill>
              </w:rPr>
              <w:t>现状</w:t>
            </w:r>
          </w:p>
        </w:tc>
        <w:tc>
          <w:tcPr>
            <w:tcW w:w="9038" w:type="dxa"/>
            <w:tcBorders>
              <w:top w:val="single" w:color="auto" w:sz="8" w:space="0"/>
            </w:tcBorders>
            <w:vAlign w:val="center"/>
          </w:tcPr>
          <w:p w14:paraId="250F53B4">
            <w:pPr>
              <w:keepNext w:val="0"/>
              <w:keepLines w:val="0"/>
              <w:suppressLineNumbers w:val="0"/>
              <w:adjustRightInd w:val="0"/>
              <w:snapToGrid w:val="0"/>
              <w:spacing w:before="0" w:beforeAutospacing="0" w:after="0" w:afterAutospacing="0" w:line="360" w:lineRule="auto"/>
              <w:ind w:left="0" w:right="0"/>
              <w:jc w:val="left"/>
              <w:rPr>
                <w:rFonts w:hint="default"/>
                <w:b/>
                <w:bCs/>
                <w:color w:val="000000" w:themeColor="text1"/>
                <w:sz w:val="24"/>
                <w:szCs w:val="24"/>
                <w:highlight w:val="none"/>
                <w14:textFill>
                  <w14:solidFill>
                    <w14:schemeClr w14:val="tx1"/>
                  </w14:solidFill>
                </w14:textFill>
              </w:rPr>
            </w:pPr>
            <w:r>
              <w:rPr>
                <w:rFonts w:hint="default"/>
                <w:b/>
                <w:bCs/>
                <w:color w:val="000000" w:themeColor="text1"/>
                <w:sz w:val="24"/>
                <w:szCs w:val="24"/>
                <w:highlight w:val="none"/>
                <w14:textFill>
                  <w14:solidFill>
                    <w14:schemeClr w14:val="tx1"/>
                  </w14:solidFill>
                </w14:textFill>
              </w:rPr>
              <w:t>3.1环境空气质量现状</w:t>
            </w:r>
          </w:p>
          <w:p w14:paraId="510EF25F">
            <w:pPr>
              <w:pStyle w:val="12"/>
              <w:keepNext w:val="0"/>
              <w:keepLines w:val="0"/>
              <w:suppressLineNumbers w:val="0"/>
              <w:adjustRightInd w:val="0"/>
              <w:spacing w:before="0" w:beforeAutospacing="0" w:after="0" w:afterAutospacing="0" w:line="360" w:lineRule="auto"/>
              <w:ind w:left="0" w:right="0" w:firstLine="480" w:firstLineChars="200"/>
              <w:rPr>
                <w:rFonts w:hint="default" w:ascii="Times New Roman" w:hAnsi="Times New Roman" w:eastAsia="宋体" w:cs="Times New Roman"/>
                <w:bCs/>
                <w:color w:val="000000"/>
                <w:sz w:val="24"/>
                <w:highlight w:val="none"/>
              </w:rPr>
            </w:pPr>
            <w:r>
              <w:rPr>
                <w:rFonts w:hint="default"/>
                <w:color w:val="000000" w:themeColor="text1"/>
                <w:sz w:val="24"/>
                <w:szCs w:val="24"/>
                <w:highlight w:val="none"/>
                <w14:textFill>
                  <w14:solidFill>
                    <w14:schemeClr w14:val="tx1"/>
                  </w14:solidFill>
                </w14:textFill>
              </w:rPr>
              <w:t>本项目位于</w:t>
            </w:r>
            <w:r>
              <w:rPr>
                <w:rFonts w:hint="eastAsia"/>
                <w:color w:val="000000" w:themeColor="text1"/>
                <w:sz w:val="24"/>
                <w:szCs w:val="24"/>
                <w:highlight w:val="none"/>
                <w:lang w:val="en-US" w:eastAsia="zh-CN"/>
                <w14:textFill>
                  <w14:solidFill>
                    <w14:schemeClr w14:val="tx1"/>
                  </w14:solidFill>
                </w14:textFill>
              </w:rPr>
              <w:t>泾河新城永乐镇</w:t>
            </w:r>
            <w:r>
              <w:rPr>
                <w:rFonts w:hint="default" w:eastAsia="宋体"/>
                <w:color w:val="000000" w:themeColor="text1"/>
                <w:sz w:val="24"/>
                <w:szCs w:val="24"/>
                <w:highlight w:val="none"/>
                <w:lang w:val="en-US" w:eastAsia="zh-CN"/>
                <w14:textFill>
                  <w14:solidFill>
                    <w14:schemeClr w14:val="tx1"/>
                  </w14:solidFill>
                </w14:textFill>
              </w:rPr>
              <w:t>尚家村尚家三街与原点东四路交叉口东南角</w:t>
            </w:r>
            <w:r>
              <w:rPr>
                <w:rFonts w:hint="eastAsia"/>
                <w:color w:val="000000" w:themeColor="text1"/>
                <w:sz w:val="24"/>
                <w:szCs w:val="24"/>
                <w:highlight w:val="none"/>
                <w:lang w:eastAsia="zh-CN"/>
                <w14:textFill>
                  <w14:solidFill>
                    <w14:schemeClr w14:val="tx1"/>
                  </w14:solidFill>
                </w14:textFill>
              </w:rPr>
              <w:t>，</w:t>
            </w:r>
            <w:r>
              <w:rPr>
                <w:rFonts w:hint="default" w:ascii="Times New Roman" w:hAnsi="Times New Roman" w:eastAsia="宋体" w:cs="Times New Roman"/>
                <w:bCs/>
                <w:color w:val="000000"/>
                <w:sz w:val="24"/>
                <w:highlight w:val="none"/>
              </w:rPr>
              <w:t>根据陕西省生态环境厅办公室202</w:t>
            </w:r>
            <w:r>
              <w:rPr>
                <w:rFonts w:hint="eastAsia" w:cs="Times New Roman"/>
                <w:bCs/>
                <w:color w:val="000000"/>
                <w:sz w:val="24"/>
                <w:highlight w:val="none"/>
                <w:lang w:val="en-US" w:eastAsia="zh-CN"/>
              </w:rPr>
              <w:t>5</w:t>
            </w:r>
            <w:r>
              <w:rPr>
                <w:rFonts w:hint="default" w:ascii="Times New Roman" w:hAnsi="Times New Roman" w:eastAsia="宋体" w:cs="Times New Roman"/>
                <w:bCs/>
                <w:color w:val="000000"/>
                <w:sz w:val="24"/>
                <w:highlight w:val="none"/>
              </w:rPr>
              <w:t>年1月</w:t>
            </w:r>
            <w:r>
              <w:rPr>
                <w:rFonts w:hint="eastAsia" w:cs="Times New Roman"/>
                <w:bCs/>
                <w:color w:val="000000"/>
                <w:sz w:val="24"/>
                <w:highlight w:val="none"/>
                <w:lang w:val="en-US" w:eastAsia="zh-CN"/>
              </w:rPr>
              <w:t>21</w:t>
            </w:r>
            <w:r>
              <w:rPr>
                <w:rFonts w:hint="default" w:ascii="Times New Roman" w:hAnsi="Times New Roman" w:eastAsia="宋体" w:cs="Times New Roman"/>
                <w:bCs/>
                <w:color w:val="000000"/>
                <w:sz w:val="24"/>
                <w:highlight w:val="none"/>
              </w:rPr>
              <w:t>日公布的《环保快报-202</w:t>
            </w:r>
            <w:r>
              <w:rPr>
                <w:rFonts w:hint="eastAsia" w:cs="Times New Roman"/>
                <w:bCs/>
                <w:color w:val="000000"/>
                <w:sz w:val="24"/>
                <w:highlight w:val="none"/>
                <w:lang w:val="en-US" w:eastAsia="zh-CN"/>
              </w:rPr>
              <w:t>4</w:t>
            </w:r>
            <w:r>
              <w:rPr>
                <w:rFonts w:hint="default" w:ascii="Times New Roman" w:hAnsi="Times New Roman" w:eastAsia="宋体" w:cs="Times New Roman"/>
                <w:bCs/>
                <w:color w:val="000000"/>
                <w:sz w:val="24"/>
                <w:highlight w:val="none"/>
              </w:rPr>
              <w:t>年12月及1～12月全省环境空气质量状况》中202</w:t>
            </w:r>
            <w:r>
              <w:rPr>
                <w:rFonts w:hint="eastAsia" w:cs="Times New Roman"/>
                <w:bCs/>
                <w:color w:val="000000"/>
                <w:sz w:val="24"/>
                <w:highlight w:val="none"/>
                <w:lang w:val="en-US" w:eastAsia="zh-CN"/>
              </w:rPr>
              <w:t>4</w:t>
            </w:r>
            <w:r>
              <w:rPr>
                <w:rFonts w:hint="default" w:ascii="Times New Roman" w:hAnsi="Times New Roman" w:eastAsia="宋体" w:cs="Times New Roman"/>
                <w:bCs/>
                <w:color w:val="000000"/>
                <w:sz w:val="24"/>
                <w:highlight w:val="none"/>
              </w:rPr>
              <w:t>年1~12月</w:t>
            </w:r>
            <w:r>
              <w:rPr>
                <w:rFonts w:hint="eastAsia" w:cs="Times New Roman"/>
                <w:bCs/>
                <w:color w:val="000000"/>
                <w:sz w:val="24"/>
                <w:highlight w:val="none"/>
                <w:lang w:val="en-US" w:eastAsia="zh-CN"/>
              </w:rPr>
              <w:t>西安市</w:t>
            </w:r>
            <w:r>
              <w:rPr>
                <w:rFonts w:hint="default" w:ascii="Times New Roman" w:hAnsi="Times New Roman" w:eastAsia="宋体" w:cs="Times New Roman"/>
                <w:bCs/>
                <w:color w:val="000000"/>
                <w:sz w:val="24"/>
                <w:highlight w:val="none"/>
              </w:rPr>
              <w:t>西咸新区环境空气常规六项污染物统计结果，对区域环境空气质量现状进行分析。项目所在区域空气质量现状评价见表3-1。</w:t>
            </w:r>
          </w:p>
          <w:p w14:paraId="3D5A1F76">
            <w:pPr>
              <w:pStyle w:val="115"/>
              <w:keepNext w:val="0"/>
              <w:keepLines w:val="0"/>
              <w:suppressLineNumbers w:val="0"/>
              <w:adjustRightInd w:val="0"/>
              <w:snapToGrid w:val="0"/>
              <w:spacing w:before="0" w:beforeAutospacing="0" w:after="0" w:afterAutospacing="0" w:line="360" w:lineRule="auto"/>
              <w:ind w:left="0" w:right="0" w:firstLine="420"/>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表3-1  项目所在区域空气质量现状表</w:t>
            </w:r>
          </w:p>
          <w:tbl>
            <w:tblPr>
              <w:tblStyle w:val="41"/>
              <w:tblW w:w="88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3334"/>
              <w:gridCol w:w="1468"/>
              <w:gridCol w:w="1214"/>
              <w:gridCol w:w="896"/>
              <w:gridCol w:w="944"/>
            </w:tblGrid>
            <w:tr w14:paraId="0954BC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6" w:type="dxa"/>
                  <w:noWrap w:val="0"/>
                  <w:vAlign w:val="center"/>
                </w:tcPr>
                <w:p w14:paraId="6A678D99">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污染物</w:t>
                  </w:r>
                </w:p>
              </w:tc>
              <w:tc>
                <w:tcPr>
                  <w:tcW w:w="3334" w:type="dxa"/>
                  <w:noWrap w:val="0"/>
                  <w:vAlign w:val="center"/>
                </w:tcPr>
                <w:p w14:paraId="412C2A37">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年评价指标</w:t>
                  </w:r>
                </w:p>
              </w:tc>
              <w:tc>
                <w:tcPr>
                  <w:tcW w:w="1468" w:type="dxa"/>
                  <w:noWrap w:val="0"/>
                  <w:vAlign w:val="center"/>
                </w:tcPr>
                <w:p w14:paraId="593AC49F">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现状浓度/（μg/m</w:t>
                  </w:r>
                  <w:r>
                    <w:rPr>
                      <w:rFonts w:hint="default" w:ascii="Times New Roman" w:hAnsi="Times New Roman" w:eastAsia="宋体" w:cs="Times New Roman"/>
                      <w:b/>
                      <w:bCs/>
                      <w:color w:val="000000"/>
                      <w:sz w:val="21"/>
                      <w:szCs w:val="21"/>
                      <w:highlight w:val="none"/>
                      <w:vertAlign w:val="superscript"/>
                    </w:rPr>
                    <w:t>3</w:t>
                  </w:r>
                  <w:r>
                    <w:rPr>
                      <w:rFonts w:hint="default" w:ascii="Times New Roman" w:hAnsi="Times New Roman" w:eastAsia="宋体" w:cs="Times New Roman"/>
                      <w:b/>
                      <w:bCs/>
                      <w:color w:val="000000"/>
                      <w:sz w:val="21"/>
                      <w:szCs w:val="21"/>
                      <w:highlight w:val="none"/>
                    </w:rPr>
                    <w:t>）</w:t>
                  </w:r>
                </w:p>
              </w:tc>
              <w:tc>
                <w:tcPr>
                  <w:tcW w:w="1214" w:type="dxa"/>
                  <w:noWrap w:val="0"/>
                  <w:vAlign w:val="center"/>
                </w:tcPr>
                <w:p w14:paraId="1DDF2923">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标准值/（μg/m</w:t>
                  </w:r>
                  <w:r>
                    <w:rPr>
                      <w:rFonts w:hint="default" w:ascii="Times New Roman" w:hAnsi="Times New Roman" w:eastAsia="宋体" w:cs="Times New Roman"/>
                      <w:b/>
                      <w:bCs/>
                      <w:color w:val="000000"/>
                      <w:sz w:val="21"/>
                      <w:szCs w:val="21"/>
                      <w:highlight w:val="none"/>
                      <w:vertAlign w:val="superscript"/>
                    </w:rPr>
                    <w:t>3</w:t>
                  </w:r>
                  <w:r>
                    <w:rPr>
                      <w:rFonts w:hint="default" w:ascii="Times New Roman" w:hAnsi="Times New Roman" w:eastAsia="宋体" w:cs="Times New Roman"/>
                      <w:b/>
                      <w:bCs/>
                      <w:color w:val="000000"/>
                      <w:sz w:val="21"/>
                      <w:szCs w:val="21"/>
                      <w:highlight w:val="none"/>
                    </w:rPr>
                    <w:t>）</w:t>
                  </w:r>
                </w:p>
              </w:tc>
              <w:tc>
                <w:tcPr>
                  <w:tcW w:w="896" w:type="dxa"/>
                  <w:noWrap w:val="0"/>
                  <w:vAlign w:val="center"/>
                </w:tcPr>
                <w:p w14:paraId="020ACF26">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占标率/%</w:t>
                  </w:r>
                </w:p>
              </w:tc>
              <w:tc>
                <w:tcPr>
                  <w:tcW w:w="944" w:type="dxa"/>
                  <w:noWrap w:val="0"/>
                  <w:vAlign w:val="center"/>
                </w:tcPr>
                <w:p w14:paraId="5323AD16">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达标</w:t>
                  </w:r>
                </w:p>
                <w:p w14:paraId="5191F424">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情况</w:t>
                  </w:r>
                </w:p>
              </w:tc>
            </w:tr>
            <w:tr w14:paraId="40703A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6" w:type="dxa"/>
                  <w:noWrap w:val="0"/>
                  <w:vAlign w:val="center"/>
                </w:tcPr>
                <w:p w14:paraId="322EFF26">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PM</w:t>
                  </w:r>
                  <w:r>
                    <w:rPr>
                      <w:rFonts w:hint="default" w:ascii="Times New Roman" w:hAnsi="Times New Roman" w:eastAsia="宋体" w:cs="Times New Roman"/>
                      <w:color w:val="000000"/>
                      <w:sz w:val="21"/>
                      <w:szCs w:val="21"/>
                      <w:highlight w:val="none"/>
                      <w:vertAlign w:val="subscript"/>
                    </w:rPr>
                    <w:t>2.5</w:t>
                  </w:r>
                </w:p>
              </w:tc>
              <w:tc>
                <w:tcPr>
                  <w:tcW w:w="3334" w:type="dxa"/>
                  <w:noWrap w:val="0"/>
                  <w:vAlign w:val="center"/>
                </w:tcPr>
                <w:p w14:paraId="7CE9813D">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年平均质量浓度</w:t>
                  </w:r>
                </w:p>
              </w:tc>
              <w:tc>
                <w:tcPr>
                  <w:tcW w:w="1468" w:type="dxa"/>
                  <w:noWrap w:val="0"/>
                  <w:vAlign w:val="center"/>
                </w:tcPr>
                <w:p w14:paraId="35B76E8E">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cs="Times New Roman"/>
                      <w:color w:val="000000"/>
                      <w:sz w:val="21"/>
                      <w:szCs w:val="21"/>
                      <w:highlight w:val="none"/>
                      <w:lang w:val="en-US" w:eastAsia="zh-CN"/>
                    </w:rPr>
                    <w:t>43</w:t>
                  </w:r>
                </w:p>
              </w:tc>
              <w:tc>
                <w:tcPr>
                  <w:tcW w:w="1214" w:type="dxa"/>
                  <w:noWrap w:val="0"/>
                  <w:vAlign w:val="center"/>
                </w:tcPr>
                <w:p w14:paraId="0DB7EBCE">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35</w:t>
                  </w:r>
                </w:p>
              </w:tc>
              <w:tc>
                <w:tcPr>
                  <w:tcW w:w="896" w:type="dxa"/>
                  <w:noWrap w:val="0"/>
                  <w:vAlign w:val="center"/>
                </w:tcPr>
                <w:p w14:paraId="4D21EF41">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highlight w:val="none"/>
                      <w:lang w:val="en-US" w:eastAsia="zh-CN"/>
                    </w:rPr>
                  </w:pPr>
                  <w:r>
                    <w:rPr>
                      <w:rFonts w:hint="eastAsia" w:cs="Times New Roman"/>
                      <w:i w:val="0"/>
                      <w:iCs w:val="0"/>
                      <w:color w:val="000000"/>
                      <w:kern w:val="0"/>
                      <w:sz w:val="21"/>
                      <w:szCs w:val="21"/>
                      <w:highlight w:val="none"/>
                      <w:u w:val="none"/>
                      <w:lang w:val="en-US" w:eastAsia="zh-CN" w:bidi="ar"/>
                    </w:rPr>
                    <w:t>122.8</w:t>
                  </w:r>
                </w:p>
              </w:tc>
              <w:tc>
                <w:tcPr>
                  <w:tcW w:w="944" w:type="dxa"/>
                  <w:noWrap w:val="0"/>
                  <w:vAlign w:val="center"/>
                </w:tcPr>
                <w:p w14:paraId="21924143">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kern w:val="2"/>
                      <w:sz w:val="21"/>
                      <w:szCs w:val="21"/>
                      <w:highlight w:val="none"/>
                      <w:u w:val="none" w:color="000000"/>
                      <w:lang w:val="en-US" w:eastAsia="zh-CN" w:bidi="ar-SA"/>
                    </w:rPr>
                  </w:pPr>
                  <w:r>
                    <w:rPr>
                      <w:rFonts w:hint="eastAsia" w:ascii="Times New Roman" w:hAnsi="Times New Roman" w:cs="Times New Roman"/>
                      <w:color w:val="000000"/>
                      <w:sz w:val="21"/>
                      <w:szCs w:val="21"/>
                      <w:highlight w:val="none"/>
                      <w:lang w:val="en-US" w:eastAsia="zh-CN"/>
                    </w:rPr>
                    <w:t>超</w:t>
                  </w:r>
                  <w:r>
                    <w:rPr>
                      <w:rFonts w:hint="default" w:ascii="Times New Roman" w:hAnsi="Times New Roman" w:eastAsia="宋体" w:cs="Times New Roman"/>
                      <w:color w:val="000000"/>
                      <w:sz w:val="21"/>
                      <w:szCs w:val="21"/>
                      <w:highlight w:val="none"/>
                      <w:lang w:eastAsia="zh-CN"/>
                    </w:rPr>
                    <w:t>标</w:t>
                  </w:r>
                </w:p>
              </w:tc>
            </w:tr>
            <w:tr w14:paraId="061333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6" w:type="dxa"/>
                  <w:noWrap w:val="0"/>
                  <w:vAlign w:val="center"/>
                </w:tcPr>
                <w:p w14:paraId="23A32588">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PM</w:t>
                  </w:r>
                  <w:r>
                    <w:rPr>
                      <w:rFonts w:hint="default" w:ascii="Times New Roman" w:hAnsi="Times New Roman" w:eastAsia="宋体" w:cs="Times New Roman"/>
                      <w:color w:val="000000"/>
                      <w:sz w:val="21"/>
                      <w:szCs w:val="21"/>
                      <w:highlight w:val="none"/>
                      <w:vertAlign w:val="subscript"/>
                    </w:rPr>
                    <w:t>10</w:t>
                  </w:r>
                </w:p>
              </w:tc>
              <w:tc>
                <w:tcPr>
                  <w:tcW w:w="3334" w:type="dxa"/>
                  <w:noWrap w:val="0"/>
                  <w:vAlign w:val="center"/>
                </w:tcPr>
                <w:p w14:paraId="788DE337">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年平均质量浓度</w:t>
                  </w:r>
                </w:p>
              </w:tc>
              <w:tc>
                <w:tcPr>
                  <w:tcW w:w="1468" w:type="dxa"/>
                  <w:noWrap w:val="0"/>
                  <w:vAlign w:val="center"/>
                </w:tcPr>
                <w:p w14:paraId="65863E54">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cs="Times New Roman"/>
                      <w:color w:val="000000"/>
                      <w:sz w:val="21"/>
                      <w:szCs w:val="21"/>
                      <w:highlight w:val="none"/>
                      <w:lang w:val="en-US" w:eastAsia="zh-CN"/>
                    </w:rPr>
                    <w:t>74</w:t>
                  </w:r>
                </w:p>
              </w:tc>
              <w:tc>
                <w:tcPr>
                  <w:tcW w:w="1214" w:type="dxa"/>
                  <w:noWrap w:val="0"/>
                  <w:vAlign w:val="center"/>
                </w:tcPr>
                <w:p w14:paraId="65527F2E">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70</w:t>
                  </w:r>
                </w:p>
              </w:tc>
              <w:tc>
                <w:tcPr>
                  <w:tcW w:w="896" w:type="dxa"/>
                  <w:noWrap w:val="0"/>
                  <w:vAlign w:val="center"/>
                </w:tcPr>
                <w:p w14:paraId="620317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highlight w:val="none"/>
                      <w:lang w:val="en-US" w:eastAsia="zh-CN"/>
                    </w:rPr>
                  </w:pPr>
                  <w:r>
                    <w:rPr>
                      <w:rFonts w:hint="eastAsia" w:cs="Times New Roman"/>
                      <w:i w:val="0"/>
                      <w:iCs w:val="0"/>
                      <w:color w:val="000000"/>
                      <w:kern w:val="0"/>
                      <w:sz w:val="21"/>
                      <w:szCs w:val="21"/>
                      <w:highlight w:val="none"/>
                      <w:u w:val="none"/>
                      <w:lang w:val="en-US" w:eastAsia="zh-CN" w:bidi="ar"/>
                    </w:rPr>
                    <w:t>105.7</w:t>
                  </w:r>
                </w:p>
              </w:tc>
              <w:tc>
                <w:tcPr>
                  <w:tcW w:w="944" w:type="dxa"/>
                  <w:noWrap w:val="0"/>
                  <w:vAlign w:val="center"/>
                </w:tcPr>
                <w:p w14:paraId="6D6CF7D8">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kern w:val="2"/>
                      <w:sz w:val="21"/>
                      <w:szCs w:val="21"/>
                      <w:highlight w:val="none"/>
                      <w:u w:val="none" w:color="000000"/>
                      <w:lang w:val="en-US" w:eastAsia="zh-CN" w:bidi="ar-SA"/>
                    </w:rPr>
                  </w:pPr>
                  <w:r>
                    <w:rPr>
                      <w:rFonts w:hint="eastAsia" w:ascii="Times New Roman" w:hAnsi="Times New Roman" w:cs="Times New Roman"/>
                      <w:color w:val="000000"/>
                      <w:sz w:val="21"/>
                      <w:szCs w:val="21"/>
                      <w:highlight w:val="none"/>
                      <w:lang w:val="en-US" w:eastAsia="zh-CN"/>
                    </w:rPr>
                    <w:t>超</w:t>
                  </w:r>
                  <w:r>
                    <w:rPr>
                      <w:rFonts w:hint="default" w:ascii="Times New Roman" w:hAnsi="Times New Roman" w:eastAsia="宋体" w:cs="Times New Roman"/>
                      <w:color w:val="000000"/>
                      <w:sz w:val="21"/>
                      <w:szCs w:val="21"/>
                      <w:highlight w:val="none"/>
                      <w:lang w:eastAsia="zh-CN"/>
                    </w:rPr>
                    <w:t>标</w:t>
                  </w:r>
                </w:p>
              </w:tc>
            </w:tr>
            <w:tr w14:paraId="44495B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6" w:type="dxa"/>
                  <w:noWrap w:val="0"/>
                  <w:vAlign w:val="center"/>
                </w:tcPr>
                <w:p w14:paraId="50A77DF7">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SO</w:t>
                  </w:r>
                  <w:r>
                    <w:rPr>
                      <w:rFonts w:hint="default" w:ascii="Times New Roman" w:hAnsi="Times New Roman" w:eastAsia="宋体" w:cs="Times New Roman"/>
                      <w:color w:val="000000"/>
                      <w:sz w:val="21"/>
                      <w:szCs w:val="21"/>
                      <w:highlight w:val="none"/>
                      <w:vertAlign w:val="subscript"/>
                    </w:rPr>
                    <w:t>2</w:t>
                  </w:r>
                </w:p>
              </w:tc>
              <w:tc>
                <w:tcPr>
                  <w:tcW w:w="3334" w:type="dxa"/>
                  <w:noWrap w:val="0"/>
                  <w:vAlign w:val="center"/>
                </w:tcPr>
                <w:p w14:paraId="7BC9DF80">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年平均质量浓度</w:t>
                  </w:r>
                </w:p>
              </w:tc>
              <w:tc>
                <w:tcPr>
                  <w:tcW w:w="1468" w:type="dxa"/>
                  <w:noWrap w:val="0"/>
                  <w:vAlign w:val="center"/>
                </w:tcPr>
                <w:p w14:paraId="40EECFB7">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cs="Times New Roman"/>
                      <w:color w:val="000000"/>
                      <w:sz w:val="21"/>
                      <w:szCs w:val="21"/>
                      <w:highlight w:val="none"/>
                      <w:lang w:val="en-US" w:eastAsia="zh-CN"/>
                    </w:rPr>
                    <w:t>5</w:t>
                  </w:r>
                </w:p>
              </w:tc>
              <w:tc>
                <w:tcPr>
                  <w:tcW w:w="1214" w:type="dxa"/>
                  <w:noWrap w:val="0"/>
                  <w:vAlign w:val="center"/>
                </w:tcPr>
                <w:p w14:paraId="25E960F3">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60</w:t>
                  </w:r>
                </w:p>
              </w:tc>
              <w:tc>
                <w:tcPr>
                  <w:tcW w:w="896" w:type="dxa"/>
                  <w:noWrap w:val="0"/>
                  <w:vAlign w:val="center"/>
                </w:tcPr>
                <w:p w14:paraId="42ECC87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highlight w:val="none"/>
                      <w:lang w:val="en-US" w:eastAsia="zh-CN"/>
                    </w:rPr>
                  </w:pPr>
                  <w:r>
                    <w:rPr>
                      <w:rFonts w:hint="eastAsia" w:cs="Times New Roman"/>
                      <w:i w:val="0"/>
                      <w:iCs w:val="0"/>
                      <w:color w:val="000000"/>
                      <w:kern w:val="0"/>
                      <w:sz w:val="21"/>
                      <w:szCs w:val="21"/>
                      <w:highlight w:val="none"/>
                      <w:u w:val="none"/>
                      <w:lang w:val="en-US" w:eastAsia="zh-CN" w:bidi="ar"/>
                    </w:rPr>
                    <w:t>8</w:t>
                  </w:r>
                </w:p>
              </w:tc>
              <w:tc>
                <w:tcPr>
                  <w:tcW w:w="944" w:type="dxa"/>
                  <w:noWrap w:val="0"/>
                  <w:vAlign w:val="center"/>
                </w:tcPr>
                <w:p w14:paraId="2005E2BD">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lang w:eastAsia="zh-CN"/>
                    </w:rPr>
                  </w:pPr>
                  <w:r>
                    <w:rPr>
                      <w:rFonts w:hint="default" w:ascii="Times New Roman" w:hAnsi="Times New Roman" w:eastAsia="宋体" w:cs="Times New Roman"/>
                      <w:color w:val="000000"/>
                      <w:sz w:val="21"/>
                      <w:szCs w:val="21"/>
                      <w:highlight w:val="none"/>
                      <w:lang w:eastAsia="zh-CN"/>
                    </w:rPr>
                    <w:t>达标</w:t>
                  </w:r>
                </w:p>
              </w:tc>
            </w:tr>
            <w:tr w14:paraId="3ADBF3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6" w:type="dxa"/>
                  <w:noWrap w:val="0"/>
                  <w:vAlign w:val="center"/>
                </w:tcPr>
                <w:p w14:paraId="18B51565">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NO</w:t>
                  </w:r>
                  <w:r>
                    <w:rPr>
                      <w:rFonts w:hint="default" w:ascii="Times New Roman" w:hAnsi="Times New Roman" w:eastAsia="宋体" w:cs="Times New Roman"/>
                      <w:color w:val="000000"/>
                      <w:sz w:val="21"/>
                      <w:szCs w:val="21"/>
                      <w:highlight w:val="none"/>
                      <w:vertAlign w:val="subscript"/>
                    </w:rPr>
                    <w:t>2</w:t>
                  </w:r>
                </w:p>
              </w:tc>
              <w:tc>
                <w:tcPr>
                  <w:tcW w:w="3334" w:type="dxa"/>
                  <w:noWrap w:val="0"/>
                  <w:vAlign w:val="center"/>
                </w:tcPr>
                <w:p w14:paraId="22E26AD5">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年平均质量浓度</w:t>
                  </w:r>
                </w:p>
              </w:tc>
              <w:tc>
                <w:tcPr>
                  <w:tcW w:w="1468" w:type="dxa"/>
                  <w:noWrap w:val="0"/>
                  <w:vAlign w:val="center"/>
                </w:tcPr>
                <w:p w14:paraId="7BEE11EA">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cs="Times New Roman"/>
                      <w:color w:val="000000"/>
                      <w:sz w:val="21"/>
                      <w:szCs w:val="21"/>
                      <w:highlight w:val="none"/>
                      <w:lang w:val="en-US" w:eastAsia="zh-CN"/>
                    </w:rPr>
                    <w:t>31</w:t>
                  </w:r>
                </w:p>
              </w:tc>
              <w:tc>
                <w:tcPr>
                  <w:tcW w:w="1214" w:type="dxa"/>
                  <w:noWrap w:val="0"/>
                  <w:vAlign w:val="center"/>
                </w:tcPr>
                <w:p w14:paraId="205218D6">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40</w:t>
                  </w:r>
                </w:p>
              </w:tc>
              <w:tc>
                <w:tcPr>
                  <w:tcW w:w="896" w:type="dxa"/>
                  <w:noWrap w:val="0"/>
                  <w:vAlign w:val="center"/>
                </w:tcPr>
                <w:p w14:paraId="71267D1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highlight w:val="none"/>
                      <w:lang w:val="en-US" w:eastAsia="zh-CN"/>
                    </w:rPr>
                  </w:pPr>
                  <w:r>
                    <w:rPr>
                      <w:rFonts w:hint="eastAsia" w:cs="Times New Roman"/>
                      <w:i w:val="0"/>
                      <w:iCs w:val="0"/>
                      <w:color w:val="000000"/>
                      <w:kern w:val="0"/>
                      <w:sz w:val="21"/>
                      <w:szCs w:val="21"/>
                      <w:highlight w:val="none"/>
                      <w:u w:val="none"/>
                      <w:lang w:val="en-US" w:eastAsia="zh-CN" w:bidi="ar"/>
                    </w:rPr>
                    <w:t>77.5</w:t>
                  </w:r>
                </w:p>
              </w:tc>
              <w:tc>
                <w:tcPr>
                  <w:tcW w:w="944" w:type="dxa"/>
                  <w:noWrap w:val="0"/>
                  <w:vAlign w:val="center"/>
                </w:tcPr>
                <w:p w14:paraId="78C4636B">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eastAsia="zh-CN"/>
                    </w:rPr>
                    <w:t>达标</w:t>
                  </w:r>
                </w:p>
              </w:tc>
            </w:tr>
            <w:tr w14:paraId="2A1BEF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6" w:type="dxa"/>
                  <w:noWrap w:val="0"/>
                  <w:vAlign w:val="center"/>
                </w:tcPr>
                <w:p w14:paraId="42280A0F">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CO</w:t>
                  </w:r>
                </w:p>
              </w:tc>
              <w:tc>
                <w:tcPr>
                  <w:tcW w:w="3334" w:type="dxa"/>
                  <w:noWrap w:val="0"/>
                  <w:vAlign w:val="center"/>
                </w:tcPr>
                <w:p w14:paraId="47F1599D">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第95百分位数日平均质量浓度</w:t>
                  </w:r>
                </w:p>
              </w:tc>
              <w:tc>
                <w:tcPr>
                  <w:tcW w:w="1468" w:type="dxa"/>
                  <w:noWrap w:val="0"/>
                  <w:vAlign w:val="center"/>
                </w:tcPr>
                <w:p w14:paraId="69128CF7">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cs="Times New Roman"/>
                      <w:color w:val="000000"/>
                      <w:sz w:val="21"/>
                      <w:szCs w:val="21"/>
                      <w:highlight w:val="none"/>
                      <w:lang w:val="en-US" w:eastAsia="zh-CN"/>
                    </w:rPr>
                    <w:t>1100</w:t>
                  </w:r>
                </w:p>
              </w:tc>
              <w:tc>
                <w:tcPr>
                  <w:tcW w:w="1214" w:type="dxa"/>
                  <w:noWrap w:val="0"/>
                  <w:vAlign w:val="center"/>
                </w:tcPr>
                <w:p w14:paraId="3C078E72">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4000</w:t>
                  </w:r>
                </w:p>
              </w:tc>
              <w:tc>
                <w:tcPr>
                  <w:tcW w:w="896" w:type="dxa"/>
                  <w:noWrap w:val="0"/>
                  <w:vAlign w:val="center"/>
                </w:tcPr>
                <w:p w14:paraId="0ECCE4F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highlight w:val="none"/>
                      <w:lang w:val="en-US" w:eastAsia="zh-CN"/>
                    </w:rPr>
                  </w:pPr>
                  <w:r>
                    <w:rPr>
                      <w:rFonts w:hint="eastAsia" w:cs="Times New Roman"/>
                      <w:i w:val="0"/>
                      <w:iCs w:val="0"/>
                      <w:color w:val="000000"/>
                      <w:kern w:val="0"/>
                      <w:sz w:val="21"/>
                      <w:szCs w:val="21"/>
                      <w:highlight w:val="none"/>
                      <w:u w:val="none"/>
                      <w:lang w:val="en-US" w:eastAsia="zh-CN" w:bidi="ar"/>
                    </w:rPr>
                    <w:t>27.5</w:t>
                  </w:r>
                </w:p>
              </w:tc>
              <w:tc>
                <w:tcPr>
                  <w:tcW w:w="944" w:type="dxa"/>
                  <w:noWrap w:val="0"/>
                  <w:vAlign w:val="center"/>
                </w:tcPr>
                <w:p w14:paraId="6AB07DAA">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lang w:eastAsia="zh-CN"/>
                    </w:rPr>
                    <w:t>达标</w:t>
                  </w:r>
                </w:p>
              </w:tc>
            </w:tr>
            <w:tr w14:paraId="6778B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946" w:type="dxa"/>
                  <w:noWrap w:val="0"/>
                  <w:vAlign w:val="center"/>
                </w:tcPr>
                <w:p w14:paraId="03A00D57">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O</w:t>
                  </w:r>
                  <w:r>
                    <w:rPr>
                      <w:rFonts w:hint="default" w:ascii="Times New Roman" w:hAnsi="Times New Roman" w:eastAsia="宋体" w:cs="Times New Roman"/>
                      <w:color w:val="000000"/>
                      <w:sz w:val="21"/>
                      <w:szCs w:val="21"/>
                      <w:highlight w:val="none"/>
                      <w:vertAlign w:val="subscript"/>
                    </w:rPr>
                    <w:t>3</w:t>
                  </w:r>
                </w:p>
              </w:tc>
              <w:tc>
                <w:tcPr>
                  <w:tcW w:w="3334" w:type="dxa"/>
                  <w:noWrap w:val="0"/>
                  <w:vAlign w:val="center"/>
                </w:tcPr>
                <w:p w14:paraId="04C174A5">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第90百分位数8h平均质量浓度</w:t>
                  </w:r>
                </w:p>
              </w:tc>
              <w:tc>
                <w:tcPr>
                  <w:tcW w:w="1468" w:type="dxa"/>
                  <w:noWrap w:val="0"/>
                  <w:vAlign w:val="center"/>
                </w:tcPr>
                <w:p w14:paraId="465218C7">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kern w:val="2"/>
                      <w:sz w:val="21"/>
                      <w:szCs w:val="21"/>
                      <w:highlight w:val="none"/>
                      <w:lang w:val="en-US" w:eastAsia="zh-CN" w:bidi="ar-SA"/>
                    </w:rPr>
                  </w:pPr>
                  <w:r>
                    <w:rPr>
                      <w:rFonts w:hint="eastAsia" w:ascii="Times New Roman" w:hAnsi="Times New Roman" w:cs="Times New Roman"/>
                      <w:color w:val="000000"/>
                      <w:sz w:val="21"/>
                      <w:szCs w:val="21"/>
                      <w:highlight w:val="none"/>
                      <w:lang w:val="en-US" w:eastAsia="zh-CN"/>
                    </w:rPr>
                    <w:t>168</w:t>
                  </w:r>
                </w:p>
              </w:tc>
              <w:tc>
                <w:tcPr>
                  <w:tcW w:w="1214" w:type="dxa"/>
                  <w:noWrap w:val="0"/>
                  <w:vAlign w:val="center"/>
                </w:tcPr>
                <w:p w14:paraId="5436FA83">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160</w:t>
                  </w:r>
                </w:p>
              </w:tc>
              <w:tc>
                <w:tcPr>
                  <w:tcW w:w="896" w:type="dxa"/>
                  <w:noWrap w:val="0"/>
                  <w:vAlign w:val="center"/>
                </w:tcPr>
                <w:p w14:paraId="122A126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sz w:val="21"/>
                      <w:szCs w:val="21"/>
                      <w:highlight w:val="none"/>
                      <w:lang w:val="en-US" w:eastAsia="zh-CN"/>
                    </w:rPr>
                  </w:pPr>
                  <w:r>
                    <w:rPr>
                      <w:rFonts w:hint="eastAsia" w:cs="Times New Roman"/>
                      <w:i w:val="0"/>
                      <w:iCs w:val="0"/>
                      <w:color w:val="000000"/>
                      <w:kern w:val="0"/>
                      <w:sz w:val="21"/>
                      <w:szCs w:val="21"/>
                      <w:highlight w:val="none"/>
                      <w:u w:val="none"/>
                      <w:lang w:val="en-US" w:eastAsia="zh-CN" w:bidi="ar"/>
                    </w:rPr>
                    <w:t>105</w:t>
                  </w:r>
                  <w:r>
                    <w:rPr>
                      <w:rFonts w:hint="default" w:ascii="Times New Roman" w:hAnsi="Times New Roman" w:eastAsia="宋体" w:cs="Times New Roman"/>
                      <w:i w:val="0"/>
                      <w:iCs w:val="0"/>
                      <w:color w:val="000000"/>
                      <w:kern w:val="0"/>
                      <w:sz w:val="21"/>
                      <w:szCs w:val="21"/>
                      <w:highlight w:val="none"/>
                      <w:u w:val="none"/>
                      <w:lang w:val="en-US" w:eastAsia="zh-CN" w:bidi="ar"/>
                    </w:rPr>
                    <w:t xml:space="preserve"> </w:t>
                  </w:r>
                </w:p>
              </w:tc>
              <w:tc>
                <w:tcPr>
                  <w:tcW w:w="944" w:type="dxa"/>
                  <w:noWrap w:val="0"/>
                  <w:vAlign w:val="center"/>
                </w:tcPr>
                <w:p w14:paraId="2399853D">
                  <w:pPr>
                    <w:pStyle w:val="8"/>
                    <w:keepNext w:val="0"/>
                    <w:keepLines w:val="0"/>
                    <w:widowControl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color w:val="000000"/>
                      <w:kern w:val="2"/>
                      <w:sz w:val="21"/>
                      <w:szCs w:val="21"/>
                      <w:highlight w:val="none"/>
                      <w:u w:val="none" w:color="000000"/>
                      <w:lang w:val="en-US" w:eastAsia="zh-CN" w:bidi="ar-SA"/>
                    </w:rPr>
                  </w:pPr>
                  <w:r>
                    <w:rPr>
                      <w:rFonts w:hint="eastAsia" w:ascii="Times New Roman" w:hAnsi="Times New Roman" w:cs="Times New Roman"/>
                      <w:color w:val="000000"/>
                      <w:sz w:val="21"/>
                      <w:szCs w:val="21"/>
                      <w:highlight w:val="none"/>
                      <w:lang w:val="en-US" w:eastAsia="zh-CN"/>
                    </w:rPr>
                    <w:t>超</w:t>
                  </w:r>
                  <w:r>
                    <w:rPr>
                      <w:rFonts w:hint="default" w:ascii="Times New Roman" w:hAnsi="Times New Roman" w:eastAsia="宋体" w:cs="Times New Roman"/>
                      <w:color w:val="000000"/>
                      <w:sz w:val="21"/>
                      <w:szCs w:val="21"/>
                      <w:highlight w:val="none"/>
                      <w:lang w:eastAsia="zh-CN"/>
                    </w:rPr>
                    <w:t>标</w:t>
                  </w:r>
                </w:p>
              </w:tc>
            </w:tr>
          </w:tbl>
          <w:p w14:paraId="11D11478">
            <w:pPr>
              <w:keepNext w:val="0"/>
              <w:keepLines w:val="0"/>
              <w:suppressLineNumbers w:val="0"/>
              <w:autoSpaceDE w:val="0"/>
              <w:autoSpaceDN w:val="0"/>
              <w:adjustRightInd w:val="0"/>
              <w:snapToGrid w:val="0"/>
              <w:spacing w:before="0" w:beforeAutospacing="0" w:after="0" w:afterAutospacing="0" w:line="480" w:lineRule="exact"/>
              <w:ind w:left="0" w:right="0" w:firstLine="480" w:firstLineChars="200"/>
              <w:jc w:val="left"/>
              <w:rPr>
                <w:rFonts w:hint="default"/>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sz w:val="24"/>
                <w:highlight w:val="none"/>
              </w:rPr>
              <w:t>由表3-1可以看出：项目所在区域 SO</w:t>
            </w:r>
            <w:r>
              <w:rPr>
                <w:rFonts w:hint="default" w:ascii="Times New Roman" w:hAnsi="Times New Roman" w:eastAsia="宋体" w:cs="Times New Roman"/>
                <w:color w:val="000000"/>
                <w:sz w:val="24"/>
                <w:highlight w:val="none"/>
                <w:vertAlign w:val="subscript"/>
              </w:rPr>
              <w:t>2</w:t>
            </w:r>
            <w:r>
              <w:rPr>
                <w:rFonts w:hint="default" w:ascii="Times New Roman" w:hAnsi="Times New Roman" w:eastAsia="宋体" w:cs="Times New Roman"/>
                <w:color w:val="000000"/>
                <w:sz w:val="24"/>
                <w:highlight w:val="none"/>
              </w:rPr>
              <w:t>、NO</w:t>
            </w:r>
            <w:r>
              <w:rPr>
                <w:rFonts w:hint="default" w:ascii="Times New Roman" w:hAnsi="Times New Roman" w:eastAsia="宋体" w:cs="Times New Roman"/>
                <w:color w:val="000000"/>
                <w:sz w:val="24"/>
                <w:highlight w:val="none"/>
                <w:vertAlign w:val="subscript"/>
              </w:rPr>
              <w:t>2</w:t>
            </w:r>
            <w:r>
              <w:rPr>
                <w:rFonts w:hint="default" w:ascii="Times New Roman" w:hAnsi="Times New Roman" w:eastAsia="宋体" w:cs="Times New Roman"/>
                <w:color w:val="000000"/>
                <w:sz w:val="24"/>
                <w:highlight w:val="none"/>
              </w:rPr>
              <w:t>的年平均质量浓度</w:t>
            </w:r>
            <w:r>
              <w:rPr>
                <w:rFonts w:hint="default" w:ascii="Times New Roman" w:hAnsi="Times New Roman" w:eastAsia="宋体" w:cs="Times New Roman"/>
                <w:color w:val="000000"/>
                <w:sz w:val="24"/>
                <w:highlight w:val="none"/>
                <w:lang w:eastAsia="zh-CN"/>
              </w:rPr>
              <w:t>，</w:t>
            </w:r>
            <w:r>
              <w:rPr>
                <w:rFonts w:hint="default" w:ascii="Times New Roman" w:hAnsi="Times New Roman" w:eastAsia="宋体" w:cs="Times New Roman"/>
                <w:color w:val="000000"/>
                <w:sz w:val="24"/>
                <w:highlight w:val="none"/>
              </w:rPr>
              <w:t>CO</w:t>
            </w:r>
            <w:r>
              <w:rPr>
                <w:rFonts w:hint="default" w:ascii="Times New Roman" w:hAnsi="Times New Roman" w:eastAsia="宋体" w:cs="Times New Roman"/>
                <w:color w:val="000000"/>
                <w:sz w:val="24"/>
                <w:highlight w:val="none"/>
                <w:lang w:val="en-US" w:eastAsia="zh-CN"/>
              </w:rPr>
              <w:t xml:space="preserve"> </w:t>
            </w:r>
            <w:r>
              <w:rPr>
                <w:rFonts w:hint="default" w:ascii="Times New Roman" w:hAnsi="Times New Roman" w:eastAsia="宋体" w:cs="Times New Roman"/>
                <w:color w:val="000000"/>
                <w:sz w:val="24"/>
                <w:highlight w:val="none"/>
              </w:rPr>
              <w:t>2</w:t>
            </w:r>
            <w:r>
              <w:rPr>
                <w:rFonts w:hint="default" w:ascii="Times New Roman" w:hAnsi="Times New Roman" w:eastAsia="宋体" w:cs="Times New Roman"/>
                <w:color w:val="000000"/>
                <w:sz w:val="24"/>
                <w:highlight w:val="none"/>
                <w:lang w:val="en-US" w:eastAsia="zh-CN"/>
              </w:rPr>
              <w:t>4</w:t>
            </w:r>
            <w:r>
              <w:rPr>
                <w:rFonts w:hint="default" w:ascii="Times New Roman" w:hAnsi="Times New Roman" w:eastAsia="宋体" w:cs="Times New Roman"/>
                <w:color w:val="000000"/>
                <w:sz w:val="24"/>
                <w:highlight w:val="none"/>
              </w:rPr>
              <w:t>小时平均质量浓度</w:t>
            </w:r>
            <w:r>
              <w:rPr>
                <w:rFonts w:hint="eastAsia" w:cs="Times New Roman"/>
                <w:color w:val="000000"/>
                <w:sz w:val="24"/>
                <w:highlight w:val="none"/>
                <w:lang w:val="en-US" w:eastAsia="zh-CN"/>
              </w:rPr>
              <w:t>均</w:t>
            </w:r>
            <w:r>
              <w:rPr>
                <w:rFonts w:hint="default" w:ascii="Times New Roman" w:hAnsi="Times New Roman" w:eastAsia="宋体" w:cs="Times New Roman"/>
                <w:color w:val="000000"/>
                <w:sz w:val="24"/>
                <w:highlight w:val="none"/>
              </w:rPr>
              <w:t>满足《环境空气质量标准》（GB3095－2012）二级标准</w:t>
            </w:r>
            <w:r>
              <w:rPr>
                <w:rFonts w:hint="eastAsia" w:ascii="Times New Roman" w:hAnsi="Times New Roman" w:eastAsia="宋体" w:cs="Times New Roman"/>
                <w:color w:val="000000"/>
                <w:sz w:val="24"/>
                <w:highlight w:val="none"/>
                <w:lang w:eastAsia="zh-CN"/>
              </w:rPr>
              <w:t>，</w:t>
            </w:r>
            <w:r>
              <w:rPr>
                <w:rFonts w:hint="default" w:ascii="Times New Roman" w:hAnsi="Times New Roman" w:eastAsia="宋体" w:cs="Times New Roman"/>
                <w:color w:val="000000"/>
                <w:sz w:val="24"/>
                <w:highlight w:val="none"/>
              </w:rPr>
              <w:t>PM</w:t>
            </w:r>
            <w:r>
              <w:rPr>
                <w:rFonts w:hint="default" w:ascii="Times New Roman" w:hAnsi="Times New Roman" w:eastAsia="宋体" w:cs="Times New Roman"/>
                <w:color w:val="000000"/>
                <w:sz w:val="24"/>
                <w:highlight w:val="none"/>
                <w:vertAlign w:val="subscript"/>
              </w:rPr>
              <w:t>2.5</w:t>
            </w:r>
            <w:r>
              <w:rPr>
                <w:rFonts w:hint="default" w:ascii="Times New Roman" w:hAnsi="Times New Roman" w:eastAsia="宋体" w:cs="Times New Roman"/>
                <w:color w:val="000000"/>
                <w:sz w:val="24"/>
                <w:highlight w:val="none"/>
              </w:rPr>
              <w:t>、PM</w:t>
            </w:r>
            <w:r>
              <w:rPr>
                <w:rFonts w:hint="default" w:ascii="Times New Roman" w:hAnsi="Times New Roman" w:eastAsia="宋体" w:cs="Times New Roman"/>
                <w:color w:val="000000"/>
                <w:sz w:val="24"/>
                <w:highlight w:val="none"/>
                <w:vertAlign w:val="subscript"/>
              </w:rPr>
              <w:t>10</w:t>
            </w:r>
            <w:r>
              <w:rPr>
                <w:rFonts w:hint="default" w:ascii="Times New Roman" w:hAnsi="Times New Roman" w:eastAsia="宋体" w:cs="Times New Roman"/>
                <w:color w:val="000000"/>
                <w:sz w:val="24"/>
                <w:highlight w:val="none"/>
              </w:rPr>
              <w:t>的年平均质量浓度</w:t>
            </w:r>
            <w:r>
              <w:rPr>
                <w:rFonts w:hint="default" w:ascii="Times New Roman" w:hAnsi="Times New Roman" w:eastAsia="宋体" w:cs="Times New Roman"/>
                <w:color w:val="000000"/>
                <w:sz w:val="24"/>
                <w:highlight w:val="none"/>
                <w:lang w:eastAsia="zh-CN"/>
              </w:rPr>
              <w:t>，</w:t>
            </w:r>
            <w:r>
              <w:rPr>
                <w:rFonts w:hint="default" w:ascii="Times New Roman" w:hAnsi="Times New Roman" w:eastAsia="宋体" w:cs="Times New Roman"/>
                <w:color w:val="000000"/>
                <w:sz w:val="24"/>
                <w:highlight w:val="none"/>
              </w:rPr>
              <w:t>O</w:t>
            </w:r>
            <w:r>
              <w:rPr>
                <w:rFonts w:hint="default" w:ascii="Times New Roman" w:hAnsi="Times New Roman" w:eastAsia="宋体" w:cs="Times New Roman"/>
                <w:color w:val="000000"/>
                <w:sz w:val="24"/>
                <w:highlight w:val="none"/>
                <w:vertAlign w:val="subscript"/>
              </w:rPr>
              <w:t>3</w:t>
            </w:r>
            <w:r>
              <w:rPr>
                <w:rFonts w:hint="default" w:ascii="Times New Roman" w:hAnsi="Times New Roman" w:eastAsia="宋体" w:cs="Times New Roman"/>
                <w:color w:val="000000"/>
                <w:sz w:val="24"/>
                <w:highlight w:val="none"/>
                <w:vertAlign w:val="subscript"/>
                <w:lang w:val="en-US" w:eastAsia="zh-CN"/>
              </w:rPr>
              <w:t xml:space="preserve"> </w:t>
            </w:r>
            <w:r>
              <w:rPr>
                <w:rFonts w:hint="default" w:ascii="Times New Roman" w:hAnsi="Times New Roman" w:eastAsia="宋体" w:cs="Times New Roman"/>
                <w:color w:val="000000"/>
                <w:sz w:val="24"/>
                <w:highlight w:val="none"/>
              </w:rPr>
              <w:t>8小时平均质量浓度均</w:t>
            </w:r>
            <w:r>
              <w:rPr>
                <w:rFonts w:hint="eastAsia" w:ascii="Times New Roman" w:hAnsi="Times New Roman" w:eastAsia="宋体" w:cs="Times New Roman"/>
                <w:color w:val="000000"/>
                <w:sz w:val="24"/>
                <w:highlight w:val="none"/>
                <w:lang w:val="en-US" w:eastAsia="zh-CN"/>
              </w:rPr>
              <w:t>不</w:t>
            </w:r>
            <w:r>
              <w:rPr>
                <w:rFonts w:hint="default" w:ascii="Times New Roman" w:hAnsi="Times New Roman" w:eastAsia="宋体" w:cs="Times New Roman"/>
                <w:color w:val="000000"/>
                <w:sz w:val="24"/>
                <w:highlight w:val="none"/>
              </w:rPr>
              <w:t>满足《环境空气质量标准》（GB3095－2012）二级标准</w:t>
            </w:r>
            <w:r>
              <w:rPr>
                <w:rFonts w:hint="eastAsia" w:ascii="Times New Roman" w:hAnsi="Times New Roman" w:eastAsia="宋体" w:cs="Times New Roman"/>
                <w:color w:val="000000"/>
                <w:sz w:val="24"/>
                <w:highlight w:val="none"/>
                <w:lang w:eastAsia="zh-CN"/>
              </w:rPr>
              <w:t>，</w:t>
            </w:r>
            <w:r>
              <w:rPr>
                <w:rFonts w:hint="default" w:ascii="Times New Roman" w:hAnsi="Times New Roman" w:eastAsia="宋体" w:cs="Times New Roman"/>
                <w:color w:val="000000"/>
                <w:sz w:val="24"/>
                <w:highlight w:val="none"/>
              </w:rPr>
              <w:t>本项目所在区域</w:t>
            </w:r>
            <w:r>
              <w:rPr>
                <w:rFonts w:hint="default" w:ascii="Times New Roman" w:hAnsi="Times New Roman" w:eastAsia="宋体" w:cs="Times New Roman"/>
                <w:color w:val="000000"/>
                <w:sz w:val="24"/>
                <w:highlight w:val="none"/>
                <w:lang w:val="en-US" w:eastAsia="zh-CN"/>
              </w:rPr>
              <w:t>为</w:t>
            </w:r>
            <w:r>
              <w:rPr>
                <w:rFonts w:hint="eastAsia" w:cs="Times New Roman"/>
                <w:color w:val="000000"/>
                <w:sz w:val="24"/>
                <w:highlight w:val="none"/>
                <w:lang w:val="en-US" w:eastAsia="zh-CN"/>
              </w:rPr>
              <w:t>不</w:t>
            </w:r>
            <w:r>
              <w:rPr>
                <w:rFonts w:hint="default" w:ascii="Times New Roman" w:hAnsi="Times New Roman" w:eastAsia="宋体" w:cs="Times New Roman"/>
                <w:color w:val="000000"/>
                <w:sz w:val="24"/>
                <w:highlight w:val="none"/>
                <w:lang w:val="en-US" w:eastAsia="zh-CN"/>
              </w:rPr>
              <w:t>达标区</w:t>
            </w:r>
            <w:r>
              <w:rPr>
                <w:rFonts w:hint="default" w:ascii="Times New Roman" w:hAnsi="Times New Roman" w:eastAsia="宋体" w:cs="Times New Roman"/>
                <w:color w:val="000000"/>
                <w:sz w:val="24"/>
                <w:highlight w:val="none"/>
              </w:rPr>
              <w:t>。</w:t>
            </w:r>
          </w:p>
          <w:p w14:paraId="7BE1D42F">
            <w:pPr>
              <w:keepNext w:val="0"/>
              <w:keepLines w:val="0"/>
              <w:suppressLineNumbers w:val="0"/>
              <w:autoSpaceDE w:val="0"/>
              <w:autoSpaceDN w:val="0"/>
              <w:adjustRightInd w:val="0"/>
              <w:snapToGrid w:val="0"/>
              <w:spacing w:before="0" w:beforeAutospacing="0" w:after="0" w:afterAutospacing="0" w:line="480" w:lineRule="exact"/>
              <w:ind w:left="0" w:right="0" w:firstLine="480" w:firstLineChars="200"/>
              <w:jc w:val="left"/>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w:t>
            </w:r>
            <w:r>
              <w:rPr>
                <w:rFonts w:hint="default"/>
                <w:color w:val="000000" w:themeColor="text1"/>
                <w:sz w:val="24"/>
                <w:szCs w:val="24"/>
                <w:highlight w:val="none"/>
                <w14:textFill>
                  <w14:solidFill>
                    <w14:schemeClr w14:val="tx1"/>
                  </w14:solidFill>
                </w14:textFill>
              </w:rPr>
              <w:t>2</w:t>
            </w:r>
            <w:r>
              <w:rPr>
                <w:rFonts w:hint="eastAsia" w:cs="宋体"/>
                <w:color w:val="000000" w:themeColor="text1"/>
                <w:sz w:val="24"/>
                <w:szCs w:val="24"/>
                <w:highlight w:val="none"/>
                <w14:textFill>
                  <w14:solidFill>
                    <w14:schemeClr w14:val="tx1"/>
                  </w14:solidFill>
                </w14:textFill>
              </w:rPr>
              <w:t>）特征污染因子</w:t>
            </w:r>
          </w:p>
          <w:p w14:paraId="74690875">
            <w:pPr>
              <w:keepNext w:val="0"/>
              <w:keepLines w:val="0"/>
              <w:suppressLineNumbers w:val="0"/>
              <w:autoSpaceDE w:val="0"/>
              <w:autoSpaceDN w:val="0"/>
              <w:adjustRightInd w:val="0"/>
              <w:snapToGrid w:val="0"/>
              <w:spacing w:before="0" w:beforeAutospacing="0" w:after="0" w:afterAutospacing="0" w:line="480" w:lineRule="exact"/>
              <w:ind w:left="0" w:right="0" w:firstLine="480" w:firstLineChars="200"/>
              <w:jc w:val="left"/>
              <w:rPr>
                <w:rFonts w:hint="eastAsia" w:eastAsia="宋体" w:cs="宋体"/>
                <w:color w:val="000000" w:themeColor="text1"/>
                <w:sz w:val="24"/>
                <w:szCs w:val="24"/>
                <w:highlight w:val="none"/>
                <w:lang w:eastAsia="zh-CN"/>
                <w14:textFill>
                  <w14:solidFill>
                    <w14:schemeClr w14:val="tx1"/>
                  </w14:solidFill>
                </w14:textFill>
              </w:rPr>
            </w:pPr>
            <w:r>
              <w:rPr>
                <w:rFonts w:hint="default" w:ascii="Times New Roman" w:hAnsi="Times New Roman" w:eastAsia="宋体" w:cs="Times New Roman"/>
                <w:color w:val="auto"/>
                <w:sz w:val="24"/>
                <w:highlight w:val="none"/>
              </w:rPr>
              <w:t>本项目</w:t>
            </w:r>
            <w:r>
              <w:rPr>
                <w:rFonts w:hint="default" w:ascii="Times New Roman" w:hAnsi="Times New Roman" w:eastAsia="宋体" w:cs="Times New Roman"/>
                <w:color w:val="auto"/>
                <w:sz w:val="24"/>
                <w:highlight w:val="none"/>
                <w:lang w:val="en-US" w:eastAsia="zh-CN"/>
              </w:rPr>
              <w:t>特征</w:t>
            </w:r>
            <w:r>
              <w:rPr>
                <w:rFonts w:hint="default" w:ascii="Times New Roman" w:hAnsi="Times New Roman" w:eastAsia="宋体" w:cs="Times New Roman"/>
                <w:color w:val="auto"/>
                <w:sz w:val="24"/>
                <w:highlight w:val="none"/>
              </w:rPr>
              <w:t>污染物为</w:t>
            </w:r>
            <w:r>
              <w:rPr>
                <w:rFonts w:hint="eastAsia" w:ascii="Times New Roman" w:hAnsi="Times New Roman" w:eastAsia="宋体" w:cs="Times New Roman"/>
                <w:color w:val="auto"/>
                <w:sz w:val="24"/>
                <w:highlight w:val="none"/>
                <w:lang w:eastAsia="zh-CN"/>
              </w:rPr>
              <w:t>颗粒物、</w:t>
            </w:r>
            <w:r>
              <w:rPr>
                <w:rFonts w:hint="default" w:ascii="Times New Roman" w:hAnsi="Times New Roman" w:eastAsia="宋体" w:cs="Times New Roman"/>
                <w:color w:val="auto"/>
                <w:sz w:val="24"/>
                <w:highlight w:val="none"/>
              </w:rPr>
              <w:t>非甲烷总烃</w:t>
            </w:r>
            <w:r>
              <w:rPr>
                <w:rFonts w:hint="eastAsia" w:ascii="Times New Roman" w:hAnsi="Times New Roman" w:eastAsia="宋体" w:cs="Times New Roman"/>
                <w:color w:val="auto"/>
                <w:sz w:val="24"/>
                <w:highlight w:val="none"/>
                <w:lang w:eastAsia="zh-CN"/>
              </w:rPr>
              <w:t>、苯并[a]芘</w:t>
            </w:r>
            <w:r>
              <w:rPr>
                <w:rFonts w:hint="default" w:ascii="Times New Roman" w:hAnsi="Times New Roman" w:eastAsia="宋体" w:cs="Times New Roman"/>
                <w:color w:val="auto"/>
                <w:sz w:val="24"/>
                <w:highlight w:val="none"/>
                <w:lang w:eastAsia="zh-CN"/>
              </w:rPr>
              <w:t>。</w:t>
            </w:r>
          </w:p>
          <w:p w14:paraId="2E65674C">
            <w:pPr>
              <w:keepNext w:val="0"/>
              <w:keepLines w:val="0"/>
              <w:suppressLineNumbers w:val="0"/>
              <w:autoSpaceDE w:val="0"/>
              <w:autoSpaceDN w:val="0"/>
              <w:adjustRightInd w:val="0"/>
              <w:snapToGrid w:val="0"/>
              <w:spacing w:before="0" w:beforeAutospacing="0" w:after="0" w:afterAutospacing="0" w:line="480" w:lineRule="exact"/>
              <w:ind w:left="0" w:right="0" w:firstLine="480" w:firstLineChars="200"/>
              <w:jc w:val="left"/>
              <w:rPr>
                <w:rFonts w:hint="default"/>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本次</w:t>
            </w:r>
            <w:r>
              <w:rPr>
                <w:rFonts w:hint="eastAsia" w:cs="宋体"/>
                <w:color w:val="000000" w:themeColor="text1"/>
                <w:sz w:val="24"/>
                <w:szCs w:val="24"/>
                <w:highlight w:val="none"/>
                <w:lang w:val="en-US" w:eastAsia="zh-CN"/>
                <w14:textFill>
                  <w14:solidFill>
                    <w14:schemeClr w14:val="tx1"/>
                  </w14:solidFill>
                </w14:textFill>
              </w:rPr>
              <w:t>环评委托陕西宸琉检测服务有限公司对项目所在地下风向环境质量现状进行监测</w:t>
            </w:r>
            <w:r>
              <w:rPr>
                <w:rFonts w:hint="eastAsia" w:cs="宋体"/>
                <w:color w:val="000000" w:themeColor="text1"/>
                <w:sz w:val="24"/>
                <w:szCs w:val="24"/>
                <w:highlight w:val="none"/>
                <w14:textFill>
                  <w14:solidFill>
                    <w14:schemeClr w14:val="tx1"/>
                  </w14:solidFill>
                </w14:textFill>
              </w:rPr>
              <w:t>。监测结果见表</w:t>
            </w:r>
            <w:r>
              <w:rPr>
                <w:rFonts w:hint="eastAsia"/>
                <w:color w:val="000000" w:themeColor="text1"/>
                <w:sz w:val="24"/>
                <w:szCs w:val="24"/>
                <w:highlight w:val="none"/>
                <w14:textFill>
                  <w14:solidFill>
                    <w14:schemeClr w14:val="tx1"/>
                  </w14:solidFill>
                </w14:textFill>
              </w:rPr>
              <w:t>3-2</w:t>
            </w:r>
            <w:r>
              <w:rPr>
                <w:rFonts w:hint="eastAsia" w:cs="宋体"/>
                <w:color w:val="000000" w:themeColor="text1"/>
                <w:sz w:val="24"/>
                <w:szCs w:val="24"/>
                <w:highlight w:val="none"/>
                <w14:textFill>
                  <w14:solidFill>
                    <w14:schemeClr w14:val="tx1"/>
                  </w14:solidFill>
                </w14:textFill>
              </w:rPr>
              <w:t>。</w:t>
            </w:r>
          </w:p>
          <w:p w14:paraId="016CAB77">
            <w:pPr>
              <w:pStyle w:val="2"/>
              <w:keepNext w:val="0"/>
              <w:keepLines w:val="0"/>
              <w:suppressLineNumbers w:val="0"/>
              <w:adjustRightInd w:val="0"/>
              <w:snapToGrid w:val="0"/>
              <w:spacing w:before="0" w:beforeAutospacing="0" w:after="0" w:afterAutospacing="0" w:line="360" w:lineRule="auto"/>
              <w:ind w:left="0" w:leftChars="0" w:right="0" w:firstLine="0" w:firstLineChars="0"/>
              <w:jc w:val="center"/>
              <w:rPr>
                <w:rFonts w:hint="default"/>
                <w:b/>
                <w:bCs/>
                <w:color w:val="000000" w:themeColor="text1"/>
                <w:sz w:val="21"/>
                <w:szCs w:val="21"/>
                <w:highlight w:val="none"/>
                <w14:textFill>
                  <w14:solidFill>
                    <w14:schemeClr w14:val="tx1"/>
                  </w14:solidFill>
                </w14:textFill>
              </w:rPr>
            </w:pPr>
            <w:r>
              <w:rPr>
                <w:rFonts w:hint="eastAsia" w:cs="宋体"/>
                <w:b/>
                <w:bCs/>
                <w:color w:val="000000" w:themeColor="text1"/>
                <w:sz w:val="21"/>
                <w:szCs w:val="21"/>
                <w:highlight w:val="none"/>
                <w14:textFill>
                  <w14:solidFill>
                    <w14:schemeClr w14:val="tx1"/>
                  </w14:solidFill>
                </w14:textFill>
              </w:rPr>
              <w:t>表</w:t>
            </w:r>
            <w:r>
              <w:rPr>
                <w:rFonts w:hint="eastAsia"/>
                <w:b/>
                <w:bCs/>
                <w:color w:val="000000" w:themeColor="text1"/>
                <w:sz w:val="21"/>
                <w:szCs w:val="21"/>
                <w:highlight w:val="none"/>
                <w14:textFill>
                  <w14:solidFill>
                    <w14:schemeClr w14:val="tx1"/>
                  </w14:solidFill>
                </w14:textFill>
              </w:rPr>
              <w:t>3-2</w:t>
            </w:r>
            <w:r>
              <w:rPr>
                <w:rFonts w:hint="default"/>
                <w:b/>
                <w:bCs/>
                <w:color w:val="000000" w:themeColor="text1"/>
                <w:sz w:val="21"/>
                <w:szCs w:val="21"/>
                <w:highlight w:val="none"/>
                <w14:textFill>
                  <w14:solidFill>
                    <w14:schemeClr w14:val="tx1"/>
                  </w14:solidFill>
                </w14:textFill>
              </w:rPr>
              <w:t xml:space="preserve"> </w:t>
            </w:r>
            <w:r>
              <w:rPr>
                <w:rFonts w:hint="eastAsia" w:ascii="Times New Roman" w:hAnsi="Times New Roman" w:eastAsia="宋体" w:cs="Times New Roman"/>
                <w:b/>
                <w:bCs/>
                <w:sz w:val="21"/>
                <w:szCs w:val="21"/>
                <w:highlight w:val="none"/>
                <w:lang w:val="en-US" w:eastAsia="zh-CN"/>
              </w:rPr>
              <w:t>总悬浮颗粒物、</w:t>
            </w:r>
            <w:r>
              <w:rPr>
                <w:rFonts w:hint="eastAsia" w:cs="Times New Roman"/>
                <w:b/>
                <w:bCs/>
                <w:sz w:val="21"/>
                <w:szCs w:val="21"/>
                <w:highlight w:val="none"/>
                <w:vertAlign w:val="baseline"/>
                <w:lang w:val="en-US" w:eastAsia="zh-CN"/>
              </w:rPr>
              <w:t>苯并[a]芘</w:t>
            </w:r>
            <w:r>
              <w:rPr>
                <w:rFonts w:hint="eastAsia" w:cs="宋体"/>
                <w:b/>
                <w:bCs/>
                <w:color w:val="000000" w:themeColor="text1"/>
                <w:sz w:val="21"/>
                <w:szCs w:val="21"/>
                <w:highlight w:val="none"/>
                <w14:textFill>
                  <w14:solidFill>
                    <w14:schemeClr w14:val="tx1"/>
                  </w14:solidFill>
                </w14:textFill>
              </w:rPr>
              <w:t>监测结果统计表</w:t>
            </w:r>
          </w:p>
          <w:tbl>
            <w:tblPr>
              <w:tblStyle w:val="41"/>
              <w:tblW w:w="8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02"/>
              <w:gridCol w:w="2292"/>
              <w:gridCol w:w="1855"/>
              <w:gridCol w:w="2559"/>
            </w:tblGrid>
            <w:tr w14:paraId="0C5B3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02" w:type="dxa"/>
                  <w:noWrap w:val="0"/>
                  <w:vAlign w:val="center"/>
                </w:tcPr>
                <w:p w14:paraId="7156B609">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00" w:lineRule="exact"/>
                    <w:ind w:left="0" w:right="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sz w:val="21"/>
                      <w:szCs w:val="21"/>
                      <w:highlight w:val="none"/>
                      <w:vertAlign w:val="baseline"/>
                      <w:lang w:val="en-US" w:eastAsia="zh-CN"/>
                    </w:rPr>
                    <w:t>监测点位</w:t>
                  </w:r>
                </w:p>
              </w:tc>
              <w:tc>
                <w:tcPr>
                  <w:tcW w:w="2292" w:type="dxa"/>
                  <w:noWrap w:val="0"/>
                  <w:vAlign w:val="center"/>
                </w:tcPr>
                <w:p w14:paraId="632CA58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sz w:val="21"/>
                      <w:szCs w:val="21"/>
                      <w:highlight w:val="none"/>
                    </w:rPr>
                    <w:t>采样日期</w:t>
                  </w:r>
                </w:p>
              </w:tc>
              <w:tc>
                <w:tcPr>
                  <w:tcW w:w="1855" w:type="dxa"/>
                  <w:noWrap w:val="0"/>
                  <w:vAlign w:val="center"/>
                </w:tcPr>
                <w:p w14:paraId="0D69716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default" w:ascii="Times New Roman" w:hAnsi="Times New Roman" w:eastAsia="宋体" w:cs="Times New Roman"/>
                      <w:b/>
                      <w:bCs/>
                      <w:sz w:val="21"/>
                      <w:szCs w:val="21"/>
                      <w:highlight w:val="none"/>
                      <w:lang w:val="en-US" w:eastAsia="zh-CN"/>
                    </w:rPr>
                  </w:pPr>
                  <w:r>
                    <w:rPr>
                      <w:rFonts w:hint="default" w:ascii="Times New Roman" w:hAnsi="Times New Roman" w:eastAsia="宋体" w:cs="Times New Roman"/>
                      <w:b/>
                      <w:bCs/>
                      <w:sz w:val="21"/>
                      <w:szCs w:val="21"/>
                      <w:highlight w:val="none"/>
                      <w:lang w:val="en-US" w:eastAsia="zh-CN"/>
                    </w:rPr>
                    <w:t>总悬浮颗粒物</w:t>
                  </w:r>
                  <w:r>
                    <w:rPr>
                      <w:rFonts w:hint="default" w:ascii="Times New Roman" w:hAnsi="Times New Roman" w:cs="Times New Roman"/>
                      <w:b/>
                      <w:bCs/>
                      <w:sz w:val="21"/>
                      <w:szCs w:val="21"/>
                      <w:highlight w:val="none"/>
                      <w:lang w:val="en-US" w:eastAsia="zh-CN"/>
                    </w:rPr>
                    <w:t>（</w:t>
                  </w:r>
                  <w:r>
                    <w:rPr>
                      <w:rFonts w:hint="default" w:ascii="Times New Roman" w:hAnsi="Times New Roman" w:cs="Times New Roman"/>
                      <w:b/>
                      <w:bCs/>
                      <w:sz w:val="21"/>
                      <w:szCs w:val="21"/>
                      <w:highlight w:val="none"/>
                    </w:rPr>
                    <w:t>mg/m</w:t>
                  </w:r>
                  <w:r>
                    <w:rPr>
                      <w:rFonts w:hint="default" w:ascii="Times New Roman" w:hAnsi="Times New Roman" w:cs="Times New Roman"/>
                      <w:b/>
                      <w:bCs/>
                      <w:sz w:val="21"/>
                      <w:szCs w:val="21"/>
                      <w:highlight w:val="none"/>
                      <w:vertAlign w:val="superscript"/>
                    </w:rPr>
                    <w:t>3</w:t>
                  </w:r>
                  <w:r>
                    <w:rPr>
                      <w:rFonts w:hint="default" w:ascii="Times New Roman" w:hAnsi="Times New Roman" w:cs="Times New Roman"/>
                      <w:b/>
                      <w:bCs/>
                      <w:sz w:val="21"/>
                      <w:szCs w:val="21"/>
                      <w:highlight w:val="none"/>
                      <w:lang w:val="en-US" w:eastAsia="zh-CN"/>
                    </w:rPr>
                    <w:t>）</w:t>
                  </w:r>
                </w:p>
              </w:tc>
              <w:tc>
                <w:tcPr>
                  <w:tcW w:w="2559" w:type="dxa"/>
                  <w:noWrap w:val="0"/>
                  <w:vAlign w:val="center"/>
                </w:tcPr>
                <w:p w14:paraId="6656A358">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000000"/>
                      <w:kern w:val="2"/>
                      <w:sz w:val="21"/>
                      <w:szCs w:val="21"/>
                      <w:highlight w:val="none"/>
                      <w:lang w:val="en-US" w:eastAsia="zh-CN" w:bidi="ar-SA"/>
                    </w:rPr>
                  </w:pPr>
                  <w:r>
                    <w:rPr>
                      <w:rFonts w:hint="default" w:ascii="Times New Roman" w:hAnsi="Times New Roman" w:cs="Times New Roman"/>
                      <w:b/>
                      <w:bCs/>
                      <w:sz w:val="21"/>
                      <w:szCs w:val="21"/>
                      <w:highlight w:val="none"/>
                      <w:lang w:val="en-US" w:eastAsia="zh-CN"/>
                    </w:rPr>
                    <w:t>*</w:t>
                  </w:r>
                  <w:r>
                    <w:rPr>
                      <w:rFonts w:hint="default" w:ascii="Times New Roman" w:hAnsi="Times New Roman" w:cs="Times New Roman"/>
                      <w:b/>
                      <w:bCs/>
                      <w:sz w:val="21"/>
                      <w:szCs w:val="21"/>
                      <w:highlight w:val="none"/>
                      <w:vertAlign w:val="baseline"/>
                      <w:lang w:val="en-US" w:eastAsia="zh-CN"/>
                    </w:rPr>
                    <w:t>苯并[a]芘</w:t>
                  </w:r>
                  <w:r>
                    <w:rPr>
                      <w:rFonts w:hint="default" w:ascii="Times New Roman" w:hAnsi="Times New Roman" w:cs="Times New Roman"/>
                      <w:b/>
                      <w:bCs/>
                      <w:sz w:val="21"/>
                      <w:szCs w:val="21"/>
                      <w:highlight w:val="none"/>
                      <w:lang w:val="en-US" w:eastAsia="zh-CN"/>
                    </w:rPr>
                    <w:t>ng/m</w:t>
                  </w:r>
                  <w:r>
                    <w:rPr>
                      <w:rFonts w:hint="default" w:ascii="Times New Roman" w:hAnsi="Times New Roman" w:cs="Times New Roman"/>
                      <w:b/>
                      <w:bCs/>
                      <w:sz w:val="21"/>
                      <w:szCs w:val="21"/>
                      <w:highlight w:val="none"/>
                      <w:vertAlign w:val="superscript"/>
                      <w:lang w:val="en-US" w:eastAsia="zh-CN"/>
                    </w:rPr>
                    <w:t>3</w:t>
                  </w:r>
                </w:p>
              </w:tc>
            </w:tr>
            <w:tr w14:paraId="2AF507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02" w:type="dxa"/>
                  <w:vMerge w:val="restart"/>
                  <w:noWrap w:val="0"/>
                  <w:vAlign w:val="center"/>
                </w:tcPr>
                <w:p w14:paraId="6FF4840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厂界下风向</w:t>
                  </w:r>
                </w:p>
              </w:tc>
              <w:tc>
                <w:tcPr>
                  <w:tcW w:w="2292" w:type="dxa"/>
                  <w:noWrap w:val="0"/>
                  <w:vAlign w:val="center"/>
                </w:tcPr>
                <w:p w14:paraId="644DB26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2025.03.25-26</w:t>
                  </w:r>
                </w:p>
              </w:tc>
              <w:tc>
                <w:tcPr>
                  <w:tcW w:w="1855" w:type="dxa"/>
                  <w:noWrap w:val="0"/>
                  <w:vAlign w:val="center"/>
                </w:tcPr>
                <w:p w14:paraId="6C0CB917">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0.153</w:t>
                  </w:r>
                </w:p>
              </w:tc>
              <w:tc>
                <w:tcPr>
                  <w:tcW w:w="2559" w:type="dxa"/>
                  <w:noWrap w:val="0"/>
                  <w:vAlign w:val="center"/>
                </w:tcPr>
                <w:p w14:paraId="147EE4F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0.6</w:t>
                  </w:r>
                </w:p>
              </w:tc>
            </w:tr>
            <w:tr w14:paraId="1F4871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02" w:type="dxa"/>
                  <w:vMerge w:val="continue"/>
                  <w:noWrap w:val="0"/>
                  <w:vAlign w:val="center"/>
                </w:tcPr>
                <w:p w14:paraId="61CA306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p>
              </w:tc>
              <w:tc>
                <w:tcPr>
                  <w:tcW w:w="2292" w:type="dxa"/>
                  <w:noWrap w:val="0"/>
                  <w:vAlign w:val="center"/>
                </w:tcPr>
                <w:p w14:paraId="6F01B8C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2025.03.26-27</w:t>
                  </w:r>
                </w:p>
              </w:tc>
              <w:tc>
                <w:tcPr>
                  <w:tcW w:w="1855" w:type="dxa"/>
                  <w:noWrap w:val="0"/>
                  <w:vAlign w:val="center"/>
                </w:tcPr>
                <w:p w14:paraId="7355AE2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0.413</w:t>
                  </w:r>
                </w:p>
              </w:tc>
              <w:tc>
                <w:tcPr>
                  <w:tcW w:w="2559" w:type="dxa"/>
                  <w:noWrap w:val="0"/>
                  <w:vAlign w:val="center"/>
                </w:tcPr>
                <w:p w14:paraId="2734B0C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0.2</w:t>
                  </w:r>
                </w:p>
              </w:tc>
            </w:tr>
            <w:tr w14:paraId="6BE741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02" w:type="dxa"/>
                  <w:vMerge w:val="continue"/>
                  <w:noWrap w:val="0"/>
                  <w:vAlign w:val="center"/>
                </w:tcPr>
                <w:p w14:paraId="42E67DA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p>
              </w:tc>
              <w:tc>
                <w:tcPr>
                  <w:tcW w:w="2292" w:type="dxa"/>
                  <w:noWrap w:val="0"/>
                  <w:vAlign w:val="center"/>
                </w:tcPr>
                <w:p w14:paraId="58DC465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2025.03.27-28</w:t>
                  </w:r>
                </w:p>
              </w:tc>
              <w:tc>
                <w:tcPr>
                  <w:tcW w:w="1855" w:type="dxa"/>
                  <w:noWrap w:val="0"/>
                  <w:vAlign w:val="center"/>
                </w:tcPr>
                <w:p w14:paraId="5DE1191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0.460</w:t>
                  </w:r>
                </w:p>
              </w:tc>
              <w:tc>
                <w:tcPr>
                  <w:tcW w:w="2559" w:type="dxa"/>
                  <w:noWrap w:val="0"/>
                  <w:vAlign w:val="center"/>
                </w:tcPr>
                <w:p w14:paraId="3FA0EC0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0.2</w:t>
                  </w:r>
                </w:p>
              </w:tc>
            </w:tr>
            <w:tr w14:paraId="5ABC77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02" w:type="dxa"/>
                  <w:vMerge w:val="continue"/>
                  <w:noWrap w:val="0"/>
                  <w:vAlign w:val="center"/>
                </w:tcPr>
                <w:p w14:paraId="431D0AE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p>
              </w:tc>
              <w:tc>
                <w:tcPr>
                  <w:tcW w:w="2292" w:type="dxa"/>
                  <w:shd w:val="clear" w:color="auto" w:fill="auto"/>
                  <w:noWrap w:val="0"/>
                  <w:vAlign w:val="center"/>
                </w:tcPr>
                <w:p w14:paraId="3A63FEB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2025.0</w:t>
                  </w:r>
                  <w:r>
                    <w:rPr>
                      <w:rFonts w:hint="eastAsia" w:ascii="Times New Roman" w:hAnsi="Times New Roman" w:eastAsia="宋体" w:cs="Times New Roman"/>
                      <w:sz w:val="21"/>
                      <w:szCs w:val="21"/>
                      <w:highlight w:val="none"/>
                      <w:lang w:val="en-US" w:eastAsia="zh-CN"/>
                    </w:rPr>
                    <w:t>4</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13</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14</w:t>
                  </w:r>
                </w:p>
              </w:tc>
              <w:tc>
                <w:tcPr>
                  <w:tcW w:w="1855" w:type="dxa"/>
                  <w:noWrap w:val="0"/>
                  <w:vAlign w:val="center"/>
                </w:tcPr>
                <w:p w14:paraId="6C59D94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0.204</w:t>
                  </w:r>
                </w:p>
              </w:tc>
              <w:tc>
                <w:tcPr>
                  <w:tcW w:w="2559" w:type="dxa"/>
                  <w:noWrap w:val="0"/>
                  <w:vAlign w:val="center"/>
                </w:tcPr>
                <w:p w14:paraId="4F59A9C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0.1</w:t>
                  </w:r>
                  <w:r>
                    <w:rPr>
                      <w:rFonts w:hint="eastAsia" w:ascii="Times New Roman" w:hAnsi="Times New Roman" w:eastAsia="宋体" w:cs="Times New Roman"/>
                      <w:sz w:val="21"/>
                      <w:szCs w:val="21"/>
                      <w:highlight w:val="none"/>
                      <w:lang w:val="en-US" w:eastAsia="zh-CN"/>
                    </w:rPr>
                    <w:t>ND</w:t>
                  </w:r>
                </w:p>
              </w:tc>
            </w:tr>
            <w:tr w14:paraId="1835A7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02" w:type="dxa"/>
                  <w:vMerge w:val="continue"/>
                  <w:noWrap w:val="0"/>
                  <w:vAlign w:val="center"/>
                </w:tcPr>
                <w:p w14:paraId="3F9509F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p>
              </w:tc>
              <w:tc>
                <w:tcPr>
                  <w:tcW w:w="2292" w:type="dxa"/>
                  <w:shd w:val="clear" w:color="auto" w:fill="auto"/>
                  <w:noWrap w:val="0"/>
                  <w:vAlign w:val="center"/>
                </w:tcPr>
                <w:p w14:paraId="285FDA5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2025.0</w:t>
                  </w:r>
                  <w:r>
                    <w:rPr>
                      <w:rFonts w:hint="eastAsia" w:ascii="Times New Roman" w:hAnsi="Times New Roman" w:eastAsia="宋体" w:cs="Times New Roman"/>
                      <w:sz w:val="21"/>
                      <w:szCs w:val="21"/>
                      <w:highlight w:val="none"/>
                      <w:lang w:val="en-US" w:eastAsia="zh-CN"/>
                    </w:rPr>
                    <w:t>4</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14</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15</w:t>
                  </w:r>
                </w:p>
              </w:tc>
              <w:tc>
                <w:tcPr>
                  <w:tcW w:w="1855" w:type="dxa"/>
                  <w:noWrap w:val="0"/>
                  <w:vAlign w:val="center"/>
                </w:tcPr>
                <w:p w14:paraId="41438814">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0.125</w:t>
                  </w:r>
                </w:p>
              </w:tc>
              <w:tc>
                <w:tcPr>
                  <w:tcW w:w="2559" w:type="dxa"/>
                  <w:noWrap w:val="0"/>
                  <w:vAlign w:val="center"/>
                </w:tcPr>
                <w:p w14:paraId="506FE34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0.1</w:t>
                  </w:r>
                  <w:r>
                    <w:rPr>
                      <w:rFonts w:hint="eastAsia" w:ascii="Times New Roman" w:hAnsi="Times New Roman" w:eastAsia="宋体" w:cs="Times New Roman"/>
                      <w:sz w:val="21"/>
                      <w:szCs w:val="21"/>
                      <w:highlight w:val="none"/>
                      <w:lang w:val="en-US" w:eastAsia="zh-CN"/>
                    </w:rPr>
                    <w:t>ND</w:t>
                  </w:r>
                </w:p>
              </w:tc>
            </w:tr>
            <w:tr w14:paraId="4875A7C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02" w:type="dxa"/>
                  <w:vMerge w:val="continue"/>
                  <w:noWrap w:val="0"/>
                  <w:vAlign w:val="center"/>
                </w:tcPr>
                <w:p w14:paraId="1C970E8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p>
              </w:tc>
              <w:tc>
                <w:tcPr>
                  <w:tcW w:w="2292" w:type="dxa"/>
                  <w:shd w:val="clear" w:color="auto" w:fill="auto"/>
                  <w:noWrap w:val="0"/>
                  <w:vAlign w:val="center"/>
                </w:tcPr>
                <w:p w14:paraId="5AB8452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sz w:val="21"/>
                      <w:szCs w:val="21"/>
                      <w:highlight w:val="none"/>
                      <w:lang w:val="en-US" w:eastAsia="zh-CN"/>
                    </w:rPr>
                    <w:t>2025.0</w:t>
                  </w:r>
                  <w:r>
                    <w:rPr>
                      <w:rFonts w:hint="eastAsia" w:ascii="Times New Roman" w:hAnsi="Times New Roman" w:eastAsia="宋体" w:cs="Times New Roman"/>
                      <w:sz w:val="21"/>
                      <w:szCs w:val="21"/>
                      <w:highlight w:val="none"/>
                      <w:lang w:val="en-US" w:eastAsia="zh-CN"/>
                    </w:rPr>
                    <w:t>4</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15</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16</w:t>
                  </w:r>
                </w:p>
              </w:tc>
              <w:tc>
                <w:tcPr>
                  <w:tcW w:w="1855" w:type="dxa"/>
                  <w:noWrap w:val="0"/>
                  <w:vAlign w:val="center"/>
                </w:tcPr>
                <w:p w14:paraId="1B92749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0.088</w:t>
                  </w:r>
                </w:p>
              </w:tc>
              <w:tc>
                <w:tcPr>
                  <w:tcW w:w="2559" w:type="dxa"/>
                  <w:noWrap w:val="0"/>
                  <w:vAlign w:val="center"/>
                </w:tcPr>
                <w:p w14:paraId="6CBD85F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0.1</w:t>
                  </w:r>
                  <w:r>
                    <w:rPr>
                      <w:rFonts w:hint="eastAsia" w:ascii="Times New Roman" w:hAnsi="Times New Roman" w:eastAsia="宋体" w:cs="Times New Roman"/>
                      <w:sz w:val="21"/>
                      <w:szCs w:val="21"/>
                      <w:highlight w:val="none"/>
                      <w:lang w:val="en-US" w:eastAsia="zh-CN"/>
                    </w:rPr>
                    <w:t>ND</w:t>
                  </w:r>
                </w:p>
              </w:tc>
            </w:tr>
            <w:tr w14:paraId="49E7B2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102" w:type="dxa"/>
                  <w:vMerge w:val="continue"/>
                  <w:noWrap w:val="0"/>
                  <w:vAlign w:val="center"/>
                </w:tcPr>
                <w:p w14:paraId="56FCD93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p>
              </w:tc>
              <w:tc>
                <w:tcPr>
                  <w:tcW w:w="2292" w:type="dxa"/>
                  <w:noWrap w:val="0"/>
                  <w:vAlign w:val="center"/>
                </w:tcPr>
                <w:p w14:paraId="68583AD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2025.0</w:t>
                  </w:r>
                  <w:r>
                    <w:rPr>
                      <w:rFonts w:hint="eastAsia" w:ascii="Times New Roman" w:hAnsi="Times New Roman" w:eastAsia="宋体" w:cs="Times New Roman"/>
                      <w:sz w:val="21"/>
                      <w:szCs w:val="21"/>
                      <w:highlight w:val="none"/>
                      <w:lang w:val="en-US" w:eastAsia="zh-CN"/>
                    </w:rPr>
                    <w:t>4</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16</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17</w:t>
                  </w:r>
                </w:p>
              </w:tc>
              <w:tc>
                <w:tcPr>
                  <w:tcW w:w="1855" w:type="dxa"/>
                  <w:noWrap w:val="0"/>
                  <w:vAlign w:val="center"/>
                </w:tcPr>
                <w:p w14:paraId="30387A5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0.237</w:t>
                  </w:r>
                </w:p>
              </w:tc>
              <w:tc>
                <w:tcPr>
                  <w:tcW w:w="2559" w:type="dxa"/>
                  <w:noWrap w:val="0"/>
                  <w:vAlign w:val="center"/>
                </w:tcPr>
                <w:p w14:paraId="2F91C3A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sz w:val="21"/>
                      <w:szCs w:val="21"/>
                      <w:highlight w:val="none"/>
                      <w:lang w:val="en-US" w:eastAsia="zh-CN"/>
                    </w:rPr>
                  </w:pPr>
                  <w:r>
                    <w:rPr>
                      <w:rFonts w:hint="eastAsia" w:cs="Times New Roman"/>
                      <w:sz w:val="21"/>
                      <w:szCs w:val="21"/>
                      <w:highlight w:val="none"/>
                      <w:lang w:val="en-US" w:eastAsia="zh-CN"/>
                    </w:rPr>
                    <w:t>0.1</w:t>
                  </w:r>
                  <w:r>
                    <w:rPr>
                      <w:rFonts w:hint="eastAsia" w:ascii="Times New Roman" w:hAnsi="Times New Roman" w:eastAsia="宋体" w:cs="Times New Roman"/>
                      <w:sz w:val="21"/>
                      <w:szCs w:val="21"/>
                      <w:highlight w:val="none"/>
                      <w:lang w:val="en-US" w:eastAsia="zh-CN"/>
                    </w:rPr>
                    <w:t>ND</w:t>
                  </w:r>
                </w:p>
              </w:tc>
            </w:tr>
            <w:tr w14:paraId="4B2BDE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394" w:type="dxa"/>
                  <w:gridSpan w:val="2"/>
                  <w:noWrap w:val="0"/>
                  <w:vAlign w:val="center"/>
                </w:tcPr>
                <w:p w14:paraId="726CDCEB">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标准值</w:t>
                  </w:r>
                </w:p>
              </w:tc>
              <w:tc>
                <w:tcPr>
                  <w:tcW w:w="1855" w:type="dxa"/>
                  <w:noWrap w:val="0"/>
                  <w:vAlign w:val="center"/>
                </w:tcPr>
                <w:p w14:paraId="6A9FDD6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300</w:t>
                  </w:r>
                  <w:r>
                    <w:rPr>
                      <w:rFonts w:hint="default" w:ascii="Times New Roman" w:hAnsi="Times New Roman" w:eastAsia="宋体" w:cs="Times New Roman"/>
                      <w:kern w:val="0"/>
                      <w:sz w:val="21"/>
                      <w:szCs w:val="21"/>
                      <w:highlight w:val="none"/>
                      <w:shd w:val="clear" w:color="auto" w:fill="FFFFFF"/>
                      <w:lang w:val="en-US" w:eastAsia="zh-CN" w:bidi="ar-SA"/>
                    </w:rPr>
                    <w:t>µg/m</w:t>
                  </w:r>
                  <w:r>
                    <w:rPr>
                      <w:rFonts w:hint="default" w:ascii="Times New Roman" w:hAnsi="Times New Roman" w:eastAsia="宋体" w:cs="Times New Roman"/>
                      <w:kern w:val="0"/>
                      <w:sz w:val="21"/>
                      <w:szCs w:val="21"/>
                      <w:highlight w:val="none"/>
                      <w:shd w:val="clear" w:color="auto" w:fill="FFFFFF"/>
                      <w:vertAlign w:val="superscript"/>
                      <w:lang w:val="en-US" w:eastAsia="zh-CN" w:bidi="ar-SA"/>
                    </w:rPr>
                    <w:t>3</w:t>
                  </w:r>
                </w:p>
              </w:tc>
              <w:tc>
                <w:tcPr>
                  <w:tcW w:w="2559" w:type="dxa"/>
                  <w:noWrap w:val="0"/>
                  <w:vAlign w:val="center"/>
                </w:tcPr>
                <w:p w14:paraId="49B48BB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kern w:val="0"/>
                      <w:sz w:val="21"/>
                      <w:szCs w:val="21"/>
                      <w:highlight w:val="none"/>
                      <w:shd w:val="clear" w:color="auto" w:fill="FFFFFF"/>
                      <w:lang w:val="en-US" w:eastAsia="zh-CN" w:bidi="ar-SA"/>
                    </w:rPr>
                  </w:pPr>
                  <w:r>
                    <w:rPr>
                      <w:rFonts w:hint="default" w:ascii="Times New Roman" w:hAnsi="Times New Roman" w:eastAsia="宋体" w:cs="Times New Roman"/>
                      <w:kern w:val="0"/>
                      <w:sz w:val="21"/>
                      <w:szCs w:val="21"/>
                      <w:highlight w:val="none"/>
                      <w:shd w:val="clear" w:color="auto" w:fill="FFFFFF"/>
                      <w:lang w:val="en-US" w:eastAsia="zh-CN" w:bidi="ar-SA"/>
                    </w:rPr>
                    <w:t>0.0025µg/m</w:t>
                  </w:r>
                  <w:r>
                    <w:rPr>
                      <w:rFonts w:hint="default" w:ascii="Times New Roman" w:hAnsi="Times New Roman" w:eastAsia="宋体" w:cs="Times New Roman"/>
                      <w:kern w:val="0"/>
                      <w:sz w:val="21"/>
                      <w:szCs w:val="21"/>
                      <w:highlight w:val="none"/>
                      <w:shd w:val="clear" w:color="auto" w:fill="FFFFFF"/>
                      <w:vertAlign w:val="superscript"/>
                      <w:lang w:val="en-US" w:eastAsia="zh-CN" w:bidi="ar-SA"/>
                    </w:rPr>
                    <w:t>3</w:t>
                  </w:r>
                </w:p>
              </w:tc>
            </w:tr>
            <w:tr w14:paraId="74A885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394" w:type="dxa"/>
                  <w:gridSpan w:val="2"/>
                  <w:noWrap w:val="0"/>
                  <w:vAlign w:val="center"/>
                </w:tcPr>
                <w:p w14:paraId="15A293C2">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b w:val="0"/>
                      <w:bCs w:val="0"/>
                      <w:sz w:val="21"/>
                      <w:szCs w:val="21"/>
                      <w:highlight w:val="none"/>
                      <w:lang w:val="en-US" w:eastAsia="zh-CN"/>
                    </w:rPr>
                  </w:pPr>
                  <w:r>
                    <w:rPr>
                      <w:rFonts w:hint="default" w:ascii="Times New Roman" w:hAnsi="Times New Roman" w:cs="Times New Roman"/>
                      <w:b w:val="0"/>
                      <w:bCs w:val="0"/>
                      <w:color w:val="000000"/>
                      <w:sz w:val="21"/>
                      <w:szCs w:val="21"/>
                      <w:highlight w:val="none"/>
                      <w:lang w:val="en-US" w:eastAsia="zh-CN"/>
                    </w:rPr>
                    <w:t>最大</w:t>
                  </w:r>
                  <w:r>
                    <w:rPr>
                      <w:rFonts w:hint="default" w:ascii="Times New Roman" w:hAnsi="Times New Roman" w:eastAsia="宋体" w:cs="Times New Roman"/>
                      <w:b w:val="0"/>
                      <w:bCs w:val="0"/>
                      <w:color w:val="000000"/>
                      <w:sz w:val="21"/>
                      <w:szCs w:val="21"/>
                      <w:highlight w:val="none"/>
                    </w:rPr>
                    <w:t>占标率/%</w:t>
                  </w:r>
                </w:p>
              </w:tc>
              <w:tc>
                <w:tcPr>
                  <w:tcW w:w="1855" w:type="dxa"/>
                  <w:noWrap w:val="0"/>
                  <w:vAlign w:val="center"/>
                </w:tcPr>
                <w:p w14:paraId="0693944A">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153%</w:t>
                  </w:r>
                </w:p>
              </w:tc>
              <w:tc>
                <w:tcPr>
                  <w:tcW w:w="2559" w:type="dxa"/>
                  <w:noWrap w:val="0"/>
                  <w:vAlign w:val="center"/>
                </w:tcPr>
                <w:p w14:paraId="349C01D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kern w:val="0"/>
                      <w:sz w:val="21"/>
                      <w:szCs w:val="21"/>
                      <w:highlight w:val="none"/>
                      <w:shd w:val="clear" w:color="auto" w:fill="FFFFFF"/>
                      <w:lang w:val="en-US" w:eastAsia="zh-CN" w:bidi="ar-SA"/>
                    </w:rPr>
                  </w:pPr>
                  <w:r>
                    <w:rPr>
                      <w:rFonts w:hint="default" w:ascii="Times New Roman" w:hAnsi="Times New Roman" w:cs="Times New Roman"/>
                      <w:kern w:val="0"/>
                      <w:sz w:val="21"/>
                      <w:szCs w:val="21"/>
                      <w:highlight w:val="none"/>
                      <w:shd w:val="clear" w:color="auto" w:fill="FFFFFF"/>
                      <w:lang w:val="en-US" w:eastAsia="zh-CN" w:bidi="ar-SA"/>
                    </w:rPr>
                    <w:t>/</w:t>
                  </w:r>
                </w:p>
              </w:tc>
            </w:tr>
            <w:tr w14:paraId="1F2D07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394" w:type="dxa"/>
                  <w:gridSpan w:val="2"/>
                  <w:noWrap w:val="0"/>
                  <w:vAlign w:val="center"/>
                </w:tcPr>
                <w:p w14:paraId="2E6A0C5E">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cs="Times New Roman"/>
                      <w:b w:val="0"/>
                      <w:bCs w:val="0"/>
                      <w:sz w:val="21"/>
                      <w:szCs w:val="21"/>
                      <w:highlight w:val="none"/>
                      <w:lang w:val="en-US" w:eastAsia="zh-CN"/>
                    </w:rPr>
                  </w:pPr>
                  <w:r>
                    <w:rPr>
                      <w:rFonts w:hint="default" w:ascii="Times New Roman" w:hAnsi="Times New Roman" w:eastAsia="宋体" w:cs="Times New Roman"/>
                      <w:b w:val="0"/>
                      <w:bCs w:val="0"/>
                      <w:color w:val="000000"/>
                      <w:sz w:val="21"/>
                      <w:szCs w:val="21"/>
                      <w:highlight w:val="none"/>
                    </w:rPr>
                    <w:t>达标情况</w:t>
                  </w:r>
                </w:p>
              </w:tc>
              <w:tc>
                <w:tcPr>
                  <w:tcW w:w="1855" w:type="dxa"/>
                  <w:noWrap w:val="0"/>
                  <w:vAlign w:val="center"/>
                </w:tcPr>
                <w:p w14:paraId="68DC178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kern w:val="0"/>
                      <w:sz w:val="21"/>
                      <w:szCs w:val="21"/>
                      <w:highlight w:val="none"/>
                      <w:shd w:val="clear" w:color="auto" w:fill="FFFFFF"/>
                      <w:lang w:val="en-US" w:eastAsia="zh-CN" w:bidi="ar-SA"/>
                    </w:rPr>
                    <w:t>达标</w:t>
                  </w:r>
                </w:p>
              </w:tc>
              <w:tc>
                <w:tcPr>
                  <w:tcW w:w="2559" w:type="dxa"/>
                  <w:noWrap w:val="0"/>
                  <w:vAlign w:val="center"/>
                </w:tcPr>
                <w:p w14:paraId="038A84A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eastAsia="宋体" w:cs="Times New Roman"/>
                      <w:kern w:val="0"/>
                      <w:sz w:val="21"/>
                      <w:szCs w:val="21"/>
                      <w:highlight w:val="none"/>
                      <w:shd w:val="clear" w:color="auto" w:fill="FFFFFF"/>
                      <w:lang w:val="en-US" w:eastAsia="zh-CN" w:bidi="ar-SA"/>
                    </w:rPr>
                  </w:pPr>
                  <w:r>
                    <w:rPr>
                      <w:rFonts w:hint="default" w:ascii="Times New Roman" w:hAnsi="Times New Roman" w:cs="Times New Roman"/>
                      <w:kern w:val="0"/>
                      <w:sz w:val="21"/>
                      <w:szCs w:val="21"/>
                      <w:highlight w:val="none"/>
                      <w:shd w:val="clear" w:color="auto" w:fill="FFFFFF"/>
                      <w:lang w:val="en-US" w:eastAsia="zh-CN" w:bidi="ar-SA"/>
                    </w:rPr>
                    <w:t>达标</w:t>
                  </w:r>
                </w:p>
              </w:tc>
            </w:tr>
          </w:tbl>
          <w:p w14:paraId="5E7CCF58">
            <w:pPr>
              <w:pStyle w:val="2"/>
              <w:keepNext w:val="0"/>
              <w:keepLines w:val="0"/>
              <w:suppressLineNumbers w:val="0"/>
              <w:adjustRightInd w:val="0"/>
              <w:snapToGrid w:val="0"/>
              <w:spacing w:before="0" w:beforeAutospacing="0" w:after="0" w:afterAutospacing="0" w:line="360" w:lineRule="auto"/>
              <w:ind w:left="0" w:leftChars="0" w:right="0" w:firstLine="0" w:firstLineChars="0"/>
              <w:jc w:val="center"/>
              <w:rPr>
                <w:rFonts w:hint="default"/>
                <w:b/>
                <w:bCs/>
                <w:color w:val="000000" w:themeColor="text1"/>
                <w:sz w:val="21"/>
                <w:szCs w:val="21"/>
                <w:highlight w:val="none"/>
                <w14:textFill>
                  <w14:solidFill>
                    <w14:schemeClr w14:val="tx1"/>
                  </w14:solidFill>
                </w14:textFill>
              </w:rPr>
            </w:pPr>
          </w:p>
          <w:p w14:paraId="005C1A5D">
            <w:pPr>
              <w:pStyle w:val="2"/>
              <w:keepNext w:val="0"/>
              <w:keepLines w:val="0"/>
              <w:suppressLineNumbers w:val="0"/>
              <w:adjustRightInd w:val="0"/>
              <w:snapToGrid w:val="0"/>
              <w:spacing w:before="0" w:beforeAutospacing="0" w:after="0" w:afterAutospacing="0" w:line="360" w:lineRule="auto"/>
              <w:ind w:left="0" w:leftChars="0" w:right="0" w:firstLine="0" w:firstLineChars="0"/>
              <w:jc w:val="center"/>
              <w:rPr>
                <w:rFonts w:hint="default"/>
                <w:b/>
                <w:bCs/>
                <w:color w:val="000000" w:themeColor="text1"/>
                <w:sz w:val="21"/>
                <w:szCs w:val="21"/>
                <w:highlight w:val="none"/>
                <w14:textFill>
                  <w14:solidFill>
                    <w14:schemeClr w14:val="tx1"/>
                  </w14:solidFill>
                </w14:textFill>
              </w:rPr>
            </w:pPr>
            <w:r>
              <w:rPr>
                <w:rFonts w:hint="eastAsia" w:cs="宋体"/>
                <w:b/>
                <w:bCs/>
                <w:color w:val="000000" w:themeColor="text1"/>
                <w:sz w:val="21"/>
                <w:szCs w:val="21"/>
                <w:highlight w:val="none"/>
                <w14:textFill>
                  <w14:solidFill>
                    <w14:schemeClr w14:val="tx1"/>
                  </w14:solidFill>
                </w14:textFill>
              </w:rPr>
              <w:t>表</w:t>
            </w:r>
            <w:r>
              <w:rPr>
                <w:rFonts w:hint="eastAsia"/>
                <w:b/>
                <w:bCs/>
                <w:color w:val="000000" w:themeColor="text1"/>
                <w:sz w:val="21"/>
                <w:szCs w:val="21"/>
                <w:highlight w:val="none"/>
                <w14:textFill>
                  <w14:solidFill>
                    <w14:schemeClr w14:val="tx1"/>
                  </w14:solidFill>
                </w14:textFill>
              </w:rPr>
              <w:t>3-</w:t>
            </w:r>
            <w:r>
              <w:rPr>
                <w:rFonts w:hint="eastAsia"/>
                <w:b/>
                <w:bCs/>
                <w:color w:val="000000" w:themeColor="text1"/>
                <w:sz w:val="21"/>
                <w:szCs w:val="21"/>
                <w:highlight w:val="none"/>
                <w:lang w:val="en-US" w:eastAsia="zh-CN"/>
                <w14:textFill>
                  <w14:solidFill>
                    <w14:schemeClr w14:val="tx1"/>
                  </w14:solidFill>
                </w14:textFill>
              </w:rPr>
              <w:t>3</w:t>
            </w:r>
            <w:r>
              <w:rPr>
                <w:rFonts w:hint="default"/>
                <w:b/>
                <w:bCs/>
                <w:color w:val="000000" w:themeColor="text1"/>
                <w:sz w:val="21"/>
                <w:szCs w:val="21"/>
                <w:highlight w:val="none"/>
                <w14:textFill>
                  <w14:solidFill>
                    <w14:schemeClr w14:val="tx1"/>
                  </w14:solidFill>
                </w14:textFill>
              </w:rPr>
              <w:t xml:space="preserve"> </w:t>
            </w:r>
            <w:r>
              <w:rPr>
                <w:rFonts w:hint="eastAsia" w:cs="Times New Roman"/>
                <w:b/>
                <w:bCs/>
                <w:sz w:val="21"/>
                <w:szCs w:val="21"/>
                <w:highlight w:val="none"/>
                <w:lang w:val="en-US" w:eastAsia="zh-CN"/>
              </w:rPr>
              <w:t>非甲烷总烃</w:t>
            </w:r>
            <w:r>
              <w:rPr>
                <w:rFonts w:hint="eastAsia" w:cs="宋体"/>
                <w:b/>
                <w:bCs/>
                <w:color w:val="000000" w:themeColor="text1"/>
                <w:sz w:val="21"/>
                <w:szCs w:val="21"/>
                <w:highlight w:val="none"/>
                <w14:textFill>
                  <w14:solidFill>
                    <w14:schemeClr w14:val="tx1"/>
                  </w14:solidFill>
                </w14:textFill>
              </w:rPr>
              <w:t>监测结果统计表</w:t>
            </w:r>
          </w:p>
          <w:tbl>
            <w:tblPr>
              <w:tblStyle w:val="41"/>
              <w:tblW w:w="880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89"/>
              <w:gridCol w:w="1405"/>
              <w:gridCol w:w="2110"/>
              <w:gridCol w:w="1243"/>
              <w:gridCol w:w="1380"/>
              <w:gridCol w:w="1181"/>
            </w:tblGrid>
            <w:tr w14:paraId="2EE5AD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noWrap w:val="0"/>
                  <w:vAlign w:val="center"/>
                </w:tcPr>
                <w:p w14:paraId="0454304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300" w:lineRule="exact"/>
                    <w:ind w:left="0" w:right="0"/>
                    <w:jc w:val="center"/>
                    <w:textAlignment w:val="auto"/>
                    <w:rPr>
                      <w:rFonts w:hint="default" w:ascii="Times New Roman" w:hAnsi="Times New Roman" w:eastAsia="宋体" w:cs="Times New Roman"/>
                      <w:b/>
                      <w:bCs/>
                      <w:color w:val="auto"/>
                      <w:kern w:val="2"/>
                      <w:sz w:val="21"/>
                      <w:szCs w:val="21"/>
                      <w:highlight w:val="none"/>
                      <w:vertAlign w:val="baseline"/>
                      <w:lang w:val="en-US" w:eastAsia="zh-CN" w:bidi="ar-SA"/>
                    </w:rPr>
                  </w:pPr>
                  <w:r>
                    <w:rPr>
                      <w:rFonts w:hint="default" w:ascii="Times New Roman" w:hAnsi="Times New Roman" w:cs="Times New Roman"/>
                      <w:b/>
                      <w:bCs/>
                      <w:sz w:val="21"/>
                      <w:szCs w:val="21"/>
                      <w:highlight w:val="none"/>
                    </w:rPr>
                    <w:t>采样日期</w:t>
                  </w:r>
                </w:p>
              </w:tc>
              <w:tc>
                <w:tcPr>
                  <w:tcW w:w="1405" w:type="dxa"/>
                  <w:noWrap w:val="0"/>
                  <w:vAlign w:val="center"/>
                </w:tcPr>
                <w:p w14:paraId="29A279D5">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cs="Times New Roman"/>
                      <w:b/>
                      <w:bCs/>
                      <w:sz w:val="21"/>
                      <w:szCs w:val="21"/>
                      <w:highlight w:val="none"/>
                      <w:lang w:val="en-US" w:eastAsia="zh-CN"/>
                    </w:rPr>
                    <w:t>监测频次</w:t>
                  </w:r>
                </w:p>
              </w:tc>
              <w:tc>
                <w:tcPr>
                  <w:tcW w:w="2110" w:type="dxa"/>
                  <w:noWrap w:val="0"/>
                  <w:vAlign w:val="center"/>
                </w:tcPr>
                <w:p w14:paraId="0EC85851">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jc w:val="center"/>
                    <w:textAlignment w:val="auto"/>
                    <w:rPr>
                      <w:rFonts w:hint="default" w:ascii="Times New Roman" w:hAnsi="Times New Roman" w:cs="Times New Roman"/>
                      <w:b/>
                      <w:bCs/>
                      <w:sz w:val="21"/>
                      <w:szCs w:val="21"/>
                      <w:highlight w:val="none"/>
                      <w:lang w:val="en-US" w:eastAsia="zh-CN"/>
                    </w:rPr>
                  </w:pPr>
                  <w:r>
                    <w:rPr>
                      <w:rFonts w:hint="default" w:ascii="Times New Roman" w:hAnsi="Times New Roman" w:cs="Times New Roman"/>
                      <w:b/>
                      <w:bCs/>
                      <w:color w:val="auto"/>
                      <w:sz w:val="21"/>
                      <w:szCs w:val="21"/>
                      <w:highlight w:val="none"/>
                      <w:vertAlign w:val="baseline"/>
                      <w:lang w:val="en-US" w:eastAsia="zh-CN"/>
                    </w:rPr>
                    <w:t>非甲烷总烃（</w:t>
                  </w:r>
                  <w:r>
                    <w:rPr>
                      <w:rFonts w:hint="default" w:ascii="Times New Roman" w:hAnsi="Times New Roman" w:cs="Times New Roman"/>
                      <w:b/>
                      <w:bCs/>
                      <w:sz w:val="21"/>
                      <w:szCs w:val="21"/>
                      <w:highlight w:val="none"/>
                    </w:rPr>
                    <w:t>mg/m</w:t>
                  </w:r>
                  <w:r>
                    <w:rPr>
                      <w:rFonts w:hint="default" w:ascii="Times New Roman" w:hAnsi="Times New Roman" w:cs="Times New Roman"/>
                      <w:b/>
                      <w:bCs/>
                      <w:sz w:val="21"/>
                      <w:szCs w:val="21"/>
                      <w:highlight w:val="none"/>
                      <w:vertAlign w:val="superscript"/>
                    </w:rPr>
                    <w:t>3</w:t>
                  </w:r>
                  <w:r>
                    <w:rPr>
                      <w:rFonts w:hint="default" w:ascii="Times New Roman" w:hAnsi="Times New Roman" w:cs="Times New Roman"/>
                      <w:b/>
                      <w:bCs/>
                      <w:color w:val="auto"/>
                      <w:sz w:val="21"/>
                      <w:szCs w:val="21"/>
                      <w:highlight w:val="none"/>
                      <w:vertAlign w:val="baseline"/>
                      <w:lang w:val="en-US" w:eastAsia="zh-CN"/>
                    </w:rPr>
                    <w:t>）</w:t>
                  </w:r>
                </w:p>
              </w:tc>
              <w:tc>
                <w:tcPr>
                  <w:tcW w:w="1243" w:type="dxa"/>
                  <w:noWrap w:val="0"/>
                  <w:vAlign w:val="center"/>
                </w:tcPr>
                <w:p w14:paraId="2ED37025">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right="0"/>
                    <w:jc w:val="center"/>
                    <w:textAlignment w:val="auto"/>
                    <w:rPr>
                      <w:rFonts w:hint="default" w:ascii="Times New Roman" w:hAnsi="Times New Roman" w:eastAsia="宋体" w:cs="Times New Roman"/>
                      <w:b/>
                      <w:bCs/>
                      <w:kern w:val="2"/>
                      <w:sz w:val="21"/>
                      <w:szCs w:val="21"/>
                      <w:highlight w:val="none"/>
                      <w:lang w:val="en-US" w:eastAsia="zh-CN" w:bidi="ar-SA"/>
                    </w:rPr>
                  </w:pPr>
                  <w:r>
                    <w:rPr>
                      <w:rFonts w:hint="default" w:ascii="Times New Roman" w:hAnsi="Times New Roman" w:cs="Times New Roman"/>
                      <w:b/>
                      <w:bCs/>
                      <w:kern w:val="2"/>
                      <w:sz w:val="21"/>
                      <w:szCs w:val="21"/>
                      <w:highlight w:val="none"/>
                      <w:lang w:val="en-US" w:eastAsia="zh-CN" w:bidi="ar-SA"/>
                    </w:rPr>
                    <w:t>标准值</w:t>
                  </w:r>
                </w:p>
              </w:tc>
              <w:tc>
                <w:tcPr>
                  <w:tcW w:w="1380" w:type="dxa"/>
                  <w:noWrap w:val="0"/>
                  <w:vAlign w:val="center"/>
                </w:tcPr>
                <w:p w14:paraId="6D2AD659">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000000"/>
                      <w:kern w:val="2"/>
                      <w:sz w:val="21"/>
                      <w:szCs w:val="21"/>
                      <w:highlight w:val="none"/>
                      <w:lang w:val="en-US" w:eastAsia="zh-CN" w:bidi="ar-SA"/>
                    </w:rPr>
                  </w:pPr>
                  <w:r>
                    <w:rPr>
                      <w:rFonts w:hint="default" w:ascii="Times New Roman" w:hAnsi="Times New Roman" w:eastAsia="宋体" w:cs="Times New Roman"/>
                      <w:b/>
                      <w:bCs/>
                      <w:color w:val="000000"/>
                      <w:sz w:val="21"/>
                      <w:szCs w:val="21"/>
                      <w:highlight w:val="none"/>
                    </w:rPr>
                    <w:t>占标率/%</w:t>
                  </w:r>
                </w:p>
              </w:tc>
              <w:tc>
                <w:tcPr>
                  <w:tcW w:w="1181" w:type="dxa"/>
                  <w:noWrap w:val="0"/>
                  <w:vAlign w:val="center"/>
                </w:tcPr>
                <w:p w14:paraId="3569594C">
                  <w:pPr>
                    <w:pStyle w:val="8"/>
                    <w:keepNext w:val="0"/>
                    <w:keepLines w:val="0"/>
                    <w:suppressLineNumbers w:val="0"/>
                    <w:adjustRightInd w:val="0"/>
                    <w:snapToGrid w:val="0"/>
                    <w:spacing w:before="0" w:beforeAutospacing="0" w:after="0" w:afterAutospacing="0"/>
                    <w:ind w:left="0" w:right="0" w:firstLine="0" w:firstLineChars="0"/>
                    <w:jc w:val="center"/>
                    <w:rPr>
                      <w:rFonts w:hint="default" w:ascii="Times New Roman" w:hAnsi="Times New Roman" w:eastAsia="宋体" w:cs="Times New Roman"/>
                      <w:b/>
                      <w:bCs/>
                      <w:color w:val="000000"/>
                      <w:kern w:val="2"/>
                      <w:sz w:val="21"/>
                      <w:szCs w:val="21"/>
                      <w:highlight w:val="none"/>
                      <w:lang w:val="en-US" w:eastAsia="zh-CN" w:bidi="ar-SA"/>
                    </w:rPr>
                  </w:pPr>
                  <w:r>
                    <w:rPr>
                      <w:rFonts w:hint="default" w:ascii="Times New Roman" w:hAnsi="Times New Roman" w:eastAsia="宋体" w:cs="Times New Roman"/>
                      <w:b/>
                      <w:bCs/>
                      <w:color w:val="000000"/>
                      <w:sz w:val="21"/>
                      <w:szCs w:val="21"/>
                      <w:highlight w:val="none"/>
                    </w:rPr>
                    <w:t>达标情况</w:t>
                  </w:r>
                </w:p>
              </w:tc>
            </w:tr>
            <w:tr w14:paraId="6AD03C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restart"/>
                  <w:noWrap w:val="0"/>
                  <w:vAlign w:val="center"/>
                </w:tcPr>
                <w:p w14:paraId="41624C7C">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2025.03.25-26</w:t>
                  </w:r>
                </w:p>
              </w:tc>
              <w:tc>
                <w:tcPr>
                  <w:tcW w:w="1405" w:type="dxa"/>
                  <w:noWrap w:val="0"/>
                  <w:vAlign w:val="center"/>
                </w:tcPr>
                <w:p w14:paraId="0A7964C6">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第1次</w:t>
                  </w:r>
                </w:p>
              </w:tc>
              <w:tc>
                <w:tcPr>
                  <w:tcW w:w="2110" w:type="dxa"/>
                  <w:noWrap w:val="0"/>
                  <w:vAlign w:val="center"/>
                </w:tcPr>
                <w:p w14:paraId="7D493E85">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0.62</w:t>
                  </w:r>
                </w:p>
              </w:tc>
              <w:tc>
                <w:tcPr>
                  <w:tcW w:w="1243" w:type="dxa"/>
                  <w:noWrap w:val="0"/>
                  <w:vAlign w:val="center"/>
                </w:tcPr>
                <w:p w14:paraId="2D270B1A">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337BE452">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31</w:t>
                  </w:r>
                </w:p>
              </w:tc>
              <w:tc>
                <w:tcPr>
                  <w:tcW w:w="1181" w:type="dxa"/>
                  <w:noWrap w:val="0"/>
                  <w:vAlign w:val="center"/>
                </w:tcPr>
                <w:p w14:paraId="15CEF5A3">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0BFEB1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69257C43">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50E9D734">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第2次</w:t>
                  </w:r>
                </w:p>
              </w:tc>
              <w:tc>
                <w:tcPr>
                  <w:tcW w:w="2110" w:type="dxa"/>
                  <w:noWrap w:val="0"/>
                  <w:vAlign w:val="center"/>
                </w:tcPr>
                <w:p w14:paraId="2EC9F0D4">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0.57</w:t>
                  </w:r>
                </w:p>
              </w:tc>
              <w:tc>
                <w:tcPr>
                  <w:tcW w:w="1243" w:type="dxa"/>
                  <w:noWrap w:val="0"/>
                  <w:vAlign w:val="center"/>
                </w:tcPr>
                <w:p w14:paraId="2FD7A48D">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1F121ECD">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28.5</w:t>
                  </w:r>
                </w:p>
              </w:tc>
              <w:tc>
                <w:tcPr>
                  <w:tcW w:w="1181" w:type="dxa"/>
                  <w:noWrap w:val="0"/>
                  <w:vAlign w:val="center"/>
                </w:tcPr>
                <w:p w14:paraId="0194248A">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181BF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4E60871F">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330FA3F6">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第3次</w:t>
                  </w:r>
                </w:p>
              </w:tc>
              <w:tc>
                <w:tcPr>
                  <w:tcW w:w="2110" w:type="dxa"/>
                  <w:noWrap w:val="0"/>
                  <w:vAlign w:val="center"/>
                </w:tcPr>
                <w:p w14:paraId="53EFE43C">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0.62</w:t>
                  </w:r>
                </w:p>
              </w:tc>
              <w:tc>
                <w:tcPr>
                  <w:tcW w:w="1243" w:type="dxa"/>
                  <w:noWrap w:val="0"/>
                  <w:vAlign w:val="center"/>
                </w:tcPr>
                <w:p w14:paraId="1E5F1735">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2CAD3B08">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31</w:t>
                  </w:r>
                </w:p>
              </w:tc>
              <w:tc>
                <w:tcPr>
                  <w:tcW w:w="1181" w:type="dxa"/>
                  <w:noWrap w:val="0"/>
                  <w:vAlign w:val="center"/>
                </w:tcPr>
                <w:p w14:paraId="31AB0E12">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3BB4C8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18E93EF5">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5ABF4222">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第4次</w:t>
                  </w:r>
                </w:p>
              </w:tc>
              <w:tc>
                <w:tcPr>
                  <w:tcW w:w="2110" w:type="dxa"/>
                  <w:noWrap w:val="0"/>
                  <w:vAlign w:val="center"/>
                </w:tcPr>
                <w:p w14:paraId="57A51FA1">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0.64</w:t>
                  </w:r>
                </w:p>
              </w:tc>
              <w:tc>
                <w:tcPr>
                  <w:tcW w:w="1243" w:type="dxa"/>
                  <w:noWrap w:val="0"/>
                  <w:vAlign w:val="center"/>
                </w:tcPr>
                <w:p w14:paraId="5A8EEB36">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7C9A6C9C">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32</w:t>
                  </w:r>
                </w:p>
              </w:tc>
              <w:tc>
                <w:tcPr>
                  <w:tcW w:w="1181" w:type="dxa"/>
                  <w:noWrap w:val="0"/>
                  <w:vAlign w:val="center"/>
                </w:tcPr>
                <w:p w14:paraId="051D0D8B">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76FBC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restart"/>
                  <w:noWrap w:val="0"/>
                  <w:vAlign w:val="center"/>
                </w:tcPr>
                <w:p w14:paraId="575B7B91">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2025.03.26-27</w:t>
                  </w:r>
                </w:p>
              </w:tc>
              <w:tc>
                <w:tcPr>
                  <w:tcW w:w="1405" w:type="dxa"/>
                  <w:noWrap w:val="0"/>
                  <w:vAlign w:val="center"/>
                </w:tcPr>
                <w:p w14:paraId="5172C7C8">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第1次</w:t>
                  </w:r>
                </w:p>
              </w:tc>
              <w:tc>
                <w:tcPr>
                  <w:tcW w:w="2110" w:type="dxa"/>
                  <w:noWrap w:val="0"/>
                  <w:vAlign w:val="center"/>
                </w:tcPr>
                <w:p w14:paraId="67C1C570">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0.55</w:t>
                  </w:r>
                </w:p>
              </w:tc>
              <w:tc>
                <w:tcPr>
                  <w:tcW w:w="1243" w:type="dxa"/>
                  <w:noWrap w:val="0"/>
                  <w:vAlign w:val="center"/>
                </w:tcPr>
                <w:p w14:paraId="36AA4BAA">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6CEF86F1">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27.5</w:t>
                  </w:r>
                </w:p>
              </w:tc>
              <w:tc>
                <w:tcPr>
                  <w:tcW w:w="1181" w:type="dxa"/>
                  <w:noWrap w:val="0"/>
                  <w:vAlign w:val="center"/>
                </w:tcPr>
                <w:p w14:paraId="08656F88">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6165BF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3F127649">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24A1456E">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第2次</w:t>
                  </w:r>
                </w:p>
              </w:tc>
              <w:tc>
                <w:tcPr>
                  <w:tcW w:w="2110" w:type="dxa"/>
                  <w:noWrap w:val="0"/>
                  <w:vAlign w:val="center"/>
                </w:tcPr>
                <w:p w14:paraId="7AE1F535">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0.61</w:t>
                  </w:r>
                </w:p>
              </w:tc>
              <w:tc>
                <w:tcPr>
                  <w:tcW w:w="1243" w:type="dxa"/>
                  <w:noWrap w:val="0"/>
                  <w:vAlign w:val="center"/>
                </w:tcPr>
                <w:p w14:paraId="35EB0663">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25587263">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30.5</w:t>
                  </w:r>
                </w:p>
              </w:tc>
              <w:tc>
                <w:tcPr>
                  <w:tcW w:w="1181" w:type="dxa"/>
                  <w:noWrap w:val="0"/>
                  <w:vAlign w:val="center"/>
                </w:tcPr>
                <w:p w14:paraId="75A30CCC">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4E050C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06B5869E">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072147E9">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第3次</w:t>
                  </w:r>
                </w:p>
              </w:tc>
              <w:tc>
                <w:tcPr>
                  <w:tcW w:w="2110" w:type="dxa"/>
                  <w:noWrap w:val="0"/>
                  <w:vAlign w:val="center"/>
                </w:tcPr>
                <w:p w14:paraId="0C151E80">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0.64</w:t>
                  </w:r>
                </w:p>
              </w:tc>
              <w:tc>
                <w:tcPr>
                  <w:tcW w:w="1243" w:type="dxa"/>
                  <w:noWrap w:val="0"/>
                  <w:vAlign w:val="center"/>
                </w:tcPr>
                <w:p w14:paraId="404085F7">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7CB4E0CF">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32</w:t>
                  </w:r>
                </w:p>
              </w:tc>
              <w:tc>
                <w:tcPr>
                  <w:tcW w:w="1181" w:type="dxa"/>
                  <w:noWrap w:val="0"/>
                  <w:vAlign w:val="center"/>
                </w:tcPr>
                <w:p w14:paraId="2EB2A09A">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5C0206D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5E36FCCE">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330443BF">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第4次</w:t>
                  </w:r>
                </w:p>
              </w:tc>
              <w:tc>
                <w:tcPr>
                  <w:tcW w:w="2110" w:type="dxa"/>
                  <w:noWrap w:val="0"/>
                  <w:vAlign w:val="center"/>
                </w:tcPr>
                <w:p w14:paraId="3CFB97D1">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0.65</w:t>
                  </w:r>
                </w:p>
              </w:tc>
              <w:tc>
                <w:tcPr>
                  <w:tcW w:w="1243" w:type="dxa"/>
                  <w:noWrap w:val="0"/>
                  <w:vAlign w:val="center"/>
                </w:tcPr>
                <w:p w14:paraId="5C02BF6A">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1A4063E2">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32.5</w:t>
                  </w:r>
                </w:p>
              </w:tc>
              <w:tc>
                <w:tcPr>
                  <w:tcW w:w="1181" w:type="dxa"/>
                  <w:noWrap w:val="0"/>
                  <w:vAlign w:val="center"/>
                </w:tcPr>
                <w:p w14:paraId="41496EC4">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23F6FC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restart"/>
                  <w:noWrap w:val="0"/>
                  <w:vAlign w:val="center"/>
                </w:tcPr>
                <w:p w14:paraId="37B94F5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2025.03.27-28</w:t>
                  </w:r>
                </w:p>
              </w:tc>
              <w:tc>
                <w:tcPr>
                  <w:tcW w:w="1405" w:type="dxa"/>
                  <w:noWrap w:val="0"/>
                  <w:vAlign w:val="center"/>
                </w:tcPr>
                <w:p w14:paraId="3C94E061">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第1次</w:t>
                  </w:r>
                </w:p>
              </w:tc>
              <w:tc>
                <w:tcPr>
                  <w:tcW w:w="2110" w:type="dxa"/>
                  <w:noWrap w:val="0"/>
                  <w:vAlign w:val="center"/>
                </w:tcPr>
                <w:p w14:paraId="209232FA">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0.55</w:t>
                  </w:r>
                </w:p>
              </w:tc>
              <w:tc>
                <w:tcPr>
                  <w:tcW w:w="1243" w:type="dxa"/>
                  <w:noWrap w:val="0"/>
                  <w:vAlign w:val="center"/>
                </w:tcPr>
                <w:p w14:paraId="47AE1B44">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220287D5">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27.5</w:t>
                  </w:r>
                </w:p>
              </w:tc>
              <w:tc>
                <w:tcPr>
                  <w:tcW w:w="1181" w:type="dxa"/>
                  <w:noWrap w:val="0"/>
                  <w:vAlign w:val="center"/>
                </w:tcPr>
                <w:p w14:paraId="66C8A930">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0DAE3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2C755B52">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37549894">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第2次</w:t>
                  </w:r>
                </w:p>
              </w:tc>
              <w:tc>
                <w:tcPr>
                  <w:tcW w:w="2110" w:type="dxa"/>
                  <w:noWrap w:val="0"/>
                  <w:vAlign w:val="center"/>
                </w:tcPr>
                <w:p w14:paraId="024A530B">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0.44</w:t>
                  </w:r>
                </w:p>
              </w:tc>
              <w:tc>
                <w:tcPr>
                  <w:tcW w:w="1243" w:type="dxa"/>
                  <w:noWrap w:val="0"/>
                  <w:vAlign w:val="center"/>
                </w:tcPr>
                <w:p w14:paraId="53A34678">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01BEAE83">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22</w:t>
                  </w:r>
                </w:p>
              </w:tc>
              <w:tc>
                <w:tcPr>
                  <w:tcW w:w="1181" w:type="dxa"/>
                  <w:noWrap w:val="0"/>
                  <w:vAlign w:val="center"/>
                </w:tcPr>
                <w:p w14:paraId="0BF853A8">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06101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4702359F">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0D0C09C0">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第3次</w:t>
                  </w:r>
                </w:p>
              </w:tc>
              <w:tc>
                <w:tcPr>
                  <w:tcW w:w="2110" w:type="dxa"/>
                  <w:noWrap w:val="0"/>
                  <w:vAlign w:val="center"/>
                </w:tcPr>
                <w:p w14:paraId="12B8A771">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0.67</w:t>
                  </w:r>
                </w:p>
              </w:tc>
              <w:tc>
                <w:tcPr>
                  <w:tcW w:w="1243" w:type="dxa"/>
                  <w:noWrap w:val="0"/>
                  <w:vAlign w:val="center"/>
                </w:tcPr>
                <w:p w14:paraId="645F0D5A">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34A42247">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33.5</w:t>
                  </w:r>
                </w:p>
              </w:tc>
              <w:tc>
                <w:tcPr>
                  <w:tcW w:w="1181" w:type="dxa"/>
                  <w:noWrap w:val="0"/>
                  <w:vAlign w:val="center"/>
                </w:tcPr>
                <w:p w14:paraId="5DED963D">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0F8F5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00951A6D">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3CC74296">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第4次</w:t>
                  </w:r>
                </w:p>
              </w:tc>
              <w:tc>
                <w:tcPr>
                  <w:tcW w:w="2110" w:type="dxa"/>
                  <w:noWrap w:val="0"/>
                  <w:vAlign w:val="center"/>
                </w:tcPr>
                <w:p w14:paraId="25AC9649">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0.59</w:t>
                  </w:r>
                </w:p>
              </w:tc>
              <w:tc>
                <w:tcPr>
                  <w:tcW w:w="1243" w:type="dxa"/>
                  <w:noWrap w:val="0"/>
                  <w:vAlign w:val="center"/>
                </w:tcPr>
                <w:p w14:paraId="77D17BF5">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7FCB55FE">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29.5</w:t>
                  </w:r>
                </w:p>
              </w:tc>
              <w:tc>
                <w:tcPr>
                  <w:tcW w:w="1181" w:type="dxa"/>
                  <w:noWrap w:val="0"/>
                  <w:vAlign w:val="center"/>
                </w:tcPr>
                <w:p w14:paraId="24D6FF9E">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1D0D42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restart"/>
                  <w:noWrap w:val="0"/>
                  <w:vAlign w:val="center"/>
                </w:tcPr>
                <w:p w14:paraId="0993FD6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2025.0</w:t>
                  </w:r>
                  <w:r>
                    <w:rPr>
                      <w:rFonts w:hint="eastAsia" w:ascii="Times New Roman" w:hAnsi="Times New Roman" w:eastAsia="宋体" w:cs="Times New Roman"/>
                      <w:sz w:val="21"/>
                      <w:szCs w:val="21"/>
                      <w:highlight w:val="none"/>
                      <w:lang w:val="en-US" w:eastAsia="zh-CN"/>
                    </w:rPr>
                    <w:t>4</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13</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14</w:t>
                  </w:r>
                </w:p>
              </w:tc>
              <w:tc>
                <w:tcPr>
                  <w:tcW w:w="1405" w:type="dxa"/>
                  <w:noWrap w:val="0"/>
                  <w:vAlign w:val="center"/>
                </w:tcPr>
                <w:p w14:paraId="676FD2FD">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第1次</w:t>
                  </w:r>
                </w:p>
              </w:tc>
              <w:tc>
                <w:tcPr>
                  <w:tcW w:w="2110" w:type="dxa"/>
                  <w:noWrap w:val="0"/>
                  <w:vAlign w:val="center"/>
                </w:tcPr>
                <w:p w14:paraId="1E6FB370">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0.74</w:t>
                  </w:r>
                </w:p>
              </w:tc>
              <w:tc>
                <w:tcPr>
                  <w:tcW w:w="1243" w:type="dxa"/>
                  <w:noWrap w:val="0"/>
                  <w:vAlign w:val="center"/>
                </w:tcPr>
                <w:p w14:paraId="1D7438CD">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64279E97">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37</w:t>
                  </w:r>
                </w:p>
              </w:tc>
              <w:tc>
                <w:tcPr>
                  <w:tcW w:w="1181" w:type="dxa"/>
                  <w:noWrap w:val="0"/>
                  <w:vAlign w:val="center"/>
                </w:tcPr>
                <w:p w14:paraId="28BB9395">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3A83C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05271FA2">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41F4D956">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第2次</w:t>
                  </w:r>
                </w:p>
              </w:tc>
              <w:tc>
                <w:tcPr>
                  <w:tcW w:w="2110" w:type="dxa"/>
                  <w:noWrap w:val="0"/>
                  <w:vAlign w:val="center"/>
                </w:tcPr>
                <w:p w14:paraId="43FF2D0A">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0.76</w:t>
                  </w:r>
                </w:p>
              </w:tc>
              <w:tc>
                <w:tcPr>
                  <w:tcW w:w="1243" w:type="dxa"/>
                  <w:noWrap w:val="0"/>
                  <w:vAlign w:val="center"/>
                </w:tcPr>
                <w:p w14:paraId="3B87CEDF">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6A5DDC06">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38</w:t>
                  </w:r>
                </w:p>
              </w:tc>
              <w:tc>
                <w:tcPr>
                  <w:tcW w:w="1181" w:type="dxa"/>
                  <w:noWrap w:val="0"/>
                  <w:vAlign w:val="center"/>
                </w:tcPr>
                <w:p w14:paraId="2B68F410">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7AE6FF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34BDB46F">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1BA6A4EF">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第3次</w:t>
                  </w:r>
                </w:p>
              </w:tc>
              <w:tc>
                <w:tcPr>
                  <w:tcW w:w="2110" w:type="dxa"/>
                  <w:noWrap w:val="0"/>
                  <w:vAlign w:val="center"/>
                </w:tcPr>
                <w:p w14:paraId="35085024">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0.66</w:t>
                  </w:r>
                </w:p>
              </w:tc>
              <w:tc>
                <w:tcPr>
                  <w:tcW w:w="1243" w:type="dxa"/>
                  <w:noWrap w:val="0"/>
                  <w:vAlign w:val="center"/>
                </w:tcPr>
                <w:p w14:paraId="10284229">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2D0CB43D">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33</w:t>
                  </w:r>
                </w:p>
              </w:tc>
              <w:tc>
                <w:tcPr>
                  <w:tcW w:w="1181" w:type="dxa"/>
                  <w:noWrap w:val="0"/>
                  <w:vAlign w:val="center"/>
                </w:tcPr>
                <w:p w14:paraId="08CD05C7">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0D3302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681ADEF1">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3232B12C">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第4次</w:t>
                  </w:r>
                </w:p>
              </w:tc>
              <w:tc>
                <w:tcPr>
                  <w:tcW w:w="2110" w:type="dxa"/>
                  <w:noWrap w:val="0"/>
                  <w:vAlign w:val="center"/>
                </w:tcPr>
                <w:p w14:paraId="3268580D">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0.70</w:t>
                  </w:r>
                </w:p>
              </w:tc>
              <w:tc>
                <w:tcPr>
                  <w:tcW w:w="1243" w:type="dxa"/>
                  <w:noWrap w:val="0"/>
                  <w:vAlign w:val="center"/>
                </w:tcPr>
                <w:p w14:paraId="6388E817">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0787E816">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35</w:t>
                  </w:r>
                </w:p>
              </w:tc>
              <w:tc>
                <w:tcPr>
                  <w:tcW w:w="1181" w:type="dxa"/>
                  <w:noWrap w:val="0"/>
                  <w:vAlign w:val="center"/>
                </w:tcPr>
                <w:p w14:paraId="1121E8BA">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4E1008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restart"/>
                  <w:noWrap w:val="0"/>
                  <w:vAlign w:val="center"/>
                </w:tcPr>
                <w:p w14:paraId="2AF5CBD3">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2025.0</w:t>
                  </w:r>
                  <w:r>
                    <w:rPr>
                      <w:rFonts w:hint="eastAsia" w:ascii="Times New Roman" w:hAnsi="Times New Roman" w:eastAsia="宋体" w:cs="Times New Roman"/>
                      <w:sz w:val="21"/>
                      <w:szCs w:val="21"/>
                      <w:highlight w:val="none"/>
                      <w:lang w:val="en-US" w:eastAsia="zh-CN"/>
                    </w:rPr>
                    <w:t>4</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14</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15</w:t>
                  </w:r>
                </w:p>
              </w:tc>
              <w:tc>
                <w:tcPr>
                  <w:tcW w:w="1405" w:type="dxa"/>
                  <w:noWrap w:val="0"/>
                  <w:vAlign w:val="center"/>
                </w:tcPr>
                <w:p w14:paraId="5507639C">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第1次</w:t>
                  </w:r>
                </w:p>
              </w:tc>
              <w:tc>
                <w:tcPr>
                  <w:tcW w:w="2110" w:type="dxa"/>
                  <w:noWrap w:val="0"/>
                  <w:vAlign w:val="center"/>
                </w:tcPr>
                <w:p w14:paraId="175AC7B3">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0.77</w:t>
                  </w:r>
                </w:p>
              </w:tc>
              <w:tc>
                <w:tcPr>
                  <w:tcW w:w="1243" w:type="dxa"/>
                  <w:noWrap w:val="0"/>
                  <w:vAlign w:val="center"/>
                </w:tcPr>
                <w:p w14:paraId="2CBFA04D">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44AF4845">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38.5</w:t>
                  </w:r>
                </w:p>
              </w:tc>
              <w:tc>
                <w:tcPr>
                  <w:tcW w:w="1181" w:type="dxa"/>
                  <w:noWrap w:val="0"/>
                  <w:vAlign w:val="center"/>
                </w:tcPr>
                <w:p w14:paraId="2DFBE108">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53743B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227F125D">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4DBE36A8">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第2次</w:t>
                  </w:r>
                </w:p>
              </w:tc>
              <w:tc>
                <w:tcPr>
                  <w:tcW w:w="2110" w:type="dxa"/>
                  <w:noWrap w:val="0"/>
                  <w:vAlign w:val="center"/>
                </w:tcPr>
                <w:p w14:paraId="718926A6">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0.63</w:t>
                  </w:r>
                </w:p>
              </w:tc>
              <w:tc>
                <w:tcPr>
                  <w:tcW w:w="1243" w:type="dxa"/>
                  <w:noWrap w:val="0"/>
                  <w:vAlign w:val="center"/>
                </w:tcPr>
                <w:p w14:paraId="6EE7440E">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699766A9">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31.5</w:t>
                  </w:r>
                </w:p>
              </w:tc>
              <w:tc>
                <w:tcPr>
                  <w:tcW w:w="1181" w:type="dxa"/>
                  <w:noWrap w:val="0"/>
                  <w:vAlign w:val="center"/>
                </w:tcPr>
                <w:p w14:paraId="1A90C888">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63ECDF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6F1B1061">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6FD43D88">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第3次</w:t>
                  </w:r>
                </w:p>
              </w:tc>
              <w:tc>
                <w:tcPr>
                  <w:tcW w:w="2110" w:type="dxa"/>
                  <w:noWrap w:val="0"/>
                  <w:vAlign w:val="center"/>
                </w:tcPr>
                <w:p w14:paraId="2E012ABC">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0.55</w:t>
                  </w:r>
                </w:p>
              </w:tc>
              <w:tc>
                <w:tcPr>
                  <w:tcW w:w="1243" w:type="dxa"/>
                  <w:noWrap w:val="0"/>
                  <w:vAlign w:val="center"/>
                </w:tcPr>
                <w:p w14:paraId="6F4D28AA">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3D600A60">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27.5</w:t>
                  </w:r>
                </w:p>
              </w:tc>
              <w:tc>
                <w:tcPr>
                  <w:tcW w:w="1181" w:type="dxa"/>
                  <w:noWrap w:val="0"/>
                  <w:vAlign w:val="center"/>
                </w:tcPr>
                <w:p w14:paraId="6988F868">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6D889F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3B1E571E">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1DC32E41">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第4次</w:t>
                  </w:r>
                </w:p>
              </w:tc>
              <w:tc>
                <w:tcPr>
                  <w:tcW w:w="2110" w:type="dxa"/>
                  <w:noWrap w:val="0"/>
                  <w:vAlign w:val="center"/>
                </w:tcPr>
                <w:p w14:paraId="7F5401BD">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0.56</w:t>
                  </w:r>
                </w:p>
              </w:tc>
              <w:tc>
                <w:tcPr>
                  <w:tcW w:w="1243" w:type="dxa"/>
                  <w:noWrap w:val="0"/>
                  <w:vAlign w:val="center"/>
                </w:tcPr>
                <w:p w14:paraId="1E3C431C">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7342452F">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28</w:t>
                  </w:r>
                </w:p>
              </w:tc>
              <w:tc>
                <w:tcPr>
                  <w:tcW w:w="1181" w:type="dxa"/>
                  <w:noWrap w:val="0"/>
                  <w:vAlign w:val="center"/>
                </w:tcPr>
                <w:p w14:paraId="6497B0C5">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78D5B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restart"/>
                  <w:noWrap w:val="0"/>
                  <w:vAlign w:val="center"/>
                </w:tcPr>
                <w:p w14:paraId="17583409">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2025.0</w:t>
                  </w:r>
                  <w:r>
                    <w:rPr>
                      <w:rFonts w:hint="eastAsia" w:ascii="Times New Roman" w:hAnsi="Times New Roman" w:eastAsia="宋体" w:cs="Times New Roman"/>
                      <w:sz w:val="21"/>
                      <w:szCs w:val="21"/>
                      <w:highlight w:val="none"/>
                      <w:lang w:val="en-US" w:eastAsia="zh-CN"/>
                    </w:rPr>
                    <w:t>4</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15</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16</w:t>
                  </w:r>
                </w:p>
              </w:tc>
              <w:tc>
                <w:tcPr>
                  <w:tcW w:w="1405" w:type="dxa"/>
                  <w:noWrap w:val="0"/>
                  <w:vAlign w:val="center"/>
                </w:tcPr>
                <w:p w14:paraId="0E7CACF2">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第1次</w:t>
                  </w:r>
                </w:p>
              </w:tc>
              <w:tc>
                <w:tcPr>
                  <w:tcW w:w="2110" w:type="dxa"/>
                  <w:noWrap w:val="0"/>
                  <w:vAlign w:val="center"/>
                </w:tcPr>
                <w:p w14:paraId="39C46D68">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0.62</w:t>
                  </w:r>
                </w:p>
              </w:tc>
              <w:tc>
                <w:tcPr>
                  <w:tcW w:w="1243" w:type="dxa"/>
                  <w:noWrap w:val="0"/>
                  <w:vAlign w:val="center"/>
                </w:tcPr>
                <w:p w14:paraId="3DF450DD">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7F23C8BA">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31</w:t>
                  </w:r>
                </w:p>
              </w:tc>
              <w:tc>
                <w:tcPr>
                  <w:tcW w:w="1181" w:type="dxa"/>
                  <w:noWrap w:val="0"/>
                  <w:vAlign w:val="center"/>
                </w:tcPr>
                <w:p w14:paraId="100D91CF">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00C51E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10A42554">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2BC1C881">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第2次</w:t>
                  </w:r>
                </w:p>
              </w:tc>
              <w:tc>
                <w:tcPr>
                  <w:tcW w:w="2110" w:type="dxa"/>
                  <w:noWrap w:val="0"/>
                  <w:vAlign w:val="center"/>
                </w:tcPr>
                <w:p w14:paraId="7F2E4EE2">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0.64</w:t>
                  </w:r>
                </w:p>
              </w:tc>
              <w:tc>
                <w:tcPr>
                  <w:tcW w:w="1243" w:type="dxa"/>
                  <w:noWrap w:val="0"/>
                  <w:vAlign w:val="center"/>
                </w:tcPr>
                <w:p w14:paraId="6E02DEDC">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38DD63CA">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32</w:t>
                  </w:r>
                </w:p>
              </w:tc>
              <w:tc>
                <w:tcPr>
                  <w:tcW w:w="1181" w:type="dxa"/>
                  <w:noWrap w:val="0"/>
                  <w:vAlign w:val="center"/>
                </w:tcPr>
                <w:p w14:paraId="72FDE321">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6A8A7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56EFFAA4">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6450527A">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第3次</w:t>
                  </w:r>
                </w:p>
              </w:tc>
              <w:tc>
                <w:tcPr>
                  <w:tcW w:w="2110" w:type="dxa"/>
                  <w:noWrap w:val="0"/>
                  <w:vAlign w:val="center"/>
                </w:tcPr>
                <w:p w14:paraId="6251F26F">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0.70</w:t>
                  </w:r>
                </w:p>
              </w:tc>
              <w:tc>
                <w:tcPr>
                  <w:tcW w:w="1243" w:type="dxa"/>
                  <w:noWrap w:val="0"/>
                  <w:vAlign w:val="center"/>
                </w:tcPr>
                <w:p w14:paraId="45842AD2">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7A80BE74">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35</w:t>
                  </w:r>
                </w:p>
              </w:tc>
              <w:tc>
                <w:tcPr>
                  <w:tcW w:w="1181" w:type="dxa"/>
                  <w:noWrap w:val="0"/>
                  <w:vAlign w:val="center"/>
                </w:tcPr>
                <w:p w14:paraId="45A8D035">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6AE352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51FA9EC3">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303B6C57">
                  <w:pPr>
                    <w:keepNext w:val="0"/>
                    <w:keepLines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cs="Times New Roman"/>
                      <w:sz w:val="21"/>
                      <w:szCs w:val="21"/>
                      <w:highlight w:val="none"/>
                      <w:lang w:val="en-US" w:eastAsia="zh-CN"/>
                    </w:rPr>
                    <w:t>第4次</w:t>
                  </w:r>
                </w:p>
              </w:tc>
              <w:tc>
                <w:tcPr>
                  <w:tcW w:w="2110" w:type="dxa"/>
                  <w:noWrap w:val="0"/>
                  <w:vAlign w:val="center"/>
                </w:tcPr>
                <w:p w14:paraId="5AF566C5">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0.70</w:t>
                  </w:r>
                </w:p>
              </w:tc>
              <w:tc>
                <w:tcPr>
                  <w:tcW w:w="1243" w:type="dxa"/>
                  <w:noWrap w:val="0"/>
                  <w:vAlign w:val="center"/>
                </w:tcPr>
                <w:p w14:paraId="73D93B4D">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5730E965">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35</w:t>
                  </w:r>
                </w:p>
              </w:tc>
              <w:tc>
                <w:tcPr>
                  <w:tcW w:w="1181" w:type="dxa"/>
                  <w:noWrap w:val="0"/>
                  <w:vAlign w:val="center"/>
                </w:tcPr>
                <w:p w14:paraId="421CC60F">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42D3A1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restart"/>
                  <w:noWrap w:val="0"/>
                  <w:vAlign w:val="center"/>
                </w:tcPr>
                <w:p w14:paraId="4FD544C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exact"/>
                    <w:ind w:left="0" w:leftChars="0" w:right="0" w:rightChars="0" w:firstLine="0" w:firstLineChars="0"/>
                    <w:jc w:val="center"/>
                    <w:textAlignment w:val="auto"/>
                    <w:outlineLvl w:val="9"/>
                    <w:rPr>
                      <w:rFonts w:hint="default" w:ascii="Times New Roman" w:hAnsi="Times New Roman" w:cs="Times New Roman"/>
                      <w:sz w:val="21"/>
                      <w:szCs w:val="21"/>
                      <w:highlight w:val="none"/>
                      <w:lang w:val="en-US" w:eastAsia="zh-CN"/>
                    </w:rPr>
                  </w:pPr>
                  <w:r>
                    <w:rPr>
                      <w:rFonts w:hint="default" w:ascii="Times New Roman" w:hAnsi="Times New Roman" w:eastAsia="宋体" w:cs="Times New Roman"/>
                      <w:sz w:val="21"/>
                      <w:szCs w:val="21"/>
                      <w:highlight w:val="none"/>
                      <w:lang w:val="en-US" w:eastAsia="zh-CN"/>
                    </w:rPr>
                    <w:t>2025.0</w:t>
                  </w:r>
                  <w:r>
                    <w:rPr>
                      <w:rFonts w:hint="eastAsia" w:ascii="Times New Roman" w:hAnsi="Times New Roman" w:eastAsia="宋体" w:cs="Times New Roman"/>
                      <w:sz w:val="21"/>
                      <w:szCs w:val="21"/>
                      <w:highlight w:val="none"/>
                      <w:lang w:val="en-US" w:eastAsia="zh-CN"/>
                    </w:rPr>
                    <w:t>4</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16</w:t>
                  </w:r>
                  <w:r>
                    <w:rPr>
                      <w:rFonts w:hint="default" w:ascii="Times New Roman" w:hAnsi="Times New Roman" w:eastAsia="宋体" w:cs="Times New Roman"/>
                      <w:sz w:val="21"/>
                      <w:szCs w:val="21"/>
                      <w:highlight w:val="none"/>
                      <w:lang w:val="en-US" w:eastAsia="zh-CN"/>
                    </w:rPr>
                    <w:t>-</w:t>
                  </w:r>
                  <w:r>
                    <w:rPr>
                      <w:rFonts w:hint="eastAsia" w:ascii="Times New Roman" w:hAnsi="Times New Roman" w:eastAsia="宋体" w:cs="Times New Roman"/>
                      <w:sz w:val="21"/>
                      <w:szCs w:val="21"/>
                      <w:highlight w:val="none"/>
                      <w:lang w:val="en-US" w:eastAsia="zh-CN"/>
                    </w:rPr>
                    <w:t>17</w:t>
                  </w:r>
                </w:p>
              </w:tc>
              <w:tc>
                <w:tcPr>
                  <w:tcW w:w="1405" w:type="dxa"/>
                  <w:noWrap w:val="0"/>
                  <w:vAlign w:val="center"/>
                </w:tcPr>
                <w:p w14:paraId="40A4C904">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第1次</w:t>
                  </w:r>
                </w:p>
              </w:tc>
              <w:tc>
                <w:tcPr>
                  <w:tcW w:w="2110" w:type="dxa"/>
                  <w:noWrap w:val="0"/>
                  <w:vAlign w:val="center"/>
                </w:tcPr>
                <w:p w14:paraId="307410BF">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0.69</w:t>
                  </w:r>
                </w:p>
              </w:tc>
              <w:tc>
                <w:tcPr>
                  <w:tcW w:w="1243" w:type="dxa"/>
                  <w:noWrap w:val="0"/>
                  <w:vAlign w:val="center"/>
                </w:tcPr>
                <w:p w14:paraId="5F2CF470">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32060688">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34.5</w:t>
                  </w:r>
                </w:p>
              </w:tc>
              <w:tc>
                <w:tcPr>
                  <w:tcW w:w="1181" w:type="dxa"/>
                  <w:noWrap w:val="0"/>
                  <w:vAlign w:val="center"/>
                </w:tcPr>
                <w:p w14:paraId="6350AFAB">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4803C7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45B3BB68">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616728B0">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第2次</w:t>
                  </w:r>
                </w:p>
              </w:tc>
              <w:tc>
                <w:tcPr>
                  <w:tcW w:w="2110" w:type="dxa"/>
                  <w:noWrap w:val="0"/>
                  <w:vAlign w:val="center"/>
                </w:tcPr>
                <w:p w14:paraId="4DFD9409">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0.68</w:t>
                  </w:r>
                </w:p>
              </w:tc>
              <w:tc>
                <w:tcPr>
                  <w:tcW w:w="1243" w:type="dxa"/>
                  <w:noWrap w:val="0"/>
                  <w:vAlign w:val="center"/>
                </w:tcPr>
                <w:p w14:paraId="63D2EAA9">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2154C0E8">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34</w:t>
                  </w:r>
                </w:p>
              </w:tc>
              <w:tc>
                <w:tcPr>
                  <w:tcW w:w="1181" w:type="dxa"/>
                  <w:noWrap w:val="0"/>
                  <w:vAlign w:val="center"/>
                </w:tcPr>
                <w:p w14:paraId="3AAFDB32">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13FB1C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28E13F8B">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1701A18B">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第3次</w:t>
                  </w:r>
                </w:p>
              </w:tc>
              <w:tc>
                <w:tcPr>
                  <w:tcW w:w="2110" w:type="dxa"/>
                  <w:noWrap w:val="0"/>
                  <w:vAlign w:val="center"/>
                </w:tcPr>
                <w:p w14:paraId="31D2707A">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0.61</w:t>
                  </w:r>
                </w:p>
              </w:tc>
              <w:tc>
                <w:tcPr>
                  <w:tcW w:w="1243" w:type="dxa"/>
                  <w:noWrap w:val="0"/>
                  <w:vAlign w:val="center"/>
                </w:tcPr>
                <w:p w14:paraId="4C7A74F4">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2</w:t>
                  </w:r>
                </w:p>
              </w:tc>
              <w:tc>
                <w:tcPr>
                  <w:tcW w:w="1380" w:type="dxa"/>
                  <w:noWrap w:val="0"/>
                  <w:vAlign w:val="center"/>
                </w:tcPr>
                <w:p w14:paraId="77F0E428">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30.5</w:t>
                  </w:r>
                </w:p>
              </w:tc>
              <w:tc>
                <w:tcPr>
                  <w:tcW w:w="1181" w:type="dxa"/>
                  <w:noWrap w:val="0"/>
                  <w:vAlign w:val="center"/>
                </w:tcPr>
                <w:p w14:paraId="0A5C2A54">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r w14:paraId="17E0B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89" w:type="dxa"/>
                  <w:vMerge w:val="continue"/>
                  <w:noWrap w:val="0"/>
                  <w:vAlign w:val="center"/>
                </w:tcPr>
                <w:p w14:paraId="21479A27">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p>
              </w:tc>
              <w:tc>
                <w:tcPr>
                  <w:tcW w:w="1405" w:type="dxa"/>
                  <w:noWrap w:val="0"/>
                  <w:vAlign w:val="center"/>
                </w:tcPr>
                <w:p w14:paraId="52E78085">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第4次</w:t>
                  </w:r>
                </w:p>
              </w:tc>
              <w:tc>
                <w:tcPr>
                  <w:tcW w:w="2110" w:type="dxa"/>
                  <w:noWrap w:val="0"/>
                  <w:vAlign w:val="center"/>
                </w:tcPr>
                <w:p w14:paraId="7503CBC3">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eastAsia" w:ascii="Times New Roman" w:hAnsi="Times New Roman" w:cs="Times New Roman"/>
                      <w:sz w:val="21"/>
                      <w:szCs w:val="21"/>
                      <w:highlight w:val="none"/>
                      <w:lang w:val="en-US" w:eastAsia="zh-CN"/>
                    </w:rPr>
                    <w:t>0.66</w:t>
                  </w:r>
                </w:p>
              </w:tc>
              <w:tc>
                <w:tcPr>
                  <w:tcW w:w="1243" w:type="dxa"/>
                  <w:noWrap w:val="0"/>
                  <w:vAlign w:val="center"/>
                </w:tcPr>
                <w:p w14:paraId="424820A2">
                  <w:pPr>
                    <w:keepNext w:val="0"/>
                    <w:keepLines w:val="0"/>
                    <w:suppressLineNumbers w:val="0"/>
                    <w:spacing w:before="0" w:beforeAutospacing="0" w:after="0" w:afterAutospacing="0"/>
                    <w:ind w:left="0" w:right="0"/>
                    <w:jc w:val="center"/>
                    <w:rPr>
                      <w:rFonts w:hint="default" w:ascii="Times New Roman" w:hAnsi="Times New Roman" w:cs="Times New Roman"/>
                      <w:color w:val="000000"/>
                      <w:kern w:val="0"/>
                      <w:sz w:val="21"/>
                      <w:szCs w:val="21"/>
                      <w:highlight w:val="none"/>
                      <w:lang w:val="en-US" w:eastAsia="zh-CN" w:bidi="ar"/>
                    </w:rPr>
                  </w:pPr>
                  <w:r>
                    <w:rPr>
                      <w:rFonts w:hint="default" w:ascii="Times New Roman" w:hAnsi="Times New Roman" w:cs="Times New Roman"/>
                      <w:sz w:val="21"/>
                      <w:szCs w:val="21"/>
                      <w:highlight w:val="none"/>
                      <w:lang w:val="en-US" w:eastAsia="zh-CN"/>
                    </w:rPr>
                    <w:t>2</w:t>
                  </w:r>
                </w:p>
              </w:tc>
              <w:tc>
                <w:tcPr>
                  <w:tcW w:w="1380" w:type="dxa"/>
                  <w:noWrap w:val="0"/>
                  <w:vAlign w:val="center"/>
                </w:tcPr>
                <w:p w14:paraId="69D401A6">
                  <w:pPr>
                    <w:keepNext w:val="0"/>
                    <w:keepLines w:val="0"/>
                    <w:suppressLineNumbers w:val="0"/>
                    <w:spacing w:before="0" w:beforeAutospacing="0" w:after="0" w:afterAutospacing="0"/>
                    <w:ind w:left="0" w:right="0"/>
                    <w:jc w:val="center"/>
                    <w:rPr>
                      <w:rFonts w:hint="default" w:ascii="Times New Roman" w:hAnsi="Times New Roman" w:eastAsia="宋体" w:cs="Times New Roman"/>
                      <w:sz w:val="21"/>
                      <w:szCs w:val="21"/>
                      <w:highlight w:val="none"/>
                      <w:lang w:val="en-US" w:eastAsia="zh-CN"/>
                    </w:rPr>
                  </w:pPr>
                  <w:r>
                    <w:rPr>
                      <w:rFonts w:hint="eastAsia" w:ascii="Times New Roman" w:hAnsi="Times New Roman" w:eastAsia="宋体" w:cs="Times New Roman"/>
                      <w:sz w:val="21"/>
                      <w:szCs w:val="21"/>
                      <w:highlight w:val="none"/>
                      <w:lang w:val="en-US" w:eastAsia="zh-CN"/>
                    </w:rPr>
                    <w:t>33</w:t>
                  </w:r>
                </w:p>
              </w:tc>
              <w:tc>
                <w:tcPr>
                  <w:tcW w:w="1181" w:type="dxa"/>
                  <w:noWrap w:val="0"/>
                  <w:vAlign w:val="center"/>
                </w:tcPr>
                <w:p w14:paraId="5A3392B8">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highlight w:val="none"/>
                      <w:lang w:val="en-US" w:eastAsia="zh-CN"/>
                    </w:rPr>
                  </w:pPr>
                  <w:r>
                    <w:rPr>
                      <w:rFonts w:hint="default" w:ascii="Times New Roman" w:hAnsi="Times New Roman" w:cs="Times New Roman"/>
                      <w:sz w:val="21"/>
                      <w:szCs w:val="21"/>
                      <w:highlight w:val="none"/>
                      <w:lang w:val="en-US" w:eastAsia="zh-CN"/>
                    </w:rPr>
                    <w:t>达标</w:t>
                  </w:r>
                </w:p>
              </w:tc>
            </w:tr>
          </w:tbl>
          <w:p w14:paraId="46343B53">
            <w:pPr>
              <w:keepNext w:val="0"/>
              <w:keepLines w:val="0"/>
              <w:suppressLineNumbers w:val="0"/>
              <w:autoSpaceDE w:val="0"/>
              <w:autoSpaceDN w:val="0"/>
              <w:adjustRightInd w:val="0"/>
              <w:snapToGrid w:val="0"/>
              <w:spacing w:before="0" w:beforeAutospacing="0" w:after="0" w:afterAutospacing="0" w:line="480" w:lineRule="exact"/>
              <w:ind w:left="0" w:right="0" w:firstLine="480" w:firstLineChars="200"/>
              <w:jc w:val="left"/>
              <w:rPr>
                <w:rFonts w:hint="eastAsia" w:cs="宋体"/>
                <w:color w:val="000000" w:themeColor="text1"/>
                <w:sz w:val="24"/>
                <w:szCs w:val="24"/>
                <w:highlight w:val="none"/>
                <w14:textFill>
                  <w14:solidFill>
                    <w14:schemeClr w14:val="tx1"/>
                  </w14:solidFill>
                </w14:textFill>
              </w:rPr>
            </w:pPr>
            <w:r>
              <w:rPr>
                <w:rFonts w:hint="eastAsia" w:cs="宋体"/>
                <w:color w:val="000000" w:themeColor="text1"/>
                <w:sz w:val="24"/>
                <w:szCs w:val="24"/>
                <w:highlight w:val="none"/>
                <w14:textFill>
                  <w14:solidFill>
                    <w14:schemeClr w14:val="tx1"/>
                  </w14:solidFill>
                </w14:textFill>
              </w:rPr>
              <w:t>监测结果表明，</w:t>
            </w:r>
            <w:r>
              <w:rPr>
                <w:rFonts w:hint="default" w:ascii="Times New Roman" w:hAnsi="Times New Roman" w:cs="Times New Roman"/>
                <w:color w:val="000000"/>
                <w:sz w:val="24"/>
                <w:szCs w:val="24"/>
                <w:highlight w:val="none"/>
              </w:rPr>
              <w:t>项目所在区域环境空气中</w:t>
            </w:r>
            <w:r>
              <w:rPr>
                <w:rFonts w:hint="default" w:ascii="Times New Roman" w:hAnsi="Times New Roman" w:eastAsia="宋体" w:cs="Times New Roman"/>
                <w:kern w:val="0"/>
                <w:sz w:val="24"/>
                <w:szCs w:val="24"/>
                <w:highlight w:val="none"/>
                <w:lang w:val="en-US" w:eastAsia="zh-CN"/>
              </w:rPr>
              <w:t>TSP</w:t>
            </w:r>
            <w:r>
              <w:rPr>
                <w:rFonts w:hint="eastAsia" w:ascii="Times New Roman" w:hAnsi="Times New Roman" w:cs="Times New Roman"/>
                <w:kern w:val="0"/>
                <w:sz w:val="24"/>
                <w:szCs w:val="24"/>
                <w:highlight w:val="none"/>
                <w:lang w:val="en-US" w:eastAsia="zh-CN"/>
              </w:rPr>
              <w:t>有2日</w:t>
            </w:r>
            <w:r>
              <w:rPr>
                <w:rFonts w:hint="default" w:ascii="Times New Roman" w:hAnsi="Times New Roman" w:cs="Times New Roman"/>
                <w:kern w:val="0"/>
                <w:sz w:val="24"/>
                <w:szCs w:val="24"/>
                <w:highlight w:val="none"/>
                <w:lang w:val="en-US" w:eastAsia="zh-CN"/>
              </w:rPr>
              <w:t>不满足</w:t>
            </w:r>
            <w:r>
              <w:rPr>
                <w:rFonts w:hint="eastAsia" w:ascii="Times New Roman" w:hAnsi="Times New Roman" w:cs="Times New Roman"/>
                <w:kern w:val="0"/>
                <w:sz w:val="24"/>
                <w:szCs w:val="24"/>
                <w:highlight w:val="none"/>
                <w:lang w:val="en-US" w:eastAsia="zh-CN"/>
              </w:rPr>
              <w:t>《</w:t>
            </w:r>
            <w:r>
              <w:rPr>
                <w:rFonts w:hint="default" w:ascii="Times New Roman" w:hAnsi="Times New Roman" w:cs="Times New Roman"/>
                <w:color w:val="auto"/>
                <w:spacing w:val="-2"/>
                <w:sz w:val="24"/>
                <w:szCs w:val="24"/>
                <w:highlight w:val="none"/>
                <w:u w:val="none"/>
              </w:rPr>
              <w:t>环境空气质量标准》（GB3095-2012）及2018年修改单二级标准</w:t>
            </w:r>
            <w:r>
              <w:rPr>
                <w:rFonts w:hint="eastAsia" w:ascii="Times New Roman" w:hAnsi="Times New Roman" w:cs="Times New Roman"/>
                <w:color w:val="auto"/>
                <w:spacing w:val="-2"/>
                <w:sz w:val="24"/>
                <w:szCs w:val="24"/>
                <w:highlight w:val="none"/>
                <w:u w:val="none"/>
                <w:lang w:eastAsia="zh-CN"/>
              </w:rPr>
              <w:t>，</w:t>
            </w:r>
            <w:r>
              <w:rPr>
                <w:rFonts w:hint="eastAsia" w:ascii="Times New Roman" w:hAnsi="Times New Roman" w:cs="Times New Roman"/>
                <w:color w:val="auto"/>
                <w:spacing w:val="-2"/>
                <w:sz w:val="24"/>
                <w:szCs w:val="24"/>
                <w:highlight w:val="none"/>
                <w:u w:val="none"/>
                <w:lang w:val="en-US" w:eastAsia="zh-CN"/>
              </w:rPr>
              <w:t>其余时间满足；</w:t>
            </w:r>
            <w:r>
              <w:rPr>
                <w:rFonts w:hint="eastAsia" w:eastAsia="宋体"/>
                <w:kern w:val="0"/>
                <w:sz w:val="24"/>
                <w:szCs w:val="24"/>
                <w:highlight w:val="none"/>
                <w:lang w:val="en-US" w:eastAsia="zh-CN"/>
              </w:rPr>
              <w:t>苯并[a]芘</w:t>
            </w:r>
            <w:r>
              <w:rPr>
                <w:rFonts w:hint="eastAsia" w:ascii="Times New Roman" w:hAnsi="Times New Roman" w:eastAsia="宋体" w:cs="Times New Roman"/>
                <w:b w:val="0"/>
                <w:bCs w:val="0"/>
                <w:kern w:val="0"/>
                <w:sz w:val="24"/>
                <w:szCs w:val="24"/>
                <w:highlight w:val="none"/>
                <w:lang w:val="en-US" w:eastAsia="zh-CN"/>
              </w:rPr>
              <w:t>满足</w:t>
            </w:r>
            <w:r>
              <w:rPr>
                <w:rFonts w:hint="default"/>
                <w:color w:val="auto"/>
                <w:spacing w:val="-2"/>
                <w:sz w:val="24"/>
                <w:szCs w:val="24"/>
                <w:highlight w:val="none"/>
                <w:u w:val="none"/>
              </w:rPr>
              <w:t>《环境空气质量标准》（GB3095-2012）</w:t>
            </w:r>
            <w:r>
              <w:rPr>
                <w:rFonts w:hint="eastAsia"/>
                <w:color w:val="auto"/>
                <w:spacing w:val="-2"/>
                <w:sz w:val="24"/>
                <w:szCs w:val="24"/>
                <w:highlight w:val="none"/>
                <w:u w:val="none"/>
              </w:rPr>
              <w:t>及2018年修改单</w:t>
            </w:r>
            <w:r>
              <w:rPr>
                <w:rFonts w:hint="default"/>
                <w:color w:val="auto"/>
                <w:spacing w:val="-2"/>
                <w:sz w:val="24"/>
                <w:szCs w:val="24"/>
                <w:highlight w:val="none"/>
                <w:u w:val="none"/>
              </w:rPr>
              <w:t>二级标准</w:t>
            </w:r>
            <w:r>
              <w:rPr>
                <w:rFonts w:hint="default" w:ascii="Times New Roman" w:hAnsi="Times New Roman" w:eastAsia="宋体" w:cs="Times New Roman"/>
                <w:b w:val="0"/>
                <w:bCs w:val="0"/>
                <w:kern w:val="0"/>
                <w:sz w:val="24"/>
                <w:szCs w:val="24"/>
                <w:highlight w:val="none"/>
                <w:lang w:eastAsia="zh-CN"/>
              </w:rPr>
              <w:t>。</w:t>
            </w:r>
            <w:r>
              <w:rPr>
                <w:rFonts w:hint="eastAsia" w:ascii="Times New Roman" w:hAnsi="Times New Roman" w:eastAsia="宋体" w:cs="Times New Roman"/>
                <w:b w:val="0"/>
                <w:bCs w:val="0"/>
                <w:kern w:val="0"/>
                <w:sz w:val="24"/>
                <w:szCs w:val="24"/>
                <w:highlight w:val="none"/>
                <w:lang w:val="en-US" w:eastAsia="zh-CN"/>
              </w:rPr>
              <w:t>非甲烷总烃</w:t>
            </w:r>
            <w:r>
              <w:rPr>
                <w:rFonts w:hint="eastAsia" w:ascii="Times New Roman" w:hAnsi="Times New Roman" w:eastAsia="宋体" w:cs="Times New Roman"/>
                <w:b w:val="0"/>
                <w:bCs w:val="0"/>
                <w:color w:val="auto"/>
                <w:sz w:val="24"/>
                <w:szCs w:val="24"/>
                <w:highlight w:val="none"/>
                <w:vertAlign w:val="baseline"/>
                <w:lang w:val="en-US" w:eastAsia="zh-CN"/>
              </w:rPr>
              <w:t>参照执行《大气污染物综合排放标准详解》中标准限值</w:t>
            </w:r>
            <w:r>
              <w:rPr>
                <w:rFonts w:hint="eastAsia" w:ascii="Times New Roman" w:hAnsi="Times New Roman" w:eastAsia="宋体" w:cs="Times New Roman"/>
                <w:b w:val="0"/>
                <w:bCs w:val="0"/>
                <w:color w:val="auto"/>
                <w:sz w:val="24"/>
                <w:szCs w:val="24"/>
                <w:highlight w:val="none"/>
                <w:vertAlign w:val="baseline"/>
                <w:lang w:eastAsia="zh-CN"/>
              </w:rPr>
              <w:t>。</w:t>
            </w:r>
          </w:p>
          <w:p w14:paraId="5DDC406A">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textAlignment w:val="auto"/>
              <w:rPr>
                <w:rFonts w:hint="default"/>
                <w:b/>
                <w:bCs/>
                <w:color w:val="000000" w:themeColor="text1"/>
                <w:sz w:val="24"/>
                <w:highlight w:val="none"/>
                <w14:textFill>
                  <w14:solidFill>
                    <w14:schemeClr w14:val="tx1"/>
                  </w14:solidFill>
                </w14:textFill>
              </w:rPr>
            </w:pPr>
            <w:r>
              <w:rPr>
                <w:rFonts w:hint="eastAsia"/>
                <w:b/>
                <w:bCs/>
                <w:color w:val="000000" w:themeColor="text1"/>
                <w:sz w:val="24"/>
                <w:highlight w:val="none"/>
                <w:lang w:val="en-US" w:eastAsia="zh-CN"/>
                <w14:textFill>
                  <w14:solidFill>
                    <w14:schemeClr w14:val="tx1"/>
                  </w14:solidFill>
                </w14:textFill>
              </w:rPr>
              <w:t>3.2</w:t>
            </w:r>
            <w:r>
              <w:rPr>
                <w:rFonts w:hint="default"/>
                <w:b/>
                <w:bCs/>
                <w:color w:val="000000" w:themeColor="text1"/>
                <w:sz w:val="24"/>
                <w:highlight w:val="none"/>
                <w14:textFill>
                  <w14:solidFill>
                    <w14:schemeClr w14:val="tx1"/>
                  </w14:solidFill>
                </w14:textFill>
              </w:rPr>
              <w:t>声环境质量现状</w:t>
            </w:r>
          </w:p>
          <w:p w14:paraId="24789FC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eastAsia"/>
                <w:b w:val="0"/>
                <w:bCs w:val="0"/>
                <w:color w:val="000000" w:themeColor="text1"/>
                <w:kern w:val="0"/>
                <w:sz w:val="24"/>
                <w:highlight w:val="none"/>
                <w:lang w:val="en-US" w:eastAsia="zh-CN"/>
                <w14:textFill>
                  <w14:solidFill>
                    <w14:schemeClr w14:val="tx1"/>
                  </w14:solidFill>
                </w14:textFill>
              </w:rPr>
            </w:pPr>
            <w:r>
              <w:rPr>
                <w:rFonts w:hint="eastAsia"/>
                <w:color w:val="000000" w:themeColor="text1"/>
                <w:kern w:val="0"/>
                <w:sz w:val="24"/>
                <w:highlight w:val="none"/>
                <w:lang w:eastAsia="zh-CN"/>
                <w14:textFill>
                  <w14:solidFill>
                    <w14:schemeClr w14:val="tx1"/>
                  </w14:solidFill>
                </w14:textFill>
              </w:rPr>
              <w:t>根据《建设项目环境影响报告表编制技术指南（污染影响类）（试行）》相关要求，厂界外周边50米范围内存在声环境保护目标的建设项目，应监测保护目标声环境质量现状并评价达标情况。</w:t>
            </w:r>
            <w:r>
              <w:rPr>
                <w:rFonts w:hint="eastAsia"/>
                <w:b w:val="0"/>
                <w:bCs w:val="0"/>
                <w:color w:val="000000" w:themeColor="text1"/>
                <w:kern w:val="0"/>
                <w:sz w:val="24"/>
                <w:highlight w:val="none"/>
                <w:lang w:val="en-US" w:eastAsia="zh-CN"/>
                <w14:textFill>
                  <w14:solidFill>
                    <w14:schemeClr w14:val="tx1"/>
                  </w14:solidFill>
                </w14:textFill>
              </w:rPr>
              <w:t>本项目厂界外50m范围内无声环境保护目标，因此，本项目未监测环境保护目标处声环境质量。</w:t>
            </w:r>
          </w:p>
          <w:p w14:paraId="749DB260">
            <w:pPr>
              <w:keepNext w:val="0"/>
              <w:keepLines w:val="0"/>
              <w:pageBreakBefore w:val="0"/>
              <w:widowControl w:val="0"/>
              <w:suppressLineNumbers w:val="0"/>
              <w:kinsoku/>
              <w:wordWrap/>
              <w:overflowPunct/>
              <w:topLinePunct w:val="0"/>
              <w:autoSpaceDE/>
              <w:autoSpaceDN/>
              <w:bidi w:val="0"/>
              <w:adjustRightInd w:val="0"/>
              <w:snapToGrid w:val="0"/>
              <w:spacing w:before="157" w:beforeLines="50" w:beforeAutospacing="0" w:after="0" w:afterAutospacing="0" w:line="360" w:lineRule="auto"/>
              <w:ind w:left="0" w:right="0"/>
              <w:textAlignment w:val="auto"/>
              <w:rPr>
                <w:rFonts w:hint="eastAsia"/>
                <w:b/>
                <w:bCs/>
                <w:color w:val="000000" w:themeColor="text1"/>
                <w:sz w:val="24"/>
                <w:highlight w:val="none"/>
                <w:lang w:val="en-US" w:eastAsia="zh-CN"/>
                <w14:textFill>
                  <w14:solidFill>
                    <w14:schemeClr w14:val="tx1"/>
                  </w14:solidFill>
                </w14:textFill>
              </w:rPr>
            </w:pPr>
            <w:r>
              <w:rPr>
                <w:rFonts w:hint="eastAsia"/>
                <w:b/>
                <w:bCs/>
                <w:color w:val="000000" w:themeColor="text1"/>
                <w:sz w:val="24"/>
                <w:highlight w:val="none"/>
                <w:lang w:val="en-US" w:eastAsia="zh-CN"/>
                <w14:textFill>
                  <w14:solidFill>
                    <w14:schemeClr w14:val="tx1"/>
                  </w14:solidFill>
                </w14:textFill>
              </w:rPr>
              <w:t>3.3土壤环境质量现状</w:t>
            </w:r>
          </w:p>
          <w:p w14:paraId="57A4D36F">
            <w:pPr>
              <w:keepNext w:val="0"/>
              <w:keepLines w:val="0"/>
              <w:widowControl w:val="0"/>
              <w:suppressLineNumbers w:val="0"/>
              <w:autoSpaceDE w:val="0"/>
              <w:autoSpaceDN/>
              <w:adjustRightInd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根据《建设项目环境影响报告表编制技术指南》（污染影响类）（试行）。土壤环境原则上不开展环境质量现状调查。建设项目存在土壤环境污染途径的，应结合污染源、保护目标分布情况开展现状调查以留作背景值。</w:t>
            </w:r>
          </w:p>
          <w:p w14:paraId="7B689B3B">
            <w:pPr>
              <w:keepNext w:val="0"/>
              <w:keepLines w:val="0"/>
              <w:widowControl w:val="0"/>
              <w:suppressLineNumbers w:val="0"/>
              <w:autoSpaceDE w:val="0"/>
              <w:autoSpaceDN/>
              <w:adjustRightInd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kern w:val="2"/>
                <w:sz w:val="24"/>
                <w:szCs w:val="24"/>
              </w:rPr>
            </w:pPr>
            <w:r>
              <w:rPr>
                <w:rFonts w:hint="eastAsia" w:ascii="宋体" w:hAnsi="宋体" w:eastAsia="宋体" w:cs="宋体"/>
                <w:kern w:val="2"/>
                <w:sz w:val="24"/>
                <w:szCs w:val="24"/>
                <w:lang w:val="en-US" w:eastAsia="zh-CN" w:bidi="ar"/>
              </w:rPr>
              <w:t>本项目沥青罐区及危废</w:t>
            </w:r>
            <w:r>
              <w:rPr>
                <w:rFonts w:hint="eastAsia" w:ascii="宋体" w:hAnsi="宋体" w:cs="宋体"/>
                <w:kern w:val="2"/>
                <w:sz w:val="24"/>
                <w:szCs w:val="24"/>
                <w:lang w:val="en-US" w:eastAsia="zh-CN" w:bidi="ar"/>
              </w:rPr>
              <w:t>贮存库</w:t>
            </w:r>
            <w:r>
              <w:rPr>
                <w:rFonts w:hint="eastAsia" w:ascii="宋体" w:hAnsi="宋体" w:eastAsia="宋体" w:cs="宋体"/>
                <w:kern w:val="2"/>
                <w:sz w:val="24"/>
                <w:szCs w:val="24"/>
                <w:lang w:val="en-US" w:eastAsia="zh-CN" w:bidi="ar"/>
              </w:rPr>
              <w:t>均</w:t>
            </w:r>
            <w:r>
              <w:rPr>
                <w:rFonts w:hint="eastAsia" w:ascii="宋体" w:hAnsi="宋体" w:cs="宋体"/>
                <w:kern w:val="2"/>
                <w:sz w:val="24"/>
                <w:szCs w:val="24"/>
                <w:lang w:val="en-US" w:eastAsia="zh-CN" w:bidi="ar"/>
              </w:rPr>
              <w:t>采取</w:t>
            </w:r>
            <w:r>
              <w:rPr>
                <w:rFonts w:hint="eastAsia" w:ascii="宋体" w:hAnsi="宋体" w:eastAsia="宋体" w:cs="宋体"/>
                <w:kern w:val="2"/>
                <w:sz w:val="24"/>
                <w:szCs w:val="24"/>
                <w:lang w:val="en-US" w:eastAsia="zh-CN" w:bidi="ar"/>
              </w:rPr>
              <w:t>地面硬化防渗处理等措施，正常情况下不会对厂内及周边土壤产生污染，因此委托</w:t>
            </w:r>
            <w:r>
              <w:rPr>
                <w:rFonts w:hint="eastAsia" w:cs="宋体"/>
                <w:color w:val="000000" w:themeColor="text1"/>
                <w:sz w:val="24"/>
                <w:szCs w:val="24"/>
                <w:highlight w:val="none"/>
                <w:lang w:val="en-US" w:eastAsia="zh-CN"/>
                <w14:textFill>
                  <w14:solidFill>
                    <w14:schemeClr w14:val="tx1"/>
                  </w14:solidFill>
                </w14:textFill>
              </w:rPr>
              <w:t>陕西宸琉检测服务有限公司</w:t>
            </w:r>
            <w:r>
              <w:rPr>
                <w:rFonts w:hint="eastAsia" w:ascii="宋体" w:hAnsi="宋体" w:eastAsia="宋体" w:cs="宋体"/>
                <w:kern w:val="2"/>
                <w:sz w:val="24"/>
                <w:szCs w:val="24"/>
                <w:lang w:val="en-US" w:eastAsia="zh-CN" w:bidi="ar"/>
              </w:rPr>
              <w:t>对项目区范围内土壤环境质量进行监测，监测时间为</w:t>
            </w:r>
            <w:r>
              <w:rPr>
                <w:rFonts w:hint="default" w:ascii="Times New Roman" w:hAnsi="Times New Roman" w:eastAsia="宋体" w:cs="Times New Roman"/>
                <w:kern w:val="2"/>
                <w:sz w:val="24"/>
                <w:szCs w:val="24"/>
                <w:lang w:val="en-US" w:eastAsia="zh-CN" w:bidi="ar"/>
              </w:rPr>
              <w:t>202</w:t>
            </w:r>
            <w:r>
              <w:rPr>
                <w:rFonts w:hint="eastAsia" w:ascii="Times New Roman" w:hAnsi="Times New Roman" w:eastAsia="宋体" w:cs="Times New Roman"/>
                <w:kern w:val="2"/>
                <w:sz w:val="24"/>
                <w:szCs w:val="24"/>
                <w:lang w:val="en-US" w:eastAsia="zh-CN" w:bidi="ar"/>
              </w:rPr>
              <w:t>5</w:t>
            </w:r>
            <w:r>
              <w:rPr>
                <w:rFonts w:hint="eastAsia" w:ascii="宋体" w:hAnsi="宋体" w:eastAsia="宋体" w:cs="宋体"/>
                <w:kern w:val="2"/>
                <w:sz w:val="24"/>
                <w:szCs w:val="24"/>
                <w:lang w:val="en-US" w:eastAsia="zh-CN" w:bidi="ar"/>
              </w:rPr>
              <w:t>年</w:t>
            </w:r>
            <w:r>
              <w:rPr>
                <w:rFonts w:hint="eastAsia" w:ascii="Times New Roman" w:hAnsi="Times New Roman" w:eastAsia="宋体" w:cs="Times New Roman"/>
                <w:kern w:val="2"/>
                <w:sz w:val="24"/>
                <w:szCs w:val="24"/>
                <w:lang w:val="en-US" w:eastAsia="zh-CN" w:bidi="ar"/>
              </w:rPr>
              <w:t>3</w:t>
            </w:r>
            <w:r>
              <w:rPr>
                <w:rFonts w:hint="eastAsia" w:ascii="宋体" w:hAnsi="宋体" w:eastAsia="宋体" w:cs="宋体"/>
                <w:kern w:val="2"/>
                <w:sz w:val="24"/>
                <w:szCs w:val="24"/>
                <w:lang w:val="en-US" w:eastAsia="zh-CN" w:bidi="ar"/>
              </w:rPr>
              <w:t>月</w:t>
            </w:r>
            <w:r>
              <w:rPr>
                <w:rFonts w:hint="eastAsia" w:ascii="Times New Roman" w:hAnsi="Times New Roman" w:eastAsia="宋体" w:cs="Times New Roman"/>
                <w:kern w:val="2"/>
                <w:sz w:val="24"/>
                <w:szCs w:val="24"/>
                <w:lang w:val="en-US" w:eastAsia="zh-CN" w:bidi="ar"/>
              </w:rPr>
              <w:t>25</w:t>
            </w:r>
            <w:r>
              <w:rPr>
                <w:rFonts w:hint="eastAsia" w:ascii="宋体" w:hAnsi="宋体" w:eastAsia="宋体" w:cs="宋体"/>
                <w:kern w:val="2"/>
                <w:sz w:val="24"/>
                <w:szCs w:val="24"/>
                <w:lang w:val="en-US" w:eastAsia="zh-CN" w:bidi="ar"/>
              </w:rPr>
              <w:t>日，留作背景值。</w:t>
            </w:r>
          </w:p>
          <w:p w14:paraId="44AEDDB4">
            <w:pPr>
              <w:keepNext w:val="0"/>
              <w:keepLines w:val="0"/>
              <w:widowControl w:val="0"/>
              <w:suppressLineNumbers w:val="0"/>
              <w:spacing w:before="0" w:beforeAutospacing="0" w:after="0" w:afterAutospacing="0" w:line="360" w:lineRule="auto"/>
              <w:ind w:left="0" w:right="0" w:firstLine="422" w:firstLineChars="200"/>
              <w:jc w:val="center"/>
              <w:rPr>
                <w:rFonts w:hint="default" w:ascii="Times New Roman" w:hAnsi="Times New Roman" w:cs="Times New Roman"/>
                <w:kern w:val="2"/>
                <w:sz w:val="21"/>
                <w:szCs w:val="21"/>
              </w:rPr>
            </w:pPr>
            <w:r>
              <w:rPr>
                <w:rFonts w:hint="eastAsia" w:ascii="宋体" w:hAnsi="宋体" w:eastAsia="宋体" w:cs="宋体"/>
                <w:b/>
                <w:bCs w:val="0"/>
                <w:kern w:val="2"/>
                <w:sz w:val="21"/>
                <w:szCs w:val="21"/>
                <w:lang w:val="en-US" w:eastAsia="zh-CN" w:bidi="ar"/>
              </w:rPr>
              <w:t>表</w:t>
            </w:r>
            <w:r>
              <w:rPr>
                <w:rFonts w:hint="eastAsia" w:ascii="Times New Roman" w:hAnsi="Times New Roman" w:eastAsia="宋体" w:cs="Times New Roman"/>
                <w:b/>
                <w:bCs w:val="0"/>
                <w:kern w:val="2"/>
                <w:sz w:val="21"/>
                <w:szCs w:val="21"/>
                <w:lang w:val="en-US" w:eastAsia="zh-CN" w:bidi="ar"/>
              </w:rPr>
              <w:t>3-4</w:t>
            </w:r>
            <w:r>
              <w:rPr>
                <w:rFonts w:hint="eastAsia" w:ascii="Times New Roman" w:hAnsi="宋体" w:eastAsia="宋体" w:cs="宋体"/>
                <w:b/>
                <w:bCs w:val="0"/>
                <w:kern w:val="2"/>
                <w:sz w:val="21"/>
                <w:szCs w:val="21"/>
                <w:lang w:val="en-US" w:eastAsia="zh-CN" w:bidi="ar"/>
              </w:rPr>
              <w:t xml:space="preserve">  </w:t>
            </w:r>
            <w:r>
              <w:rPr>
                <w:rFonts w:hint="eastAsia" w:ascii="宋体" w:hAnsi="宋体" w:eastAsia="宋体" w:cs="宋体"/>
                <w:b/>
                <w:bCs w:val="0"/>
                <w:kern w:val="2"/>
                <w:sz w:val="21"/>
                <w:szCs w:val="21"/>
                <w:lang w:val="en-US" w:eastAsia="zh-CN" w:bidi="ar"/>
              </w:rPr>
              <w:t>占地范围内表层样土壤环境质量监测结果一览表</w:t>
            </w:r>
          </w:p>
          <w:tbl>
            <w:tblPr>
              <w:tblStyle w:val="41"/>
              <w:tblW w:w="8787" w:type="dxa"/>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762"/>
              <w:gridCol w:w="2067"/>
              <w:gridCol w:w="1397"/>
              <w:gridCol w:w="1285"/>
              <w:gridCol w:w="2186"/>
              <w:gridCol w:w="1090"/>
            </w:tblGrid>
            <w:tr w14:paraId="6CB09B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12" w:space="0"/>
                    <w:left w:val="single" w:color="auto" w:sz="12" w:space="0"/>
                    <w:bottom w:val="single" w:color="auto" w:sz="4" w:space="0"/>
                    <w:right w:val="single" w:color="auto" w:sz="4" w:space="0"/>
                  </w:tcBorders>
                  <w:shd w:val="clear" w:color="auto" w:fill="auto"/>
                  <w:vAlign w:val="center"/>
                </w:tcPr>
                <w:p w14:paraId="260B9081">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kern w:val="2"/>
                      <w:sz w:val="21"/>
                      <w:szCs w:val="21"/>
                    </w:rPr>
                  </w:pPr>
                  <w:r>
                    <w:rPr>
                      <w:rFonts w:hint="eastAsia" w:ascii="宋体" w:hAnsi="宋体" w:eastAsia="宋体" w:cs="宋体"/>
                      <w:kern w:val="2"/>
                      <w:sz w:val="21"/>
                      <w:szCs w:val="21"/>
                      <w:lang w:val="en-US" w:eastAsia="zh-CN" w:bidi="ar"/>
                    </w:rPr>
                    <w:t>序号</w:t>
                  </w:r>
                </w:p>
              </w:tc>
              <w:tc>
                <w:tcPr>
                  <w:tcW w:w="2067" w:type="dxa"/>
                  <w:tcBorders>
                    <w:top w:val="single" w:color="auto" w:sz="12" w:space="0"/>
                    <w:left w:val="single" w:color="auto" w:sz="4" w:space="0"/>
                    <w:bottom w:val="single" w:color="auto" w:sz="4" w:space="0"/>
                    <w:right w:val="single" w:color="auto" w:sz="4" w:space="0"/>
                  </w:tcBorders>
                  <w:shd w:val="clear" w:color="auto" w:fill="auto"/>
                  <w:vAlign w:val="center"/>
                </w:tcPr>
                <w:p w14:paraId="1E84818D">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kern w:val="2"/>
                      <w:sz w:val="21"/>
                      <w:szCs w:val="21"/>
                    </w:rPr>
                  </w:pPr>
                  <w:r>
                    <w:rPr>
                      <w:rFonts w:hint="eastAsia" w:ascii="宋体" w:hAnsi="宋体" w:eastAsia="宋体" w:cs="宋体"/>
                      <w:kern w:val="2"/>
                      <w:sz w:val="21"/>
                      <w:szCs w:val="21"/>
                      <w:lang w:val="en-US" w:eastAsia="zh-CN" w:bidi="ar"/>
                    </w:rPr>
                    <w:t>项目</w:t>
                  </w:r>
                </w:p>
              </w:tc>
              <w:tc>
                <w:tcPr>
                  <w:tcW w:w="1397" w:type="dxa"/>
                  <w:tcBorders>
                    <w:top w:val="single" w:color="auto" w:sz="12" w:space="0"/>
                    <w:left w:val="single" w:color="auto" w:sz="4" w:space="0"/>
                    <w:bottom w:val="single" w:color="auto" w:sz="4" w:space="0"/>
                    <w:right w:val="single" w:color="auto" w:sz="4" w:space="0"/>
                  </w:tcBorders>
                  <w:shd w:val="clear" w:color="auto" w:fill="auto"/>
                  <w:vAlign w:val="center"/>
                </w:tcPr>
                <w:p w14:paraId="6DC05902">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kern w:val="2"/>
                      <w:sz w:val="21"/>
                      <w:szCs w:val="21"/>
                    </w:rPr>
                  </w:pPr>
                  <w:r>
                    <w:rPr>
                      <w:rFonts w:hint="eastAsia" w:ascii="宋体" w:hAnsi="宋体" w:eastAsia="宋体" w:cs="宋体"/>
                      <w:kern w:val="2"/>
                      <w:sz w:val="21"/>
                      <w:szCs w:val="21"/>
                      <w:lang w:val="en-US" w:eastAsia="zh-CN" w:bidi="ar"/>
                    </w:rPr>
                    <w:t>单位</w:t>
                  </w:r>
                </w:p>
              </w:tc>
              <w:tc>
                <w:tcPr>
                  <w:tcW w:w="1285" w:type="dxa"/>
                  <w:tcBorders>
                    <w:top w:val="single" w:color="auto" w:sz="12" w:space="0"/>
                    <w:left w:val="single" w:color="auto" w:sz="4" w:space="0"/>
                    <w:bottom w:val="single" w:color="auto" w:sz="4" w:space="0"/>
                    <w:right w:val="single" w:color="auto" w:sz="4" w:space="0"/>
                  </w:tcBorders>
                  <w:shd w:val="clear" w:color="auto" w:fill="auto"/>
                  <w:vAlign w:val="center"/>
                </w:tcPr>
                <w:p w14:paraId="31A048AE">
                  <w:pPr>
                    <w:keepNext w:val="0"/>
                    <w:keepLines w:val="0"/>
                    <w:widowControl w:val="0"/>
                    <w:suppressLineNumbers w:val="0"/>
                    <w:autoSpaceDE w:val="0"/>
                    <w:autoSpaceDN w:val="0"/>
                    <w:adjustRightInd w:val="0"/>
                    <w:spacing w:before="0" w:beforeAutospacing="0" w:after="0" w:afterAutospacing="0"/>
                    <w:ind w:left="0" w:right="0"/>
                    <w:jc w:val="center"/>
                    <w:rPr>
                      <w:rFonts w:hint="eastAsia" w:ascii="Times New Roman" w:hAnsi="宋体" w:eastAsia="宋体" w:cs="宋体"/>
                      <w:kern w:val="2"/>
                      <w:sz w:val="21"/>
                      <w:szCs w:val="21"/>
                      <w:highlight w:val="none"/>
                    </w:rPr>
                  </w:pPr>
                  <w:r>
                    <w:rPr>
                      <w:rFonts w:hint="eastAsia" w:ascii="宋体" w:hAnsi="宋体" w:eastAsia="宋体" w:cs="宋体"/>
                      <w:kern w:val="2"/>
                      <w:sz w:val="21"/>
                      <w:szCs w:val="21"/>
                      <w:highlight w:val="none"/>
                      <w:lang w:val="en-US" w:eastAsia="zh-CN" w:bidi="ar"/>
                    </w:rPr>
                    <w:t>项目区</w:t>
                  </w:r>
                </w:p>
              </w:tc>
              <w:tc>
                <w:tcPr>
                  <w:tcW w:w="2186" w:type="dxa"/>
                  <w:tcBorders>
                    <w:top w:val="single" w:color="auto" w:sz="12" w:space="0"/>
                    <w:left w:val="single" w:color="auto" w:sz="4" w:space="0"/>
                    <w:bottom w:val="single" w:color="auto" w:sz="4" w:space="0"/>
                    <w:right w:val="single" w:color="auto" w:sz="4" w:space="0"/>
                  </w:tcBorders>
                  <w:shd w:val="clear" w:color="auto" w:fill="auto"/>
                  <w:vAlign w:val="center"/>
                </w:tcPr>
                <w:p w14:paraId="09193C11">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GB36600—2018</w:t>
                  </w:r>
                </w:p>
                <w:p w14:paraId="472CDC50">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kern w:val="2"/>
                      <w:sz w:val="21"/>
                      <w:szCs w:val="21"/>
                    </w:rPr>
                  </w:pPr>
                  <w:r>
                    <w:rPr>
                      <w:rFonts w:hint="eastAsia" w:ascii="宋体" w:hAnsi="宋体" w:eastAsia="宋体" w:cs="宋体"/>
                      <w:kern w:val="2"/>
                      <w:sz w:val="21"/>
                      <w:szCs w:val="21"/>
                      <w:lang w:val="en-US" w:eastAsia="zh-CN" w:bidi="ar"/>
                    </w:rPr>
                    <w:t>第二类用地筛选值</w:t>
                  </w:r>
                </w:p>
              </w:tc>
              <w:tc>
                <w:tcPr>
                  <w:tcW w:w="1090" w:type="dxa"/>
                  <w:tcBorders>
                    <w:top w:val="single" w:color="auto" w:sz="12" w:space="0"/>
                    <w:left w:val="single" w:color="auto" w:sz="4" w:space="0"/>
                    <w:bottom w:val="single" w:color="auto" w:sz="4" w:space="0"/>
                    <w:right w:val="single" w:color="auto" w:sz="12" w:space="0"/>
                  </w:tcBorders>
                  <w:shd w:val="clear" w:color="auto" w:fill="auto"/>
                  <w:vAlign w:val="center"/>
                </w:tcPr>
                <w:p w14:paraId="2F2CA2FC">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kern w:val="2"/>
                      <w:sz w:val="21"/>
                      <w:szCs w:val="21"/>
                    </w:rPr>
                  </w:pPr>
                  <w:r>
                    <w:rPr>
                      <w:rFonts w:hint="eastAsia" w:ascii="宋体" w:hAnsi="宋体" w:eastAsia="宋体" w:cs="宋体"/>
                      <w:kern w:val="2"/>
                      <w:sz w:val="21"/>
                      <w:szCs w:val="21"/>
                      <w:lang w:val="en-US" w:eastAsia="zh-CN" w:bidi="ar"/>
                    </w:rPr>
                    <w:t>达标</w:t>
                  </w:r>
                </w:p>
                <w:p w14:paraId="28431C74">
                  <w:pPr>
                    <w:keepNext w:val="0"/>
                    <w:keepLines w:val="0"/>
                    <w:widowControl w:val="0"/>
                    <w:suppressLineNumbers w:val="0"/>
                    <w:autoSpaceDE w:val="0"/>
                    <w:autoSpaceDN w:val="0"/>
                    <w:adjustRightInd w:val="0"/>
                    <w:spacing w:before="0" w:beforeAutospacing="0" w:after="0" w:afterAutospacing="0"/>
                    <w:ind w:left="0" w:right="0"/>
                    <w:jc w:val="center"/>
                    <w:rPr>
                      <w:rFonts w:hint="default" w:ascii="Times New Roman" w:hAnsi="Times New Roman" w:cs="Times New Roman"/>
                      <w:kern w:val="2"/>
                      <w:sz w:val="21"/>
                      <w:szCs w:val="21"/>
                    </w:rPr>
                  </w:pPr>
                  <w:r>
                    <w:rPr>
                      <w:rFonts w:hint="eastAsia" w:ascii="宋体" w:hAnsi="宋体" w:eastAsia="宋体" w:cs="宋体"/>
                      <w:kern w:val="2"/>
                      <w:sz w:val="21"/>
                      <w:szCs w:val="21"/>
                      <w:lang w:val="en-US" w:eastAsia="zh-CN" w:bidi="ar"/>
                    </w:rPr>
                    <w:t>分析</w:t>
                  </w:r>
                </w:p>
              </w:tc>
            </w:tr>
            <w:tr w14:paraId="49B382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238BD0AE">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1</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7A4089A7">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eastAsia" w:ascii="宋体" w:hAnsi="宋体" w:eastAsia="宋体" w:cs="宋体"/>
                      <w:kern w:val="2"/>
                      <w:sz w:val="21"/>
                      <w:szCs w:val="21"/>
                      <w:lang w:val="en-US" w:eastAsia="zh-CN" w:bidi="ar"/>
                    </w:rPr>
                    <w:t>镉</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0334ADAA">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99AD3B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rPr>
                  </w:pPr>
                  <w:r>
                    <w:rPr>
                      <w:rFonts w:hint="eastAsia" w:ascii="Times New Roman" w:hAnsi="Times New Roman" w:eastAsia="宋体" w:cs="Times New Roman"/>
                      <w:kern w:val="2"/>
                      <w:sz w:val="21"/>
                      <w:szCs w:val="21"/>
                      <w:highlight w:val="none"/>
                      <w:lang w:val="en-US" w:eastAsia="zh-CN" w:bidi="ar"/>
                    </w:rPr>
                    <w:t>0.08</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7D5852A7">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highlight w:val="none"/>
                    </w:rPr>
                  </w:pPr>
                  <w:r>
                    <w:rPr>
                      <w:rFonts w:hint="default" w:ascii="Times New Roman" w:hAnsi="Times New Roman" w:eastAsia="宋体" w:cs="Times New Roman"/>
                      <w:bCs/>
                      <w:kern w:val="2"/>
                      <w:sz w:val="21"/>
                      <w:szCs w:val="21"/>
                      <w:highlight w:val="none"/>
                      <w:lang w:val="en-US" w:eastAsia="zh-CN" w:bidi="ar"/>
                    </w:rPr>
                    <w:t>65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37FBADF7">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6DE51FA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21232557">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2</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CEBE9A8">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eastAsia" w:ascii="宋体" w:hAnsi="宋体" w:eastAsia="宋体" w:cs="宋体"/>
                      <w:kern w:val="2"/>
                      <w:sz w:val="21"/>
                      <w:szCs w:val="21"/>
                      <w:lang w:val="en-US" w:eastAsia="zh-CN" w:bidi="ar"/>
                    </w:rPr>
                    <w:t>汞</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2620B152">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6076B9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rPr>
                  </w:pPr>
                  <w:r>
                    <w:rPr>
                      <w:rFonts w:hint="eastAsia" w:ascii="Times New Roman" w:hAnsi="Times New Roman" w:eastAsia="宋体" w:cs="Times New Roman"/>
                      <w:kern w:val="2"/>
                      <w:sz w:val="21"/>
                      <w:szCs w:val="21"/>
                      <w:highlight w:val="none"/>
                      <w:lang w:val="en-US" w:eastAsia="zh-CN" w:bidi="ar"/>
                    </w:rPr>
                    <w:t>0.142</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1B604B33">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highlight w:val="none"/>
                    </w:rPr>
                  </w:pPr>
                  <w:r>
                    <w:rPr>
                      <w:rFonts w:hint="default" w:ascii="Times New Roman" w:hAnsi="Times New Roman" w:eastAsia="宋体" w:cs="Times New Roman"/>
                      <w:bCs/>
                      <w:kern w:val="2"/>
                      <w:sz w:val="21"/>
                      <w:szCs w:val="21"/>
                      <w:highlight w:val="none"/>
                      <w:lang w:val="en-US" w:eastAsia="zh-CN" w:bidi="ar"/>
                    </w:rPr>
                    <w:t>38</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56D42D3E">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338F4FA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2A0254DA">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3</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395EBB28">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eastAsia" w:ascii="宋体" w:hAnsi="宋体" w:eastAsia="宋体" w:cs="宋体"/>
                      <w:kern w:val="2"/>
                      <w:sz w:val="21"/>
                      <w:szCs w:val="21"/>
                      <w:lang w:val="en-US" w:eastAsia="zh-CN" w:bidi="ar"/>
                    </w:rPr>
                    <w:t>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61CD0B90">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4846564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rPr>
                  </w:pPr>
                  <w:r>
                    <w:rPr>
                      <w:rFonts w:hint="eastAsia" w:ascii="Times New Roman" w:hAnsi="Times New Roman" w:eastAsia="宋体" w:cs="Times New Roman"/>
                      <w:kern w:val="2"/>
                      <w:sz w:val="21"/>
                      <w:szCs w:val="21"/>
                      <w:highlight w:val="none"/>
                      <w:lang w:val="en-US" w:eastAsia="zh-CN" w:bidi="ar"/>
                    </w:rPr>
                    <w:t>8.75</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08C369C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highlight w:val="none"/>
                    </w:rPr>
                  </w:pPr>
                  <w:r>
                    <w:rPr>
                      <w:rFonts w:hint="default" w:ascii="Times New Roman" w:hAnsi="Times New Roman" w:eastAsia="宋体" w:cs="Times New Roman"/>
                      <w:bCs/>
                      <w:kern w:val="2"/>
                      <w:sz w:val="21"/>
                      <w:szCs w:val="21"/>
                      <w:highlight w:val="none"/>
                      <w:lang w:val="en-US" w:eastAsia="zh-CN" w:bidi="ar"/>
                    </w:rPr>
                    <w:t>60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7E6BBF5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346187F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025597A7">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4</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93D04AC">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eastAsia" w:ascii="宋体" w:hAnsi="宋体" w:eastAsia="宋体" w:cs="宋体"/>
                      <w:kern w:val="2"/>
                      <w:sz w:val="21"/>
                      <w:szCs w:val="21"/>
                      <w:lang w:val="en-US" w:eastAsia="zh-CN" w:bidi="ar"/>
                    </w:rPr>
                    <w:t>铅</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6DDF4899">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1E64DA9A">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rPr>
                  </w:pPr>
                  <w:r>
                    <w:rPr>
                      <w:rFonts w:hint="eastAsia" w:ascii="Times New Roman" w:hAnsi="Times New Roman" w:eastAsia="宋体" w:cs="Times New Roman"/>
                      <w:kern w:val="2"/>
                      <w:sz w:val="21"/>
                      <w:szCs w:val="21"/>
                      <w:highlight w:val="none"/>
                      <w:lang w:val="en-US" w:eastAsia="zh-CN" w:bidi="ar"/>
                    </w:rPr>
                    <w:t>58</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2ECA2EB6">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highlight w:val="none"/>
                    </w:rPr>
                  </w:pPr>
                  <w:r>
                    <w:rPr>
                      <w:rFonts w:hint="default" w:ascii="Times New Roman" w:hAnsi="Times New Roman" w:eastAsia="宋体" w:cs="Times New Roman"/>
                      <w:bCs/>
                      <w:kern w:val="2"/>
                      <w:sz w:val="21"/>
                      <w:szCs w:val="21"/>
                      <w:highlight w:val="none"/>
                      <w:lang w:val="en-US" w:eastAsia="zh-CN" w:bidi="ar"/>
                    </w:rPr>
                    <w:t>800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0900BF35">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3DB5680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458F9C1B">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5</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68672273">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lang w:val="en-US" w:eastAsia="zh-CN" w:bidi="ar"/>
                    </w:rPr>
                    <w:t>六价铬</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0C59A438">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B0324F2">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rPr>
                  </w:pPr>
                  <w:r>
                    <w:rPr>
                      <w:rFonts w:hint="eastAsia" w:ascii="Times New Roman" w:hAnsi="Times New Roman" w:eastAsia="宋体" w:cs="Times New Roman"/>
                      <w:kern w:val="2"/>
                      <w:sz w:val="21"/>
                      <w:szCs w:val="21"/>
                      <w:highlight w:val="none"/>
                      <w:lang w:val="en-US" w:eastAsia="zh-CN" w:bidi="ar"/>
                    </w:rPr>
                    <w:t>0.5ND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48839AA9">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highlight w:val="none"/>
                    </w:rPr>
                  </w:pPr>
                  <w:r>
                    <w:rPr>
                      <w:rFonts w:hint="default" w:ascii="Times New Roman" w:hAnsi="Times New Roman" w:eastAsia="宋体" w:cs="Times New Roman"/>
                      <w:bCs/>
                      <w:kern w:val="2"/>
                      <w:sz w:val="21"/>
                      <w:szCs w:val="21"/>
                      <w:highlight w:val="none"/>
                      <w:lang w:val="en-US" w:eastAsia="zh-CN" w:bidi="ar"/>
                    </w:rPr>
                    <w:t>5.7</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48EE0FE6">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5F841DC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4A2510A8">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6</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0A9DC224">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eastAsia" w:ascii="宋体" w:hAnsi="宋体" w:eastAsia="宋体" w:cs="宋体"/>
                      <w:kern w:val="2"/>
                      <w:sz w:val="21"/>
                      <w:szCs w:val="21"/>
                      <w:lang w:val="en-US" w:eastAsia="zh-CN" w:bidi="ar"/>
                    </w:rPr>
                    <w:t>铜</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83E055F">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8ADFA6C">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rPr>
                  </w:pPr>
                  <w:r>
                    <w:rPr>
                      <w:rFonts w:hint="eastAsia" w:ascii="Times New Roman" w:hAnsi="Times New Roman" w:eastAsia="宋体" w:cs="Times New Roman"/>
                      <w:kern w:val="2"/>
                      <w:sz w:val="21"/>
                      <w:szCs w:val="21"/>
                      <w:highlight w:val="none"/>
                      <w:lang w:val="en-US" w:eastAsia="zh-CN" w:bidi="ar"/>
                    </w:rPr>
                    <w:t>24</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4A8A7705">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highlight w:val="none"/>
                    </w:rPr>
                  </w:pPr>
                  <w:r>
                    <w:rPr>
                      <w:rFonts w:hint="default" w:ascii="Times New Roman" w:hAnsi="Times New Roman" w:eastAsia="宋体" w:cs="Times New Roman"/>
                      <w:bCs/>
                      <w:kern w:val="2"/>
                      <w:sz w:val="21"/>
                      <w:szCs w:val="21"/>
                      <w:highlight w:val="none"/>
                      <w:lang w:val="en-US" w:eastAsia="zh-CN" w:bidi="ar"/>
                    </w:rPr>
                    <w:t>18000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72A5C47">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34762F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03A62A2C">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7</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663BC721">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eastAsia" w:ascii="宋体" w:hAnsi="宋体" w:eastAsia="宋体" w:cs="宋体"/>
                      <w:kern w:val="2"/>
                      <w:sz w:val="21"/>
                      <w:szCs w:val="21"/>
                      <w:lang w:val="en-US" w:eastAsia="zh-CN" w:bidi="ar"/>
                    </w:rPr>
                    <w:t>镍</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4072737F">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5D71C1B8">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rPr>
                  </w:pPr>
                  <w:r>
                    <w:rPr>
                      <w:rFonts w:hint="eastAsia" w:ascii="Times New Roman" w:hAnsi="Times New Roman" w:eastAsia="宋体" w:cs="Times New Roman"/>
                      <w:kern w:val="2"/>
                      <w:sz w:val="21"/>
                      <w:szCs w:val="21"/>
                      <w:highlight w:val="none"/>
                      <w:lang w:val="en-US" w:eastAsia="zh-CN" w:bidi="ar"/>
                    </w:rPr>
                    <w:t>11</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30EF48DE">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highlight w:val="none"/>
                    </w:rPr>
                  </w:pPr>
                  <w:r>
                    <w:rPr>
                      <w:rFonts w:hint="default" w:ascii="Times New Roman" w:hAnsi="Times New Roman" w:eastAsia="宋体" w:cs="Times New Roman"/>
                      <w:bCs/>
                      <w:kern w:val="2"/>
                      <w:sz w:val="21"/>
                      <w:szCs w:val="21"/>
                      <w:highlight w:val="none"/>
                      <w:lang w:val="en-US" w:eastAsia="zh-CN" w:bidi="ar"/>
                    </w:rPr>
                    <w:t>900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580A094">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24FBA77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5C105D3F">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8</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535BFCD3">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w:t>
                  </w:r>
                  <w:r>
                    <w:rPr>
                      <w:rFonts w:hint="eastAsia" w:ascii="宋体" w:hAnsi="宋体" w:eastAsia="宋体" w:cs="宋体"/>
                      <w:kern w:val="2"/>
                      <w:sz w:val="21"/>
                      <w:szCs w:val="21"/>
                      <w:lang w:val="en-US" w:eastAsia="zh-CN" w:bidi="ar"/>
                    </w:rPr>
                    <w:t>氯甲烷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78583BA9">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45F3A588">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1.0×10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31588883">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37</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536EEEEF">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0A747D9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0B14F69F">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9</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61FEBB55">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w:t>
                  </w:r>
                  <w:r>
                    <w:rPr>
                      <w:rFonts w:hint="eastAsia" w:ascii="宋体" w:hAnsi="宋体" w:eastAsia="宋体" w:cs="宋体"/>
                      <w:kern w:val="2"/>
                      <w:sz w:val="21"/>
                      <w:szCs w:val="21"/>
                      <w:lang w:val="en-US" w:eastAsia="zh-CN" w:bidi="ar"/>
                    </w:rPr>
                    <w:t>氯乙烯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4BCCC233">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1C901C4">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1.0×10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6E6FFE8E">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0.43</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15BE24D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4BD5D75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2E634E91">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10</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088AED7F">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*1,1-</w:t>
                  </w:r>
                  <w:r>
                    <w:rPr>
                      <w:rFonts w:hint="eastAsia" w:ascii="宋体" w:hAnsi="宋体" w:eastAsia="宋体" w:cs="宋体"/>
                      <w:kern w:val="2"/>
                      <w:sz w:val="21"/>
                      <w:szCs w:val="21"/>
                      <w:lang w:val="en-US" w:eastAsia="zh-CN" w:bidi="ar"/>
                    </w:rPr>
                    <w:t>二氯乙烯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76FF6F29">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5E628771">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1.2×10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4EB3F1C3">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eastAsia="宋体" w:cs="Times New Roman"/>
                      <w:bCs/>
                      <w:kern w:val="2"/>
                      <w:sz w:val="21"/>
                      <w:szCs w:val="21"/>
                    </w:rPr>
                  </w:pPr>
                  <w:r>
                    <w:rPr>
                      <w:rFonts w:hint="default" w:ascii="Times New Roman" w:hAnsi="Times New Roman" w:eastAsia="宋体" w:cs="Times New Roman"/>
                      <w:bCs/>
                      <w:kern w:val="2"/>
                      <w:sz w:val="21"/>
                      <w:szCs w:val="21"/>
                      <w:lang w:val="en-US" w:eastAsia="zh-CN" w:bidi="ar"/>
                    </w:rPr>
                    <w:t>66</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97CC983">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5F5D82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161A6EC1">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11</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3DD20E6C">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w:t>
                  </w:r>
                  <w:r>
                    <w:rPr>
                      <w:rFonts w:hint="eastAsia" w:ascii="宋体" w:hAnsi="宋体" w:eastAsia="宋体" w:cs="宋体"/>
                      <w:kern w:val="2"/>
                      <w:sz w:val="21"/>
                      <w:szCs w:val="21"/>
                      <w:lang w:val="en-US" w:eastAsia="zh-CN" w:bidi="ar"/>
                    </w:rPr>
                    <w:t>二氯甲烷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73126C16">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7C5EE74">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1.5×10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166524D4">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616</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482AE3C0">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0C4B3B5E">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61C78208">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12</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1C4B8C4B">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反式</w:t>
                  </w:r>
                  <w:r>
                    <w:rPr>
                      <w:rFonts w:hint="default" w:ascii="Times New Roman" w:hAnsi="Times New Roman" w:eastAsia="宋体" w:cs="Times New Roman"/>
                      <w:kern w:val="2"/>
                      <w:sz w:val="21"/>
                      <w:szCs w:val="21"/>
                      <w:highlight w:val="none"/>
                      <w:lang w:val="en-US" w:eastAsia="zh-CN" w:bidi="ar"/>
                    </w:rPr>
                    <w:t>-1,2-</w:t>
                  </w:r>
                  <w:r>
                    <w:rPr>
                      <w:rFonts w:hint="eastAsia" w:ascii="宋体" w:hAnsi="宋体" w:eastAsia="宋体" w:cs="宋体"/>
                      <w:kern w:val="2"/>
                      <w:sz w:val="21"/>
                      <w:szCs w:val="21"/>
                      <w:highlight w:val="none"/>
                      <w:lang w:val="en-US" w:eastAsia="zh-CN" w:bidi="ar"/>
                    </w:rPr>
                    <w:t>二氯乙烯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0FD11E12">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7E2D038">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1.4×10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45A6E0C0">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54</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7A8239BE">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33EB74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49A3ED12">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13</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2E9D4879">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*1,1-</w:t>
                  </w:r>
                  <w:r>
                    <w:rPr>
                      <w:rFonts w:hint="eastAsia" w:ascii="宋体" w:hAnsi="宋体" w:eastAsia="宋体" w:cs="宋体"/>
                      <w:kern w:val="2"/>
                      <w:sz w:val="21"/>
                      <w:szCs w:val="21"/>
                      <w:highlight w:val="none"/>
                      <w:lang w:val="en-US" w:eastAsia="zh-CN" w:bidi="ar"/>
                    </w:rPr>
                    <w:t>二氯乙烷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7162E0A">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167F6EB3">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1.2×10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2109523E">
                  <w:pPr>
                    <w:keepNext w:val="0"/>
                    <w:keepLines w:val="0"/>
                    <w:widowControl w:val="0"/>
                    <w:suppressLineNumbers w:val="0"/>
                    <w:tabs>
                      <w:tab w:val="left" w:pos="3750"/>
                    </w:tabs>
                    <w:spacing w:before="0" w:beforeAutospacing="0" w:after="0" w:afterAutospacing="0"/>
                    <w:ind w:left="0" w:right="0"/>
                    <w:jc w:val="center"/>
                    <w:rPr>
                      <w:rFonts w:hint="eastAsia" w:ascii="Times New Roman" w:hAnsi="宋体" w:eastAsia="宋体" w:cs="宋体"/>
                      <w:bCs/>
                      <w:kern w:val="2"/>
                      <w:sz w:val="21"/>
                      <w:szCs w:val="21"/>
                    </w:rPr>
                  </w:pPr>
                  <w:r>
                    <w:rPr>
                      <w:rFonts w:hint="default" w:ascii="Times New Roman" w:hAnsi="Times New Roman" w:eastAsia="宋体" w:cs="Times New Roman"/>
                      <w:bCs/>
                      <w:kern w:val="2"/>
                      <w:sz w:val="21"/>
                      <w:szCs w:val="21"/>
                      <w:lang w:val="en-US" w:eastAsia="zh-CN" w:bidi="ar"/>
                    </w:rPr>
                    <w:t>9</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30BD40EB">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2038B92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53BC25CB">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14</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12B52F1C">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顺式</w:t>
                  </w:r>
                  <w:r>
                    <w:rPr>
                      <w:rFonts w:hint="default" w:ascii="Times New Roman" w:hAnsi="Times New Roman" w:eastAsia="宋体" w:cs="Times New Roman"/>
                      <w:kern w:val="2"/>
                      <w:sz w:val="21"/>
                      <w:szCs w:val="21"/>
                      <w:highlight w:val="none"/>
                      <w:lang w:val="en-US" w:eastAsia="zh-CN" w:bidi="ar"/>
                    </w:rPr>
                    <w:t>-1,2-</w:t>
                  </w:r>
                  <w:r>
                    <w:rPr>
                      <w:rFonts w:hint="eastAsia" w:ascii="宋体" w:hAnsi="宋体" w:eastAsia="宋体" w:cs="宋体"/>
                      <w:kern w:val="2"/>
                      <w:sz w:val="21"/>
                      <w:szCs w:val="21"/>
                      <w:highlight w:val="none"/>
                      <w:lang w:val="en-US" w:eastAsia="zh-CN" w:bidi="ar"/>
                    </w:rPr>
                    <w:t>二氯乙烯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4303D30E">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9A3DABB">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1.3×10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7923A467">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596</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0E47B414">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771424B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61B19A5D">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15</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2A8A9D29">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氯仿</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08330CB">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4DFD073">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1.1×10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175FC914">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eastAsia="宋体" w:cs="Times New Roman"/>
                      <w:bCs/>
                      <w:kern w:val="2"/>
                      <w:sz w:val="21"/>
                      <w:szCs w:val="21"/>
                    </w:rPr>
                  </w:pPr>
                  <w:r>
                    <w:rPr>
                      <w:rFonts w:hint="default" w:ascii="Times New Roman" w:hAnsi="Times New Roman" w:eastAsia="宋体" w:cs="Times New Roman"/>
                      <w:bCs/>
                      <w:kern w:val="2"/>
                      <w:sz w:val="21"/>
                      <w:szCs w:val="21"/>
                      <w:lang w:val="en-US" w:eastAsia="zh-CN" w:bidi="ar"/>
                    </w:rPr>
                    <w:t>0.9</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79BD79A0">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7CAD538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5F913DA9">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16</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A66626E">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*1,1,1-</w:t>
                  </w:r>
                  <w:r>
                    <w:rPr>
                      <w:rFonts w:hint="eastAsia" w:ascii="宋体" w:hAnsi="宋体" w:eastAsia="宋体" w:cs="宋体"/>
                      <w:kern w:val="2"/>
                      <w:sz w:val="21"/>
                      <w:szCs w:val="21"/>
                      <w:highlight w:val="none"/>
                      <w:lang w:val="en-US" w:eastAsia="zh-CN" w:bidi="ar"/>
                    </w:rPr>
                    <w:t>三氯乙烷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59D02119">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D3208F6">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1.3×10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6F4A8521">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840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669AB795">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7B7D9403">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79C6FF03">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17</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31217878">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四氯化碳</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0C1B65D9">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0536D185">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1.3×10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45079F99">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2.8</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1AD1A891">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4EA7DD1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7AF9D4A8">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18</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65B98F2">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50AAAAA0">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17379255">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1.9×10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63E585EA">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4</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4D0BE194">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36F2541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0ACA41D4">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19</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0D80BA9">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*1,2-</w:t>
                  </w:r>
                  <w:r>
                    <w:rPr>
                      <w:rFonts w:hint="eastAsia" w:ascii="宋体" w:hAnsi="宋体" w:eastAsia="宋体" w:cs="宋体"/>
                      <w:kern w:val="2"/>
                      <w:sz w:val="21"/>
                      <w:szCs w:val="21"/>
                      <w:highlight w:val="none"/>
                      <w:lang w:val="en-US" w:eastAsia="zh-CN" w:bidi="ar"/>
                    </w:rPr>
                    <w:t>二氯乙烷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525BFC67">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4B1813A6">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1.1×10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7F1313E1">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68F6483E">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45F62B2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3896C50E">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20</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3CD0DB7E">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三氯乙烯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3C0C94AC">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009E43D8">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1.2×10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5A2B435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2.8</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143707E5">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60BCC0A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71EB1A64">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21</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17AA5334">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*1,2-</w:t>
                  </w:r>
                  <w:r>
                    <w:rPr>
                      <w:rFonts w:hint="eastAsia" w:ascii="宋体" w:hAnsi="宋体" w:eastAsia="宋体" w:cs="宋体"/>
                      <w:kern w:val="2"/>
                      <w:sz w:val="21"/>
                      <w:szCs w:val="21"/>
                      <w:highlight w:val="none"/>
                      <w:lang w:val="en-US" w:eastAsia="zh-CN" w:bidi="ar"/>
                    </w:rPr>
                    <w:t>二氯丙烷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44A506C2">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1D57BA57">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1.1×10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74D422F6">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16318F72">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79C1B65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4EB313DB">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22</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0BD64B26">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甲苯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336FD545">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DE0287F">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1.3×10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58B66A2A">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1200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17604F95">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638A895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0479B569">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23</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7FB8A4F7">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*1,1,2-</w:t>
                  </w:r>
                  <w:r>
                    <w:rPr>
                      <w:rFonts w:hint="eastAsia" w:ascii="宋体" w:hAnsi="宋体" w:eastAsia="宋体" w:cs="宋体"/>
                      <w:kern w:val="2"/>
                      <w:sz w:val="21"/>
                      <w:szCs w:val="21"/>
                      <w:highlight w:val="none"/>
                      <w:lang w:val="en-US" w:eastAsia="zh-CN" w:bidi="ar"/>
                    </w:rPr>
                    <w:t>三氯乙烷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5EC5C404">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6D31D82">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1.2×10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164D5E01">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2.8</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53FBA120">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7934965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6E5A0807">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24</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7AB9E09">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四氯乙烯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31B6C1A9">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0C94079">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1.4×10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52E4A2FB">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53</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14FFF557">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56AF8DBA">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30C51D99">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25</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0E69260A">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氯苯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2C6BF905">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4A4FF64C">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1.2×10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4A5EFD5A">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270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7681A25A">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3CC7255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1E757B7A">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26</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242B7F19">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*1,1,1,2-</w:t>
                  </w:r>
                  <w:r>
                    <w:rPr>
                      <w:rFonts w:hint="eastAsia" w:ascii="宋体" w:hAnsi="宋体" w:eastAsia="宋体" w:cs="宋体"/>
                      <w:kern w:val="2"/>
                      <w:sz w:val="21"/>
                      <w:szCs w:val="21"/>
                      <w:highlight w:val="none"/>
                      <w:lang w:val="en-US" w:eastAsia="zh-CN" w:bidi="ar"/>
                    </w:rPr>
                    <w:t>四氯乙烷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3E430ACE">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7751E0A">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1.2×10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0CFB25AB">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10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5A9F6F57">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31F6C810">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13137657">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27</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6D585B87">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乙苯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759A595D">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652DD81">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1.2×10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2D960E0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28</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712AC4B8">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4A628006">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125B73D3">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28</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6970444A">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间，对二甲苯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DEFA695">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4F3F3D51">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1.2×10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24454C40">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570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4745557A">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55B82E19">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2A0C3D0E">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29</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20CC03DB">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邻二甲苯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5EC3565A">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0AE3E839">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1.2×10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03FDD7B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640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F12F411">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1A1F8F8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086D7643">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30</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0CE97FF">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苯乙烯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ADB9863">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4B1855D6">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1.1×10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3C8EC798">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1290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15B271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03348F9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72042A79">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31</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10464D79">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*1,1,2,2-</w:t>
                  </w:r>
                  <w:r>
                    <w:rPr>
                      <w:rFonts w:hint="eastAsia" w:ascii="宋体" w:hAnsi="宋体" w:eastAsia="宋体" w:cs="宋体"/>
                      <w:kern w:val="2"/>
                      <w:sz w:val="21"/>
                      <w:szCs w:val="21"/>
                      <w:highlight w:val="none"/>
                      <w:lang w:val="en-US" w:eastAsia="zh-CN" w:bidi="ar"/>
                    </w:rPr>
                    <w:t>四氯乙烷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25613BAF">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4956F4D8">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1.2×10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3E112072">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6.8</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0D9BF3DB">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37178A9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277DB88D">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32</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272B5F54">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*1,2,3-</w:t>
                  </w:r>
                  <w:r>
                    <w:rPr>
                      <w:rFonts w:hint="eastAsia" w:ascii="宋体" w:hAnsi="宋体" w:eastAsia="宋体" w:cs="宋体"/>
                      <w:kern w:val="2"/>
                      <w:sz w:val="21"/>
                      <w:szCs w:val="21"/>
                      <w:highlight w:val="none"/>
                      <w:lang w:val="en-US" w:eastAsia="zh-CN" w:bidi="ar"/>
                    </w:rPr>
                    <w:t>三氯丙烷</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30388C95">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462AA51">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1.2×10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776FD9D9">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0.5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753A6E35">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63203761">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2A898B63">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33</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3859C000">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*1,4-</w:t>
                  </w:r>
                  <w:r>
                    <w:rPr>
                      <w:rFonts w:hint="eastAsia" w:ascii="宋体" w:hAnsi="宋体" w:eastAsia="宋体" w:cs="宋体"/>
                      <w:kern w:val="2"/>
                      <w:sz w:val="21"/>
                      <w:szCs w:val="21"/>
                      <w:highlight w:val="none"/>
                      <w:lang w:val="en-US" w:eastAsia="zh-CN" w:bidi="ar"/>
                    </w:rPr>
                    <w:t>二氯苯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26EAA99A">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64C2599A">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1.5×10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5EC3DA4C">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20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599D9B8C">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79997FF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4DBF2B7C">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34</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32EAFAE3">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*1,2-</w:t>
                  </w:r>
                  <w:r>
                    <w:rPr>
                      <w:rFonts w:hint="eastAsia" w:ascii="宋体" w:hAnsi="宋体" w:eastAsia="宋体" w:cs="宋体"/>
                      <w:kern w:val="2"/>
                      <w:sz w:val="21"/>
                      <w:szCs w:val="21"/>
                      <w:highlight w:val="none"/>
                      <w:lang w:val="en-US" w:eastAsia="zh-CN" w:bidi="ar"/>
                    </w:rPr>
                    <w:t>二氯苯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8DD10F5">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0EDE6FDB">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0"/>
                      <w:sz w:val="21"/>
                      <w:szCs w:val="21"/>
                      <w:highlight w:val="none"/>
                      <w:lang w:val="en-US" w:eastAsia="zh-CN" w:bidi="ar"/>
                    </w:rPr>
                    <w:t>1.5×10</w:t>
                  </w:r>
                  <w:r>
                    <w:rPr>
                      <w:rFonts w:hint="default" w:ascii="Times New Roman" w:hAnsi="Times New Roman" w:eastAsia="宋体" w:cs="Times New Roman"/>
                      <w:kern w:val="0"/>
                      <w:sz w:val="21"/>
                      <w:szCs w:val="21"/>
                      <w:highlight w:val="none"/>
                      <w:vertAlign w:val="superscript"/>
                      <w:lang w:val="en-US" w:eastAsia="zh-CN" w:bidi="ar"/>
                    </w:rPr>
                    <w:t>-3</w:t>
                  </w:r>
                  <w:r>
                    <w:rPr>
                      <w:rFonts w:hint="default" w:ascii="Times New Roman" w:hAnsi="Times New Roman" w:eastAsia="宋体" w:cs="Times New Roman"/>
                      <w:kern w:val="0"/>
                      <w:sz w:val="21"/>
                      <w:szCs w:val="21"/>
                      <w:highlight w:val="none"/>
                      <w:lang w:val="en-US" w:eastAsia="zh-CN" w:bidi="ar"/>
                    </w:rPr>
                    <w:t>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5A564136">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560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33A5CF0F">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69AD14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1C505925">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35</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03AD15C2">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*2-</w:t>
                  </w:r>
                  <w:r>
                    <w:rPr>
                      <w:rFonts w:hint="eastAsia" w:ascii="宋体" w:hAnsi="宋体" w:eastAsia="宋体" w:cs="宋体"/>
                      <w:kern w:val="2"/>
                      <w:sz w:val="21"/>
                      <w:szCs w:val="21"/>
                      <w:highlight w:val="none"/>
                      <w:lang w:val="en-US" w:eastAsia="zh-CN" w:bidi="ar"/>
                    </w:rPr>
                    <w:t>氯酚</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3791BF29">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077D69EA">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0.06ND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1A2A57EC">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eastAsia="宋体" w:cs="Times New Roman"/>
                      <w:bCs/>
                      <w:kern w:val="2"/>
                      <w:sz w:val="21"/>
                      <w:szCs w:val="21"/>
                    </w:rPr>
                  </w:pPr>
                  <w:r>
                    <w:rPr>
                      <w:rFonts w:hint="default" w:ascii="Times New Roman" w:hAnsi="Times New Roman" w:eastAsia="宋体" w:cs="Times New Roman"/>
                      <w:bCs/>
                      <w:kern w:val="2"/>
                      <w:sz w:val="21"/>
                      <w:szCs w:val="21"/>
                      <w:lang w:val="en-US" w:eastAsia="zh-CN" w:bidi="ar"/>
                    </w:rPr>
                    <w:t>2256</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230F92B">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0553C34D">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6AA7A903">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36</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05EAA40">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硝基苯</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631D7BBD">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3FAF00E0">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0.09ND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26B76FB8">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76</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804146A">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25C9BD2F">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55E0EF6C">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37</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6A1C91D0">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萘</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2C3AF508">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6A0888B">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0.09ND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09F28D06">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70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48C5D266">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357D7AC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11218DAE">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38</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4911F64D">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苯并</w:t>
                  </w:r>
                  <w:r>
                    <w:rPr>
                      <w:rFonts w:hint="default" w:ascii="Times New Roman" w:hAnsi="Times New Roman" w:eastAsia="宋体" w:cs="Times New Roman"/>
                      <w:kern w:val="2"/>
                      <w:sz w:val="21"/>
                      <w:szCs w:val="21"/>
                      <w:highlight w:val="none"/>
                      <w:lang w:val="en-US" w:eastAsia="zh-CN" w:bidi="ar"/>
                    </w:rPr>
                    <w:t>[a]</w:t>
                  </w:r>
                  <w:r>
                    <w:rPr>
                      <w:rFonts w:hint="eastAsia" w:ascii="宋体" w:hAnsi="宋体" w:eastAsia="宋体" w:cs="宋体"/>
                      <w:kern w:val="2"/>
                      <w:sz w:val="21"/>
                      <w:szCs w:val="21"/>
                      <w:highlight w:val="none"/>
                      <w:lang w:val="en-US" w:eastAsia="zh-CN" w:bidi="ar"/>
                    </w:rPr>
                    <w:t>蒽</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338DF12E">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56B4F49">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0.10ND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5CC40243">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15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0BB5935E">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3708D90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575FCCB8">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39</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7E1DDE03">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䓛</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596A336">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A4308FE">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0.10ND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5B86A60F">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1293</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79CABB2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5D2547DB">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15357599">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40</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6D58CC4F">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苯并</w:t>
                  </w:r>
                  <w:r>
                    <w:rPr>
                      <w:rFonts w:hint="default" w:ascii="Times New Roman" w:hAnsi="Times New Roman" w:eastAsia="宋体" w:cs="Times New Roman"/>
                      <w:kern w:val="2"/>
                      <w:sz w:val="21"/>
                      <w:szCs w:val="21"/>
                      <w:highlight w:val="none"/>
                      <w:lang w:val="en-US" w:eastAsia="zh-CN" w:bidi="ar"/>
                    </w:rPr>
                    <w:t>[b]</w:t>
                  </w:r>
                  <w:r>
                    <w:rPr>
                      <w:rFonts w:hint="eastAsia" w:ascii="宋体" w:hAnsi="宋体" w:eastAsia="宋体" w:cs="宋体"/>
                      <w:kern w:val="2"/>
                      <w:sz w:val="21"/>
                      <w:szCs w:val="21"/>
                      <w:highlight w:val="none"/>
                      <w:lang w:val="en-US" w:eastAsia="zh-CN" w:bidi="ar"/>
                    </w:rPr>
                    <w:t>荧蒽</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A14ABC3">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14179F5C">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0.10ND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38E7C206">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15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016852AE">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78002302">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6DEC04A8">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41</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5D62D5AF">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苯并</w:t>
                  </w:r>
                  <w:r>
                    <w:rPr>
                      <w:rFonts w:hint="default" w:ascii="Times New Roman" w:hAnsi="Times New Roman" w:eastAsia="宋体" w:cs="Times New Roman"/>
                      <w:kern w:val="2"/>
                      <w:sz w:val="21"/>
                      <w:szCs w:val="21"/>
                      <w:highlight w:val="none"/>
                      <w:lang w:val="en-US" w:eastAsia="zh-CN" w:bidi="ar"/>
                    </w:rPr>
                    <w:t>[k]</w:t>
                  </w:r>
                  <w:r>
                    <w:rPr>
                      <w:rFonts w:hint="eastAsia" w:ascii="宋体" w:hAnsi="宋体" w:eastAsia="宋体" w:cs="宋体"/>
                      <w:kern w:val="2"/>
                      <w:sz w:val="21"/>
                      <w:szCs w:val="21"/>
                      <w:highlight w:val="none"/>
                      <w:lang w:val="en-US" w:eastAsia="zh-CN" w:bidi="ar"/>
                    </w:rPr>
                    <w:t>荧蒽</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102F903A">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05175B44">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0.2ND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2CC7497B">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151</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36F87D90">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14E3D5C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5F894A9E">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42</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21085D71">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苯并</w:t>
                  </w:r>
                  <w:r>
                    <w:rPr>
                      <w:rFonts w:hint="default" w:ascii="Times New Roman" w:hAnsi="Times New Roman" w:eastAsia="宋体" w:cs="Times New Roman"/>
                      <w:kern w:val="2"/>
                      <w:sz w:val="21"/>
                      <w:szCs w:val="21"/>
                      <w:highlight w:val="none"/>
                      <w:lang w:val="en-US" w:eastAsia="zh-CN" w:bidi="ar"/>
                    </w:rPr>
                    <w:t>[a]</w:t>
                  </w:r>
                  <w:r>
                    <w:rPr>
                      <w:rFonts w:hint="eastAsia" w:ascii="宋体" w:hAnsi="宋体" w:eastAsia="宋体" w:cs="宋体"/>
                      <w:kern w:val="2"/>
                      <w:sz w:val="21"/>
                      <w:szCs w:val="21"/>
                      <w:highlight w:val="none"/>
                      <w:lang w:val="en-US" w:eastAsia="zh-CN" w:bidi="ar"/>
                    </w:rPr>
                    <w:t>芘</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74362434">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A7F2C32">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0.10ND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45FF7BEE">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1.5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44720754">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2986D2E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6DD2867C">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43</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62BF5BBB">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茚并</w:t>
                  </w:r>
                  <w:r>
                    <w:rPr>
                      <w:rFonts w:hint="default" w:ascii="Times New Roman" w:hAnsi="Times New Roman" w:eastAsia="宋体" w:cs="Times New Roman"/>
                      <w:kern w:val="2"/>
                      <w:sz w:val="21"/>
                      <w:szCs w:val="21"/>
                      <w:highlight w:val="none"/>
                      <w:lang w:val="en-US" w:eastAsia="zh-CN" w:bidi="ar"/>
                    </w:rPr>
                    <w:t>[1,2,3-cd]</w:t>
                  </w:r>
                  <w:r>
                    <w:rPr>
                      <w:rFonts w:hint="eastAsia" w:ascii="宋体" w:hAnsi="宋体" w:eastAsia="宋体" w:cs="宋体"/>
                      <w:kern w:val="2"/>
                      <w:sz w:val="21"/>
                      <w:szCs w:val="21"/>
                      <w:highlight w:val="none"/>
                      <w:lang w:val="en-US" w:eastAsia="zh-CN" w:bidi="ar"/>
                    </w:rPr>
                    <w:t>芘</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7673B108">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7F466987">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0.10ND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340FEDCA">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15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7678C11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24AB81E5">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40608B92">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44</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7BFC7741">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二苯并</w:t>
                  </w:r>
                  <w:r>
                    <w:rPr>
                      <w:rFonts w:hint="default" w:ascii="Times New Roman" w:hAnsi="Times New Roman" w:eastAsia="宋体" w:cs="Times New Roman"/>
                      <w:kern w:val="2"/>
                      <w:sz w:val="21"/>
                      <w:szCs w:val="21"/>
                      <w:highlight w:val="none"/>
                      <w:lang w:val="en-US" w:eastAsia="zh-CN" w:bidi="ar"/>
                    </w:rPr>
                    <w:t>[a,h]</w:t>
                  </w:r>
                  <w:r>
                    <w:rPr>
                      <w:rFonts w:hint="eastAsia" w:ascii="宋体" w:hAnsi="宋体" w:eastAsia="宋体" w:cs="宋体"/>
                      <w:kern w:val="2"/>
                      <w:sz w:val="21"/>
                      <w:szCs w:val="21"/>
                      <w:highlight w:val="none"/>
                      <w:lang w:val="en-US" w:eastAsia="zh-CN" w:bidi="ar"/>
                    </w:rPr>
                    <w:t>蒽</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278C84AA">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188D98E1">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0.10ND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3D7011CD">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1.5</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FC1E115">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31CAFF37">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29D8D256">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rPr>
                  </w:pPr>
                  <w:r>
                    <w:rPr>
                      <w:rFonts w:hint="default" w:ascii="Times New Roman" w:hAnsi="Times New Roman" w:eastAsia="宋体" w:cs="Times New Roman"/>
                      <w:kern w:val="2"/>
                      <w:sz w:val="21"/>
                      <w:szCs w:val="21"/>
                      <w:lang w:val="en-US" w:eastAsia="zh-CN" w:bidi="ar"/>
                    </w:rPr>
                    <w:t>45</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166AE36F">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w:t>
                  </w:r>
                  <w:r>
                    <w:rPr>
                      <w:rFonts w:hint="eastAsia" w:ascii="宋体" w:hAnsi="宋体" w:eastAsia="宋体" w:cs="宋体"/>
                      <w:kern w:val="2"/>
                      <w:sz w:val="21"/>
                      <w:szCs w:val="21"/>
                      <w:highlight w:val="none"/>
                      <w:lang w:val="en-US" w:eastAsia="zh-CN" w:bidi="ar"/>
                    </w:rPr>
                    <w:t>苯胺</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4DD5A1CC">
                  <w:pPr>
                    <w:keepNext w:val="0"/>
                    <w:keepLines w:val="0"/>
                    <w:widowControl/>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3D86FB91">
                  <w:pPr>
                    <w:keepNext w:val="0"/>
                    <w:keepLines w:val="0"/>
                    <w:widowControl w:val="0"/>
                    <w:suppressLineNumbers w:val="0"/>
                    <w:spacing w:before="0" w:beforeAutospacing="0" w:after="0" w:afterAutospacing="0"/>
                    <w:ind w:left="0" w:right="0"/>
                    <w:jc w:val="center"/>
                    <w:rPr>
                      <w:rFonts w:hint="default" w:ascii="Times New Roman" w:hAnsi="Times New Roman" w:cs="Times New Roman"/>
                      <w:kern w:val="2"/>
                      <w:sz w:val="21"/>
                      <w:szCs w:val="21"/>
                      <w:highlight w:val="none"/>
                    </w:rPr>
                  </w:pPr>
                  <w:r>
                    <w:rPr>
                      <w:rFonts w:hint="default" w:ascii="Times New Roman" w:hAnsi="Times New Roman" w:eastAsia="宋体" w:cs="Times New Roman"/>
                      <w:b w:val="0"/>
                      <w:bCs/>
                      <w:kern w:val="2"/>
                      <w:sz w:val="21"/>
                      <w:szCs w:val="21"/>
                      <w:highlight w:val="none"/>
                      <w:lang w:val="en-US" w:eastAsia="zh-CN" w:bidi="ar"/>
                    </w:rPr>
                    <w:t>0.09ND</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6BCB98A3">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default" w:ascii="Times New Roman" w:hAnsi="Times New Roman" w:eastAsia="宋体" w:cs="Times New Roman"/>
                      <w:bCs/>
                      <w:kern w:val="2"/>
                      <w:sz w:val="21"/>
                      <w:szCs w:val="21"/>
                      <w:lang w:val="en-US" w:eastAsia="zh-CN" w:bidi="ar"/>
                    </w:rPr>
                    <w:t>260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0E56915A">
                  <w:pPr>
                    <w:keepNext w:val="0"/>
                    <w:keepLines w:val="0"/>
                    <w:widowControl w:val="0"/>
                    <w:suppressLineNumbers w:val="0"/>
                    <w:tabs>
                      <w:tab w:val="left" w:pos="3750"/>
                    </w:tabs>
                    <w:spacing w:before="0" w:beforeAutospacing="0" w:after="0" w:afterAutospacing="0"/>
                    <w:ind w:left="0" w:right="0"/>
                    <w:jc w:val="center"/>
                    <w:rPr>
                      <w:rFonts w:hint="default" w:ascii="Times New Roman" w:hAnsi="Times New Roman" w:cs="Times New Roman"/>
                      <w:bCs/>
                      <w:kern w:val="2"/>
                      <w:sz w:val="21"/>
                      <w:szCs w:val="21"/>
                    </w:rPr>
                  </w:pPr>
                  <w:r>
                    <w:rPr>
                      <w:rFonts w:hint="eastAsia" w:ascii="宋体" w:hAnsi="宋体" w:eastAsia="宋体" w:cs="宋体"/>
                      <w:bCs/>
                      <w:kern w:val="2"/>
                      <w:sz w:val="21"/>
                      <w:szCs w:val="21"/>
                      <w:lang w:val="en-US" w:eastAsia="zh-CN" w:bidi="ar"/>
                    </w:rPr>
                    <w:t>达标</w:t>
                  </w:r>
                </w:p>
              </w:tc>
            </w:tr>
            <w:tr w14:paraId="23104744">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762" w:type="dxa"/>
                  <w:tcBorders>
                    <w:top w:val="single" w:color="auto" w:sz="4" w:space="0"/>
                    <w:left w:val="single" w:color="auto" w:sz="12" w:space="0"/>
                    <w:bottom w:val="single" w:color="auto" w:sz="4" w:space="0"/>
                    <w:right w:val="single" w:color="auto" w:sz="4" w:space="0"/>
                  </w:tcBorders>
                  <w:shd w:val="clear" w:color="auto" w:fill="auto"/>
                  <w:vAlign w:val="center"/>
                </w:tcPr>
                <w:p w14:paraId="46AB8281">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lang w:val="en-US" w:eastAsia="zh-CN" w:bidi="ar"/>
                    </w:rPr>
                  </w:pPr>
                  <w:r>
                    <w:rPr>
                      <w:rFonts w:hint="eastAsia" w:ascii="Times New Roman" w:hAnsi="Times New Roman" w:cs="Times New Roman"/>
                      <w:kern w:val="2"/>
                      <w:sz w:val="21"/>
                      <w:szCs w:val="21"/>
                      <w:lang w:val="en-US" w:eastAsia="zh-CN" w:bidi="ar"/>
                    </w:rPr>
                    <w:t>46</w:t>
                  </w:r>
                </w:p>
              </w:tc>
              <w:tc>
                <w:tcPr>
                  <w:tcW w:w="2067" w:type="dxa"/>
                  <w:tcBorders>
                    <w:top w:val="single" w:color="auto" w:sz="4" w:space="0"/>
                    <w:left w:val="single" w:color="auto" w:sz="4" w:space="0"/>
                    <w:bottom w:val="single" w:color="auto" w:sz="4" w:space="0"/>
                    <w:right w:val="single" w:color="auto" w:sz="4" w:space="0"/>
                  </w:tcBorders>
                  <w:shd w:val="clear" w:color="auto" w:fill="auto"/>
                  <w:vAlign w:val="center"/>
                </w:tcPr>
                <w:p w14:paraId="05849E06">
                  <w:pPr>
                    <w:keepNext w:val="0"/>
                    <w:keepLines w:val="0"/>
                    <w:widowControl w:val="0"/>
                    <w:suppressLineNumbers w:val="0"/>
                    <w:spacing w:before="0" w:beforeAutospacing="0" w:after="0" w:afterAutospacing="0"/>
                    <w:ind w:left="0" w:right="0"/>
                    <w:jc w:val="center"/>
                    <w:rPr>
                      <w:rFonts w:hint="default" w:ascii="Times New Roman" w:hAnsi="Times New Roman" w:eastAsia="宋体" w:cs="Times New Roman"/>
                      <w:kern w:val="2"/>
                      <w:sz w:val="21"/>
                      <w:szCs w:val="21"/>
                      <w:highlight w:val="none"/>
                      <w:lang w:val="en-US" w:eastAsia="zh-CN" w:bidi="ar"/>
                    </w:rPr>
                  </w:pPr>
                  <w:r>
                    <w:rPr>
                      <w:rFonts w:hint="default" w:ascii="Times New Roman" w:hAnsi="Times New Roman" w:eastAsia="宋体" w:cs="Times New Roman"/>
                      <w:kern w:val="2"/>
                      <w:sz w:val="21"/>
                      <w:szCs w:val="21"/>
                      <w:highlight w:val="none"/>
                      <w:lang w:val="en-US" w:eastAsia="zh-CN" w:bidi="ar"/>
                    </w:rPr>
                    <w:t>*</w:t>
                  </w:r>
                  <w:r>
                    <w:rPr>
                      <w:rFonts w:hint="eastAsia" w:ascii="Times New Roman" w:hAnsi="Times New Roman" w:eastAsia="宋体" w:cs="Times New Roman"/>
                      <w:kern w:val="2"/>
                      <w:sz w:val="21"/>
                      <w:szCs w:val="21"/>
                      <w:highlight w:val="none"/>
                      <w:lang w:val="en-US" w:eastAsia="zh-CN" w:bidi="ar"/>
                    </w:rPr>
                    <w:t>石油烃</w:t>
                  </w:r>
                </w:p>
              </w:tc>
              <w:tc>
                <w:tcPr>
                  <w:tcW w:w="1397" w:type="dxa"/>
                  <w:tcBorders>
                    <w:top w:val="single" w:color="auto" w:sz="4" w:space="0"/>
                    <w:left w:val="single" w:color="auto" w:sz="4" w:space="0"/>
                    <w:bottom w:val="single" w:color="auto" w:sz="4" w:space="0"/>
                    <w:right w:val="single" w:color="auto" w:sz="4" w:space="0"/>
                  </w:tcBorders>
                  <w:shd w:val="clear" w:color="auto" w:fill="auto"/>
                  <w:vAlign w:val="center"/>
                </w:tcPr>
                <w:p w14:paraId="00EA4893">
                  <w:pPr>
                    <w:keepNext w:val="0"/>
                    <w:keepLines w:val="0"/>
                    <w:widowControl/>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default" w:ascii="Times New Roman" w:hAnsi="Times New Roman" w:eastAsia="宋体" w:cs="Times New Roman"/>
                      <w:kern w:val="2"/>
                      <w:sz w:val="21"/>
                      <w:szCs w:val="21"/>
                      <w:highlight w:val="none"/>
                      <w:lang w:val="en-US" w:eastAsia="zh-CN" w:bidi="ar"/>
                    </w:rPr>
                    <w:t>mg/kg</w:t>
                  </w:r>
                </w:p>
              </w:tc>
              <w:tc>
                <w:tcPr>
                  <w:tcW w:w="1285" w:type="dxa"/>
                  <w:tcBorders>
                    <w:top w:val="single" w:color="auto" w:sz="4" w:space="0"/>
                    <w:left w:val="single" w:color="auto" w:sz="4" w:space="0"/>
                    <w:bottom w:val="single" w:color="auto" w:sz="4" w:space="0"/>
                    <w:right w:val="single" w:color="auto" w:sz="4" w:space="0"/>
                  </w:tcBorders>
                  <w:shd w:val="clear" w:color="auto" w:fill="auto"/>
                  <w:vAlign w:val="center"/>
                </w:tcPr>
                <w:p w14:paraId="2A6C8513">
                  <w:pPr>
                    <w:keepNext w:val="0"/>
                    <w:keepLines w:val="0"/>
                    <w:widowControl w:val="0"/>
                    <w:suppressLineNumbers w:val="0"/>
                    <w:spacing w:before="0" w:beforeAutospacing="0" w:after="0" w:afterAutospacing="0"/>
                    <w:ind w:left="0" w:leftChars="0" w:right="0" w:rightChars="0"/>
                    <w:jc w:val="center"/>
                    <w:rPr>
                      <w:rFonts w:hint="default" w:ascii="Times New Roman" w:hAnsi="Times New Roman" w:eastAsia="宋体" w:cs="Times New Roman"/>
                      <w:kern w:val="2"/>
                      <w:sz w:val="21"/>
                      <w:szCs w:val="21"/>
                      <w:highlight w:val="none"/>
                      <w:lang w:val="en-US" w:eastAsia="zh-CN" w:bidi="ar-SA"/>
                    </w:rPr>
                  </w:pPr>
                  <w:r>
                    <w:rPr>
                      <w:rFonts w:hint="eastAsia" w:cs="Times New Roman"/>
                      <w:b w:val="0"/>
                      <w:bCs/>
                      <w:kern w:val="2"/>
                      <w:sz w:val="21"/>
                      <w:szCs w:val="21"/>
                      <w:highlight w:val="none"/>
                      <w:lang w:val="en-US" w:eastAsia="zh-CN" w:bidi="ar"/>
                    </w:rPr>
                    <w:t>35</w:t>
                  </w:r>
                </w:p>
              </w:tc>
              <w:tc>
                <w:tcPr>
                  <w:tcW w:w="2186" w:type="dxa"/>
                  <w:tcBorders>
                    <w:top w:val="single" w:color="auto" w:sz="4" w:space="0"/>
                    <w:left w:val="single" w:color="auto" w:sz="4" w:space="0"/>
                    <w:bottom w:val="single" w:color="auto" w:sz="4" w:space="0"/>
                    <w:right w:val="single" w:color="auto" w:sz="4" w:space="0"/>
                  </w:tcBorders>
                  <w:shd w:val="clear" w:color="auto" w:fill="auto"/>
                  <w:vAlign w:val="center"/>
                </w:tcPr>
                <w:p w14:paraId="5C6B71A4">
                  <w:pPr>
                    <w:keepNext w:val="0"/>
                    <w:keepLines w:val="0"/>
                    <w:widowControl w:val="0"/>
                    <w:suppressLineNumbers w:val="0"/>
                    <w:tabs>
                      <w:tab w:val="left" w:pos="3750"/>
                    </w:tabs>
                    <w:spacing w:before="0" w:beforeAutospacing="0" w:after="0" w:afterAutospacing="0"/>
                    <w:ind w:left="0" w:leftChars="0" w:right="0" w:rightChars="0"/>
                    <w:jc w:val="center"/>
                    <w:rPr>
                      <w:rFonts w:hint="default" w:ascii="Times New Roman" w:hAnsi="Times New Roman" w:eastAsia="宋体" w:cs="Times New Roman"/>
                      <w:bCs/>
                      <w:kern w:val="2"/>
                      <w:sz w:val="21"/>
                      <w:szCs w:val="21"/>
                      <w:lang w:val="en-US" w:eastAsia="zh-CN" w:bidi="ar-SA"/>
                    </w:rPr>
                  </w:pPr>
                  <w:r>
                    <w:rPr>
                      <w:rFonts w:hint="eastAsia" w:cs="Times New Roman"/>
                      <w:bCs/>
                      <w:kern w:val="2"/>
                      <w:sz w:val="21"/>
                      <w:szCs w:val="21"/>
                      <w:lang w:val="en-US" w:eastAsia="zh-CN" w:bidi="ar"/>
                    </w:rPr>
                    <w:t>4500</w:t>
                  </w:r>
                </w:p>
              </w:tc>
              <w:tc>
                <w:tcPr>
                  <w:tcW w:w="1090" w:type="dxa"/>
                  <w:tcBorders>
                    <w:top w:val="single" w:color="auto" w:sz="4" w:space="0"/>
                    <w:left w:val="single" w:color="auto" w:sz="4" w:space="0"/>
                    <w:bottom w:val="single" w:color="auto" w:sz="4" w:space="0"/>
                    <w:right w:val="single" w:color="auto" w:sz="12" w:space="0"/>
                  </w:tcBorders>
                  <w:shd w:val="clear" w:color="auto" w:fill="auto"/>
                  <w:vAlign w:val="center"/>
                </w:tcPr>
                <w:p w14:paraId="2A97F212">
                  <w:pPr>
                    <w:keepNext w:val="0"/>
                    <w:keepLines w:val="0"/>
                    <w:widowControl w:val="0"/>
                    <w:suppressLineNumbers w:val="0"/>
                    <w:tabs>
                      <w:tab w:val="left" w:pos="3750"/>
                    </w:tabs>
                    <w:spacing w:before="0" w:beforeAutospacing="0" w:after="0" w:afterAutospacing="0"/>
                    <w:ind w:left="0" w:leftChars="0" w:right="0" w:rightChars="0"/>
                    <w:jc w:val="center"/>
                    <w:rPr>
                      <w:rFonts w:hint="eastAsia" w:ascii="Times New Roman" w:hAnsi="Times New Roman" w:eastAsia="宋体" w:cs="Times New Roman"/>
                      <w:bCs/>
                      <w:kern w:val="2"/>
                      <w:sz w:val="21"/>
                      <w:szCs w:val="21"/>
                      <w:lang w:val="en-US" w:eastAsia="zh-CN" w:bidi="ar-SA"/>
                    </w:rPr>
                  </w:pPr>
                  <w:r>
                    <w:rPr>
                      <w:rFonts w:hint="eastAsia" w:ascii="宋体" w:hAnsi="宋体" w:eastAsia="宋体" w:cs="宋体"/>
                      <w:bCs/>
                      <w:kern w:val="2"/>
                      <w:sz w:val="21"/>
                      <w:szCs w:val="21"/>
                      <w:lang w:val="en-US" w:eastAsia="zh-CN" w:bidi="ar"/>
                    </w:rPr>
                    <w:t>达标</w:t>
                  </w:r>
                </w:p>
              </w:tc>
            </w:tr>
            <w:tr w14:paraId="1DE3B2C8">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shd w:val="clear" w:color="auto" w:fill="auto"/>
                <w:tblCellMar>
                  <w:top w:w="0" w:type="dxa"/>
                  <w:left w:w="108" w:type="dxa"/>
                  <w:bottom w:w="0" w:type="dxa"/>
                  <w:right w:w="108" w:type="dxa"/>
                </w:tblCellMar>
              </w:tblPrEx>
              <w:trPr>
                <w:jc w:val="center"/>
              </w:trPr>
              <w:tc>
                <w:tcPr>
                  <w:tcW w:w="8787" w:type="dxa"/>
                  <w:gridSpan w:val="6"/>
                  <w:tcBorders>
                    <w:top w:val="single" w:color="auto" w:sz="4" w:space="0"/>
                    <w:left w:val="single" w:color="auto" w:sz="12" w:space="0"/>
                    <w:bottom w:val="single" w:color="auto" w:sz="12" w:space="0"/>
                    <w:right w:val="single" w:color="auto" w:sz="12" w:space="0"/>
                  </w:tcBorders>
                  <w:shd w:val="clear" w:color="auto" w:fill="auto"/>
                  <w:vAlign w:val="center"/>
                </w:tcPr>
                <w:p w14:paraId="232EF676">
                  <w:pPr>
                    <w:keepNext w:val="0"/>
                    <w:keepLines w:val="0"/>
                    <w:widowControl w:val="0"/>
                    <w:numPr>
                      <w:ilvl w:val="0"/>
                      <w:numId w:val="4"/>
                    </w:numPr>
                    <w:suppressLineNumbers w:val="0"/>
                    <w:tabs>
                      <w:tab w:val="left" w:pos="1256"/>
                      <w:tab w:val="left" w:pos="3750"/>
                    </w:tabs>
                    <w:spacing w:before="0" w:beforeAutospacing="0" w:after="0" w:afterAutospacing="0"/>
                    <w:ind w:left="0" w:right="0"/>
                    <w:jc w:val="left"/>
                    <w:rPr>
                      <w:rFonts w:hint="eastAsia" w:ascii="Times New Roman" w:hAnsi="Times New Roman" w:eastAsia="宋体" w:cs="Times New Roman"/>
                      <w:bCs/>
                      <w:kern w:val="2"/>
                      <w:sz w:val="21"/>
                      <w:szCs w:val="21"/>
                      <w:highlight w:val="none"/>
                    </w:rPr>
                  </w:pPr>
                  <w:r>
                    <w:rPr>
                      <w:rFonts w:hint="eastAsia" w:ascii="宋体" w:hAnsi="宋体" w:eastAsia="宋体" w:cs="宋体"/>
                      <w:bCs/>
                      <w:kern w:val="2"/>
                      <w:sz w:val="21"/>
                      <w:szCs w:val="21"/>
                      <w:highlight w:val="none"/>
                      <w:lang w:val="en-US" w:eastAsia="zh-CN" w:bidi="ar"/>
                    </w:rPr>
                    <w:t>监测结果低于方法检出限时，结果用检出限加“</w:t>
                  </w:r>
                  <w:r>
                    <w:rPr>
                      <w:rFonts w:hint="default" w:ascii="Times New Roman" w:hAnsi="Times New Roman" w:eastAsia="宋体" w:cs="Times New Roman"/>
                      <w:bCs/>
                      <w:kern w:val="2"/>
                      <w:sz w:val="21"/>
                      <w:szCs w:val="21"/>
                      <w:highlight w:val="none"/>
                      <w:lang w:val="en-US" w:eastAsia="zh-CN" w:bidi="ar"/>
                    </w:rPr>
                    <w:t>ND</w:t>
                  </w:r>
                  <w:r>
                    <w:rPr>
                      <w:rFonts w:hint="eastAsia" w:ascii="宋体" w:hAnsi="宋体" w:eastAsia="宋体" w:cs="宋体"/>
                      <w:bCs/>
                      <w:kern w:val="2"/>
                      <w:sz w:val="21"/>
                      <w:szCs w:val="21"/>
                      <w:highlight w:val="none"/>
                      <w:lang w:val="en-US" w:eastAsia="zh-CN" w:bidi="ar"/>
                    </w:rPr>
                    <w:t>”表示；</w:t>
                  </w:r>
                  <w:r>
                    <w:rPr>
                      <w:rFonts w:hint="eastAsia" w:ascii="Times New Roman" w:hAnsi="Times New Roman" w:eastAsia="宋体" w:cs="Times New Roman"/>
                      <w:bCs/>
                      <w:kern w:val="2"/>
                      <w:sz w:val="21"/>
                      <w:szCs w:val="21"/>
                      <w:highlight w:val="none"/>
                      <w:lang w:val="en-US" w:eastAsia="zh-CN" w:bidi="ar"/>
                    </w:rPr>
                    <w:tab/>
                  </w:r>
                </w:p>
                <w:p w14:paraId="10596E58">
                  <w:pPr>
                    <w:keepNext w:val="0"/>
                    <w:keepLines w:val="0"/>
                    <w:widowControl/>
                    <w:suppressLineNumbers w:val="0"/>
                    <w:spacing w:before="0" w:beforeAutospacing="0" w:after="0" w:afterAutospacing="0"/>
                    <w:ind w:left="0" w:right="0"/>
                    <w:jc w:val="left"/>
                    <w:rPr>
                      <w:rFonts w:hint="eastAsia" w:ascii="宋体" w:hAnsi="宋体" w:eastAsia="宋体" w:cs="宋体"/>
                      <w:kern w:val="2"/>
                      <w:sz w:val="21"/>
                      <w:szCs w:val="21"/>
                      <w:highlight w:val="none"/>
                    </w:rPr>
                  </w:pPr>
                  <w:r>
                    <w:rPr>
                      <w:rFonts w:hint="eastAsia" w:ascii="宋体" w:hAnsi="宋体" w:eastAsia="宋体" w:cs="宋体"/>
                      <w:bCs/>
                      <w:kern w:val="2"/>
                      <w:sz w:val="21"/>
                      <w:szCs w:val="21"/>
                      <w:highlight w:val="none"/>
                      <w:lang w:val="en-US" w:eastAsia="zh-CN" w:bidi="ar"/>
                    </w:rPr>
                    <w:t>前面带“</w:t>
                  </w:r>
                  <w:r>
                    <w:rPr>
                      <w:rFonts w:hint="default" w:ascii="Times New Roman" w:hAnsi="Times New Roman" w:eastAsia="宋体" w:cs="Times New Roman"/>
                      <w:bCs/>
                      <w:kern w:val="2"/>
                      <w:sz w:val="21"/>
                      <w:szCs w:val="21"/>
                      <w:highlight w:val="none"/>
                      <w:lang w:val="en-US" w:eastAsia="zh-CN" w:bidi="ar"/>
                    </w:rPr>
                    <w:t>*</w:t>
                  </w:r>
                  <w:r>
                    <w:rPr>
                      <w:rFonts w:hint="eastAsia" w:ascii="宋体" w:hAnsi="宋体" w:eastAsia="宋体" w:cs="宋体"/>
                      <w:bCs/>
                      <w:kern w:val="2"/>
                      <w:sz w:val="21"/>
                      <w:szCs w:val="21"/>
                      <w:highlight w:val="none"/>
                      <w:lang w:val="en-US" w:eastAsia="zh-CN" w:bidi="ar"/>
                    </w:rPr>
                    <w:t>”均为分包项目，分包给陕西正为环境检测股份有限公司（资质证书编号：</w:t>
                  </w:r>
                  <w:r>
                    <w:rPr>
                      <w:rFonts w:hint="default" w:ascii="Times New Roman" w:hAnsi="Times New Roman" w:eastAsia="宋体" w:cs="Times New Roman"/>
                      <w:color w:val="000000"/>
                      <w:kern w:val="0"/>
                      <w:sz w:val="20"/>
                      <w:szCs w:val="20"/>
                      <w:highlight w:val="none"/>
                      <w:lang w:val="en-US" w:eastAsia="zh-CN" w:bidi="ar"/>
                    </w:rPr>
                    <w:t>172712050267</w:t>
                  </w:r>
                  <w:r>
                    <w:rPr>
                      <w:rFonts w:hint="eastAsia" w:ascii="宋体" w:hAnsi="宋体" w:eastAsia="宋体" w:cs="宋体"/>
                      <w:bCs/>
                      <w:kern w:val="2"/>
                      <w:sz w:val="21"/>
                      <w:szCs w:val="21"/>
                      <w:highlight w:val="none"/>
                      <w:lang w:val="en-US" w:eastAsia="zh-CN" w:bidi="ar"/>
                    </w:rPr>
                    <w:t>）；</w:t>
                  </w:r>
                </w:p>
              </w:tc>
            </w:tr>
          </w:tbl>
          <w:p w14:paraId="3A5B3353">
            <w:pPr>
              <w:keepNext w:val="0"/>
              <w:keepLines w:val="0"/>
              <w:widowControl w:val="0"/>
              <w:suppressLineNumbers w:val="0"/>
              <w:autoSpaceDE w:val="0"/>
              <w:autoSpaceDN/>
              <w:adjustRightInd w:val="0"/>
              <w:snapToGrid w:val="0"/>
              <w:spacing w:before="0" w:beforeAutospacing="0" w:after="0" w:afterAutospacing="0" w:line="360" w:lineRule="auto"/>
              <w:ind w:left="0" w:right="0" w:firstLine="480" w:firstLineChars="200"/>
              <w:jc w:val="left"/>
              <w:rPr>
                <w:rFonts w:hint="default"/>
                <w:color w:val="000000" w:themeColor="text1"/>
                <w:sz w:val="24"/>
                <w:szCs w:val="24"/>
                <w:highlight w:val="green"/>
                <w:lang w:val="en-US"/>
                <w14:textFill>
                  <w14:solidFill>
                    <w14:schemeClr w14:val="tx1"/>
                  </w14:solidFill>
                </w14:textFill>
              </w:rPr>
            </w:pPr>
            <w:r>
              <w:rPr>
                <w:rFonts w:hint="eastAsia" w:ascii="宋体" w:hAnsi="宋体" w:eastAsia="宋体" w:cs="宋体"/>
                <w:kern w:val="2"/>
                <w:sz w:val="24"/>
                <w:szCs w:val="24"/>
                <w:highlight w:val="none"/>
                <w:lang w:val="en-US" w:eastAsia="zh-CN" w:bidi="ar"/>
              </w:rPr>
              <w:t>由上表监测结果可知，项目占地范围内监测点各监测因子均满足《土壤环境质量</w:t>
            </w:r>
            <w:r>
              <w:rPr>
                <w:rFonts w:hint="eastAsia" w:ascii="Times New Roman" w:hAnsi="Times New Roman" w:eastAsia="宋体" w:cs="Times New Roman"/>
                <w:kern w:val="2"/>
                <w:sz w:val="24"/>
                <w:szCs w:val="24"/>
                <w:highlight w:val="none"/>
                <w:lang w:val="en-US" w:eastAsia="zh-CN" w:bidi="ar"/>
              </w:rPr>
              <w:t xml:space="preserve"> </w:t>
            </w:r>
            <w:r>
              <w:rPr>
                <w:rFonts w:hint="eastAsia" w:ascii="宋体" w:hAnsi="宋体" w:eastAsia="宋体" w:cs="宋体"/>
                <w:kern w:val="2"/>
                <w:sz w:val="24"/>
                <w:szCs w:val="24"/>
                <w:highlight w:val="none"/>
                <w:lang w:val="en-US" w:eastAsia="zh-CN" w:bidi="ar"/>
              </w:rPr>
              <w:t>建设用地土壤污染风险管控标准》（</w:t>
            </w:r>
            <w:r>
              <w:rPr>
                <w:rFonts w:hint="default" w:ascii="Times New Roman" w:hAnsi="Times New Roman" w:eastAsia="宋体" w:cs="Times New Roman"/>
                <w:kern w:val="2"/>
                <w:sz w:val="24"/>
                <w:szCs w:val="24"/>
                <w:highlight w:val="none"/>
                <w:lang w:val="en-US" w:eastAsia="zh-CN" w:bidi="ar"/>
              </w:rPr>
              <w:t>GB36600-2018</w:t>
            </w:r>
            <w:r>
              <w:rPr>
                <w:rFonts w:hint="eastAsia" w:ascii="宋体" w:hAnsi="宋体" w:eastAsia="宋体" w:cs="宋体"/>
                <w:kern w:val="2"/>
                <w:sz w:val="24"/>
                <w:szCs w:val="24"/>
                <w:highlight w:val="none"/>
                <w:lang w:val="en-US" w:eastAsia="zh-CN" w:bidi="ar"/>
              </w:rPr>
              <w:t>）第二类用地标准筛选值限值要求。</w:t>
            </w:r>
          </w:p>
        </w:tc>
      </w:tr>
      <w:tr w14:paraId="2939B9D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00" w:hRule="atLeast"/>
          <w:jc w:val="center"/>
        </w:trPr>
        <w:tc>
          <w:tcPr>
            <w:tcW w:w="510" w:type="dxa"/>
            <w:vAlign w:val="center"/>
          </w:tcPr>
          <w:p w14:paraId="3567A1CA">
            <w:pPr>
              <w:keepNext w:val="0"/>
              <w:keepLines w:val="0"/>
              <w:suppressLineNumbers w:val="0"/>
              <w:adjustRightInd w:val="0"/>
              <w:snapToGrid w:val="0"/>
              <w:spacing w:before="0" w:beforeAutospacing="0" w:after="0" w:afterAutospacing="0" w:line="480" w:lineRule="exact"/>
              <w:ind w:left="0" w:right="0"/>
              <w:jc w:val="center"/>
              <w:rPr>
                <w:rFonts w:hint="default"/>
                <w:color w:val="000000" w:themeColor="text1"/>
                <w:kern w:val="0"/>
                <w:sz w:val="24"/>
                <w:szCs w:val="24"/>
                <w:highlight w:val="none"/>
                <w14:textFill>
                  <w14:solidFill>
                    <w14:schemeClr w14:val="tx1"/>
                  </w14:solidFill>
                </w14:textFill>
              </w:rPr>
            </w:pPr>
            <w:r>
              <w:rPr>
                <w:rFonts w:hint="default"/>
                <w:color w:val="000000" w:themeColor="text1"/>
                <w:kern w:val="0"/>
                <w:sz w:val="24"/>
                <w:szCs w:val="24"/>
                <w:highlight w:val="none"/>
                <w14:textFill>
                  <w14:solidFill>
                    <w14:schemeClr w14:val="tx1"/>
                  </w14:solidFill>
                </w14:textFill>
              </w:rPr>
              <w:t>环境</w:t>
            </w:r>
          </w:p>
          <w:p w14:paraId="66AE87E7">
            <w:pPr>
              <w:keepNext w:val="0"/>
              <w:keepLines w:val="0"/>
              <w:suppressLineNumbers w:val="0"/>
              <w:adjustRightInd w:val="0"/>
              <w:snapToGrid w:val="0"/>
              <w:spacing w:before="0" w:beforeAutospacing="0" w:after="0" w:afterAutospacing="0" w:line="480" w:lineRule="exact"/>
              <w:ind w:left="0" w:right="0"/>
              <w:jc w:val="center"/>
              <w:rPr>
                <w:rFonts w:hint="default"/>
                <w:color w:val="000000" w:themeColor="text1"/>
                <w:kern w:val="0"/>
                <w:sz w:val="24"/>
                <w:szCs w:val="24"/>
                <w:highlight w:val="none"/>
                <w14:textFill>
                  <w14:solidFill>
                    <w14:schemeClr w14:val="tx1"/>
                  </w14:solidFill>
                </w14:textFill>
              </w:rPr>
            </w:pPr>
            <w:r>
              <w:rPr>
                <w:rFonts w:hint="default"/>
                <w:color w:val="000000" w:themeColor="text1"/>
                <w:kern w:val="0"/>
                <w:sz w:val="24"/>
                <w:szCs w:val="24"/>
                <w:highlight w:val="none"/>
                <w14:textFill>
                  <w14:solidFill>
                    <w14:schemeClr w14:val="tx1"/>
                  </w14:solidFill>
                </w14:textFill>
              </w:rPr>
              <w:t>保护</w:t>
            </w:r>
          </w:p>
          <w:p w14:paraId="3EB9243D">
            <w:pPr>
              <w:keepNext w:val="0"/>
              <w:keepLines w:val="0"/>
              <w:suppressLineNumbers w:val="0"/>
              <w:adjustRightInd w:val="0"/>
              <w:snapToGrid w:val="0"/>
              <w:spacing w:before="0" w:beforeAutospacing="0" w:after="0" w:afterAutospacing="0" w:line="480" w:lineRule="exact"/>
              <w:ind w:left="0" w:right="0"/>
              <w:jc w:val="center"/>
              <w:rPr>
                <w:rFonts w:hint="default"/>
                <w:color w:val="000000" w:themeColor="text1"/>
                <w:kern w:val="0"/>
                <w:highlight w:val="none"/>
                <w14:textFill>
                  <w14:solidFill>
                    <w14:schemeClr w14:val="tx1"/>
                  </w14:solidFill>
                </w14:textFill>
              </w:rPr>
            </w:pPr>
            <w:r>
              <w:rPr>
                <w:rFonts w:hint="default"/>
                <w:color w:val="000000" w:themeColor="text1"/>
                <w:kern w:val="0"/>
                <w:sz w:val="24"/>
                <w:szCs w:val="24"/>
                <w:highlight w:val="none"/>
                <w14:textFill>
                  <w14:solidFill>
                    <w14:schemeClr w14:val="tx1"/>
                  </w14:solidFill>
                </w14:textFill>
              </w:rPr>
              <w:t>目标</w:t>
            </w:r>
          </w:p>
        </w:tc>
        <w:tc>
          <w:tcPr>
            <w:tcW w:w="9038" w:type="dxa"/>
            <w:vAlign w:val="center"/>
          </w:tcPr>
          <w:p w14:paraId="5E6AB947">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000000" w:themeColor="text1"/>
                <w:sz w:val="24"/>
                <w:szCs w:val="24"/>
                <w:highlight w:val="none"/>
                <w14:textFill>
                  <w14:solidFill>
                    <w14:schemeClr w14:val="tx1"/>
                  </w14:solidFill>
                </w14:textFill>
              </w:rPr>
            </w:pPr>
            <w:r>
              <w:rPr>
                <w:rFonts w:hint="default"/>
                <w:color w:val="000000" w:themeColor="text1"/>
                <w:sz w:val="24"/>
                <w:szCs w:val="24"/>
                <w:highlight w:val="none"/>
                <w14:textFill>
                  <w14:solidFill>
                    <w14:schemeClr w14:val="tx1"/>
                  </w14:solidFill>
                </w14:textFill>
              </w:rPr>
              <w:t>本项目建设地位于陕西省</w:t>
            </w:r>
            <w:r>
              <w:rPr>
                <w:rFonts w:hint="eastAsia"/>
                <w:color w:val="000000" w:themeColor="text1"/>
                <w:sz w:val="24"/>
                <w:szCs w:val="24"/>
                <w:highlight w:val="none"/>
                <w:lang w:val="en-US" w:eastAsia="zh-CN"/>
                <w14:textFill>
                  <w14:solidFill>
                    <w14:schemeClr w14:val="tx1"/>
                  </w14:solidFill>
                </w14:textFill>
              </w:rPr>
              <w:t>泾河新城永乐镇尚家村尚家三街与原点东四路交叉口东南角</w:t>
            </w:r>
            <w:r>
              <w:rPr>
                <w:rFonts w:hint="default"/>
                <w:color w:val="000000" w:themeColor="text1"/>
                <w:sz w:val="24"/>
                <w:szCs w:val="24"/>
                <w:highlight w:val="none"/>
                <w14:textFill>
                  <w14:solidFill>
                    <w14:schemeClr w14:val="tx1"/>
                  </w14:solidFill>
                </w14:textFill>
              </w:rPr>
              <w:t>，根据环境敏感因素的界定原则，经现场调查，本地区不属于特殊保护区、社会关注区、生态脆弱区和特殊地貌景观区；评价区内也无重点保护文物、古迹、植物、动物及人文景观等。</w:t>
            </w:r>
          </w:p>
          <w:p w14:paraId="5BF22EEE">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000000" w:themeColor="text1"/>
                <w:sz w:val="24"/>
                <w:szCs w:val="24"/>
                <w:highlight w:val="none"/>
                <w14:textFill>
                  <w14:solidFill>
                    <w14:schemeClr w14:val="tx1"/>
                  </w14:solidFill>
                </w14:textFill>
              </w:rPr>
            </w:pPr>
            <w:r>
              <w:rPr>
                <w:rFonts w:hint="default"/>
                <w:color w:val="000000" w:themeColor="text1"/>
                <w:sz w:val="24"/>
                <w:szCs w:val="24"/>
                <w:highlight w:val="none"/>
                <w14:textFill>
                  <w14:solidFill>
                    <w14:schemeClr w14:val="tx1"/>
                  </w14:solidFill>
                </w14:textFill>
              </w:rPr>
              <w:t>1、大气环境</w:t>
            </w:r>
          </w:p>
          <w:p w14:paraId="486EA4AD">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根据大气专项评价内容，</w:t>
            </w:r>
            <w:r>
              <w:rPr>
                <w:rFonts w:hint="eastAsia"/>
                <w:color w:val="000000" w:themeColor="text1"/>
                <w:sz w:val="24"/>
                <w:szCs w:val="24"/>
                <w:highlight w:val="none"/>
                <w14:textFill>
                  <w14:solidFill>
                    <w14:schemeClr w14:val="tx1"/>
                  </w14:solidFill>
                </w14:textFill>
              </w:rPr>
              <w:t>本项目大气环境影响评价工作等级为二级，二级评价项目大气环境影响评价范围边长取5km。</w:t>
            </w:r>
          </w:p>
          <w:p w14:paraId="6DB55312">
            <w:pPr>
              <w:pStyle w:val="9"/>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jc w:val="center"/>
              <w:textAlignment w:val="auto"/>
              <w:rPr>
                <w:rFonts w:hint="default" w:ascii="Times New Roman" w:hAnsi="Times New Roman" w:eastAsia="宋体"/>
                <w:b/>
                <w:bCs/>
                <w:color w:val="000000" w:themeColor="text1"/>
                <w:sz w:val="24"/>
                <w:szCs w:val="24"/>
                <w:highlight w:val="none"/>
                <w14:textFill>
                  <w14:solidFill>
                    <w14:schemeClr w14:val="tx1"/>
                  </w14:solidFill>
                </w14:textFill>
              </w:rPr>
            </w:pPr>
          </w:p>
          <w:p w14:paraId="7E7007A4">
            <w:pPr>
              <w:pStyle w:val="9"/>
              <w:keepNext w:val="0"/>
              <w:keepLines w:val="0"/>
              <w:pageBreakBefore w:val="0"/>
              <w:widowControl w:val="0"/>
              <w:suppressLineNumbers w:val="0"/>
              <w:kinsoku/>
              <w:wordWrap/>
              <w:overflowPunct/>
              <w:topLinePunct w:val="0"/>
              <w:autoSpaceDE/>
              <w:autoSpaceDN/>
              <w:bidi w:val="0"/>
              <w:adjustRightInd/>
              <w:snapToGrid/>
              <w:spacing w:before="157" w:beforeLines="50" w:beforeAutospacing="0" w:after="0" w:afterAutospacing="0" w:line="360" w:lineRule="auto"/>
              <w:ind w:left="0" w:right="0"/>
              <w:jc w:val="center"/>
              <w:textAlignment w:val="auto"/>
              <w:rPr>
                <w:rFonts w:hint="default" w:ascii="Times New Roman" w:hAnsi="Times New Roman" w:eastAsia="宋体"/>
                <w:b/>
                <w:bCs/>
                <w:color w:val="000000" w:themeColor="text1"/>
                <w:sz w:val="24"/>
                <w:szCs w:val="24"/>
                <w:highlight w:val="none"/>
                <w14:textFill>
                  <w14:solidFill>
                    <w14:schemeClr w14:val="tx1"/>
                  </w14:solidFill>
                </w14:textFill>
              </w:rPr>
            </w:pPr>
            <w:r>
              <w:rPr>
                <w:rFonts w:hint="default" w:ascii="Times New Roman" w:hAnsi="Times New Roman" w:eastAsia="宋体"/>
                <w:b/>
                <w:bCs/>
                <w:color w:val="000000" w:themeColor="text1"/>
                <w:sz w:val="24"/>
                <w:szCs w:val="24"/>
                <w:highlight w:val="none"/>
                <w14:textFill>
                  <w14:solidFill>
                    <w14:schemeClr w14:val="tx1"/>
                  </w14:solidFill>
                </w14:textFill>
              </w:rPr>
              <w:t>表3-5    主要环境保护目标及保护级别</w:t>
            </w:r>
          </w:p>
          <w:tbl>
            <w:tblPr>
              <w:tblStyle w:val="41"/>
              <w:tblW w:w="873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70"/>
              <w:gridCol w:w="2215"/>
              <w:gridCol w:w="1153"/>
              <w:gridCol w:w="1050"/>
              <w:gridCol w:w="998"/>
              <w:gridCol w:w="1146"/>
            </w:tblGrid>
            <w:tr w14:paraId="143425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noWrap w:val="0"/>
                  <w:vAlign w:val="center"/>
                </w:tcPr>
                <w:p w14:paraId="711BEDA6">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bookmarkStart w:id="3" w:name="_Hlk49432998"/>
                  <w:r>
                    <w:rPr>
                      <w:rFonts w:hint="default" w:ascii="Times New Roman" w:hAnsi="Times New Roman" w:eastAsia="宋体" w:cs="Times New Roman"/>
                      <w:b/>
                      <w:bCs/>
                      <w:color w:val="000000"/>
                      <w:sz w:val="21"/>
                      <w:szCs w:val="21"/>
                      <w:highlight w:val="none"/>
                    </w:rPr>
                    <w:t>名称</w:t>
                  </w:r>
                </w:p>
              </w:tc>
              <w:tc>
                <w:tcPr>
                  <w:tcW w:w="2215" w:type="dxa"/>
                  <w:tcBorders>
                    <w:tl2br w:val="nil"/>
                    <w:tr2bl w:val="nil"/>
                  </w:tcBorders>
                  <w:noWrap w:val="0"/>
                  <w:vAlign w:val="center"/>
                </w:tcPr>
                <w:p w14:paraId="072AB66E">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坐标</w:t>
                  </w:r>
                </w:p>
              </w:tc>
              <w:tc>
                <w:tcPr>
                  <w:tcW w:w="1153" w:type="dxa"/>
                  <w:tcBorders>
                    <w:tl2br w:val="nil"/>
                    <w:tr2bl w:val="nil"/>
                  </w:tcBorders>
                  <w:noWrap w:val="0"/>
                  <w:vAlign w:val="center"/>
                </w:tcPr>
                <w:p w14:paraId="583DE5C0">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保护内容</w:t>
                  </w:r>
                </w:p>
              </w:tc>
              <w:tc>
                <w:tcPr>
                  <w:tcW w:w="1050" w:type="dxa"/>
                  <w:tcBorders>
                    <w:tl2br w:val="nil"/>
                    <w:tr2bl w:val="nil"/>
                  </w:tcBorders>
                  <w:noWrap w:val="0"/>
                  <w:vAlign w:val="center"/>
                </w:tcPr>
                <w:p w14:paraId="37855B3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环境功能区</w:t>
                  </w:r>
                </w:p>
              </w:tc>
              <w:tc>
                <w:tcPr>
                  <w:tcW w:w="998" w:type="dxa"/>
                  <w:tcBorders>
                    <w:tl2br w:val="nil"/>
                    <w:tr2bl w:val="nil"/>
                  </w:tcBorders>
                  <w:noWrap w:val="0"/>
                  <w:vAlign w:val="center"/>
                </w:tcPr>
                <w:p w14:paraId="376BF12F">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相对厂址方位</w:t>
                  </w:r>
                </w:p>
              </w:tc>
              <w:tc>
                <w:tcPr>
                  <w:tcW w:w="1146" w:type="dxa"/>
                  <w:tcBorders>
                    <w:tl2br w:val="nil"/>
                    <w:tr2bl w:val="nil"/>
                  </w:tcBorders>
                  <w:noWrap w:val="0"/>
                  <w:vAlign w:val="center"/>
                </w:tcPr>
                <w:p w14:paraId="504A011D">
                  <w:pPr>
                    <w:keepNext w:val="0"/>
                    <w:keepLines w:val="0"/>
                    <w:pageBreakBefore w:val="0"/>
                    <w:widowControl w:val="0"/>
                    <w:suppressLineNumbers w:val="0"/>
                    <w:kinsoku/>
                    <w:wordWrap/>
                    <w:overflowPunct/>
                    <w:topLinePunct w:val="0"/>
                    <w:autoSpaceDE/>
                    <w:autoSpaceDN/>
                    <w:bidi w:val="0"/>
                    <w:adjustRightInd/>
                    <w:snapToGrid w:val="0"/>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相对厂界距离/m</w:t>
                  </w:r>
                </w:p>
              </w:tc>
            </w:tr>
            <w:tr w14:paraId="061686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0986D6A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永乐镇</w:t>
                  </w:r>
                </w:p>
              </w:tc>
              <w:tc>
                <w:tcPr>
                  <w:tcW w:w="2215" w:type="dxa"/>
                  <w:tcBorders>
                    <w:tl2br w:val="nil"/>
                    <w:tr2bl w:val="nil"/>
                  </w:tcBorders>
                  <w:shd w:val="clear" w:color="auto" w:fill="auto"/>
                  <w:noWrap w:val="0"/>
                  <w:vAlign w:val="center"/>
                </w:tcPr>
                <w:p w14:paraId="7717DAE1">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108°56′7.897″；</w:t>
                  </w:r>
                </w:p>
                <w:p w14:paraId="51352FA6">
                  <w:pPr>
                    <w:keepNext w:val="0"/>
                    <w:keepLines w:val="0"/>
                    <w:widowControl/>
                    <w:suppressLineNumbers w:val="0"/>
                    <w:spacing w:before="0" w:beforeAutospacing="0" w:after="0" w:afterAutospacing="0"/>
                    <w:ind w:left="0" w:right="0"/>
                    <w:jc w:val="center"/>
                    <w:textAlignment w:val="center"/>
                    <w:rPr>
                      <w:rFonts w:hint="default"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34°31′59.733″</w:t>
                  </w:r>
                </w:p>
              </w:tc>
              <w:tc>
                <w:tcPr>
                  <w:tcW w:w="1153" w:type="dxa"/>
                  <w:tcBorders>
                    <w:tl2br w:val="nil"/>
                    <w:tr2bl w:val="nil"/>
                  </w:tcBorders>
                  <w:noWrap w:val="0"/>
                  <w:vAlign w:val="center"/>
                </w:tcPr>
                <w:p w14:paraId="6F7AB8BD">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环境空气</w:t>
                  </w:r>
                </w:p>
              </w:tc>
              <w:tc>
                <w:tcPr>
                  <w:tcW w:w="1050" w:type="dxa"/>
                  <w:tcBorders>
                    <w:tl2br w:val="nil"/>
                    <w:tr2bl w:val="nil"/>
                  </w:tcBorders>
                  <w:noWrap w:val="0"/>
                  <w:vAlign w:val="center"/>
                </w:tcPr>
                <w:p w14:paraId="09724FB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rPr>
                    <w:t>Ⅱ</w:t>
                  </w:r>
                  <w:r>
                    <w:rPr>
                      <w:rFonts w:hint="default" w:ascii="Times New Roman" w:hAnsi="Times New Roman" w:eastAsia="宋体" w:cs="Times New Roman"/>
                      <w:color w:val="000000"/>
                      <w:sz w:val="21"/>
                      <w:szCs w:val="21"/>
                      <w:highlight w:val="none"/>
                      <w:lang w:val="en-US" w:eastAsia="zh-CN"/>
                    </w:rPr>
                    <w:t>类区</w:t>
                  </w:r>
                </w:p>
              </w:tc>
              <w:tc>
                <w:tcPr>
                  <w:tcW w:w="998" w:type="dxa"/>
                  <w:tcBorders>
                    <w:tl2br w:val="nil"/>
                    <w:tr2bl w:val="nil"/>
                  </w:tcBorders>
                  <w:shd w:val="clear" w:color="auto" w:fill="auto"/>
                  <w:noWrap w:val="0"/>
                  <w:vAlign w:val="center"/>
                </w:tcPr>
                <w:p w14:paraId="65FDD67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W</w:t>
                  </w:r>
                </w:p>
              </w:tc>
              <w:tc>
                <w:tcPr>
                  <w:tcW w:w="1146" w:type="dxa"/>
                  <w:tcBorders>
                    <w:tl2br w:val="nil"/>
                    <w:tr2bl w:val="nil"/>
                  </w:tcBorders>
                  <w:shd w:val="clear" w:color="auto" w:fill="auto"/>
                  <w:noWrap w:val="0"/>
                  <w:vAlign w:val="center"/>
                </w:tcPr>
                <w:p w14:paraId="5320B8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470</w:t>
                  </w:r>
                </w:p>
              </w:tc>
            </w:tr>
            <w:tr w14:paraId="0BB3A9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4C6357B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皮马村</w:t>
                  </w:r>
                </w:p>
              </w:tc>
              <w:tc>
                <w:tcPr>
                  <w:tcW w:w="2215" w:type="dxa"/>
                  <w:tcBorders>
                    <w:tl2br w:val="nil"/>
                    <w:tr2bl w:val="nil"/>
                  </w:tcBorders>
                  <w:shd w:val="clear" w:color="auto" w:fill="auto"/>
                  <w:noWrap w:val="0"/>
                  <w:vAlign w:val="center"/>
                </w:tcPr>
                <w:p w14:paraId="33E40D90">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108°55′13.631″；</w:t>
                  </w:r>
                </w:p>
                <w:p w14:paraId="6547B95C">
                  <w:pPr>
                    <w:keepNext w:val="0"/>
                    <w:keepLines w:val="0"/>
                    <w:widowControl/>
                    <w:suppressLineNumbers w:val="0"/>
                    <w:spacing w:before="0" w:beforeAutospacing="0" w:after="0" w:afterAutospacing="0"/>
                    <w:ind w:left="0" w:right="0"/>
                    <w:jc w:val="center"/>
                    <w:textAlignment w:val="center"/>
                    <w:rPr>
                      <w:rFonts w:hint="default"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34°31′57.107″</w:t>
                  </w:r>
                </w:p>
              </w:tc>
              <w:tc>
                <w:tcPr>
                  <w:tcW w:w="1153" w:type="dxa"/>
                  <w:tcBorders>
                    <w:tl2br w:val="nil"/>
                    <w:tr2bl w:val="nil"/>
                  </w:tcBorders>
                  <w:noWrap w:val="0"/>
                  <w:vAlign w:val="center"/>
                </w:tcPr>
                <w:p w14:paraId="7B78868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环境空气</w:t>
                  </w:r>
                </w:p>
              </w:tc>
              <w:tc>
                <w:tcPr>
                  <w:tcW w:w="1050" w:type="dxa"/>
                  <w:tcBorders>
                    <w:tl2br w:val="nil"/>
                    <w:tr2bl w:val="nil"/>
                  </w:tcBorders>
                  <w:noWrap w:val="0"/>
                  <w:vAlign w:val="center"/>
                </w:tcPr>
                <w:p w14:paraId="134DA219">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Ⅱ</w:t>
                  </w:r>
                  <w:r>
                    <w:rPr>
                      <w:rFonts w:hint="default" w:ascii="Times New Roman" w:hAnsi="Times New Roman" w:eastAsia="宋体" w:cs="Times New Roman"/>
                      <w:color w:val="000000"/>
                      <w:sz w:val="21"/>
                      <w:szCs w:val="21"/>
                      <w:highlight w:val="none"/>
                      <w:lang w:val="en-US" w:eastAsia="zh-CN"/>
                    </w:rPr>
                    <w:t>类区</w:t>
                  </w:r>
                </w:p>
              </w:tc>
              <w:tc>
                <w:tcPr>
                  <w:tcW w:w="998" w:type="dxa"/>
                  <w:tcBorders>
                    <w:tl2br w:val="nil"/>
                    <w:tr2bl w:val="nil"/>
                  </w:tcBorders>
                  <w:shd w:val="clear" w:color="auto" w:fill="auto"/>
                  <w:noWrap w:val="0"/>
                  <w:vAlign w:val="center"/>
                </w:tcPr>
                <w:p w14:paraId="09B4706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W</w:t>
                  </w:r>
                </w:p>
              </w:tc>
              <w:tc>
                <w:tcPr>
                  <w:tcW w:w="1146" w:type="dxa"/>
                  <w:tcBorders>
                    <w:tl2br w:val="nil"/>
                    <w:tr2bl w:val="nil"/>
                  </w:tcBorders>
                  <w:shd w:val="clear" w:color="auto" w:fill="auto"/>
                  <w:noWrap w:val="0"/>
                  <w:vAlign w:val="center"/>
                </w:tcPr>
                <w:p w14:paraId="5D92BCF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2"/>
                      <w:sz w:val="21"/>
                      <w:szCs w:val="21"/>
                      <w:highlight w:val="none"/>
                      <w:u w:val="none"/>
                      <w:lang w:val="en-US" w:eastAsia="zh-CN" w:bidi="ar-SA"/>
                    </w:rPr>
                    <w:t>2100</w:t>
                  </w:r>
                </w:p>
              </w:tc>
            </w:tr>
            <w:tr w14:paraId="25D92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5DC0DC4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西刘村</w:t>
                  </w:r>
                </w:p>
              </w:tc>
              <w:tc>
                <w:tcPr>
                  <w:tcW w:w="2215" w:type="dxa"/>
                  <w:tcBorders>
                    <w:tl2br w:val="nil"/>
                    <w:tr2bl w:val="nil"/>
                  </w:tcBorders>
                  <w:shd w:val="clear" w:color="auto" w:fill="auto"/>
                  <w:noWrap w:val="0"/>
                  <w:vAlign w:val="center"/>
                </w:tcPr>
                <w:p w14:paraId="247DBABE">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108°55′29.699″；</w:t>
                  </w:r>
                </w:p>
                <w:p w14:paraId="208D3E3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34°32′14.333″</w:t>
                  </w:r>
                </w:p>
              </w:tc>
              <w:tc>
                <w:tcPr>
                  <w:tcW w:w="1153" w:type="dxa"/>
                  <w:tcBorders>
                    <w:tl2br w:val="nil"/>
                    <w:tr2bl w:val="nil"/>
                  </w:tcBorders>
                  <w:noWrap w:val="0"/>
                  <w:vAlign w:val="center"/>
                </w:tcPr>
                <w:p w14:paraId="467EE9D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环境空气</w:t>
                  </w:r>
                </w:p>
              </w:tc>
              <w:tc>
                <w:tcPr>
                  <w:tcW w:w="1050" w:type="dxa"/>
                  <w:tcBorders>
                    <w:tl2br w:val="nil"/>
                    <w:tr2bl w:val="nil"/>
                  </w:tcBorders>
                  <w:noWrap w:val="0"/>
                  <w:vAlign w:val="center"/>
                </w:tcPr>
                <w:p w14:paraId="7D382DC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Ⅱ</w:t>
                  </w:r>
                  <w:r>
                    <w:rPr>
                      <w:rFonts w:hint="default" w:ascii="Times New Roman" w:hAnsi="Times New Roman" w:eastAsia="宋体" w:cs="Times New Roman"/>
                      <w:color w:val="000000"/>
                      <w:sz w:val="21"/>
                      <w:szCs w:val="21"/>
                      <w:highlight w:val="none"/>
                      <w:lang w:val="en-US" w:eastAsia="zh-CN"/>
                    </w:rPr>
                    <w:t>类区</w:t>
                  </w:r>
                </w:p>
              </w:tc>
              <w:tc>
                <w:tcPr>
                  <w:tcW w:w="998" w:type="dxa"/>
                  <w:tcBorders>
                    <w:tl2br w:val="nil"/>
                    <w:tr2bl w:val="nil"/>
                  </w:tcBorders>
                  <w:shd w:val="clear" w:color="auto" w:fill="auto"/>
                  <w:noWrap w:val="0"/>
                  <w:vAlign w:val="center"/>
                </w:tcPr>
                <w:p w14:paraId="62F57F1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W</w:t>
                  </w:r>
                </w:p>
              </w:tc>
              <w:tc>
                <w:tcPr>
                  <w:tcW w:w="1146" w:type="dxa"/>
                  <w:tcBorders>
                    <w:tl2br w:val="nil"/>
                    <w:tr2bl w:val="nil"/>
                  </w:tcBorders>
                  <w:shd w:val="clear" w:color="auto" w:fill="auto"/>
                  <w:noWrap w:val="0"/>
                  <w:vAlign w:val="center"/>
                </w:tcPr>
                <w:p w14:paraId="420879A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1800</w:t>
                  </w:r>
                </w:p>
              </w:tc>
            </w:tr>
            <w:tr w14:paraId="713A94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08722B3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寺后村</w:t>
                  </w:r>
                </w:p>
              </w:tc>
              <w:tc>
                <w:tcPr>
                  <w:tcW w:w="2215" w:type="dxa"/>
                  <w:tcBorders>
                    <w:tl2br w:val="nil"/>
                    <w:tr2bl w:val="nil"/>
                  </w:tcBorders>
                  <w:shd w:val="clear" w:color="auto" w:fill="auto"/>
                  <w:noWrap w:val="0"/>
                  <w:vAlign w:val="center"/>
                </w:tcPr>
                <w:p w14:paraId="03BA9361">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108°55′13.631″；</w:t>
                  </w:r>
                </w:p>
                <w:p w14:paraId="79E5BA0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34°31′57.107″</w:t>
                  </w:r>
                </w:p>
              </w:tc>
              <w:tc>
                <w:tcPr>
                  <w:tcW w:w="1153" w:type="dxa"/>
                  <w:tcBorders>
                    <w:tl2br w:val="nil"/>
                    <w:tr2bl w:val="nil"/>
                  </w:tcBorders>
                  <w:noWrap w:val="0"/>
                  <w:vAlign w:val="center"/>
                </w:tcPr>
                <w:p w14:paraId="2DBC396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环境空气</w:t>
                  </w:r>
                </w:p>
              </w:tc>
              <w:tc>
                <w:tcPr>
                  <w:tcW w:w="1050" w:type="dxa"/>
                  <w:tcBorders>
                    <w:tl2br w:val="nil"/>
                    <w:tr2bl w:val="nil"/>
                  </w:tcBorders>
                  <w:noWrap w:val="0"/>
                  <w:vAlign w:val="center"/>
                </w:tcPr>
                <w:p w14:paraId="70879CC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Ⅱ</w:t>
                  </w:r>
                  <w:r>
                    <w:rPr>
                      <w:rFonts w:hint="default" w:ascii="Times New Roman" w:hAnsi="Times New Roman" w:eastAsia="宋体" w:cs="Times New Roman"/>
                      <w:color w:val="000000"/>
                      <w:sz w:val="21"/>
                      <w:szCs w:val="21"/>
                      <w:highlight w:val="none"/>
                      <w:lang w:val="en-US" w:eastAsia="zh-CN"/>
                    </w:rPr>
                    <w:t>类区</w:t>
                  </w:r>
                </w:p>
              </w:tc>
              <w:tc>
                <w:tcPr>
                  <w:tcW w:w="998" w:type="dxa"/>
                  <w:tcBorders>
                    <w:tl2br w:val="nil"/>
                    <w:tr2bl w:val="nil"/>
                  </w:tcBorders>
                  <w:shd w:val="clear" w:color="auto" w:fill="auto"/>
                  <w:noWrap w:val="0"/>
                  <w:vAlign w:val="center"/>
                </w:tcPr>
                <w:p w14:paraId="40EBB6AC">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NW</w:t>
                  </w:r>
                </w:p>
              </w:tc>
              <w:tc>
                <w:tcPr>
                  <w:tcW w:w="1146" w:type="dxa"/>
                  <w:tcBorders>
                    <w:tl2br w:val="nil"/>
                    <w:tr2bl w:val="nil"/>
                  </w:tcBorders>
                  <w:shd w:val="clear" w:color="auto" w:fill="auto"/>
                  <w:noWrap w:val="0"/>
                  <w:vAlign w:val="center"/>
                </w:tcPr>
                <w:p w14:paraId="068A9AC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210</w:t>
                  </w:r>
                  <w:r>
                    <w:rPr>
                      <w:rFonts w:hint="default" w:ascii="Times New Roman" w:hAnsi="Times New Roman" w:eastAsia="宋体" w:cs="Times New Roman"/>
                      <w:i w:val="0"/>
                      <w:iCs w:val="0"/>
                      <w:color w:val="000000"/>
                      <w:kern w:val="0"/>
                      <w:sz w:val="21"/>
                      <w:szCs w:val="21"/>
                      <w:highlight w:val="none"/>
                      <w:u w:val="none"/>
                      <w:lang w:val="en-US" w:eastAsia="zh-CN" w:bidi="ar"/>
                    </w:rPr>
                    <w:t>0</w:t>
                  </w:r>
                </w:p>
              </w:tc>
            </w:tr>
            <w:tr w14:paraId="7C06C9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7A91357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冉孟村</w:t>
                  </w:r>
                </w:p>
              </w:tc>
              <w:tc>
                <w:tcPr>
                  <w:tcW w:w="2215" w:type="dxa"/>
                  <w:tcBorders>
                    <w:tl2br w:val="nil"/>
                    <w:tr2bl w:val="nil"/>
                  </w:tcBorders>
                  <w:shd w:val="clear" w:color="auto" w:fill="auto"/>
                  <w:noWrap w:val="0"/>
                  <w:vAlign w:val="center"/>
                </w:tcPr>
                <w:p w14:paraId="396ED1CD">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108°56′4.812″；</w:t>
                  </w:r>
                </w:p>
                <w:p w14:paraId="30248E4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34°32′53.912″</w:t>
                  </w:r>
                </w:p>
              </w:tc>
              <w:tc>
                <w:tcPr>
                  <w:tcW w:w="1153" w:type="dxa"/>
                  <w:tcBorders>
                    <w:tl2br w:val="nil"/>
                    <w:tr2bl w:val="nil"/>
                  </w:tcBorders>
                  <w:noWrap w:val="0"/>
                  <w:vAlign w:val="center"/>
                </w:tcPr>
                <w:p w14:paraId="0321D189">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环境空气</w:t>
                  </w:r>
                </w:p>
              </w:tc>
              <w:tc>
                <w:tcPr>
                  <w:tcW w:w="1050" w:type="dxa"/>
                  <w:tcBorders>
                    <w:tl2br w:val="nil"/>
                    <w:tr2bl w:val="nil"/>
                  </w:tcBorders>
                  <w:noWrap w:val="0"/>
                  <w:vAlign w:val="center"/>
                </w:tcPr>
                <w:p w14:paraId="5FDD06D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Ⅱ</w:t>
                  </w:r>
                  <w:r>
                    <w:rPr>
                      <w:rFonts w:hint="default" w:ascii="Times New Roman" w:hAnsi="Times New Roman" w:eastAsia="宋体" w:cs="Times New Roman"/>
                      <w:color w:val="000000"/>
                      <w:sz w:val="21"/>
                      <w:szCs w:val="21"/>
                      <w:highlight w:val="none"/>
                      <w:lang w:val="en-US" w:eastAsia="zh-CN"/>
                    </w:rPr>
                    <w:t>类区</w:t>
                  </w:r>
                </w:p>
              </w:tc>
              <w:tc>
                <w:tcPr>
                  <w:tcW w:w="998" w:type="dxa"/>
                  <w:tcBorders>
                    <w:tl2br w:val="nil"/>
                    <w:tr2bl w:val="nil"/>
                  </w:tcBorders>
                  <w:shd w:val="clear" w:color="auto" w:fill="auto"/>
                  <w:noWrap w:val="0"/>
                  <w:vAlign w:val="center"/>
                </w:tcPr>
                <w:p w14:paraId="4855AE0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NW</w:t>
                  </w:r>
                </w:p>
              </w:tc>
              <w:tc>
                <w:tcPr>
                  <w:tcW w:w="1146" w:type="dxa"/>
                  <w:tcBorders>
                    <w:tl2br w:val="nil"/>
                    <w:tr2bl w:val="nil"/>
                  </w:tcBorders>
                  <w:shd w:val="clear" w:color="auto" w:fill="auto"/>
                  <w:noWrap w:val="0"/>
                  <w:vAlign w:val="center"/>
                </w:tcPr>
                <w:p w14:paraId="35467B5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1450</w:t>
                  </w:r>
                </w:p>
              </w:tc>
            </w:tr>
            <w:tr w14:paraId="0DA582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03996C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田村</w:t>
                  </w:r>
                </w:p>
              </w:tc>
              <w:tc>
                <w:tcPr>
                  <w:tcW w:w="2215" w:type="dxa"/>
                  <w:tcBorders>
                    <w:tl2br w:val="nil"/>
                    <w:tr2bl w:val="nil"/>
                  </w:tcBorders>
                  <w:shd w:val="clear" w:color="auto" w:fill="auto"/>
                  <w:noWrap w:val="0"/>
                  <w:vAlign w:val="center"/>
                </w:tcPr>
                <w:p w14:paraId="6F885986">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108°56′33.548″；</w:t>
                  </w:r>
                </w:p>
                <w:p w14:paraId="0E26175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34°32′50.861″</w:t>
                  </w:r>
                </w:p>
              </w:tc>
              <w:tc>
                <w:tcPr>
                  <w:tcW w:w="1153" w:type="dxa"/>
                  <w:tcBorders>
                    <w:tl2br w:val="nil"/>
                    <w:tr2bl w:val="nil"/>
                  </w:tcBorders>
                  <w:noWrap w:val="0"/>
                  <w:vAlign w:val="center"/>
                </w:tcPr>
                <w:p w14:paraId="20A792C9">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环境空气</w:t>
                  </w:r>
                </w:p>
              </w:tc>
              <w:tc>
                <w:tcPr>
                  <w:tcW w:w="1050" w:type="dxa"/>
                  <w:tcBorders>
                    <w:tl2br w:val="nil"/>
                    <w:tr2bl w:val="nil"/>
                  </w:tcBorders>
                  <w:noWrap w:val="0"/>
                  <w:vAlign w:val="center"/>
                </w:tcPr>
                <w:p w14:paraId="2CA21B4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Ⅱ</w:t>
                  </w:r>
                  <w:r>
                    <w:rPr>
                      <w:rFonts w:hint="default" w:ascii="Times New Roman" w:hAnsi="Times New Roman" w:eastAsia="宋体" w:cs="Times New Roman"/>
                      <w:color w:val="000000"/>
                      <w:sz w:val="21"/>
                      <w:szCs w:val="21"/>
                      <w:highlight w:val="none"/>
                      <w:lang w:val="en-US" w:eastAsia="zh-CN"/>
                    </w:rPr>
                    <w:t>类区</w:t>
                  </w:r>
                </w:p>
              </w:tc>
              <w:tc>
                <w:tcPr>
                  <w:tcW w:w="998" w:type="dxa"/>
                  <w:tcBorders>
                    <w:tl2br w:val="nil"/>
                    <w:tr2bl w:val="nil"/>
                  </w:tcBorders>
                  <w:shd w:val="clear" w:color="auto" w:fill="auto"/>
                  <w:noWrap w:val="0"/>
                  <w:vAlign w:val="center"/>
                </w:tcPr>
                <w:p w14:paraId="4034254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NW</w:t>
                  </w:r>
                </w:p>
              </w:tc>
              <w:tc>
                <w:tcPr>
                  <w:tcW w:w="1146" w:type="dxa"/>
                  <w:tcBorders>
                    <w:tl2br w:val="nil"/>
                    <w:tr2bl w:val="nil"/>
                  </w:tcBorders>
                  <w:shd w:val="clear" w:color="auto" w:fill="auto"/>
                  <w:noWrap w:val="0"/>
                  <w:vAlign w:val="center"/>
                </w:tcPr>
                <w:p w14:paraId="05EB52B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950</w:t>
                  </w:r>
                </w:p>
              </w:tc>
            </w:tr>
            <w:tr w14:paraId="216A46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040698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铁孟村</w:t>
                  </w:r>
                </w:p>
              </w:tc>
              <w:tc>
                <w:tcPr>
                  <w:tcW w:w="2215" w:type="dxa"/>
                  <w:tcBorders>
                    <w:tl2br w:val="nil"/>
                    <w:tr2bl w:val="nil"/>
                  </w:tcBorders>
                  <w:shd w:val="clear" w:color="auto" w:fill="auto"/>
                  <w:noWrap w:val="0"/>
                  <w:vAlign w:val="center"/>
                </w:tcPr>
                <w:p w14:paraId="1525A9F8">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108°56′23.970″；</w:t>
                  </w:r>
                </w:p>
                <w:p w14:paraId="31151F9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34°33′15.657″</w:t>
                  </w:r>
                </w:p>
              </w:tc>
              <w:tc>
                <w:tcPr>
                  <w:tcW w:w="1153" w:type="dxa"/>
                  <w:tcBorders>
                    <w:tl2br w:val="nil"/>
                    <w:tr2bl w:val="nil"/>
                  </w:tcBorders>
                  <w:noWrap w:val="0"/>
                  <w:vAlign w:val="center"/>
                </w:tcPr>
                <w:p w14:paraId="75C59DCB">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环境空气</w:t>
                  </w:r>
                </w:p>
              </w:tc>
              <w:tc>
                <w:tcPr>
                  <w:tcW w:w="1050" w:type="dxa"/>
                  <w:tcBorders>
                    <w:tl2br w:val="nil"/>
                    <w:tr2bl w:val="nil"/>
                  </w:tcBorders>
                  <w:noWrap w:val="0"/>
                  <w:vAlign w:val="center"/>
                </w:tcPr>
                <w:p w14:paraId="2B7AD01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Ⅱ</w:t>
                  </w:r>
                  <w:r>
                    <w:rPr>
                      <w:rFonts w:hint="default" w:ascii="Times New Roman" w:hAnsi="Times New Roman" w:eastAsia="宋体" w:cs="Times New Roman"/>
                      <w:color w:val="000000"/>
                      <w:sz w:val="21"/>
                      <w:szCs w:val="21"/>
                      <w:highlight w:val="none"/>
                      <w:lang w:val="en-US" w:eastAsia="zh-CN"/>
                    </w:rPr>
                    <w:t>类区</w:t>
                  </w:r>
                </w:p>
              </w:tc>
              <w:tc>
                <w:tcPr>
                  <w:tcW w:w="998" w:type="dxa"/>
                  <w:tcBorders>
                    <w:tl2br w:val="nil"/>
                    <w:tr2bl w:val="nil"/>
                  </w:tcBorders>
                  <w:shd w:val="clear" w:color="auto" w:fill="auto"/>
                  <w:noWrap w:val="0"/>
                  <w:vAlign w:val="center"/>
                </w:tcPr>
                <w:p w14:paraId="35BD102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NW</w:t>
                  </w:r>
                </w:p>
              </w:tc>
              <w:tc>
                <w:tcPr>
                  <w:tcW w:w="1146" w:type="dxa"/>
                  <w:tcBorders>
                    <w:tl2br w:val="nil"/>
                    <w:tr2bl w:val="nil"/>
                  </w:tcBorders>
                  <w:shd w:val="clear" w:color="auto" w:fill="auto"/>
                  <w:noWrap w:val="0"/>
                  <w:vAlign w:val="center"/>
                </w:tcPr>
                <w:p w14:paraId="2750F07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1840</w:t>
                  </w:r>
                </w:p>
              </w:tc>
            </w:tr>
            <w:tr w14:paraId="49791B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36E6B8C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都村</w:t>
                  </w:r>
                </w:p>
              </w:tc>
              <w:tc>
                <w:tcPr>
                  <w:tcW w:w="2215" w:type="dxa"/>
                  <w:tcBorders>
                    <w:tl2br w:val="nil"/>
                    <w:tr2bl w:val="nil"/>
                  </w:tcBorders>
                  <w:shd w:val="clear" w:color="auto" w:fill="auto"/>
                  <w:noWrap w:val="0"/>
                  <w:vAlign w:val="center"/>
                </w:tcPr>
                <w:p w14:paraId="3D01CC45">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108°56′51.663″；</w:t>
                  </w:r>
                </w:p>
                <w:p w14:paraId="5A6BEF3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34°33′13.108″</w:t>
                  </w:r>
                </w:p>
              </w:tc>
              <w:tc>
                <w:tcPr>
                  <w:tcW w:w="1153" w:type="dxa"/>
                  <w:tcBorders>
                    <w:tl2br w:val="nil"/>
                    <w:tr2bl w:val="nil"/>
                  </w:tcBorders>
                  <w:noWrap w:val="0"/>
                  <w:vAlign w:val="center"/>
                </w:tcPr>
                <w:p w14:paraId="4287C75C">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环境空气</w:t>
                  </w:r>
                </w:p>
              </w:tc>
              <w:tc>
                <w:tcPr>
                  <w:tcW w:w="1050" w:type="dxa"/>
                  <w:tcBorders>
                    <w:tl2br w:val="nil"/>
                    <w:tr2bl w:val="nil"/>
                  </w:tcBorders>
                  <w:noWrap w:val="0"/>
                  <w:vAlign w:val="center"/>
                </w:tcPr>
                <w:p w14:paraId="4893BCF4">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Ⅱ</w:t>
                  </w:r>
                  <w:r>
                    <w:rPr>
                      <w:rFonts w:hint="default" w:ascii="Times New Roman" w:hAnsi="Times New Roman" w:eastAsia="宋体" w:cs="Times New Roman"/>
                      <w:color w:val="000000"/>
                      <w:sz w:val="21"/>
                      <w:szCs w:val="21"/>
                      <w:highlight w:val="none"/>
                      <w:lang w:val="en-US" w:eastAsia="zh-CN"/>
                    </w:rPr>
                    <w:t>类区</w:t>
                  </w:r>
                </w:p>
              </w:tc>
              <w:tc>
                <w:tcPr>
                  <w:tcW w:w="998" w:type="dxa"/>
                  <w:tcBorders>
                    <w:tl2br w:val="nil"/>
                    <w:tr2bl w:val="nil"/>
                  </w:tcBorders>
                  <w:shd w:val="clear" w:color="auto" w:fill="auto"/>
                  <w:noWrap w:val="0"/>
                  <w:vAlign w:val="center"/>
                </w:tcPr>
                <w:p w14:paraId="099F5CE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N</w:t>
                  </w:r>
                </w:p>
              </w:tc>
              <w:tc>
                <w:tcPr>
                  <w:tcW w:w="1146" w:type="dxa"/>
                  <w:tcBorders>
                    <w:tl2br w:val="nil"/>
                    <w:tr2bl w:val="nil"/>
                  </w:tcBorders>
                  <w:shd w:val="clear" w:color="auto" w:fill="auto"/>
                  <w:noWrap w:val="0"/>
                  <w:vAlign w:val="center"/>
                </w:tcPr>
                <w:p w14:paraId="4DDFA38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1600</w:t>
                  </w:r>
                </w:p>
              </w:tc>
            </w:tr>
            <w:tr w14:paraId="2A8701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61F2B9E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新村</w:t>
                  </w:r>
                </w:p>
              </w:tc>
              <w:tc>
                <w:tcPr>
                  <w:tcW w:w="2215" w:type="dxa"/>
                  <w:tcBorders>
                    <w:tl2br w:val="nil"/>
                    <w:tr2bl w:val="nil"/>
                  </w:tcBorders>
                  <w:shd w:val="clear" w:color="auto" w:fill="auto"/>
                  <w:noWrap w:val="0"/>
                  <w:vAlign w:val="center"/>
                </w:tcPr>
                <w:p w14:paraId="353AF9AD">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108°56′52.175″；</w:t>
                  </w:r>
                </w:p>
                <w:p w14:paraId="23C14BF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34°32′42.209″</w:t>
                  </w:r>
                </w:p>
              </w:tc>
              <w:tc>
                <w:tcPr>
                  <w:tcW w:w="1153" w:type="dxa"/>
                  <w:tcBorders>
                    <w:tl2br w:val="nil"/>
                    <w:tr2bl w:val="nil"/>
                  </w:tcBorders>
                  <w:noWrap w:val="0"/>
                  <w:vAlign w:val="center"/>
                </w:tcPr>
                <w:p w14:paraId="1DB6ABA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环境空气</w:t>
                  </w:r>
                </w:p>
              </w:tc>
              <w:tc>
                <w:tcPr>
                  <w:tcW w:w="1050" w:type="dxa"/>
                  <w:tcBorders>
                    <w:tl2br w:val="nil"/>
                    <w:tr2bl w:val="nil"/>
                  </w:tcBorders>
                  <w:noWrap w:val="0"/>
                  <w:vAlign w:val="center"/>
                </w:tcPr>
                <w:p w14:paraId="1739905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Ⅱ</w:t>
                  </w:r>
                  <w:r>
                    <w:rPr>
                      <w:rFonts w:hint="default" w:ascii="Times New Roman" w:hAnsi="Times New Roman" w:eastAsia="宋体" w:cs="Times New Roman"/>
                      <w:color w:val="000000"/>
                      <w:sz w:val="21"/>
                      <w:szCs w:val="21"/>
                      <w:highlight w:val="none"/>
                      <w:lang w:val="en-US" w:eastAsia="zh-CN"/>
                    </w:rPr>
                    <w:t>类区</w:t>
                  </w:r>
                </w:p>
              </w:tc>
              <w:tc>
                <w:tcPr>
                  <w:tcW w:w="998" w:type="dxa"/>
                  <w:tcBorders>
                    <w:tl2br w:val="nil"/>
                    <w:tr2bl w:val="nil"/>
                  </w:tcBorders>
                  <w:shd w:val="clear" w:color="auto" w:fill="auto"/>
                  <w:noWrap w:val="0"/>
                  <w:vAlign w:val="center"/>
                </w:tcPr>
                <w:p w14:paraId="5D42DAF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N</w:t>
                  </w:r>
                </w:p>
              </w:tc>
              <w:tc>
                <w:tcPr>
                  <w:tcW w:w="1146" w:type="dxa"/>
                  <w:tcBorders>
                    <w:tl2br w:val="nil"/>
                    <w:tr2bl w:val="nil"/>
                  </w:tcBorders>
                  <w:shd w:val="clear" w:color="auto" w:fill="auto"/>
                  <w:noWrap w:val="0"/>
                  <w:vAlign w:val="center"/>
                </w:tcPr>
                <w:p w14:paraId="74EF51F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680</w:t>
                  </w:r>
                </w:p>
              </w:tc>
            </w:tr>
            <w:tr w14:paraId="746EF2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17626DF8">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北史村</w:t>
                  </w:r>
                </w:p>
              </w:tc>
              <w:tc>
                <w:tcPr>
                  <w:tcW w:w="2215" w:type="dxa"/>
                  <w:tcBorders>
                    <w:tl2br w:val="nil"/>
                    <w:tr2bl w:val="nil"/>
                  </w:tcBorders>
                  <w:shd w:val="clear" w:color="auto" w:fill="auto"/>
                  <w:noWrap w:val="0"/>
                  <w:vAlign w:val="center"/>
                </w:tcPr>
                <w:p w14:paraId="3525710F">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108°57′10.714″；</w:t>
                  </w:r>
                </w:p>
                <w:p w14:paraId="064872AB">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34°32′50.610″</w:t>
                  </w:r>
                </w:p>
              </w:tc>
              <w:tc>
                <w:tcPr>
                  <w:tcW w:w="1153" w:type="dxa"/>
                  <w:tcBorders>
                    <w:tl2br w:val="nil"/>
                    <w:tr2bl w:val="nil"/>
                  </w:tcBorders>
                  <w:noWrap w:val="0"/>
                  <w:vAlign w:val="center"/>
                </w:tcPr>
                <w:p w14:paraId="5F45AC2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环境空气</w:t>
                  </w:r>
                </w:p>
              </w:tc>
              <w:tc>
                <w:tcPr>
                  <w:tcW w:w="1050" w:type="dxa"/>
                  <w:tcBorders>
                    <w:tl2br w:val="nil"/>
                    <w:tr2bl w:val="nil"/>
                  </w:tcBorders>
                  <w:noWrap w:val="0"/>
                  <w:vAlign w:val="center"/>
                </w:tcPr>
                <w:p w14:paraId="6861019E">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Ⅱ</w:t>
                  </w:r>
                  <w:r>
                    <w:rPr>
                      <w:rFonts w:hint="default" w:ascii="Times New Roman" w:hAnsi="Times New Roman" w:eastAsia="宋体" w:cs="Times New Roman"/>
                      <w:color w:val="000000"/>
                      <w:sz w:val="21"/>
                      <w:szCs w:val="21"/>
                      <w:highlight w:val="none"/>
                      <w:lang w:val="en-US" w:eastAsia="zh-CN"/>
                    </w:rPr>
                    <w:t>类区</w:t>
                  </w:r>
                </w:p>
              </w:tc>
              <w:tc>
                <w:tcPr>
                  <w:tcW w:w="998" w:type="dxa"/>
                  <w:tcBorders>
                    <w:tl2br w:val="nil"/>
                    <w:tr2bl w:val="nil"/>
                  </w:tcBorders>
                  <w:shd w:val="clear" w:color="auto" w:fill="auto"/>
                  <w:noWrap w:val="0"/>
                  <w:vAlign w:val="center"/>
                </w:tcPr>
                <w:p w14:paraId="206D150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NE</w:t>
                  </w:r>
                </w:p>
              </w:tc>
              <w:tc>
                <w:tcPr>
                  <w:tcW w:w="1146" w:type="dxa"/>
                  <w:tcBorders>
                    <w:tl2br w:val="nil"/>
                    <w:tr2bl w:val="nil"/>
                  </w:tcBorders>
                  <w:shd w:val="clear" w:color="auto" w:fill="auto"/>
                  <w:noWrap w:val="0"/>
                  <w:vAlign w:val="center"/>
                </w:tcPr>
                <w:p w14:paraId="15D1979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1130</w:t>
                  </w:r>
                </w:p>
              </w:tc>
            </w:tr>
            <w:tr w14:paraId="7752AB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66D2E69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磨子桥村</w:t>
                  </w:r>
                </w:p>
              </w:tc>
              <w:tc>
                <w:tcPr>
                  <w:tcW w:w="2215" w:type="dxa"/>
                  <w:tcBorders>
                    <w:tl2br w:val="nil"/>
                    <w:tr2bl w:val="nil"/>
                  </w:tcBorders>
                  <w:shd w:val="clear" w:color="auto" w:fill="auto"/>
                  <w:noWrap w:val="0"/>
                  <w:vAlign w:val="center"/>
                </w:tcPr>
                <w:p w14:paraId="10CCA7E6">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108°57′41.999″；</w:t>
                  </w:r>
                </w:p>
                <w:p w14:paraId="224163A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34°32′20.135″</w:t>
                  </w:r>
                </w:p>
              </w:tc>
              <w:tc>
                <w:tcPr>
                  <w:tcW w:w="1153" w:type="dxa"/>
                  <w:tcBorders>
                    <w:tl2br w:val="nil"/>
                    <w:tr2bl w:val="nil"/>
                  </w:tcBorders>
                  <w:noWrap w:val="0"/>
                  <w:vAlign w:val="center"/>
                </w:tcPr>
                <w:p w14:paraId="5689F287">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环境空气</w:t>
                  </w:r>
                </w:p>
              </w:tc>
              <w:tc>
                <w:tcPr>
                  <w:tcW w:w="1050" w:type="dxa"/>
                  <w:tcBorders>
                    <w:tl2br w:val="nil"/>
                    <w:tr2bl w:val="nil"/>
                  </w:tcBorders>
                  <w:noWrap w:val="0"/>
                  <w:vAlign w:val="center"/>
                </w:tcPr>
                <w:p w14:paraId="334A3E11">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Ⅱ</w:t>
                  </w:r>
                  <w:r>
                    <w:rPr>
                      <w:rFonts w:hint="default" w:ascii="Times New Roman" w:hAnsi="Times New Roman" w:eastAsia="宋体" w:cs="Times New Roman"/>
                      <w:color w:val="000000"/>
                      <w:sz w:val="21"/>
                      <w:szCs w:val="21"/>
                      <w:highlight w:val="none"/>
                      <w:lang w:val="en-US" w:eastAsia="zh-CN"/>
                    </w:rPr>
                    <w:t>类区</w:t>
                  </w:r>
                </w:p>
              </w:tc>
              <w:tc>
                <w:tcPr>
                  <w:tcW w:w="998" w:type="dxa"/>
                  <w:tcBorders>
                    <w:tl2br w:val="nil"/>
                    <w:tr2bl w:val="nil"/>
                  </w:tcBorders>
                  <w:shd w:val="clear" w:color="auto" w:fill="auto"/>
                  <w:noWrap w:val="0"/>
                  <w:vAlign w:val="center"/>
                </w:tcPr>
                <w:p w14:paraId="16DF643A">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E</w:t>
                  </w:r>
                </w:p>
              </w:tc>
              <w:tc>
                <w:tcPr>
                  <w:tcW w:w="1146" w:type="dxa"/>
                  <w:tcBorders>
                    <w:tl2br w:val="nil"/>
                    <w:tr2bl w:val="nil"/>
                  </w:tcBorders>
                  <w:shd w:val="clear" w:color="auto" w:fill="auto"/>
                  <w:noWrap w:val="0"/>
                  <w:vAlign w:val="center"/>
                </w:tcPr>
                <w:p w14:paraId="7AF66A90">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1220</w:t>
                  </w:r>
                </w:p>
              </w:tc>
            </w:tr>
            <w:tr w14:paraId="4729F2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3D1E58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2"/>
                      <w:sz w:val="21"/>
                      <w:szCs w:val="21"/>
                      <w:highlight w:val="none"/>
                      <w:u w:val="none"/>
                      <w:lang w:val="en-US" w:eastAsia="zh-CN" w:bidi="ar-SA"/>
                    </w:rPr>
                    <w:t>福多李村</w:t>
                  </w:r>
                </w:p>
              </w:tc>
              <w:tc>
                <w:tcPr>
                  <w:tcW w:w="2215" w:type="dxa"/>
                  <w:tcBorders>
                    <w:tl2br w:val="nil"/>
                    <w:tr2bl w:val="nil"/>
                  </w:tcBorders>
                  <w:shd w:val="clear" w:color="auto" w:fill="auto"/>
                  <w:noWrap w:val="0"/>
                  <w:vAlign w:val="center"/>
                </w:tcPr>
                <w:p w14:paraId="68BE8336">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108°57′32.286″；</w:t>
                  </w:r>
                </w:p>
                <w:p w14:paraId="09F4364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34°32′5.594″</w:t>
                  </w:r>
                </w:p>
              </w:tc>
              <w:tc>
                <w:tcPr>
                  <w:tcW w:w="1153" w:type="dxa"/>
                  <w:tcBorders>
                    <w:tl2br w:val="nil"/>
                    <w:tr2bl w:val="nil"/>
                  </w:tcBorders>
                  <w:noWrap w:val="0"/>
                  <w:vAlign w:val="center"/>
                </w:tcPr>
                <w:p w14:paraId="6D6DFE3A">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环境空气</w:t>
                  </w:r>
                </w:p>
              </w:tc>
              <w:tc>
                <w:tcPr>
                  <w:tcW w:w="1050" w:type="dxa"/>
                  <w:tcBorders>
                    <w:tl2br w:val="nil"/>
                    <w:tr2bl w:val="nil"/>
                  </w:tcBorders>
                  <w:noWrap w:val="0"/>
                  <w:vAlign w:val="center"/>
                </w:tcPr>
                <w:p w14:paraId="1D679328">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Ⅱ</w:t>
                  </w:r>
                  <w:r>
                    <w:rPr>
                      <w:rFonts w:hint="default" w:ascii="Times New Roman" w:hAnsi="Times New Roman" w:eastAsia="宋体" w:cs="Times New Roman"/>
                      <w:color w:val="000000"/>
                      <w:sz w:val="21"/>
                      <w:szCs w:val="21"/>
                      <w:highlight w:val="none"/>
                      <w:lang w:val="en-US" w:eastAsia="zh-CN"/>
                    </w:rPr>
                    <w:t>类区</w:t>
                  </w:r>
                </w:p>
              </w:tc>
              <w:tc>
                <w:tcPr>
                  <w:tcW w:w="998" w:type="dxa"/>
                  <w:tcBorders>
                    <w:tl2br w:val="nil"/>
                    <w:tr2bl w:val="nil"/>
                  </w:tcBorders>
                  <w:shd w:val="clear" w:color="auto" w:fill="auto"/>
                  <w:noWrap w:val="0"/>
                  <w:vAlign w:val="center"/>
                </w:tcPr>
                <w:p w14:paraId="3753B29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SE</w:t>
                  </w:r>
                </w:p>
              </w:tc>
              <w:tc>
                <w:tcPr>
                  <w:tcW w:w="1146" w:type="dxa"/>
                  <w:tcBorders>
                    <w:tl2br w:val="nil"/>
                    <w:tr2bl w:val="nil"/>
                  </w:tcBorders>
                  <w:shd w:val="clear" w:color="auto" w:fill="auto"/>
                  <w:noWrap w:val="0"/>
                  <w:vAlign w:val="center"/>
                </w:tcPr>
                <w:p w14:paraId="4E418BED">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980</w:t>
                  </w:r>
                </w:p>
              </w:tc>
            </w:tr>
            <w:tr w14:paraId="5915F7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2170" w:type="dxa"/>
                  <w:tcBorders>
                    <w:tl2br w:val="nil"/>
                    <w:tr2bl w:val="nil"/>
                  </w:tcBorders>
                  <w:shd w:val="clear" w:color="auto" w:fill="auto"/>
                  <w:noWrap w:val="0"/>
                  <w:vAlign w:val="center"/>
                </w:tcPr>
                <w:p w14:paraId="75696CC6">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康桥马村</w:t>
                  </w:r>
                </w:p>
              </w:tc>
              <w:tc>
                <w:tcPr>
                  <w:tcW w:w="2215" w:type="dxa"/>
                  <w:tcBorders>
                    <w:tl2br w:val="nil"/>
                    <w:tr2bl w:val="nil"/>
                  </w:tcBorders>
                  <w:shd w:val="clear" w:color="auto" w:fill="auto"/>
                  <w:noWrap w:val="0"/>
                  <w:vAlign w:val="center"/>
                </w:tcPr>
                <w:p w14:paraId="0F48941D">
                  <w:pPr>
                    <w:keepNext w:val="0"/>
                    <w:keepLines w:val="0"/>
                    <w:widowControl/>
                    <w:suppressLineNumbers w:val="0"/>
                    <w:spacing w:before="0" w:beforeAutospacing="0" w:after="0" w:afterAutospacing="0"/>
                    <w:ind w:left="0" w:right="0"/>
                    <w:jc w:val="center"/>
                    <w:textAlignment w:val="center"/>
                    <w:rPr>
                      <w:rFonts w:hint="eastAsia"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108°58′24.428″；</w:t>
                  </w:r>
                </w:p>
                <w:p w14:paraId="1D874A0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1"/>
                      <w:szCs w:val="21"/>
                      <w:highlight w:val="none"/>
                      <w:u w:val="none"/>
                      <w:lang w:val="en-US" w:eastAsia="zh-CN" w:bidi="ar"/>
                    </w:rPr>
                  </w:pPr>
                  <w:r>
                    <w:rPr>
                      <w:rFonts w:hint="eastAsia" w:cs="Times New Roman"/>
                      <w:i w:val="0"/>
                      <w:iCs w:val="0"/>
                      <w:color w:val="000000"/>
                      <w:kern w:val="0"/>
                      <w:sz w:val="21"/>
                      <w:szCs w:val="21"/>
                      <w:highlight w:val="none"/>
                      <w:u w:val="none"/>
                      <w:lang w:val="en-US" w:eastAsia="zh-CN" w:bidi="ar"/>
                    </w:rPr>
                    <w:t>34°32′17.413″</w:t>
                  </w:r>
                </w:p>
              </w:tc>
              <w:tc>
                <w:tcPr>
                  <w:tcW w:w="1153" w:type="dxa"/>
                  <w:tcBorders>
                    <w:tl2br w:val="nil"/>
                    <w:tr2bl w:val="nil"/>
                  </w:tcBorders>
                  <w:noWrap w:val="0"/>
                  <w:vAlign w:val="center"/>
                </w:tcPr>
                <w:p w14:paraId="426153D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环境空气</w:t>
                  </w:r>
                </w:p>
              </w:tc>
              <w:tc>
                <w:tcPr>
                  <w:tcW w:w="1050" w:type="dxa"/>
                  <w:tcBorders>
                    <w:tl2br w:val="nil"/>
                    <w:tr2bl w:val="nil"/>
                  </w:tcBorders>
                  <w:noWrap w:val="0"/>
                  <w:vAlign w:val="center"/>
                </w:tcPr>
                <w:p w14:paraId="18E55985">
                  <w:pPr>
                    <w:keepNext w:val="0"/>
                    <w:keepLines w:val="0"/>
                    <w:pageBreakBefore w:val="0"/>
                    <w:widowControl w:val="0"/>
                    <w:suppressLineNumbers w:val="0"/>
                    <w:kinsoku/>
                    <w:wordWrap/>
                    <w:overflowPunct/>
                    <w:topLinePunct w:val="0"/>
                    <w:autoSpaceDE/>
                    <w:autoSpaceDN/>
                    <w:bidi w:val="0"/>
                    <w:adjustRightIn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Ⅱ</w:t>
                  </w:r>
                  <w:r>
                    <w:rPr>
                      <w:rFonts w:hint="default" w:ascii="Times New Roman" w:hAnsi="Times New Roman" w:eastAsia="宋体" w:cs="Times New Roman"/>
                      <w:color w:val="000000"/>
                      <w:sz w:val="21"/>
                      <w:szCs w:val="21"/>
                      <w:highlight w:val="none"/>
                      <w:lang w:val="en-US" w:eastAsia="zh-CN"/>
                    </w:rPr>
                    <w:t>类区</w:t>
                  </w:r>
                </w:p>
              </w:tc>
              <w:tc>
                <w:tcPr>
                  <w:tcW w:w="998" w:type="dxa"/>
                  <w:tcBorders>
                    <w:tl2br w:val="nil"/>
                    <w:tr2bl w:val="nil"/>
                  </w:tcBorders>
                  <w:shd w:val="clear" w:color="auto" w:fill="auto"/>
                  <w:noWrap w:val="0"/>
                  <w:vAlign w:val="center"/>
                </w:tcPr>
                <w:p w14:paraId="32E14BD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E</w:t>
                  </w:r>
                </w:p>
              </w:tc>
              <w:tc>
                <w:tcPr>
                  <w:tcW w:w="1146" w:type="dxa"/>
                  <w:tcBorders>
                    <w:tl2br w:val="nil"/>
                    <w:tr2bl w:val="nil"/>
                  </w:tcBorders>
                  <w:shd w:val="clear" w:color="auto" w:fill="auto"/>
                  <w:noWrap w:val="0"/>
                  <w:vAlign w:val="center"/>
                </w:tcPr>
                <w:p w14:paraId="234A0DE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2"/>
                      <w:sz w:val="21"/>
                      <w:szCs w:val="21"/>
                      <w:highlight w:val="none"/>
                      <w:u w:val="none"/>
                      <w:lang w:val="en-US" w:eastAsia="zh-CN" w:bidi="ar-SA"/>
                    </w:rPr>
                  </w:pPr>
                  <w:r>
                    <w:rPr>
                      <w:rFonts w:hint="eastAsia" w:cs="Times New Roman"/>
                      <w:i w:val="0"/>
                      <w:iCs w:val="0"/>
                      <w:color w:val="000000"/>
                      <w:kern w:val="0"/>
                      <w:sz w:val="21"/>
                      <w:szCs w:val="21"/>
                      <w:highlight w:val="none"/>
                      <w:u w:val="none"/>
                      <w:lang w:val="en-US" w:eastAsia="zh-CN" w:bidi="ar"/>
                    </w:rPr>
                    <w:t>2100</w:t>
                  </w:r>
                </w:p>
              </w:tc>
            </w:tr>
            <w:bookmarkEnd w:id="3"/>
          </w:tbl>
          <w:p w14:paraId="31E7C4C1">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000000" w:themeColor="text1"/>
                <w:sz w:val="24"/>
                <w:szCs w:val="24"/>
                <w:highlight w:val="none"/>
                <w14:textFill>
                  <w14:solidFill>
                    <w14:schemeClr w14:val="tx1"/>
                  </w14:solidFill>
                </w14:textFill>
              </w:rPr>
            </w:pPr>
            <w:r>
              <w:rPr>
                <w:rFonts w:hint="eastAsia"/>
                <w:color w:val="000000" w:themeColor="text1"/>
                <w:sz w:val="24"/>
                <w:szCs w:val="24"/>
                <w:highlight w:val="none"/>
                <w:lang w:val="en-US" w:eastAsia="zh-CN"/>
                <w14:textFill>
                  <w14:solidFill>
                    <w14:schemeClr w14:val="tx1"/>
                  </w14:solidFill>
                </w14:textFill>
              </w:rPr>
              <w:t>2</w:t>
            </w:r>
            <w:r>
              <w:rPr>
                <w:rFonts w:hint="default"/>
                <w:color w:val="000000" w:themeColor="text1"/>
                <w:sz w:val="24"/>
                <w:szCs w:val="24"/>
                <w:highlight w:val="none"/>
                <w14:textFill>
                  <w14:solidFill>
                    <w14:schemeClr w14:val="tx1"/>
                  </w14:solidFill>
                </w14:textFill>
              </w:rPr>
              <w:t>、声环境</w:t>
            </w:r>
          </w:p>
          <w:p w14:paraId="68BC1501">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000000" w:themeColor="text1"/>
                <w:sz w:val="24"/>
                <w:szCs w:val="24"/>
                <w:highlight w:val="none"/>
                <w14:textFill>
                  <w14:solidFill>
                    <w14:schemeClr w14:val="tx1"/>
                  </w14:solidFill>
                </w14:textFill>
              </w:rPr>
            </w:pPr>
            <w:r>
              <w:rPr>
                <w:rFonts w:hint="default"/>
                <w:color w:val="000000" w:themeColor="text1"/>
                <w:sz w:val="24"/>
                <w:szCs w:val="24"/>
                <w:highlight w:val="none"/>
                <w14:textFill>
                  <w14:solidFill>
                    <w14:schemeClr w14:val="tx1"/>
                  </w14:solidFill>
                </w14:textFill>
              </w:rPr>
              <w:t>根据《建设项目环境影响报告表编制技术指南（污染影响类）（试行）》中的相关要求，声环境保护目标范围为厂界外周边50米，项目周边50m内无声环境保护目标。</w:t>
            </w:r>
          </w:p>
          <w:p w14:paraId="7B49D3AA">
            <w:pPr>
              <w:keepNext w:val="0"/>
              <w:keepLines w:val="0"/>
              <w:suppressLineNumbers w:val="0"/>
              <w:adjustRightInd w:val="0"/>
              <w:snapToGrid w:val="0"/>
              <w:spacing w:before="0" w:beforeAutospacing="0" w:after="0" w:afterAutospacing="0" w:line="480" w:lineRule="exact"/>
              <w:ind w:left="0" w:right="0"/>
              <w:jc w:val="left"/>
              <w:rPr>
                <w:rFonts w:hint="eastAsia" w:eastAsia="宋体"/>
                <w:color w:val="000000" w:themeColor="text1"/>
                <w:kern w:val="0"/>
                <w:highlight w:val="green"/>
                <w:lang w:val="en-US" w:eastAsia="zh-CN"/>
                <w14:textFill>
                  <w14:solidFill>
                    <w14:schemeClr w14:val="tx1"/>
                  </w14:solidFill>
                </w14:textFill>
              </w:rPr>
            </w:pPr>
          </w:p>
        </w:tc>
      </w:tr>
      <w:tr w14:paraId="5ABD7A8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484" w:hRule="atLeast"/>
          <w:jc w:val="center"/>
        </w:trPr>
        <w:tc>
          <w:tcPr>
            <w:tcW w:w="510" w:type="dxa"/>
            <w:tcMar>
              <w:left w:w="28" w:type="dxa"/>
              <w:right w:w="28" w:type="dxa"/>
            </w:tcMar>
            <w:vAlign w:val="center"/>
          </w:tcPr>
          <w:p w14:paraId="413FAD90">
            <w:pPr>
              <w:keepNext w:val="0"/>
              <w:keepLines w:val="0"/>
              <w:suppressLineNumbers w:val="0"/>
              <w:adjustRightInd w:val="0"/>
              <w:snapToGrid w:val="0"/>
              <w:spacing w:before="0" w:beforeAutospacing="0" w:after="0" w:afterAutospacing="0" w:line="480" w:lineRule="exact"/>
              <w:ind w:left="0" w:right="0"/>
              <w:jc w:val="center"/>
              <w:rPr>
                <w:rFonts w:hint="default"/>
                <w:color w:val="000000" w:themeColor="text1"/>
                <w:kern w:val="0"/>
                <w:sz w:val="24"/>
                <w:szCs w:val="24"/>
                <w:highlight w:val="none"/>
                <w14:textFill>
                  <w14:solidFill>
                    <w14:schemeClr w14:val="tx1"/>
                  </w14:solidFill>
                </w14:textFill>
              </w:rPr>
            </w:pPr>
            <w:r>
              <w:rPr>
                <w:rFonts w:hint="default"/>
                <w:color w:val="000000" w:themeColor="text1"/>
                <w:kern w:val="0"/>
                <w:sz w:val="24"/>
                <w:szCs w:val="24"/>
                <w:highlight w:val="none"/>
                <w14:textFill>
                  <w14:solidFill>
                    <w14:schemeClr w14:val="tx1"/>
                  </w14:solidFill>
                </w14:textFill>
              </w:rPr>
              <w:t>污染</w:t>
            </w:r>
          </w:p>
          <w:p w14:paraId="26E9931A">
            <w:pPr>
              <w:keepNext w:val="0"/>
              <w:keepLines w:val="0"/>
              <w:suppressLineNumbers w:val="0"/>
              <w:adjustRightInd w:val="0"/>
              <w:snapToGrid w:val="0"/>
              <w:spacing w:before="0" w:beforeAutospacing="0" w:after="0" w:afterAutospacing="0" w:line="480" w:lineRule="exact"/>
              <w:ind w:left="0" w:right="0"/>
              <w:jc w:val="center"/>
              <w:rPr>
                <w:rFonts w:hint="default"/>
                <w:color w:val="000000" w:themeColor="text1"/>
                <w:kern w:val="0"/>
                <w:sz w:val="24"/>
                <w:szCs w:val="24"/>
                <w:highlight w:val="none"/>
                <w14:textFill>
                  <w14:solidFill>
                    <w14:schemeClr w14:val="tx1"/>
                  </w14:solidFill>
                </w14:textFill>
              </w:rPr>
            </w:pPr>
            <w:r>
              <w:rPr>
                <w:rFonts w:hint="default"/>
                <w:color w:val="000000" w:themeColor="text1"/>
                <w:kern w:val="0"/>
                <w:sz w:val="24"/>
                <w:szCs w:val="24"/>
                <w:highlight w:val="none"/>
                <w14:textFill>
                  <w14:solidFill>
                    <w14:schemeClr w14:val="tx1"/>
                  </w14:solidFill>
                </w14:textFill>
              </w:rPr>
              <w:t>物排</w:t>
            </w:r>
          </w:p>
          <w:p w14:paraId="666B0F72">
            <w:pPr>
              <w:keepNext w:val="0"/>
              <w:keepLines w:val="0"/>
              <w:suppressLineNumbers w:val="0"/>
              <w:adjustRightInd w:val="0"/>
              <w:snapToGrid w:val="0"/>
              <w:spacing w:before="0" w:beforeAutospacing="0" w:after="0" w:afterAutospacing="0" w:line="480" w:lineRule="exact"/>
              <w:ind w:left="0" w:right="0"/>
              <w:jc w:val="center"/>
              <w:rPr>
                <w:rFonts w:hint="default"/>
                <w:color w:val="000000" w:themeColor="text1"/>
                <w:kern w:val="0"/>
                <w:sz w:val="24"/>
                <w:szCs w:val="24"/>
                <w:highlight w:val="none"/>
                <w14:textFill>
                  <w14:solidFill>
                    <w14:schemeClr w14:val="tx1"/>
                  </w14:solidFill>
                </w14:textFill>
              </w:rPr>
            </w:pPr>
            <w:r>
              <w:rPr>
                <w:rFonts w:hint="default"/>
                <w:color w:val="000000" w:themeColor="text1"/>
                <w:kern w:val="0"/>
                <w:sz w:val="24"/>
                <w:szCs w:val="24"/>
                <w:highlight w:val="none"/>
                <w14:textFill>
                  <w14:solidFill>
                    <w14:schemeClr w14:val="tx1"/>
                  </w14:solidFill>
                </w14:textFill>
              </w:rPr>
              <w:t>放控</w:t>
            </w:r>
          </w:p>
          <w:p w14:paraId="574FAE61">
            <w:pPr>
              <w:keepNext w:val="0"/>
              <w:keepLines w:val="0"/>
              <w:suppressLineNumbers w:val="0"/>
              <w:adjustRightInd w:val="0"/>
              <w:snapToGrid w:val="0"/>
              <w:spacing w:before="0" w:beforeAutospacing="0" w:after="0" w:afterAutospacing="0" w:line="480" w:lineRule="exact"/>
              <w:ind w:left="0" w:right="0"/>
              <w:jc w:val="center"/>
              <w:rPr>
                <w:rFonts w:hint="default"/>
                <w:color w:val="000000" w:themeColor="text1"/>
                <w:kern w:val="0"/>
                <w:sz w:val="24"/>
                <w:szCs w:val="24"/>
                <w:highlight w:val="none"/>
                <w14:textFill>
                  <w14:solidFill>
                    <w14:schemeClr w14:val="tx1"/>
                  </w14:solidFill>
                </w14:textFill>
              </w:rPr>
            </w:pPr>
            <w:r>
              <w:rPr>
                <w:rFonts w:hint="default"/>
                <w:color w:val="000000" w:themeColor="text1"/>
                <w:kern w:val="0"/>
                <w:sz w:val="24"/>
                <w:szCs w:val="24"/>
                <w:highlight w:val="none"/>
                <w14:textFill>
                  <w14:solidFill>
                    <w14:schemeClr w14:val="tx1"/>
                  </w14:solidFill>
                </w14:textFill>
              </w:rPr>
              <w:t>制标</w:t>
            </w:r>
          </w:p>
          <w:p w14:paraId="51C0AC93">
            <w:pPr>
              <w:keepNext w:val="0"/>
              <w:keepLines w:val="0"/>
              <w:suppressLineNumbers w:val="0"/>
              <w:adjustRightInd w:val="0"/>
              <w:snapToGrid w:val="0"/>
              <w:spacing w:before="0" w:beforeAutospacing="0" w:after="0" w:afterAutospacing="0" w:line="480" w:lineRule="exact"/>
              <w:ind w:left="0" w:right="0"/>
              <w:jc w:val="center"/>
              <w:rPr>
                <w:rFonts w:hint="default"/>
                <w:color w:val="000000" w:themeColor="text1"/>
                <w:kern w:val="0"/>
                <w:highlight w:val="green"/>
                <w14:textFill>
                  <w14:solidFill>
                    <w14:schemeClr w14:val="tx1"/>
                  </w14:solidFill>
                </w14:textFill>
              </w:rPr>
            </w:pPr>
            <w:r>
              <w:rPr>
                <w:rFonts w:hint="default"/>
                <w:color w:val="000000" w:themeColor="text1"/>
                <w:kern w:val="0"/>
                <w:sz w:val="24"/>
                <w:szCs w:val="24"/>
                <w:highlight w:val="none"/>
                <w14:textFill>
                  <w14:solidFill>
                    <w14:schemeClr w14:val="tx1"/>
                  </w14:solidFill>
                </w14:textFill>
              </w:rPr>
              <w:t>准</w:t>
            </w:r>
          </w:p>
        </w:tc>
        <w:tc>
          <w:tcPr>
            <w:tcW w:w="9038" w:type="dxa"/>
            <w:vAlign w:val="center"/>
          </w:tcPr>
          <w:p w14:paraId="69AD715E">
            <w:pPr>
              <w:keepNext w:val="0"/>
              <w:keepLines w:val="0"/>
              <w:suppressLineNumbers w:val="0"/>
              <w:adjustRightInd w:val="0"/>
              <w:snapToGrid w:val="0"/>
              <w:spacing w:before="120" w:beforeLines="50" w:beforeAutospacing="0" w:after="0" w:afterAutospacing="0" w:line="360" w:lineRule="auto"/>
              <w:ind w:left="0" w:right="0" w:firstLine="480" w:firstLineChars="200"/>
              <w:jc w:val="left"/>
              <w:rPr>
                <w:rFonts w:hint="default"/>
                <w:color w:val="000000" w:themeColor="text1"/>
                <w:sz w:val="24"/>
                <w:szCs w:val="24"/>
                <w:highlight w:val="none"/>
                <w14:textFill>
                  <w14:solidFill>
                    <w14:schemeClr w14:val="tx1"/>
                  </w14:solidFill>
                </w14:textFill>
              </w:rPr>
            </w:pPr>
            <w:r>
              <w:rPr>
                <w:rFonts w:hint="default"/>
                <w:color w:val="000000" w:themeColor="text1"/>
                <w:sz w:val="24"/>
                <w:szCs w:val="24"/>
                <w:highlight w:val="none"/>
                <w14:textFill>
                  <w14:solidFill>
                    <w14:schemeClr w14:val="tx1"/>
                  </w14:solidFill>
                </w14:textFill>
              </w:rPr>
              <w:t>（1）废气</w:t>
            </w:r>
          </w:p>
          <w:p w14:paraId="45B6F1BD">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both"/>
              <w:textAlignment w:val="auto"/>
              <w:rPr>
                <w:rFonts w:hint="default" w:ascii="Times New Roman" w:hAnsi="Times New Roman" w:eastAsia="宋体" w:cs="Times New Roman"/>
                <w:color w:val="000000"/>
                <w:kern w:val="0"/>
                <w:sz w:val="24"/>
                <w:szCs w:val="24"/>
                <w:highlight w:val="none"/>
                <w:lang w:val="en-US" w:eastAsia="zh-CN"/>
              </w:rPr>
            </w:pPr>
            <w:r>
              <w:rPr>
                <w:rFonts w:hint="default" w:ascii="Times New Roman" w:hAnsi="Times New Roman" w:eastAsia="宋体" w:cs="Times New Roman"/>
                <w:color w:val="000000"/>
                <w:sz w:val="24"/>
                <w:szCs w:val="22"/>
                <w:highlight w:val="none"/>
              </w:rPr>
              <w:t>施工期</w:t>
            </w:r>
            <w:r>
              <w:rPr>
                <w:rFonts w:hint="eastAsia" w:ascii="Times New Roman" w:hAnsi="Times New Roman" w:eastAsia="宋体" w:cs="Times New Roman"/>
                <w:color w:val="000000"/>
                <w:sz w:val="24"/>
                <w:szCs w:val="22"/>
                <w:highlight w:val="none"/>
                <w:lang w:eastAsia="zh-CN"/>
              </w:rPr>
              <w:t>：</w:t>
            </w:r>
            <w:r>
              <w:rPr>
                <w:rFonts w:hint="default" w:ascii="Times New Roman" w:hAnsi="Times New Roman" w:eastAsia="宋体" w:cs="Times New Roman"/>
                <w:color w:val="000000"/>
                <w:sz w:val="24"/>
                <w:szCs w:val="22"/>
                <w:highlight w:val="none"/>
              </w:rPr>
              <w:t>扬尘排放执行《施工场界扬尘排放限值》(DB61/1078-2017)中施工场界扬尘浓度限值规定</w:t>
            </w:r>
            <w:r>
              <w:rPr>
                <w:rFonts w:hint="default" w:ascii="Times New Roman" w:hAnsi="Times New Roman" w:eastAsia="宋体" w:cs="Times New Roman"/>
                <w:color w:val="000000"/>
                <w:sz w:val="24"/>
                <w:szCs w:val="22"/>
                <w:highlight w:val="none"/>
                <w:lang w:eastAsia="zh-CN"/>
              </w:rPr>
              <w:t>。</w:t>
            </w:r>
          </w:p>
          <w:p w14:paraId="321BC2B1">
            <w:pPr>
              <w:pStyle w:val="115"/>
              <w:keepNext w:val="0"/>
              <w:keepLines w:val="0"/>
              <w:pageBreakBefore w:val="0"/>
              <w:widowControl w:val="0"/>
              <w:suppressLineNumbers w:val="0"/>
              <w:kinsoku/>
              <w:wordWrap/>
              <w:overflowPunct/>
              <w:topLinePunct w:val="0"/>
              <w:autoSpaceDE/>
              <w:autoSpaceDN/>
              <w:bidi w:val="0"/>
              <w:adjustRightInd/>
              <w:snapToGrid/>
              <w:spacing w:before="95" w:beforeLines="30" w:beforeAutospacing="0" w:after="0" w:afterAutospacing="0" w:line="360" w:lineRule="auto"/>
              <w:ind w:left="0" w:right="0"/>
              <w:textAlignment w:val="auto"/>
              <w:rPr>
                <w:rFonts w:hint="default" w:ascii="Times New Roman" w:hAnsi="Times New Roman" w:eastAsia="宋体" w:cs="Times New Roman"/>
                <w:b/>
                <w:bCs/>
                <w:color w:val="000000"/>
                <w:sz w:val="21"/>
                <w:szCs w:val="21"/>
                <w:highlight w:val="none"/>
                <w:lang w:val="en-US" w:eastAsia="zh-CN"/>
              </w:rPr>
            </w:pPr>
            <w:r>
              <w:rPr>
                <w:rFonts w:hint="default" w:ascii="Times New Roman" w:hAnsi="Times New Roman" w:eastAsia="宋体" w:cs="Times New Roman"/>
                <w:b/>
                <w:bCs/>
                <w:color w:val="000000"/>
                <w:sz w:val="21"/>
                <w:szCs w:val="21"/>
                <w:highlight w:val="none"/>
                <w:lang w:val="en-US" w:eastAsia="zh-CN"/>
              </w:rPr>
              <w:t>表3-</w:t>
            </w:r>
            <w:r>
              <w:rPr>
                <w:rFonts w:hint="eastAsia" w:ascii="Times New Roman" w:cs="Times New Roman"/>
                <w:b/>
                <w:bCs/>
                <w:color w:val="000000"/>
                <w:sz w:val="21"/>
                <w:szCs w:val="21"/>
                <w:highlight w:val="none"/>
                <w:lang w:val="en-US" w:eastAsia="zh-CN"/>
              </w:rPr>
              <w:t>6</w:t>
            </w:r>
            <w:r>
              <w:rPr>
                <w:rFonts w:hint="default" w:ascii="Times New Roman" w:hAnsi="Times New Roman" w:eastAsia="宋体" w:cs="Times New Roman"/>
                <w:b/>
                <w:bCs/>
                <w:color w:val="000000"/>
                <w:sz w:val="21"/>
                <w:szCs w:val="21"/>
                <w:highlight w:val="none"/>
                <w:lang w:val="en-US" w:eastAsia="zh-CN"/>
              </w:rPr>
              <w:t xml:space="preserve">   施工期</w:t>
            </w:r>
            <w:r>
              <w:rPr>
                <w:rFonts w:hint="default" w:ascii="Times New Roman" w:hAnsi="Times New Roman" w:eastAsia="宋体" w:cs="Times New Roman"/>
                <w:b/>
                <w:bCs/>
                <w:color w:val="000000"/>
                <w:sz w:val="21"/>
                <w:szCs w:val="21"/>
                <w:highlight w:val="none"/>
              </w:rPr>
              <w:t>大气污染物排放标准限值</w:t>
            </w:r>
          </w:p>
          <w:tbl>
            <w:tblPr>
              <w:tblStyle w:val="41"/>
              <w:tblW w:w="8802" w:type="dxa"/>
              <w:tblInd w:w="1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1"/>
              <w:gridCol w:w="2020"/>
              <w:gridCol w:w="1495"/>
              <w:gridCol w:w="1839"/>
              <w:gridCol w:w="1316"/>
              <w:gridCol w:w="1231"/>
            </w:tblGrid>
            <w:tr w14:paraId="7D1CA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blHeader/>
              </w:trPr>
              <w:tc>
                <w:tcPr>
                  <w:tcW w:w="901" w:type="dxa"/>
                  <w:vMerge w:val="restart"/>
                  <w:noWrap w:val="0"/>
                  <w:vAlign w:val="center"/>
                </w:tcPr>
                <w:p w14:paraId="04F74096">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000000"/>
                      <w:kern w:val="0"/>
                      <w:szCs w:val="21"/>
                      <w:highlight w:val="none"/>
                    </w:rPr>
                  </w:pPr>
                  <w:r>
                    <w:rPr>
                      <w:rFonts w:hint="default" w:ascii="Times New Roman" w:hAnsi="Times New Roman" w:eastAsia="宋体" w:cs="Times New Roman"/>
                      <w:b/>
                      <w:bCs/>
                      <w:color w:val="000000"/>
                      <w:kern w:val="0"/>
                      <w:szCs w:val="21"/>
                      <w:highlight w:val="none"/>
                    </w:rPr>
                    <w:t>污染类型</w:t>
                  </w:r>
                </w:p>
              </w:tc>
              <w:tc>
                <w:tcPr>
                  <w:tcW w:w="2020" w:type="dxa"/>
                  <w:vMerge w:val="restart"/>
                  <w:noWrap w:val="0"/>
                  <w:vAlign w:val="center"/>
                </w:tcPr>
                <w:p w14:paraId="56E85B2D">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000000"/>
                      <w:kern w:val="0"/>
                      <w:szCs w:val="21"/>
                      <w:highlight w:val="none"/>
                    </w:rPr>
                  </w:pPr>
                  <w:r>
                    <w:rPr>
                      <w:rFonts w:hint="default" w:ascii="Times New Roman" w:hAnsi="Times New Roman" w:eastAsia="宋体" w:cs="Times New Roman"/>
                      <w:b/>
                      <w:bCs/>
                      <w:color w:val="000000"/>
                      <w:kern w:val="0"/>
                      <w:szCs w:val="21"/>
                      <w:highlight w:val="none"/>
                    </w:rPr>
                    <w:t>标准名称及级别</w:t>
                  </w:r>
                </w:p>
              </w:tc>
              <w:tc>
                <w:tcPr>
                  <w:tcW w:w="1495" w:type="dxa"/>
                  <w:vMerge w:val="restart"/>
                  <w:noWrap w:val="0"/>
                  <w:vAlign w:val="center"/>
                </w:tcPr>
                <w:p w14:paraId="10C2C0EC">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000000"/>
                      <w:kern w:val="0"/>
                      <w:szCs w:val="21"/>
                      <w:highlight w:val="none"/>
                    </w:rPr>
                  </w:pPr>
                  <w:r>
                    <w:rPr>
                      <w:rFonts w:hint="default" w:ascii="Times New Roman" w:hAnsi="Times New Roman" w:eastAsia="宋体" w:cs="Times New Roman"/>
                      <w:b/>
                      <w:bCs/>
                      <w:color w:val="000000"/>
                      <w:kern w:val="0"/>
                      <w:szCs w:val="21"/>
                      <w:highlight w:val="none"/>
                    </w:rPr>
                    <w:t>污染因子</w:t>
                  </w:r>
                </w:p>
              </w:tc>
              <w:tc>
                <w:tcPr>
                  <w:tcW w:w="4386" w:type="dxa"/>
                  <w:gridSpan w:val="3"/>
                  <w:noWrap w:val="0"/>
                  <w:vAlign w:val="center"/>
                </w:tcPr>
                <w:p w14:paraId="656A1390">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000000"/>
                      <w:kern w:val="0"/>
                      <w:szCs w:val="21"/>
                      <w:highlight w:val="none"/>
                    </w:rPr>
                  </w:pPr>
                  <w:r>
                    <w:rPr>
                      <w:rFonts w:hint="default" w:ascii="Times New Roman" w:hAnsi="Times New Roman" w:eastAsia="宋体" w:cs="Times New Roman"/>
                      <w:b/>
                      <w:bCs/>
                      <w:color w:val="000000"/>
                      <w:kern w:val="0"/>
                      <w:szCs w:val="21"/>
                      <w:highlight w:val="none"/>
                    </w:rPr>
                    <w:t>标准值</w:t>
                  </w:r>
                </w:p>
              </w:tc>
            </w:tr>
            <w:tr w14:paraId="68D2FF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blHeader/>
              </w:trPr>
              <w:tc>
                <w:tcPr>
                  <w:tcW w:w="901" w:type="dxa"/>
                  <w:vMerge w:val="continue"/>
                  <w:noWrap w:val="0"/>
                  <w:vAlign w:val="center"/>
                </w:tcPr>
                <w:p w14:paraId="7102B110">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000000"/>
                      <w:kern w:val="0"/>
                      <w:szCs w:val="21"/>
                      <w:highlight w:val="none"/>
                    </w:rPr>
                  </w:pPr>
                </w:p>
              </w:tc>
              <w:tc>
                <w:tcPr>
                  <w:tcW w:w="2020" w:type="dxa"/>
                  <w:vMerge w:val="continue"/>
                  <w:noWrap w:val="0"/>
                  <w:vAlign w:val="center"/>
                </w:tcPr>
                <w:p w14:paraId="767229EB">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000000"/>
                      <w:kern w:val="0"/>
                      <w:szCs w:val="21"/>
                      <w:highlight w:val="none"/>
                    </w:rPr>
                  </w:pPr>
                </w:p>
              </w:tc>
              <w:tc>
                <w:tcPr>
                  <w:tcW w:w="1495" w:type="dxa"/>
                  <w:vMerge w:val="continue"/>
                  <w:noWrap w:val="0"/>
                  <w:vAlign w:val="center"/>
                </w:tcPr>
                <w:p w14:paraId="78698BCA">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000000"/>
                      <w:kern w:val="0"/>
                      <w:szCs w:val="21"/>
                      <w:highlight w:val="none"/>
                    </w:rPr>
                  </w:pPr>
                </w:p>
              </w:tc>
              <w:tc>
                <w:tcPr>
                  <w:tcW w:w="3155" w:type="dxa"/>
                  <w:gridSpan w:val="2"/>
                  <w:noWrap w:val="0"/>
                  <w:vAlign w:val="center"/>
                </w:tcPr>
                <w:p w14:paraId="006AE423">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000000"/>
                      <w:kern w:val="0"/>
                      <w:szCs w:val="21"/>
                      <w:highlight w:val="none"/>
                    </w:rPr>
                  </w:pPr>
                  <w:r>
                    <w:rPr>
                      <w:rFonts w:hint="default" w:ascii="Times New Roman" w:hAnsi="Times New Roman" w:eastAsia="宋体" w:cs="Times New Roman"/>
                      <w:b/>
                      <w:bCs/>
                      <w:color w:val="000000"/>
                      <w:kern w:val="0"/>
                      <w:szCs w:val="21"/>
                      <w:highlight w:val="none"/>
                    </w:rPr>
                    <w:t>项目</w:t>
                  </w:r>
                </w:p>
              </w:tc>
              <w:tc>
                <w:tcPr>
                  <w:tcW w:w="1231" w:type="dxa"/>
                  <w:noWrap w:val="0"/>
                  <w:vAlign w:val="center"/>
                </w:tcPr>
                <w:p w14:paraId="1A1D1958">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b/>
                      <w:bCs/>
                      <w:color w:val="000000"/>
                      <w:kern w:val="0"/>
                      <w:szCs w:val="21"/>
                      <w:highlight w:val="none"/>
                    </w:rPr>
                  </w:pPr>
                  <w:r>
                    <w:rPr>
                      <w:rFonts w:hint="default" w:ascii="Times New Roman" w:hAnsi="Times New Roman" w:eastAsia="宋体" w:cs="Times New Roman"/>
                      <w:b/>
                      <w:bCs/>
                      <w:color w:val="000000"/>
                      <w:kern w:val="0"/>
                      <w:szCs w:val="21"/>
                      <w:highlight w:val="none"/>
                    </w:rPr>
                    <w:t>浓度限制</w:t>
                  </w:r>
                </w:p>
              </w:tc>
            </w:tr>
            <w:tr w14:paraId="60EC9E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901" w:type="dxa"/>
                  <w:vMerge w:val="restart"/>
                  <w:noWrap w:val="0"/>
                  <w:vAlign w:val="center"/>
                </w:tcPr>
                <w:p w14:paraId="45A12AAD">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废气</w:t>
                  </w:r>
                </w:p>
              </w:tc>
              <w:tc>
                <w:tcPr>
                  <w:tcW w:w="2020" w:type="dxa"/>
                  <w:vMerge w:val="restart"/>
                  <w:noWrap w:val="0"/>
                  <w:vAlign w:val="center"/>
                </w:tcPr>
                <w:p w14:paraId="3F44C129">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《施工场界扬尘排放限值》(DB61/1078-2017)</w:t>
                  </w:r>
                </w:p>
              </w:tc>
              <w:tc>
                <w:tcPr>
                  <w:tcW w:w="1495" w:type="dxa"/>
                  <w:vMerge w:val="restart"/>
                  <w:noWrap w:val="0"/>
                  <w:vAlign w:val="center"/>
                </w:tcPr>
                <w:p w14:paraId="78829B3C">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施工扬尘（即总悬浮颗粒物TSP）</w:t>
                  </w:r>
                </w:p>
              </w:tc>
              <w:tc>
                <w:tcPr>
                  <w:tcW w:w="1839" w:type="dxa"/>
                  <w:noWrap w:val="0"/>
                  <w:vAlign w:val="center"/>
                </w:tcPr>
                <w:p w14:paraId="7EFE8A5F">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拆除、土方及地基处理工程</w:t>
                  </w:r>
                </w:p>
              </w:tc>
              <w:tc>
                <w:tcPr>
                  <w:tcW w:w="1316" w:type="dxa"/>
                  <w:vMerge w:val="restart"/>
                  <w:noWrap w:val="0"/>
                  <w:vAlign w:val="center"/>
                </w:tcPr>
                <w:p w14:paraId="0CA1124E">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小时平均浓度限值</w:t>
                  </w:r>
                </w:p>
              </w:tc>
              <w:tc>
                <w:tcPr>
                  <w:tcW w:w="1231" w:type="dxa"/>
                  <w:noWrap w:val="0"/>
                  <w:vAlign w:val="center"/>
                </w:tcPr>
                <w:p w14:paraId="16106AD2">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kern w:val="0"/>
                      <w:szCs w:val="21"/>
                      <w:highlight w:val="none"/>
                    </w:rPr>
                  </w:pPr>
                  <w:r>
                    <w:rPr>
                      <w:rFonts w:hint="default" w:ascii="Times New Roman" w:hAnsi="Times New Roman" w:eastAsia="宋体" w:cs="Times New Roman"/>
                      <w:color w:val="000000"/>
                      <w:kern w:val="0"/>
                      <w:szCs w:val="21"/>
                      <w:highlight w:val="none"/>
                    </w:rPr>
                    <w:t>0.8mg/m</w:t>
                  </w:r>
                  <w:r>
                    <w:rPr>
                      <w:rFonts w:hint="default" w:ascii="Times New Roman" w:hAnsi="Times New Roman" w:eastAsia="宋体" w:cs="Times New Roman"/>
                      <w:color w:val="000000"/>
                      <w:kern w:val="0"/>
                      <w:szCs w:val="21"/>
                      <w:highlight w:val="none"/>
                      <w:vertAlign w:val="superscript"/>
                    </w:rPr>
                    <w:t>3</w:t>
                  </w:r>
                </w:p>
              </w:tc>
            </w:tr>
            <w:tr w14:paraId="3AEB87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trPr>
              <w:tc>
                <w:tcPr>
                  <w:tcW w:w="901" w:type="dxa"/>
                  <w:vMerge w:val="continue"/>
                  <w:noWrap w:val="0"/>
                  <w:vAlign w:val="center"/>
                </w:tcPr>
                <w:p w14:paraId="117D970C">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kern w:val="0"/>
                      <w:szCs w:val="21"/>
                      <w:highlight w:val="none"/>
                    </w:rPr>
                  </w:pPr>
                </w:p>
              </w:tc>
              <w:tc>
                <w:tcPr>
                  <w:tcW w:w="2020" w:type="dxa"/>
                  <w:vMerge w:val="continue"/>
                  <w:noWrap w:val="0"/>
                  <w:vAlign w:val="center"/>
                </w:tcPr>
                <w:p w14:paraId="1438EE27">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kern w:val="0"/>
                      <w:szCs w:val="21"/>
                      <w:highlight w:val="none"/>
                    </w:rPr>
                  </w:pPr>
                </w:p>
              </w:tc>
              <w:tc>
                <w:tcPr>
                  <w:tcW w:w="1495" w:type="dxa"/>
                  <w:vMerge w:val="continue"/>
                  <w:noWrap w:val="0"/>
                  <w:vAlign w:val="center"/>
                </w:tcPr>
                <w:p w14:paraId="2230F478">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kern w:val="0"/>
                      <w:szCs w:val="21"/>
                      <w:highlight w:val="none"/>
                    </w:rPr>
                  </w:pPr>
                </w:p>
              </w:tc>
              <w:tc>
                <w:tcPr>
                  <w:tcW w:w="1839" w:type="dxa"/>
                  <w:noWrap w:val="0"/>
                  <w:vAlign w:val="center"/>
                </w:tcPr>
                <w:p w14:paraId="2EB5B963">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Cs w:val="21"/>
                      <w:highlight w:val="none"/>
                    </w:rPr>
                    <w:t>基础、主体结构及装饰工程</w:t>
                  </w:r>
                </w:p>
              </w:tc>
              <w:tc>
                <w:tcPr>
                  <w:tcW w:w="1316" w:type="dxa"/>
                  <w:vMerge w:val="continue"/>
                  <w:noWrap w:val="0"/>
                  <w:vAlign w:val="center"/>
                </w:tcPr>
                <w:p w14:paraId="3A697C9E">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kern w:val="0"/>
                      <w:sz w:val="21"/>
                      <w:szCs w:val="21"/>
                      <w:highlight w:val="none"/>
                      <w:lang w:val="en-US" w:eastAsia="zh-CN" w:bidi="ar-SA"/>
                    </w:rPr>
                  </w:pPr>
                </w:p>
              </w:tc>
              <w:tc>
                <w:tcPr>
                  <w:tcW w:w="1231" w:type="dxa"/>
                  <w:noWrap w:val="0"/>
                  <w:vAlign w:val="center"/>
                </w:tcPr>
                <w:p w14:paraId="4EDFFB0E">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Cs w:val="21"/>
                      <w:highlight w:val="none"/>
                    </w:rPr>
                    <w:t>0.7mg/m</w:t>
                  </w:r>
                  <w:r>
                    <w:rPr>
                      <w:rFonts w:hint="default" w:ascii="Times New Roman" w:hAnsi="Times New Roman" w:eastAsia="宋体" w:cs="Times New Roman"/>
                      <w:color w:val="000000"/>
                      <w:kern w:val="0"/>
                      <w:szCs w:val="21"/>
                      <w:highlight w:val="none"/>
                      <w:vertAlign w:val="superscript"/>
                    </w:rPr>
                    <w:t>3</w:t>
                  </w:r>
                </w:p>
              </w:tc>
            </w:tr>
          </w:tbl>
          <w:p w14:paraId="5DCC7A6E">
            <w:pPr>
              <w:keepNext w:val="0"/>
              <w:keepLines w:val="0"/>
              <w:pageBreakBefore w:val="0"/>
              <w:widowControl w:val="0"/>
              <w:numPr>
                <w:ilvl w:val="0"/>
                <w:numId w:val="0"/>
              </w:numPr>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kern w:val="0"/>
                <w:sz w:val="24"/>
                <w:szCs w:val="24"/>
                <w:highlight w:val="none"/>
                <w:lang w:val="en-US" w:eastAsia="zh-CN"/>
              </w:rPr>
              <w:t>运营期：</w:t>
            </w:r>
            <w:r>
              <w:rPr>
                <w:rFonts w:hint="default" w:ascii="Times New Roman" w:hAnsi="Times New Roman" w:eastAsia="宋体" w:cs="Times New Roman"/>
                <w:color w:val="000000"/>
                <w:kern w:val="0"/>
                <w:sz w:val="24"/>
                <w:szCs w:val="24"/>
                <w:highlight w:val="none"/>
                <w:lang w:val="en-US" w:eastAsia="zh-CN"/>
              </w:rPr>
              <w:t>本项目运营期废气主要为：</w:t>
            </w:r>
            <w:r>
              <w:rPr>
                <w:rFonts w:hint="default" w:ascii="Times New Roman" w:hAnsi="Times New Roman" w:eastAsia="宋体" w:cs="Times New Roman"/>
                <w:color w:val="000000"/>
                <w:sz w:val="24"/>
                <w:highlight w:val="none"/>
              </w:rPr>
              <w:t>原料</w:t>
            </w:r>
            <w:r>
              <w:rPr>
                <w:rFonts w:hint="default" w:ascii="Times New Roman" w:hAnsi="Times New Roman" w:eastAsia="宋体" w:cs="Times New Roman"/>
                <w:color w:val="000000"/>
                <w:sz w:val="24"/>
                <w:highlight w:val="none"/>
                <w:lang w:val="en-US" w:eastAsia="zh-CN"/>
              </w:rPr>
              <w:t>堆场</w:t>
            </w:r>
            <w:r>
              <w:rPr>
                <w:rFonts w:hint="default" w:ascii="Times New Roman" w:hAnsi="Times New Roman" w:eastAsia="宋体" w:cs="Times New Roman"/>
                <w:color w:val="000000"/>
                <w:sz w:val="24"/>
                <w:highlight w:val="none"/>
              </w:rPr>
              <w:t>粉尘、</w:t>
            </w:r>
            <w:r>
              <w:rPr>
                <w:rFonts w:hint="default" w:ascii="Times New Roman" w:hAnsi="Times New Roman" w:eastAsia="宋体" w:cs="Times New Roman"/>
                <w:color w:val="000000"/>
                <w:sz w:val="24"/>
                <w:highlight w:val="none"/>
                <w:lang w:val="en-US" w:eastAsia="zh-CN"/>
              </w:rPr>
              <w:t>原料</w:t>
            </w:r>
            <w:r>
              <w:rPr>
                <w:rFonts w:hint="default" w:ascii="Times New Roman" w:hAnsi="Times New Roman" w:eastAsia="宋体" w:cs="Times New Roman"/>
                <w:color w:val="000000"/>
                <w:sz w:val="24"/>
                <w:highlight w:val="none"/>
              </w:rPr>
              <w:t>上料粉尘、</w:t>
            </w:r>
            <w:r>
              <w:rPr>
                <w:rFonts w:hint="default" w:ascii="Times New Roman" w:hAnsi="Times New Roman" w:eastAsia="宋体" w:cs="Times New Roman"/>
                <w:color w:val="000000"/>
                <w:sz w:val="24"/>
                <w:highlight w:val="none"/>
                <w:lang w:val="en-US" w:eastAsia="zh-CN"/>
              </w:rPr>
              <w:t>导热油炉废气、</w:t>
            </w:r>
            <w:r>
              <w:rPr>
                <w:rFonts w:hint="default" w:ascii="Times New Roman" w:hAnsi="Times New Roman" w:eastAsia="宋体" w:cs="Times New Roman"/>
                <w:color w:val="auto"/>
                <w:sz w:val="24"/>
                <w:highlight w:val="none"/>
                <w:lang w:val="en-US" w:eastAsia="zh-CN"/>
              </w:rPr>
              <w:t>生料</w:t>
            </w:r>
            <w:r>
              <w:rPr>
                <w:rFonts w:hint="default" w:ascii="Times New Roman" w:hAnsi="Times New Roman" w:eastAsia="宋体" w:cs="Times New Roman"/>
                <w:color w:val="auto"/>
                <w:sz w:val="24"/>
                <w:highlight w:val="none"/>
              </w:rPr>
              <w:t>骨料</w:t>
            </w:r>
            <w:r>
              <w:rPr>
                <w:rFonts w:hint="default" w:ascii="Times New Roman" w:hAnsi="Times New Roman" w:eastAsia="宋体" w:cs="Times New Roman"/>
                <w:color w:val="auto"/>
                <w:sz w:val="24"/>
                <w:highlight w:val="none"/>
                <w:lang w:val="en-US" w:eastAsia="zh-CN"/>
              </w:rPr>
              <w:t>烘干废气、</w:t>
            </w:r>
            <w:r>
              <w:rPr>
                <w:rFonts w:hint="default" w:ascii="Times New Roman" w:hAnsi="Times New Roman" w:eastAsia="宋体" w:cs="Times New Roman"/>
                <w:sz w:val="24"/>
                <w:szCs w:val="32"/>
                <w:highlight w:val="none"/>
                <w:lang w:val="en-US" w:eastAsia="zh-CN"/>
              </w:rPr>
              <w:t>再生骨料加热废气、沥青混合料搅拌废气及沥青储罐废气</w:t>
            </w:r>
            <w:r>
              <w:rPr>
                <w:rFonts w:hint="default" w:ascii="Times New Roman" w:hAnsi="Times New Roman" w:cs="Times New Roman"/>
                <w:color w:val="000000"/>
                <w:sz w:val="24"/>
                <w:highlight w:val="none"/>
                <w:lang w:val="en-US" w:eastAsia="zh-CN"/>
              </w:rPr>
              <w:t>等，其中</w:t>
            </w:r>
            <w:r>
              <w:rPr>
                <w:rFonts w:hint="default" w:ascii="Times New Roman" w:hAnsi="Times New Roman" w:eastAsia="宋体" w:cs="Times New Roman"/>
                <w:color w:val="000000"/>
                <w:sz w:val="24"/>
                <w:highlight w:val="none"/>
              </w:rPr>
              <w:t>原料</w:t>
            </w:r>
            <w:r>
              <w:rPr>
                <w:rFonts w:hint="default" w:ascii="Times New Roman" w:hAnsi="Times New Roman" w:eastAsia="宋体" w:cs="Times New Roman"/>
                <w:color w:val="000000"/>
                <w:sz w:val="24"/>
                <w:highlight w:val="none"/>
                <w:lang w:val="en-US" w:eastAsia="zh-CN"/>
              </w:rPr>
              <w:t>堆场</w:t>
            </w:r>
            <w:r>
              <w:rPr>
                <w:rFonts w:hint="default" w:ascii="Times New Roman" w:hAnsi="Times New Roman" w:eastAsia="宋体" w:cs="Times New Roman"/>
                <w:color w:val="000000"/>
                <w:sz w:val="24"/>
                <w:highlight w:val="none"/>
              </w:rPr>
              <w:t>粉尘、</w:t>
            </w:r>
            <w:r>
              <w:rPr>
                <w:rFonts w:hint="default" w:ascii="Times New Roman" w:hAnsi="Times New Roman" w:eastAsia="宋体" w:cs="Times New Roman"/>
                <w:sz w:val="24"/>
                <w:szCs w:val="32"/>
                <w:highlight w:val="none"/>
                <w:lang w:val="en-US" w:eastAsia="zh-CN"/>
              </w:rPr>
              <w:t>沥青混合料搅拌废气及沥青储罐废气</w:t>
            </w:r>
            <w:r>
              <w:rPr>
                <w:rFonts w:hint="default" w:ascii="Times New Roman" w:hAnsi="Times New Roman" w:cs="Times New Roman"/>
                <w:color w:val="000000"/>
                <w:sz w:val="24"/>
                <w:highlight w:val="none"/>
                <w:lang w:val="en-US" w:eastAsia="zh-CN"/>
              </w:rPr>
              <w:t>均</w:t>
            </w:r>
            <w:r>
              <w:rPr>
                <w:rFonts w:hint="default" w:ascii="Times New Roman" w:hAnsi="Times New Roman" w:eastAsia="宋体" w:cs="Times New Roman"/>
                <w:color w:val="auto"/>
                <w:kern w:val="0"/>
                <w:sz w:val="24"/>
                <w:szCs w:val="24"/>
                <w:highlight w:val="none"/>
                <w:lang w:val="en-US" w:eastAsia="zh-CN"/>
              </w:rPr>
              <w:t>执行《大气污染物综合排放标准》（GB16297-1996）表2中的相关标准</w:t>
            </w:r>
            <w:r>
              <w:rPr>
                <w:rFonts w:hint="default" w:ascii="Times New Roman" w:hAnsi="Times New Roman" w:cs="Times New Roman"/>
                <w:color w:val="auto"/>
                <w:kern w:val="0"/>
                <w:sz w:val="24"/>
                <w:szCs w:val="24"/>
                <w:highlight w:val="none"/>
                <w:lang w:val="en-US" w:eastAsia="zh-CN"/>
              </w:rPr>
              <w:t>（因未高于周边最高建筑物5m，因此排放速率从严50%）；</w:t>
            </w:r>
            <w:r>
              <w:rPr>
                <w:rFonts w:hint="default" w:ascii="Times New Roman" w:hAnsi="Times New Roman" w:eastAsia="宋体" w:cs="Times New Roman"/>
                <w:color w:val="000000"/>
                <w:sz w:val="24"/>
                <w:highlight w:val="none"/>
                <w:lang w:val="en-US" w:eastAsia="zh-CN"/>
              </w:rPr>
              <w:t>导热油炉废气执行《锅炉大气污染物排放标准》（DB61/1226-2018）中表3要求</w:t>
            </w:r>
            <w:r>
              <w:rPr>
                <w:rFonts w:hint="eastAsia" w:cs="Times New Roman"/>
                <w:color w:val="000000"/>
                <w:sz w:val="24"/>
                <w:highlight w:val="none"/>
                <w:lang w:val="en-US" w:eastAsia="zh-CN"/>
              </w:rPr>
              <w:t>；</w:t>
            </w:r>
            <w:r>
              <w:rPr>
                <w:rFonts w:hint="default" w:ascii="Times New Roman" w:hAnsi="Times New Roman" w:eastAsia="宋体" w:cs="Times New Roman"/>
                <w:color w:val="000000"/>
                <w:sz w:val="24"/>
                <w:highlight w:val="none"/>
                <w:lang w:val="en-US" w:eastAsia="zh-CN"/>
              </w:rPr>
              <w:t>原料</w:t>
            </w:r>
            <w:r>
              <w:rPr>
                <w:rFonts w:hint="default" w:ascii="Times New Roman" w:hAnsi="Times New Roman" w:eastAsia="宋体" w:cs="Times New Roman"/>
                <w:color w:val="000000"/>
                <w:sz w:val="24"/>
                <w:highlight w:val="none"/>
              </w:rPr>
              <w:t>上料粉尘</w:t>
            </w:r>
            <w:r>
              <w:rPr>
                <w:rFonts w:hint="eastAsia" w:cs="Times New Roman"/>
                <w:color w:val="000000"/>
                <w:sz w:val="24"/>
                <w:highlight w:val="none"/>
                <w:lang w:val="en-US" w:eastAsia="zh-CN"/>
              </w:rPr>
              <w:t>同</w:t>
            </w:r>
            <w:r>
              <w:rPr>
                <w:rFonts w:hint="default" w:ascii="Times New Roman" w:hAnsi="Times New Roman" w:eastAsia="宋体" w:cs="Times New Roman"/>
                <w:color w:val="auto"/>
                <w:sz w:val="24"/>
                <w:highlight w:val="none"/>
                <w:lang w:val="en-US" w:eastAsia="zh-CN"/>
              </w:rPr>
              <w:t>生料</w:t>
            </w:r>
            <w:r>
              <w:rPr>
                <w:rFonts w:hint="default" w:ascii="Times New Roman" w:hAnsi="Times New Roman" w:eastAsia="宋体" w:cs="Times New Roman"/>
                <w:color w:val="auto"/>
                <w:sz w:val="24"/>
                <w:highlight w:val="none"/>
              </w:rPr>
              <w:t>骨料</w:t>
            </w:r>
            <w:r>
              <w:rPr>
                <w:rFonts w:hint="default" w:ascii="Times New Roman" w:hAnsi="Times New Roman" w:eastAsia="宋体" w:cs="Times New Roman"/>
                <w:color w:val="auto"/>
                <w:sz w:val="24"/>
                <w:highlight w:val="none"/>
                <w:lang w:val="en-US" w:eastAsia="zh-CN"/>
              </w:rPr>
              <w:t>烘干废气</w:t>
            </w:r>
            <w:r>
              <w:rPr>
                <w:rFonts w:hint="eastAsia" w:cs="Times New Roman"/>
                <w:color w:val="auto"/>
                <w:sz w:val="24"/>
                <w:highlight w:val="none"/>
                <w:lang w:val="en-US" w:eastAsia="zh-CN"/>
              </w:rPr>
              <w:t>一起</w:t>
            </w:r>
            <w:r>
              <w:rPr>
                <w:rFonts w:hint="default" w:ascii="Times New Roman" w:hAnsi="Times New Roman" w:eastAsia="宋体" w:cs="Times New Roman"/>
                <w:color w:val="auto"/>
                <w:sz w:val="24"/>
                <w:highlight w:val="none"/>
                <w:lang w:val="en-US" w:eastAsia="zh-CN"/>
              </w:rPr>
              <w:t>执行《工业炉窑大气污染综合治理方案》（环大气〔2019〕56号）（颗粒物、二氧化硫、氮氧化物排放限值分别按照不高于30、200、300毫克/立方米）挥发性有机物无组织满足《挥发性有机物无组织排放控制标准》（GB 37822-2019）的要求</w:t>
            </w:r>
            <w:r>
              <w:rPr>
                <w:rFonts w:hint="eastAsia" w:cs="Times New Roman"/>
                <w:color w:val="auto"/>
                <w:sz w:val="24"/>
                <w:highlight w:val="none"/>
                <w:lang w:val="en-US" w:eastAsia="zh-CN"/>
              </w:rPr>
              <w:t>；食堂油烟执行《饮食业油烟排放标准（试行）》（GB18483-2001）标准限值</w:t>
            </w:r>
            <w:r>
              <w:rPr>
                <w:rFonts w:hint="default" w:ascii="Times New Roman" w:hAnsi="Times New Roman" w:eastAsia="宋体" w:cs="Times New Roman"/>
                <w:color w:val="auto"/>
                <w:kern w:val="0"/>
                <w:sz w:val="24"/>
                <w:szCs w:val="24"/>
                <w:highlight w:val="none"/>
                <w:lang w:val="en-US" w:eastAsia="zh-CN"/>
              </w:rPr>
              <w:t>。</w:t>
            </w:r>
          </w:p>
          <w:p w14:paraId="1F57D8FC">
            <w:pPr>
              <w:pStyle w:val="171"/>
              <w:keepNext w:val="0"/>
              <w:keepLines w:val="0"/>
              <w:suppressLineNumbers w:val="0"/>
              <w:shd w:val="clear" w:color="auto" w:fill="auto"/>
              <w:bidi w:val="0"/>
              <w:spacing w:before="0" w:beforeAutospacing="0" w:after="0" w:afterAutospacing="0" w:line="240" w:lineRule="auto"/>
              <w:ind w:left="0" w:right="0"/>
              <w:rPr>
                <w:rFonts w:hint="eastAsia" w:ascii="Times New Roman" w:hAnsi="Times New Roman" w:eastAsia="宋体" w:cs="Times New Roman"/>
                <w:color w:val="auto"/>
                <w:highlight w:val="none"/>
                <w:lang w:eastAsia="zh-CN"/>
              </w:rPr>
            </w:pPr>
            <w:r>
              <w:rPr>
                <w:rFonts w:hint="default" w:ascii="Times New Roman" w:hAnsi="Times New Roman" w:eastAsia="宋体" w:cs="Times New Roman"/>
                <w:color w:val="auto"/>
                <w:highlight w:val="none"/>
                <w:lang w:eastAsia="zh-CN"/>
              </w:rPr>
              <w:t>表3-</w:t>
            </w:r>
            <w:r>
              <w:rPr>
                <w:rFonts w:hint="eastAsia" w:cs="Times New Roman"/>
                <w:color w:val="auto"/>
                <w:highlight w:val="none"/>
                <w:lang w:val="en-US" w:eastAsia="zh-CN"/>
              </w:rPr>
              <w:t>7</w:t>
            </w:r>
            <w:r>
              <w:rPr>
                <w:rFonts w:hint="default" w:ascii="Times New Roman" w:hAnsi="Times New Roman" w:eastAsia="宋体" w:cs="Times New Roman"/>
                <w:color w:val="auto"/>
                <w:highlight w:val="none"/>
                <w:lang w:eastAsia="zh-CN"/>
              </w:rPr>
              <w:t xml:space="preserve">   </w:t>
            </w:r>
            <w:r>
              <w:rPr>
                <w:rFonts w:hint="eastAsia" w:ascii="Times New Roman" w:hAnsi="Times New Roman" w:eastAsia="宋体" w:cs="Times New Roman"/>
                <w:color w:val="auto"/>
                <w:highlight w:val="none"/>
                <w:lang w:eastAsia="zh-CN"/>
              </w:rPr>
              <w:t>废气排放标准</w:t>
            </w:r>
          </w:p>
          <w:tbl>
            <w:tblPr>
              <w:tblStyle w:val="42"/>
              <w:tblW w:w="88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52"/>
              <w:gridCol w:w="1147"/>
              <w:gridCol w:w="955"/>
              <w:gridCol w:w="846"/>
              <w:gridCol w:w="1308"/>
              <w:gridCol w:w="1184"/>
              <w:gridCol w:w="1315"/>
            </w:tblGrid>
            <w:tr w14:paraId="6852F8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52" w:type="dxa"/>
                  <w:vMerge w:val="restart"/>
                  <w:noWrap w:val="0"/>
                  <w:vAlign w:val="center"/>
                </w:tcPr>
                <w:p w14:paraId="17BA4E46">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000000"/>
                      <w:spacing w:val="-3"/>
                      <w:position w:val="1"/>
                      <w:sz w:val="21"/>
                      <w:szCs w:val="21"/>
                      <w:highlight w:val="none"/>
                      <w:lang w:eastAsia="zh-CN"/>
                    </w:rPr>
                  </w:pPr>
                  <w:r>
                    <w:rPr>
                      <w:rFonts w:hint="default" w:ascii="Times New Roman" w:hAnsi="Times New Roman" w:eastAsia="Times New Roman" w:cs="Times New Roman"/>
                      <w:b/>
                      <w:bCs/>
                      <w:color w:val="000000"/>
                      <w:spacing w:val="-3"/>
                      <w:position w:val="1"/>
                      <w:sz w:val="21"/>
                      <w:szCs w:val="21"/>
                      <w:highlight w:val="none"/>
                      <w:lang w:eastAsia="zh-CN"/>
                    </w:rPr>
                    <w:t>标准名称</w:t>
                  </w:r>
                </w:p>
              </w:tc>
              <w:tc>
                <w:tcPr>
                  <w:tcW w:w="1147" w:type="dxa"/>
                  <w:vMerge w:val="restart"/>
                  <w:noWrap w:val="0"/>
                  <w:vAlign w:val="center"/>
                </w:tcPr>
                <w:p w14:paraId="52A44993">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000000"/>
                      <w:spacing w:val="-3"/>
                      <w:position w:val="1"/>
                      <w:sz w:val="21"/>
                      <w:szCs w:val="21"/>
                      <w:highlight w:val="none"/>
                    </w:rPr>
                  </w:pPr>
                  <w:r>
                    <w:rPr>
                      <w:rFonts w:hint="default" w:ascii="Times New Roman" w:hAnsi="Times New Roman" w:eastAsia="Times New Roman" w:cs="Times New Roman"/>
                      <w:b/>
                      <w:bCs/>
                      <w:color w:val="000000"/>
                      <w:spacing w:val="-3"/>
                      <w:position w:val="1"/>
                      <w:sz w:val="21"/>
                      <w:szCs w:val="21"/>
                      <w:highlight w:val="none"/>
                    </w:rPr>
                    <w:t>污染物项目</w:t>
                  </w:r>
                </w:p>
              </w:tc>
              <w:tc>
                <w:tcPr>
                  <w:tcW w:w="955" w:type="dxa"/>
                  <w:vMerge w:val="restart"/>
                  <w:noWrap w:val="0"/>
                  <w:vAlign w:val="center"/>
                </w:tcPr>
                <w:p w14:paraId="1B3C2327">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000000"/>
                      <w:spacing w:val="-3"/>
                      <w:position w:val="1"/>
                      <w:sz w:val="21"/>
                      <w:szCs w:val="21"/>
                      <w:highlight w:val="none"/>
                    </w:rPr>
                  </w:pPr>
                  <w:r>
                    <w:rPr>
                      <w:rFonts w:hint="default" w:ascii="Times New Roman" w:hAnsi="Times New Roman" w:eastAsia="Times New Roman" w:cs="Times New Roman"/>
                      <w:b/>
                      <w:bCs/>
                      <w:color w:val="000000"/>
                      <w:spacing w:val="-3"/>
                      <w:position w:val="1"/>
                      <w:sz w:val="21"/>
                      <w:szCs w:val="21"/>
                      <w:highlight w:val="none"/>
                    </w:rPr>
                    <w:t>最高允许排放浓度mg/m</w:t>
                  </w:r>
                  <w:r>
                    <w:rPr>
                      <w:rFonts w:hint="default" w:ascii="Times New Roman" w:hAnsi="Times New Roman" w:eastAsia="Times New Roman" w:cs="Times New Roman"/>
                      <w:b/>
                      <w:bCs/>
                      <w:color w:val="000000"/>
                      <w:spacing w:val="-3"/>
                      <w:position w:val="1"/>
                      <w:sz w:val="21"/>
                      <w:szCs w:val="21"/>
                      <w:highlight w:val="none"/>
                      <w:vertAlign w:val="superscript"/>
                    </w:rPr>
                    <w:t>3</w:t>
                  </w:r>
                </w:p>
              </w:tc>
              <w:tc>
                <w:tcPr>
                  <w:tcW w:w="2154" w:type="dxa"/>
                  <w:gridSpan w:val="2"/>
                  <w:noWrap w:val="0"/>
                  <w:vAlign w:val="center"/>
                </w:tcPr>
                <w:p w14:paraId="24533675">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000000"/>
                      <w:spacing w:val="-3"/>
                      <w:position w:val="1"/>
                      <w:sz w:val="21"/>
                      <w:szCs w:val="21"/>
                      <w:highlight w:val="none"/>
                    </w:rPr>
                  </w:pPr>
                  <w:r>
                    <w:rPr>
                      <w:rFonts w:hint="default" w:ascii="Times New Roman" w:hAnsi="Times New Roman" w:eastAsia="Times New Roman" w:cs="Times New Roman"/>
                      <w:b/>
                      <w:bCs/>
                      <w:color w:val="000000"/>
                      <w:spacing w:val="-3"/>
                      <w:position w:val="1"/>
                      <w:sz w:val="21"/>
                      <w:szCs w:val="21"/>
                      <w:highlight w:val="none"/>
                    </w:rPr>
                    <w:t>最高允许排放速率</w:t>
                  </w:r>
                </w:p>
              </w:tc>
              <w:tc>
                <w:tcPr>
                  <w:tcW w:w="2499" w:type="dxa"/>
                  <w:gridSpan w:val="2"/>
                  <w:noWrap w:val="0"/>
                  <w:vAlign w:val="center"/>
                </w:tcPr>
                <w:p w14:paraId="177A0F25">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000000"/>
                      <w:spacing w:val="-3"/>
                      <w:position w:val="1"/>
                      <w:sz w:val="21"/>
                      <w:szCs w:val="21"/>
                      <w:highlight w:val="none"/>
                    </w:rPr>
                  </w:pPr>
                  <w:r>
                    <w:rPr>
                      <w:rFonts w:hint="default" w:ascii="Times New Roman" w:hAnsi="Times New Roman" w:eastAsia="Times New Roman" w:cs="Times New Roman"/>
                      <w:b/>
                      <w:bCs/>
                      <w:color w:val="000000"/>
                      <w:spacing w:val="-3"/>
                      <w:position w:val="1"/>
                      <w:sz w:val="21"/>
                      <w:szCs w:val="21"/>
                      <w:highlight w:val="none"/>
                    </w:rPr>
                    <w:t>无组织排放监控浓度限值</w:t>
                  </w:r>
                </w:p>
              </w:tc>
            </w:tr>
            <w:tr w14:paraId="1630F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52" w:type="dxa"/>
                  <w:vMerge w:val="continue"/>
                  <w:noWrap w:val="0"/>
                  <w:vAlign w:val="center"/>
                </w:tcPr>
                <w:p w14:paraId="3D5E49A3">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000000"/>
                      <w:spacing w:val="-3"/>
                      <w:position w:val="1"/>
                      <w:sz w:val="21"/>
                      <w:szCs w:val="21"/>
                      <w:highlight w:val="none"/>
                      <w:lang w:eastAsia="zh-CN"/>
                    </w:rPr>
                  </w:pPr>
                </w:p>
              </w:tc>
              <w:tc>
                <w:tcPr>
                  <w:tcW w:w="1147" w:type="dxa"/>
                  <w:vMerge w:val="continue"/>
                  <w:noWrap w:val="0"/>
                  <w:vAlign w:val="center"/>
                </w:tcPr>
                <w:p w14:paraId="4C691E4E">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000000"/>
                      <w:spacing w:val="-3"/>
                      <w:position w:val="1"/>
                      <w:sz w:val="21"/>
                      <w:szCs w:val="21"/>
                      <w:highlight w:val="none"/>
                    </w:rPr>
                  </w:pPr>
                </w:p>
              </w:tc>
              <w:tc>
                <w:tcPr>
                  <w:tcW w:w="955" w:type="dxa"/>
                  <w:vMerge w:val="continue"/>
                  <w:noWrap w:val="0"/>
                  <w:vAlign w:val="center"/>
                </w:tcPr>
                <w:p w14:paraId="25532E2D">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000000"/>
                      <w:spacing w:val="-3"/>
                      <w:position w:val="1"/>
                      <w:sz w:val="21"/>
                      <w:szCs w:val="21"/>
                      <w:highlight w:val="none"/>
                    </w:rPr>
                  </w:pPr>
                </w:p>
              </w:tc>
              <w:tc>
                <w:tcPr>
                  <w:tcW w:w="846" w:type="dxa"/>
                  <w:noWrap w:val="0"/>
                  <w:vAlign w:val="center"/>
                </w:tcPr>
                <w:p w14:paraId="7CC4FEB8">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000000"/>
                      <w:spacing w:val="-3"/>
                      <w:position w:val="1"/>
                      <w:sz w:val="21"/>
                      <w:szCs w:val="21"/>
                      <w:highlight w:val="none"/>
                      <w:lang w:val="en-US" w:eastAsia="zh-CN"/>
                    </w:rPr>
                  </w:pPr>
                  <w:r>
                    <w:rPr>
                      <w:rFonts w:hint="default" w:ascii="Times New Roman" w:hAnsi="Times New Roman" w:eastAsia="Times New Roman" w:cs="Times New Roman"/>
                      <w:b/>
                      <w:bCs/>
                      <w:color w:val="000000"/>
                      <w:spacing w:val="-3"/>
                      <w:position w:val="1"/>
                      <w:sz w:val="21"/>
                      <w:szCs w:val="21"/>
                      <w:highlight w:val="none"/>
                    </w:rPr>
                    <w:t>排气筒高度m</w:t>
                  </w:r>
                </w:p>
              </w:tc>
              <w:tc>
                <w:tcPr>
                  <w:tcW w:w="1308" w:type="dxa"/>
                  <w:noWrap w:val="0"/>
                  <w:vAlign w:val="center"/>
                </w:tcPr>
                <w:p w14:paraId="0BD71127">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000000"/>
                      <w:spacing w:val="-3"/>
                      <w:position w:val="1"/>
                      <w:sz w:val="21"/>
                      <w:szCs w:val="21"/>
                      <w:highlight w:val="none"/>
                      <w:lang w:val="en-US" w:eastAsia="zh-CN"/>
                    </w:rPr>
                  </w:pPr>
                  <w:r>
                    <w:rPr>
                      <w:rFonts w:hint="default" w:ascii="Times New Roman" w:hAnsi="Times New Roman" w:eastAsia="Times New Roman" w:cs="Times New Roman"/>
                      <w:b/>
                      <w:bCs/>
                      <w:color w:val="000000"/>
                      <w:spacing w:val="-3"/>
                      <w:position w:val="1"/>
                      <w:sz w:val="21"/>
                      <w:szCs w:val="21"/>
                      <w:highlight w:val="none"/>
                    </w:rPr>
                    <w:t>速率kg/h</w:t>
                  </w:r>
                </w:p>
              </w:tc>
              <w:tc>
                <w:tcPr>
                  <w:tcW w:w="1184" w:type="dxa"/>
                  <w:noWrap w:val="0"/>
                  <w:vAlign w:val="center"/>
                </w:tcPr>
                <w:p w14:paraId="561DF493">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000000"/>
                      <w:spacing w:val="-3"/>
                      <w:position w:val="1"/>
                      <w:sz w:val="21"/>
                      <w:szCs w:val="21"/>
                      <w:highlight w:val="none"/>
                      <w:lang w:val="en-US" w:eastAsia="zh-CN"/>
                    </w:rPr>
                  </w:pPr>
                  <w:r>
                    <w:rPr>
                      <w:rFonts w:hint="default" w:ascii="Times New Roman" w:hAnsi="Times New Roman" w:eastAsia="Times New Roman" w:cs="Times New Roman"/>
                      <w:b/>
                      <w:bCs/>
                      <w:color w:val="000000"/>
                      <w:spacing w:val="-3"/>
                      <w:position w:val="1"/>
                      <w:sz w:val="21"/>
                      <w:szCs w:val="21"/>
                      <w:highlight w:val="none"/>
                    </w:rPr>
                    <w:t>监控点</w:t>
                  </w:r>
                </w:p>
              </w:tc>
              <w:tc>
                <w:tcPr>
                  <w:tcW w:w="1315" w:type="dxa"/>
                  <w:noWrap w:val="0"/>
                  <w:vAlign w:val="center"/>
                </w:tcPr>
                <w:p w14:paraId="0BEF5DEC">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b/>
                      <w:bCs/>
                      <w:color w:val="000000"/>
                      <w:spacing w:val="-3"/>
                      <w:position w:val="1"/>
                      <w:sz w:val="21"/>
                      <w:szCs w:val="21"/>
                      <w:highlight w:val="none"/>
                      <w:lang w:val="en-US" w:eastAsia="zh-CN"/>
                    </w:rPr>
                  </w:pPr>
                  <w:r>
                    <w:rPr>
                      <w:rFonts w:hint="default" w:ascii="Times New Roman" w:hAnsi="Times New Roman" w:eastAsia="Times New Roman" w:cs="Times New Roman"/>
                      <w:b/>
                      <w:bCs/>
                      <w:color w:val="000000"/>
                      <w:spacing w:val="-3"/>
                      <w:position w:val="1"/>
                      <w:sz w:val="21"/>
                      <w:szCs w:val="21"/>
                      <w:highlight w:val="none"/>
                    </w:rPr>
                    <w:t>浓度mg/m</w:t>
                  </w:r>
                  <w:r>
                    <w:rPr>
                      <w:rFonts w:hint="default" w:ascii="Times New Roman" w:hAnsi="Times New Roman" w:eastAsia="Times New Roman" w:cs="Times New Roman"/>
                      <w:b/>
                      <w:bCs/>
                      <w:color w:val="000000"/>
                      <w:spacing w:val="-3"/>
                      <w:position w:val="1"/>
                      <w:sz w:val="21"/>
                      <w:szCs w:val="21"/>
                      <w:highlight w:val="none"/>
                      <w:vertAlign w:val="superscript"/>
                    </w:rPr>
                    <w:t>3</w:t>
                  </w:r>
                </w:p>
              </w:tc>
            </w:tr>
            <w:tr w14:paraId="648E37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52" w:type="dxa"/>
                  <w:vMerge w:val="restart"/>
                  <w:noWrap w:val="0"/>
                  <w:vAlign w:val="center"/>
                </w:tcPr>
                <w:p w14:paraId="5609B03C">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rPr>
                  </w:pPr>
                  <w:r>
                    <w:rPr>
                      <w:rFonts w:hint="default" w:ascii="Times New Roman" w:hAnsi="Times New Roman" w:eastAsia="Times New Roman" w:cs="Times New Roman"/>
                      <w:color w:val="000000"/>
                      <w:spacing w:val="-3"/>
                      <w:position w:val="1"/>
                      <w:sz w:val="21"/>
                      <w:szCs w:val="21"/>
                      <w:highlight w:val="none"/>
                    </w:rPr>
                    <w:t>《大气污染物综合排放标准》（GB16297-1996）</w:t>
                  </w:r>
                </w:p>
              </w:tc>
              <w:tc>
                <w:tcPr>
                  <w:tcW w:w="1147" w:type="dxa"/>
                  <w:noWrap w:val="0"/>
                  <w:vAlign w:val="center"/>
                </w:tcPr>
                <w:p w14:paraId="19CAD9C8">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eastAsia="Times New Roman" w:cs="Times New Roman"/>
                      <w:color w:val="000000"/>
                      <w:spacing w:val="-3"/>
                      <w:position w:val="1"/>
                      <w:sz w:val="21"/>
                      <w:szCs w:val="21"/>
                      <w:highlight w:val="none"/>
                      <w:lang w:val="en-US" w:eastAsia="zh-CN"/>
                    </w:rPr>
                    <w:t>颗粒物</w:t>
                  </w:r>
                </w:p>
              </w:tc>
              <w:tc>
                <w:tcPr>
                  <w:tcW w:w="955" w:type="dxa"/>
                  <w:noWrap w:val="0"/>
                  <w:vAlign w:val="center"/>
                </w:tcPr>
                <w:p w14:paraId="48004B7A">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eastAsia="Times New Roman" w:cs="Times New Roman"/>
                      <w:color w:val="000000"/>
                      <w:spacing w:val="-3"/>
                      <w:position w:val="1"/>
                      <w:sz w:val="21"/>
                      <w:szCs w:val="21"/>
                      <w:highlight w:val="none"/>
                      <w:lang w:val="en-US" w:eastAsia="zh-CN"/>
                    </w:rPr>
                    <w:t>120</w:t>
                  </w:r>
                </w:p>
              </w:tc>
              <w:tc>
                <w:tcPr>
                  <w:tcW w:w="846" w:type="dxa"/>
                  <w:noWrap w:val="0"/>
                  <w:vAlign w:val="center"/>
                </w:tcPr>
                <w:p w14:paraId="3A91581D">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25</w:t>
                  </w:r>
                </w:p>
              </w:tc>
              <w:tc>
                <w:tcPr>
                  <w:tcW w:w="1308" w:type="dxa"/>
                  <w:noWrap w:val="0"/>
                  <w:vAlign w:val="center"/>
                </w:tcPr>
                <w:p w14:paraId="67AD28E1">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5.7</w:t>
                  </w:r>
                </w:p>
              </w:tc>
              <w:tc>
                <w:tcPr>
                  <w:tcW w:w="1184" w:type="dxa"/>
                  <w:vMerge w:val="restart"/>
                  <w:noWrap w:val="0"/>
                  <w:vAlign w:val="center"/>
                </w:tcPr>
                <w:p w14:paraId="483BD0D2">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eastAsia="Times New Roman" w:cs="Times New Roman"/>
                      <w:color w:val="000000"/>
                      <w:spacing w:val="-3"/>
                      <w:position w:val="1"/>
                      <w:sz w:val="21"/>
                      <w:szCs w:val="21"/>
                      <w:highlight w:val="none"/>
                      <w:lang w:val="en-US" w:eastAsia="zh-CN"/>
                    </w:rPr>
                    <w:t>周界外浓度最高点</w:t>
                  </w:r>
                </w:p>
              </w:tc>
              <w:tc>
                <w:tcPr>
                  <w:tcW w:w="1315" w:type="dxa"/>
                  <w:noWrap w:val="0"/>
                  <w:vAlign w:val="center"/>
                </w:tcPr>
                <w:p w14:paraId="25BE7139">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eastAsia="Times New Roman" w:cs="Times New Roman"/>
                      <w:color w:val="000000"/>
                      <w:spacing w:val="-3"/>
                      <w:position w:val="1"/>
                      <w:sz w:val="21"/>
                      <w:szCs w:val="21"/>
                      <w:highlight w:val="none"/>
                      <w:lang w:val="en-US" w:eastAsia="zh-CN"/>
                    </w:rPr>
                    <w:t>1.0</w:t>
                  </w:r>
                </w:p>
              </w:tc>
            </w:tr>
            <w:tr w14:paraId="020BB0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52" w:type="dxa"/>
                  <w:vMerge w:val="continue"/>
                  <w:noWrap w:val="0"/>
                  <w:vAlign w:val="center"/>
                </w:tcPr>
                <w:p w14:paraId="0E2BF275">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p>
              </w:tc>
              <w:tc>
                <w:tcPr>
                  <w:tcW w:w="1147" w:type="dxa"/>
                  <w:noWrap w:val="0"/>
                  <w:vAlign w:val="center"/>
                </w:tcPr>
                <w:p w14:paraId="32A7C915">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eastAsia="Times New Roman" w:cs="Times New Roman"/>
                      <w:color w:val="000000"/>
                      <w:spacing w:val="-3"/>
                      <w:position w:val="1"/>
                      <w:sz w:val="21"/>
                      <w:szCs w:val="21"/>
                      <w:highlight w:val="none"/>
                      <w:lang w:val="en-US" w:eastAsia="zh-CN"/>
                    </w:rPr>
                    <w:t>苯并芘</w:t>
                  </w:r>
                </w:p>
              </w:tc>
              <w:tc>
                <w:tcPr>
                  <w:tcW w:w="955" w:type="dxa"/>
                  <w:noWrap w:val="0"/>
                  <w:vAlign w:val="center"/>
                </w:tcPr>
                <w:p w14:paraId="59B06CF1">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eastAsia="Times New Roman" w:cs="Times New Roman"/>
                      <w:color w:val="000000"/>
                      <w:spacing w:val="-3"/>
                      <w:position w:val="1"/>
                      <w:sz w:val="21"/>
                      <w:szCs w:val="21"/>
                      <w:highlight w:val="none"/>
                      <w:lang w:val="en-US" w:eastAsia="zh-CN"/>
                    </w:rPr>
                    <w:t>0.3×10</w:t>
                  </w:r>
                  <w:r>
                    <w:rPr>
                      <w:rFonts w:hint="default" w:ascii="Times New Roman" w:hAnsi="Times New Roman" w:eastAsia="Times New Roman" w:cs="Times New Roman"/>
                      <w:color w:val="000000"/>
                      <w:spacing w:val="-3"/>
                      <w:position w:val="1"/>
                      <w:sz w:val="21"/>
                      <w:szCs w:val="21"/>
                      <w:highlight w:val="none"/>
                      <w:vertAlign w:val="superscript"/>
                      <w:lang w:val="en-US" w:eastAsia="zh-CN"/>
                    </w:rPr>
                    <w:t>-3</w:t>
                  </w:r>
                </w:p>
              </w:tc>
              <w:tc>
                <w:tcPr>
                  <w:tcW w:w="846" w:type="dxa"/>
                  <w:noWrap w:val="0"/>
                  <w:vAlign w:val="center"/>
                </w:tcPr>
                <w:p w14:paraId="7B0B128E">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25</w:t>
                  </w:r>
                </w:p>
              </w:tc>
              <w:tc>
                <w:tcPr>
                  <w:tcW w:w="1308" w:type="dxa"/>
                  <w:noWrap w:val="0"/>
                  <w:vAlign w:val="center"/>
                </w:tcPr>
                <w:p w14:paraId="53D5C4CD">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0.115</w:t>
                  </w:r>
                  <w:r>
                    <w:rPr>
                      <w:rFonts w:hint="default" w:ascii="Times New Roman" w:hAnsi="Times New Roman" w:eastAsia="Times New Roman" w:cs="Times New Roman"/>
                      <w:color w:val="000000"/>
                      <w:spacing w:val="-3"/>
                      <w:position w:val="1"/>
                      <w:sz w:val="21"/>
                      <w:szCs w:val="21"/>
                      <w:highlight w:val="none"/>
                      <w:lang w:val="en-US" w:eastAsia="zh-CN"/>
                    </w:rPr>
                    <w:t>×10</w:t>
                  </w:r>
                  <w:r>
                    <w:rPr>
                      <w:rFonts w:hint="default" w:ascii="Times New Roman" w:hAnsi="Times New Roman" w:eastAsia="Times New Roman" w:cs="Times New Roman"/>
                      <w:color w:val="000000"/>
                      <w:spacing w:val="-3"/>
                      <w:position w:val="1"/>
                      <w:sz w:val="21"/>
                      <w:szCs w:val="21"/>
                      <w:highlight w:val="none"/>
                      <w:vertAlign w:val="superscript"/>
                      <w:lang w:val="en-US" w:eastAsia="zh-CN"/>
                    </w:rPr>
                    <w:t>-3</w:t>
                  </w:r>
                </w:p>
              </w:tc>
              <w:tc>
                <w:tcPr>
                  <w:tcW w:w="1184" w:type="dxa"/>
                  <w:vMerge w:val="continue"/>
                  <w:noWrap w:val="0"/>
                  <w:vAlign w:val="center"/>
                </w:tcPr>
                <w:p w14:paraId="54606041">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rPr>
                  </w:pPr>
                </w:p>
              </w:tc>
              <w:tc>
                <w:tcPr>
                  <w:tcW w:w="1315" w:type="dxa"/>
                  <w:noWrap w:val="0"/>
                  <w:vAlign w:val="center"/>
                </w:tcPr>
                <w:p w14:paraId="675AE700">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eastAsia="Times New Roman" w:cs="Times New Roman"/>
                      <w:color w:val="000000"/>
                      <w:spacing w:val="-3"/>
                      <w:position w:val="1"/>
                      <w:sz w:val="21"/>
                      <w:szCs w:val="21"/>
                      <w:highlight w:val="none"/>
                      <w:lang w:val="en-US" w:eastAsia="zh-CN"/>
                    </w:rPr>
                    <w:t>8×10</w:t>
                  </w:r>
                  <w:r>
                    <w:rPr>
                      <w:rFonts w:hint="default" w:ascii="Times New Roman" w:hAnsi="Times New Roman" w:eastAsia="Times New Roman" w:cs="Times New Roman"/>
                      <w:color w:val="000000"/>
                      <w:spacing w:val="-3"/>
                      <w:position w:val="1"/>
                      <w:sz w:val="21"/>
                      <w:szCs w:val="21"/>
                      <w:highlight w:val="none"/>
                      <w:vertAlign w:val="superscript"/>
                      <w:lang w:val="en-US" w:eastAsia="zh-CN"/>
                    </w:rPr>
                    <w:t>-6</w:t>
                  </w:r>
                </w:p>
              </w:tc>
            </w:tr>
            <w:tr w14:paraId="3FA4D9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52" w:type="dxa"/>
                  <w:vMerge w:val="continue"/>
                  <w:noWrap w:val="0"/>
                  <w:vAlign w:val="center"/>
                </w:tcPr>
                <w:p w14:paraId="766EC45E">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p>
              </w:tc>
              <w:tc>
                <w:tcPr>
                  <w:tcW w:w="1147" w:type="dxa"/>
                  <w:noWrap w:val="0"/>
                  <w:vAlign w:val="center"/>
                </w:tcPr>
                <w:p w14:paraId="2BAC7F30">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eastAsia="Times New Roman" w:cs="Times New Roman"/>
                      <w:color w:val="000000"/>
                      <w:spacing w:val="-3"/>
                      <w:position w:val="1"/>
                      <w:sz w:val="21"/>
                      <w:szCs w:val="21"/>
                      <w:highlight w:val="none"/>
                      <w:lang w:val="en-US" w:eastAsia="zh-CN"/>
                    </w:rPr>
                    <w:t>非甲烷总烃</w:t>
                  </w:r>
                </w:p>
              </w:tc>
              <w:tc>
                <w:tcPr>
                  <w:tcW w:w="955" w:type="dxa"/>
                  <w:noWrap w:val="0"/>
                  <w:vAlign w:val="center"/>
                </w:tcPr>
                <w:p w14:paraId="13C72628">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eastAsia="Times New Roman" w:cs="Times New Roman"/>
                      <w:color w:val="000000"/>
                      <w:spacing w:val="-3"/>
                      <w:position w:val="1"/>
                      <w:sz w:val="21"/>
                      <w:szCs w:val="21"/>
                      <w:highlight w:val="none"/>
                      <w:lang w:val="en-US" w:eastAsia="zh-CN"/>
                    </w:rPr>
                    <w:t>120</w:t>
                  </w:r>
                </w:p>
              </w:tc>
              <w:tc>
                <w:tcPr>
                  <w:tcW w:w="846" w:type="dxa"/>
                  <w:noWrap w:val="0"/>
                  <w:vAlign w:val="center"/>
                </w:tcPr>
                <w:p w14:paraId="55050186">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25</w:t>
                  </w:r>
                </w:p>
              </w:tc>
              <w:tc>
                <w:tcPr>
                  <w:tcW w:w="1308" w:type="dxa"/>
                  <w:noWrap w:val="0"/>
                  <w:vAlign w:val="center"/>
                </w:tcPr>
                <w:p w14:paraId="3E76A272">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21.75</w:t>
                  </w:r>
                </w:p>
              </w:tc>
              <w:tc>
                <w:tcPr>
                  <w:tcW w:w="1184" w:type="dxa"/>
                  <w:vMerge w:val="continue"/>
                  <w:noWrap w:val="0"/>
                  <w:vAlign w:val="center"/>
                </w:tcPr>
                <w:p w14:paraId="6BDFA8F7">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rPr>
                  </w:pPr>
                </w:p>
              </w:tc>
              <w:tc>
                <w:tcPr>
                  <w:tcW w:w="1315" w:type="dxa"/>
                  <w:noWrap w:val="0"/>
                  <w:vAlign w:val="center"/>
                </w:tcPr>
                <w:p w14:paraId="52821793">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eastAsia="Times New Roman" w:cs="Times New Roman"/>
                      <w:color w:val="000000"/>
                      <w:spacing w:val="-3"/>
                      <w:position w:val="1"/>
                      <w:sz w:val="21"/>
                      <w:szCs w:val="21"/>
                      <w:highlight w:val="none"/>
                      <w:lang w:val="en-US" w:eastAsia="zh-CN"/>
                    </w:rPr>
                    <w:t>4.0</w:t>
                  </w:r>
                </w:p>
              </w:tc>
            </w:tr>
            <w:tr w14:paraId="6E010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52" w:type="dxa"/>
                  <w:vMerge w:val="continue"/>
                  <w:noWrap w:val="0"/>
                  <w:vAlign w:val="center"/>
                </w:tcPr>
                <w:p w14:paraId="1EF3E5A4">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p>
              </w:tc>
              <w:tc>
                <w:tcPr>
                  <w:tcW w:w="1147" w:type="dxa"/>
                  <w:shd w:val="clear" w:color="auto" w:fill="auto"/>
                  <w:noWrap w:val="0"/>
                  <w:vAlign w:val="center"/>
                </w:tcPr>
                <w:p w14:paraId="6FF97B88">
                  <w:pPr>
                    <w:pStyle w:val="16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Cs/>
                      <w:color w:val="3F3F3F"/>
                      <w:kern w:val="2"/>
                      <w:sz w:val="21"/>
                      <w:szCs w:val="21"/>
                      <w:highlight w:val="none"/>
                      <w:lang w:val="en-US" w:eastAsia="zh-CN" w:bidi="ar-SA"/>
                    </w:rPr>
                  </w:pPr>
                  <w:r>
                    <w:rPr>
                      <w:rFonts w:hint="default" w:ascii="Times New Roman" w:hAnsi="Times New Roman" w:cs="Times New Roman"/>
                      <w:sz w:val="21"/>
                      <w:szCs w:val="21"/>
                      <w:highlight w:val="none"/>
                      <w:lang w:val="en-US" w:eastAsia="zh-CN"/>
                    </w:rPr>
                    <w:t>SO</w:t>
                  </w:r>
                  <w:r>
                    <w:rPr>
                      <w:rFonts w:hint="default" w:ascii="Times New Roman" w:hAnsi="Times New Roman" w:cs="Times New Roman"/>
                      <w:sz w:val="21"/>
                      <w:szCs w:val="21"/>
                      <w:highlight w:val="none"/>
                      <w:vertAlign w:val="subscript"/>
                      <w:lang w:val="en-US" w:eastAsia="zh-CN"/>
                    </w:rPr>
                    <w:t>2</w:t>
                  </w:r>
                </w:p>
              </w:tc>
              <w:tc>
                <w:tcPr>
                  <w:tcW w:w="955" w:type="dxa"/>
                  <w:shd w:val="clear" w:color="auto" w:fill="auto"/>
                  <w:noWrap w:val="0"/>
                  <w:vAlign w:val="center"/>
                </w:tcPr>
                <w:p w14:paraId="18C75664">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eastAsia="Times New Roman" w:cs="Times New Roman"/>
                      <w:color w:val="000000"/>
                      <w:spacing w:val="-3"/>
                      <w:kern w:val="2"/>
                      <w:position w:val="1"/>
                      <w:sz w:val="21"/>
                      <w:szCs w:val="21"/>
                      <w:highlight w:val="none"/>
                      <w:lang w:val="en-US" w:eastAsia="zh-CN" w:bidi="ar-SA"/>
                    </w:rPr>
                    <w:t>550</w:t>
                  </w:r>
                </w:p>
              </w:tc>
              <w:tc>
                <w:tcPr>
                  <w:tcW w:w="846" w:type="dxa"/>
                  <w:shd w:val="clear" w:color="auto" w:fill="auto"/>
                  <w:noWrap w:val="0"/>
                  <w:vAlign w:val="center"/>
                </w:tcPr>
                <w:p w14:paraId="05D177D4">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eastAsia="Times New Roman" w:cs="Times New Roman"/>
                      <w:color w:val="000000"/>
                      <w:spacing w:val="-3"/>
                      <w:kern w:val="2"/>
                      <w:position w:val="1"/>
                      <w:sz w:val="21"/>
                      <w:szCs w:val="21"/>
                      <w:highlight w:val="none"/>
                      <w:lang w:val="en-US" w:eastAsia="zh-CN" w:bidi="ar-SA"/>
                    </w:rPr>
                    <w:t>25</w:t>
                  </w:r>
                </w:p>
              </w:tc>
              <w:tc>
                <w:tcPr>
                  <w:tcW w:w="1308" w:type="dxa"/>
                  <w:shd w:val="clear" w:color="auto" w:fill="auto"/>
                  <w:noWrap w:val="0"/>
                  <w:vAlign w:val="center"/>
                </w:tcPr>
                <w:p w14:paraId="24EB86E5">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eastAsia="Times New Roman" w:cs="Times New Roman"/>
                      <w:color w:val="000000"/>
                      <w:spacing w:val="-3"/>
                      <w:kern w:val="2"/>
                      <w:position w:val="1"/>
                      <w:sz w:val="21"/>
                      <w:szCs w:val="21"/>
                      <w:highlight w:val="none"/>
                      <w:lang w:val="en-US" w:eastAsia="zh-CN" w:bidi="ar-SA"/>
                    </w:rPr>
                    <w:t>4.825</w:t>
                  </w:r>
                </w:p>
              </w:tc>
              <w:tc>
                <w:tcPr>
                  <w:tcW w:w="1184" w:type="dxa"/>
                  <w:vMerge w:val="continue"/>
                  <w:shd w:val="clear" w:color="auto" w:fill="auto"/>
                  <w:noWrap w:val="0"/>
                  <w:vAlign w:val="center"/>
                </w:tcPr>
                <w:p w14:paraId="121A17DA">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p>
              </w:tc>
              <w:tc>
                <w:tcPr>
                  <w:tcW w:w="1315" w:type="dxa"/>
                  <w:shd w:val="clear" w:color="auto" w:fill="auto"/>
                  <w:noWrap w:val="0"/>
                  <w:vAlign w:val="center"/>
                </w:tcPr>
                <w:p w14:paraId="459C0FF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0.4</w:t>
                  </w:r>
                </w:p>
              </w:tc>
            </w:tr>
            <w:tr w14:paraId="6EF577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52" w:type="dxa"/>
                  <w:vMerge w:val="continue"/>
                  <w:noWrap w:val="0"/>
                  <w:vAlign w:val="center"/>
                </w:tcPr>
                <w:p w14:paraId="4C09D725">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green"/>
                      <w:lang w:val="en-US" w:eastAsia="zh-CN"/>
                    </w:rPr>
                  </w:pPr>
                </w:p>
              </w:tc>
              <w:tc>
                <w:tcPr>
                  <w:tcW w:w="1147" w:type="dxa"/>
                  <w:shd w:val="clear" w:color="auto" w:fill="auto"/>
                  <w:noWrap w:val="0"/>
                  <w:vAlign w:val="center"/>
                </w:tcPr>
                <w:p w14:paraId="31BE1509">
                  <w:pPr>
                    <w:pStyle w:val="16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Cs/>
                      <w:color w:val="3F3F3F"/>
                      <w:kern w:val="2"/>
                      <w:sz w:val="21"/>
                      <w:szCs w:val="21"/>
                      <w:highlight w:val="none"/>
                      <w:lang w:val="en-US" w:eastAsia="zh-CN" w:bidi="ar-SA"/>
                    </w:rPr>
                  </w:pPr>
                  <w:r>
                    <w:rPr>
                      <w:rFonts w:hint="default" w:ascii="Times New Roman" w:hAnsi="Times New Roman" w:cs="Times New Roman"/>
                      <w:sz w:val="21"/>
                      <w:szCs w:val="21"/>
                      <w:highlight w:val="none"/>
                      <w:lang w:val="en-US" w:eastAsia="zh-CN"/>
                    </w:rPr>
                    <w:t>NO</w:t>
                  </w:r>
                  <w:r>
                    <w:rPr>
                      <w:rFonts w:hint="default" w:ascii="Times New Roman" w:hAnsi="Times New Roman" w:cs="Times New Roman"/>
                      <w:sz w:val="21"/>
                      <w:szCs w:val="21"/>
                      <w:highlight w:val="none"/>
                      <w:vertAlign w:val="subscript"/>
                      <w:lang w:val="en-US" w:eastAsia="zh-CN"/>
                    </w:rPr>
                    <w:t>X</w:t>
                  </w:r>
                </w:p>
              </w:tc>
              <w:tc>
                <w:tcPr>
                  <w:tcW w:w="955" w:type="dxa"/>
                  <w:shd w:val="clear" w:color="auto" w:fill="auto"/>
                  <w:noWrap w:val="0"/>
                  <w:vAlign w:val="center"/>
                </w:tcPr>
                <w:p w14:paraId="12EAE440">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eastAsia="Times New Roman" w:cs="Times New Roman"/>
                      <w:color w:val="000000"/>
                      <w:spacing w:val="-3"/>
                      <w:kern w:val="2"/>
                      <w:position w:val="1"/>
                      <w:sz w:val="21"/>
                      <w:szCs w:val="21"/>
                      <w:highlight w:val="none"/>
                      <w:lang w:val="en-US" w:eastAsia="zh-CN" w:bidi="ar-SA"/>
                    </w:rPr>
                    <w:t>240</w:t>
                  </w:r>
                </w:p>
              </w:tc>
              <w:tc>
                <w:tcPr>
                  <w:tcW w:w="846" w:type="dxa"/>
                  <w:shd w:val="clear" w:color="auto" w:fill="auto"/>
                  <w:noWrap w:val="0"/>
                  <w:vAlign w:val="center"/>
                </w:tcPr>
                <w:p w14:paraId="2A920BDB">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eastAsia="Times New Roman" w:cs="Times New Roman"/>
                      <w:color w:val="000000"/>
                      <w:spacing w:val="-3"/>
                      <w:kern w:val="2"/>
                      <w:position w:val="1"/>
                      <w:sz w:val="21"/>
                      <w:szCs w:val="21"/>
                      <w:highlight w:val="none"/>
                      <w:lang w:val="en-US" w:eastAsia="zh-CN" w:bidi="ar-SA"/>
                    </w:rPr>
                    <w:t>25</w:t>
                  </w:r>
                </w:p>
              </w:tc>
              <w:tc>
                <w:tcPr>
                  <w:tcW w:w="1308" w:type="dxa"/>
                  <w:shd w:val="clear" w:color="auto" w:fill="auto"/>
                  <w:noWrap w:val="0"/>
                  <w:vAlign w:val="center"/>
                </w:tcPr>
                <w:p w14:paraId="3444959E">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eastAsia="Times New Roman" w:cs="Times New Roman"/>
                      <w:color w:val="000000"/>
                      <w:spacing w:val="-3"/>
                      <w:kern w:val="2"/>
                      <w:position w:val="1"/>
                      <w:sz w:val="21"/>
                      <w:szCs w:val="21"/>
                      <w:highlight w:val="none"/>
                      <w:lang w:val="en-US" w:eastAsia="zh-CN" w:bidi="ar-SA"/>
                    </w:rPr>
                    <w:t>1.75</w:t>
                  </w:r>
                </w:p>
              </w:tc>
              <w:tc>
                <w:tcPr>
                  <w:tcW w:w="1184" w:type="dxa"/>
                  <w:vMerge w:val="continue"/>
                  <w:shd w:val="clear" w:color="auto" w:fill="auto"/>
                  <w:noWrap w:val="0"/>
                  <w:vAlign w:val="center"/>
                </w:tcPr>
                <w:p w14:paraId="1C89C0ED">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p>
              </w:tc>
              <w:tc>
                <w:tcPr>
                  <w:tcW w:w="1315" w:type="dxa"/>
                  <w:shd w:val="clear" w:color="auto" w:fill="auto"/>
                  <w:noWrap w:val="0"/>
                  <w:vAlign w:val="center"/>
                </w:tcPr>
                <w:p w14:paraId="006CE10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ind w:left="0" w:right="0" w:firstLine="0" w:firstLineChars="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0.12</w:t>
                  </w:r>
                </w:p>
              </w:tc>
            </w:tr>
            <w:tr w14:paraId="2B76E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52" w:type="dxa"/>
                  <w:vMerge w:val="continue"/>
                  <w:noWrap w:val="0"/>
                  <w:vAlign w:val="center"/>
                </w:tcPr>
                <w:p w14:paraId="7F8EEB80">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green"/>
                      <w:lang w:val="en-US" w:eastAsia="zh-CN"/>
                    </w:rPr>
                  </w:pPr>
                </w:p>
              </w:tc>
              <w:tc>
                <w:tcPr>
                  <w:tcW w:w="1147" w:type="dxa"/>
                  <w:shd w:val="clear" w:color="auto" w:fill="auto"/>
                  <w:noWrap w:val="0"/>
                  <w:vAlign w:val="center"/>
                </w:tcPr>
                <w:p w14:paraId="510CABC6">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eastAsia="Times New Roman" w:cs="Times New Roman"/>
                      <w:color w:val="000000"/>
                      <w:spacing w:val="-3"/>
                      <w:position w:val="1"/>
                      <w:sz w:val="21"/>
                      <w:szCs w:val="21"/>
                      <w:highlight w:val="none"/>
                      <w:lang w:val="en-US" w:eastAsia="zh-CN"/>
                    </w:rPr>
                    <w:t>沥青烟</w:t>
                  </w:r>
                </w:p>
              </w:tc>
              <w:tc>
                <w:tcPr>
                  <w:tcW w:w="955" w:type="dxa"/>
                  <w:shd w:val="clear" w:color="auto" w:fill="auto"/>
                  <w:noWrap w:val="0"/>
                  <w:vAlign w:val="center"/>
                </w:tcPr>
                <w:p w14:paraId="4119EFE6">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eastAsia="Times New Roman" w:cs="Times New Roman"/>
                      <w:color w:val="000000"/>
                      <w:spacing w:val="-3"/>
                      <w:position w:val="1"/>
                      <w:sz w:val="21"/>
                      <w:szCs w:val="21"/>
                      <w:highlight w:val="none"/>
                      <w:lang w:val="en-US" w:eastAsia="zh-CN"/>
                    </w:rPr>
                    <w:t>75</w:t>
                  </w:r>
                </w:p>
              </w:tc>
              <w:tc>
                <w:tcPr>
                  <w:tcW w:w="846" w:type="dxa"/>
                  <w:shd w:val="clear" w:color="auto" w:fill="auto"/>
                  <w:noWrap w:val="0"/>
                  <w:vAlign w:val="center"/>
                </w:tcPr>
                <w:p w14:paraId="751FEC57">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eastAsia="Times New Roman" w:cs="Times New Roman"/>
                      <w:color w:val="000000"/>
                      <w:spacing w:val="-3"/>
                      <w:position w:val="1"/>
                      <w:sz w:val="21"/>
                      <w:szCs w:val="21"/>
                      <w:highlight w:val="none"/>
                      <w:lang w:val="en-US" w:eastAsia="zh-CN"/>
                    </w:rPr>
                    <w:t>25</w:t>
                  </w:r>
                </w:p>
              </w:tc>
              <w:tc>
                <w:tcPr>
                  <w:tcW w:w="1308" w:type="dxa"/>
                  <w:shd w:val="clear" w:color="auto" w:fill="auto"/>
                  <w:noWrap w:val="0"/>
                  <w:vAlign w:val="center"/>
                </w:tcPr>
                <w:p w14:paraId="06464DD9">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eastAsia="Times New Roman" w:cs="Times New Roman"/>
                      <w:color w:val="000000"/>
                      <w:spacing w:val="-3"/>
                      <w:position w:val="1"/>
                      <w:sz w:val="21"/>
                      <w:szCs w:val="21"/>
                      <w:highlight w:val="none"/>
                      <w:lang w:val="en-US" w:eastAsia="zh-CN"/>
                    </w:rPr>
                    <w:t>0.475</w:t>
                  </w:r>
                </w:p>
              </w:tc>
              <w:tc>
                <w:tcPr>
                  <w:tcW w:w="1184" w:type="dxa"/>
                  <w:shd w:val="clear" w:color="auto" w:fill="auto"/>
                  <w:noWrap w:val="0"/>
                  <w:vAlign w:val="center"/>
                </w:tcPr>
                <w:p w14:paraId="7F8D8D5F">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eastAsia="Times New Roman" w:cs="Times New Roman"/>
                      <w:color w:val="000000"/>
                      <w:spacing w:val="-3"/>
                      <w:position w:val="1"/>
                      <w:sz w:val="21"/>
                      <w:szCs w:val="21"/>
                      <w:highlight w:val="none"/>
                      <w:lang w:val="en-US" w:eastAsia="zh-CN"/>
                    </w:rPr>
                    <w:t>/</w:t>
                  </w:r>
                </w:p>
              </w:tc>
              <w:tc>
                <w:tcPr>
                  <w:tcW w:w="1315" w:type="dxa"/>
                  <w:shd w:val="clear" w:color="auto" w:fill="auto"/>
                  <w:noWrap w:val="0"/>
                  <w:vAlign w:val="center"/>
                </w:tcPr>
                <w:p w14:paraId="2B2673D1">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eastAsia="Times New Roman" w:cs="Times New Roman"/>
                      <w:color w:val="000000"/>
                      <w:spacing w:val="-3"/>
                      <w:position w:val="1"/>
                      <w:sz w:val="21"/>
                      <w:szCs w:val="21"/>
                      <w:highlight w:val="none"/>
                      <w:lang w:val="en-US" w:eastAsia="zh-CN"/>
                    </w:rPr>
                    <w:t>/</w:t>
                  </w:r>
                </w:p>
              </w:tc>
            </w:tr>
            <w:tr w14:paraId="7DF0B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52" w:type="dxa"/>
                  <w:vMerge w:val="restart"/>
                  <w:noWrap w:val="0"/>
                  <w:vAlign w:val="center"/>
                </w:tcPr>
                <w:p w14:paraId="0001B72D">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eastAsia="Times New Roman" w:cs="Times New Roman"/>
                      <w:color w:val="000000"/>
                      <w:spacing w:val="-3"/>
                      <w:position w:val="1"/>
                      <w:sz w:val="21"/>
                      <w:szCs w:val="21"/>
                      <w:highlight w:val="none"/>
                      <w:lang w:val="en-US" w:eastAsia="zh-CN"/>
                    </w:rPr>
                    <w:t>《工业炉窑大气污染综合治理方案》</w:t>
                  </w:r>
                </w:p>
              </w:tc>
              <w:tc>
                <w:tcPr>
                  <w:tcW w:w="1147" w:type="dxa"/>
                  <w:noWrap w:val="0"/>
                  <w:vAlign w:val="center"/>
                </w:tcPr>
                <w:p w14:paraId="1BC48968">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颗粒物</w:t>
                  </w:r>
                </w:p>
              </w:tc>
              <w:tc>
                <w:tcPr>
                  <w:tcW w:w="955" w:type="dxa"/>
                  <w:noWrap w:val="0"/>
                  <w:vAlign w:val="center"/>
                </w:tcPr>
                <w:p w14:paraId="2A50E243">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30</w:t>
                  </w:r>
                </w:p>
              </w:tc>
              <w:tc>
                <w:tcPr>
                  <w:tcW w:w="846" w:type="dxa"/>
                  <w:noWrap w:val="0"/>
                  <w:vAlign w:val="center"/>
                </w:tcPr>
                <w:p w14:paraId="531014E6">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w:t>
                  </w:r>
                </w:p>
              </w:tc>
              <w:tc>
                <w:tcPr>
                  <w:tcW w:w="1308" w:type="dxa"/>
                  <w:noWrap w:val="0"/>
                  <w:vAlign w:val="center"/>
                </w:tcPr>
                <w:p w14:paraId="49A4915F">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w:t>
                  </w:r>
                </w:p>
              </w:tc>
              <w:tc>
                <w:tcPr>
                  <w:tcW w:w="1184" w:type="dxa"/>
                  <w:noWrap w:val="0"/>
                  <w:vAlign w:val="center"/>
                </w:tcPr>
                <w:p w14:paraId="2C69CE0F">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w:t>
                  </w:r>
                </w:p>
              </w:tc>
              <w:tc>
                <w:tcPr>
                  <w:tcW w:w="1315" w:type="dxa"/>
                  <w:noWrap w:val="0"/>
                  <w:vAlign w:val="center"/>
                </w:tcPr>
                <w:p w14:paraId="2CC64575">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w:t>
                  </w:r>
                </w:p>
              </w:tc>
            </w:tr>
            <w:tr w14:paraId="324DCB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52" w:type="dxa"/>
                  <w:vMerge w:val="continue"/>
                  <w:noWrap w:val="0"/>
                  <w:vAlign w:val="center"/>
                </w:tcPr>
                <w:p w14:paraId="1599322F">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p>
              </w:tc>
              <w:tc>
                <w:tcPr>
                  <w:tcW w:w="1147" w:type="dxa"/>
                  <w:shd w:val="clear" w:color="auto" w:fill="auto"/>
                  <w:noWrap w:val="0"/>
                  <w:vAlign w:val="center"/>
                </w:tcPr>
                <w:p w14:paraId="30A31FFC">
                  <w:pPr>
                    <w:pStyle w:val="16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Cs/>
                      <w:color w:val="3F3F3F"/>
                      <w:kern w:val="2"/>
                      <w:sz w:val="21"/>
                      <w:szCs w:val="21"/>
                      <w:highlight w:val="none"/>
                      <w:lang w:val="en-US" w:eastAsia="zh-CN" w:bidi="ar-SA"/>
                    </w:rPr>
                  </w:pPr>
                  <w:r>
                    <w:rPr>
                      <w:rFonts w:hint="default" w:ascii="Times New Roman" w:hAnsi="Times New Roman" w:cs="Times New Roman"/>
                      <w:sz w:val="21"/>
                      <w:szCs w:val="21"/>
                      <w:highlight w:val="none"/>
                      <w:lang w:val="en-US" w:eastAsia="zh-CN"/>
                    </w:rPr>
                    <w:t>SO</w:t>
                  </w:r>
                  <w:r>
                    <w:rPr>
                      <w:rFonts w:hint="default" w:ascii="Times New Roman" w:hAnsi="Times New Roman" w:cs="Times New Roman"/>
                      <w:sz w:val="21"/>
                      <w:szCs w:val="21"/>
                      <w:highlight w:val="none"/>
                      <w:vertAlign w:val="subscript"/>
                      <w:lang w:val="en-US" w:eastAsia="zh-CN"/>
                    </w:rPr>
                    <w:t>2</w:t>
                  </w:r>
                </w:p>
              </w:tc>
              <w:tc>
                <w:tcPr>
                  <w:tcW w:w="955" w:type="dxa"/>
                  <w:noWrap w:val="0"/>
                  <w:vAlign w:val="center"/>
                </w:tcPr>
                <w:p w14:paraId="05C84E70">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200</w:t>
                  </w:r>
                </w:p>
              </w:tc>
              <w:tc>
                <w:tcPr>
                  <w:tcW w:w="846" w:type="dxa"/>
                  <w:noWrap w:val="0"/>
                  <w:vAlign w:val="center"/>
                </w:tcPr>
                <w:p w14:paraId="30CA7F62">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w:t>
                  </w:r>
                </w:p>
              </w:tc>
              <w:tc>
                <w:tcPr>
                  <w:tcW w:w="1308" w:type="dxa"/>
                  <w:noWrap w:val="0"/>
                  <w:vAlign w:val="center"/>
                </w:tcPr>
                <w:p w14:paraId="39691597">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w:t>
                  </w:r>
                </w:p>
              </w:tc>
              <w:tc>
                <w:tcPr>
                  <w:tcW w:w="1184" w:type="dxa"/>
                  <w:noWrap w:val="0"/>
                  <w:vAlign w:val="center"/>
                </w:tcPr>
                <w:p w14:paraId="6ED4B13D">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w:t>
                  </w:r>
                </w:p>
              </w:tc>
              <w:tc>
                <w:tcPr>
                  <w:tcW w:w="1315" w:type="dxa"/>
                  <w:noWrap w:val="0"/>
                  <w:vAlign w:val="center"/>
                </w:tcPr>
                <w:p w14:paraId="2F078EFC">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w:t>
                  </w:r>
                </w:p>
              </w:tc>
            </w:tr>
            <w:tr w14:paraId="51FB16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52" w:type="dxa"/>
                  <w:vMerge w:val="continue"/>
                  <w:noWrap w:val="0"/>
                  <w:vAlign w:val="center"/>
                </w:tcPr>
                <w:p w14:paraId="31A89DFD">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p>
              </w:tc>
              <w:tc>
                <w:tcPr>
                  <w:tcW w:w="1147" w:type="dxa"/>
                  <w:shd w:val="clear" w:color="auto" w:fill="auto"/>
                  <w:noWrap w:val="0"/>
                  <w:vAlign w:val="center"/>
                </w:tcPr>
                <w:p w14:paraId="2F461A4B">
                  <w:pPr>
                    <w:pStyle w:val="16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Cs/>
                      <w:color w:val="3F3F3F"/>
                      <w:kern w:val="2"/>
                      <w:sz w:val="21"/>
                      <w:szCs w:val="21"/>
                      <w:highlight w:val="none"/>
                      <w:lang w:val="en-US" w:eastAsia="zh-CN" w:bidi="ar-SA"/>
                    </w:rPr>
                  </w:pPr>
                  <w:r>
                    <w:rPr>
                      <w:rFonts w:hint="default" w:ascii="Times New Roman" w:hAnsi="Times New Roman" w:cs="Times New Roman"/>
                      <w:sz w:val="21"/>
                      <w:szCs w:val="21"/>
                      <w:highlight w:val="none"/>
                      <w:lang w:val="en-US" w:eastAsia="zh-CN"/>
                    </w:rPr>
                    <w:t>NO</w:t>
                  </w:r>
                  <w:r>
                    <w:rPr>
                      <w:rFonts w:hint="default" w:ascii="Times New Roman" w:hAnsi="Times New Roman" w:cs="Times New Roman"/>
                      <w:sz w:val="21"/>
                      <w:szCs w:val="21"/>
                      <w:highlight w:val="none"/>
                      <w:vertAlign w:val="subscript"/>
                      <w:lang w:val="en-US" w:eastAsia="zh-CN"/>
                    </w:rPr>
                    <w:t>X</w:t>
                  </w:r>
                </w:p>
              </w:tc>
              <w:tc>
                <w:tcPr>
                  <w:tcW w:w="955" w:type="dxa"/>
                  <w:noWrap w:val="0"/>
                  <w:vAlign w:val="center"/>
                </w:tcPr>
                <w:p w14:paraId="2C2CC867">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300</w:t>
                  </w:r>
                </w:p>
              </w:tc>
              <w:tc>
                <w:tcPr>
                  <w:tcW w:w="846" w:type="dxa"/>
                  <w:noWrap w:val="0"/>
                  <w:vAlign w:val="center"/>
                </w:tcPr>
                <w:p w14:paraId="192BDF22">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w:t>
                  </w:r>
                </w:p>
              </w:tc>
              <w:tc>
                <w:tcPr>
                  <w:tcW w:w="1308" w:type="dxa"/>
                  <w:noWrap w:val="0"/>
                  <w:vAlign w:val="center"/>
                </w:tcPr>
                <w:p w14:paraId="074BE918">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w:t>
                  </w:r>
                </w:p>
              </w:tc>
              <w:tc>
                <w:tcPr>
                  <w:tcW w:w="1184" w:type="dxa"/>
                  <w:noWrap w:val="0"/>
                  <w:vAlign w:val="center"/>
                </w:tcPr>
                <w:p w14:paraId="198B6318">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w:t>
                  </w:r>
                </w:p>
              </w:tc>
              <w:tc>
                <w:tcPr>
                  <w:tcW w:w="1315" w:type="dxa"/>
                  <w:noWrap w:val="0"/>
                  <w:vAlign w:val="center"/>
                </w:tcPr>
                <w:p w14:paraId="059A9149">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w:t>
                  </w:r>
                </w:p>
              </w:tc>
            </w:tr>
            <w:tr w14:paraId="5D1D79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52" w:type="dxa"/>
                  <w:vMerge w:val="restart"/>
                  <w:noWrap w:val="0"/>
                  <w:vAlign w:val="center"/>
                </w:tcPr>
                <w:p w14:paraId="3E32BD84">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eastAsia="Times New Roman" w:cs="Times New Roman"/>
                      <w:color w:val="000000"/>
                      <w:spacing w:val="-3"/>
                      <w:position w:val="1"/>
                      <w:sz w:val="21"/>
                      <w:szCs w:val="21"/>
                      <w:highlight w:val="none"/>
                      <w:lang w:val="en-US" w:eastAsia="zh-CN"/>
                    </w:rPr>
                    <w:t>《锅炉大气污染物排放标准》（DB61/1226-2018）</w:t>
                  </w:r>
                </w:p>
              </w:tc>
              <w:tc>
                <w:tcPr>
                  <w:tcW w:w="1147" w:type="dxa"/>
                  <w:shd w:val="clear" w:color="auto" w:fill="auto"/>
                  <w:noWrap w:val="0"/>
                  <w:vAlign w:val="center"/>
                </w:tcPr>
                <w:p w14:paraId="7D38CE93">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颗粒物</w:t>
                  </w:r>
                </w:p>
              </w:tc>
              <w:tc>
                <w:tcPr>
                  <w:tcW w:w="955" w:type="dxa"/>
                  <w:shd w:val="clear" w:color="auto" w:fill="auto"/>
                  <w:noWrap w:val="0"/>
                  <w:vAlign w:val="center"/>
                </w:tcPr>
                <w:p w14:paraId="0ED2A8A2">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eastAsia="Times New Roman" w:cs="Times New Roman"/>
                      <w:color w:val="000000"/>
                      <w:spacing w:val="-3"/>
                      <w:position w:val="1"/>
                      <w:sz w:val="21"/>
                      <w:szCs w:val="21"/>
                      <w:highlight w:val="none"/>
                      <w:lang w:val="en-US" w:eastAsia="zh-CN"/>
                    </w:rPr>
                    <w:t>10</w:t>
                  </w:r>
                </w:p>
              </w:tc>
              <w:tc>
                <w:tcPr>
                  <w:tcW w:w="846" w:type="dxa"/>
                  <w:shd w:val="clear" w:color="auto" w:fill="auto"/>
                  <w:noWrap w:val="0"/>
                  <w:vAlign w:val="center"/>
                </w:tcPr>
                <w:p w14:paraId="4A0F48A4">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1308" w:type="dxa"/>
                  <w:shd w:val="clear" w:color="auto" w:fill="auto"/>
                  <w:noWrap w:val="0"/>
                  <w:vAlign w:val="center"/>
                </w:tcPr>
                <w:p w14:paraId="56C89F0C">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1184" w:type="dxa"/>
                  <w:shd w:val="clear" w:color="auto" w:fill="auto"/>
                  <w:noWrap w:val="0"/>
                  <w:vAlign w:val="center"/>
                </w:tcPr>
                <w:p w14:paraId="05B46CFD">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1315" w:type="dxa"/>
                  <w:shd w:val="clear" w:color="auto" w:fill="auto"/>
                  <w:noWrap w:val="0"/>
                  <w:vAlign w:val="center"/>
                </w:tcPr>
                <w:p w14:paraId="3F6059D9">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r>
            <w:tr w14:paraId="07ECEF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52" w:type="dxa"/>
                  <w:vMerge w:val="continue"/>
                  <w:noWrap w:val="0"/>
                  <w:vAlign w:val="center"/>
                </w:tcPr>
                <w:p w14:paraId="188F1DC7">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p>
              </w:tc>
              <w:tc>
                <w:tcPr>
                  <w:tcW w:w="1147" w:type="dxa"/>
                  <w:shd w:val="clear" w:color="auto" w:fill="auto"/>
                  <w:noWrap w:val="0"/>
                  <w:vAlign w:val="center"/>
                </w:tcPr>
                <w:p w14:paraId="2E25876F">
                  <w:pPr>
                    <w:pStyle w:val="16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Cs/>
                      <w:color w:val="3F3F3F"/>
                      <w:kern w:val="2"/>
                      <w:sz w:val="21"/>
                      <w:szCs w:val="21"/>
                      <w:highlight w:val="none"/>
                      <w:lang w:val="en-US" w:eastAsia="zh-CN" w:bidi="ar-SA"/>
                    </w:rPr>
                  </w:pPr>
                  <w:r>
                    <w:rPr>
                      <w:rFonts w:hint="default" w:ascii="Times New Roman" w:hAnsi="Times New Roman" w:cs="Times New Roman"/>
                      <w:sz w:val="21"/>
                      <w:szCs w:val="21"/>
                      <w:highlight w:val="none"/>
                      <w:lang w:val="en-US" w:eastAsia="zh-CN"/>
                    </w:rPr>
                    <w:t>SO</w:t>
                  </w:r>
                  <w:r>
                    <w:rPr>
                      <w:rFonts w:hint="default" w:ascii="Times New Roman" w:hAnsi="Times New Roman" w:cs="Times New Roman"/>
                      <w:sz w:val="21"/>
                      <w:szCs w:val="21"/>
                      <w:highlight w:val="none"/>
                      <w:vertAlign w:val="subscript"/>
                      <w:lang w:val="en-US" w:eastAsia="zh-CN"/>
                    </w:rPr>
                    <w:t>2</w:t>
                  </w:r>
                </w:p>
              </w:tc>
              <w:tc>
                <w:tcPr>
                  <w:tcW w:w="955" w:type="dxa"/>
                  <w:shd w:val="clear" w:color="auto" w:fill="auto"/>
                  <w:noWrap w:val="0"/>
                  <w:vAlign w:val="center"/>
                </w:tcPr>
                <w:p w14:paraId="647D7F27">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eastAsia="Times New Roman" w:cs="Times New Roman"/>
                      <w:color w:val="000000"/>
                      <w:spacing w:val="-3"/>
                      <w:position w:val="1"/>
                      <w:sz w:val="21"/>
                      <w:szCs w:val="21"/>
                      <w:highlight w:val="none"/>
                      <w:lang w:val="en-US" w:eastAsia="zh-CN"/>
                    </w:rPr>
                    <w:t>20</w:t>
                  </w:r>
                </w:p>
              </w:tc>
              <w:tc>
                <w:tcPr>
                  <w:tcW w:w="846" w:type="dxa"/>
                  <w:shd w:val="clear" w:color="auto" w:fill="auto"/>
                  <w:noWrap w:val="0"/>
                  <w:vAlign w:val="center"/>
                </w:tcPr>
                <w:p w14:paraId="0B87A364">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1308" w:type="dxa"/>
                  <w:shd w:val="clear" w:color="auto" w:fill="auto"/>
                  <w:noWrap w:val="0"/>
                  <w:vAlign w:val="center"/>
                </w:tcPr>
                <w:p w14:paraId="0096BF3D">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1184" w:type="dxa"/>
                  <w:shd w:val="clear" w:color="auto" w:fill="auto"/>
                  <w:noWrap w:val="0"/>
                  <w:vAlign w:val="center"/>
                </w:tcPr>
                <w:p w14:paraId="01B475DC">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1315" w:type="dxa"/>
                  <w:shd w:val="clear" w:color="auto" w:fill="auto"/>
                  <w:noWrap w:val="0"/>
                  <w:vAlign w:val="center"/>
                </w:tcPr>
                <w:p w14:paraId="40130026">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r>
            <w:tr w14:paraId="6DC317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52" w:type="dxa"/>
                  <w:vMerge w:val="continue"/>
                  <w:noWrap w:val="0"/>
                  <w:vAlign w:val="center"/>
                </w:tcPr>
                <w:p w14:paraId="55E043AA">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p>
              </w:tc>
              <w:tc>
                <w:tcPr>
                  <w:tcW w:w="1147" w:type="dxa"/>
                  <w:shd w:val="clear" w:color="auto" w:fill="auto"/>
                  <w:noWrap w:val="0"/>
                  <w:vAlign w:val="center"/>
                </w:tcPr>
                <w:p w14:paraId="69DC32A8">
                  <w:pPr>
                    <w:pStyle w:val="16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Cs/>
                      <w:color w:val="3F3F3F"/>
                      <w:kern w:val="2"/>
                      <w:sz w:val="21"/>
                      <w:szCs w:val="21"/>
                      <w:highlight w:val="none"/>
                      <w:lang w:val="en-US" w:eastAsia="zh-CN" w:bidi="ar-SA"/>
                    </w:rPr>
                  </w:pPr>
                  <w:r>
                    <w:rPr>
                      <w:rFonts w:hint="default" w:ascii="Times New Roman" w:hAnsi="Times New Roman" w:cs="Times New Roman"/>
                      <w:sz w:val="21"/>
                      <w:szCs w:val="21"/>
                      <w:highlight w:val="none"/>
                      <w:lang w:val="en-US" w:eastAsia="zh-CN"/>
                    </w:rPr>
                    <w:t>NO</w:t>
                  </w:r>
                  <w:r>
                    <w:rPr>
                      <w:rFonts w:hint="default" w:ascii="Times New Roman" w:hAnsi="Times New Roman" w:cs="Times New Roman"/>
                      <w:sz w:val="21"/>
                      <w:szCs w:val="21"/>
                      <w:highlight w:val="none"/>
                      <w:vertAlign w:val="subscript"/>
                      <w:lang w:val="en-US" w:eastAsia="zh-CN"/>
                    </w:rPr>
                    <w:t>X</w:t>
                  </w:r>
                </w:p>
              </w:tc>
              <w:tc>
                <w:tcPr>
                  <w:tcW w:w="955" w:type="dxa"/>
                  <w:shd w:val="clear" w:color="auto" w:fill="auto"/>
                  <w:noWrap w:val="0"/>
                  <w:vAlign w:val="center"/>
                </w:tcPr>
                <w:p w14:paraId="0DDC3F63">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eastAsia="Times New Roman" w:cs="Times New Roman"/>
                      <w:color w:val="000000"/>
                      <w:spacing w:val="-3"/>
                      <w:position w:val="1"/>
                      <w:sz w:val="21"/>
                      <w:szCs w:val="21"/>
                      <w:highlight w:val="none"/>
                      <w:lang w:val="en-US" w:eastAsia="zh-CN"/>
                    </w:rPr>
                    <w:t>50</w:t>
                  </w:r>
                </w:p>
              </w:tc>
              <w:tc>
                <w:tcPr>
                  <w:tcW w:w="846" w:type="dxa"/>
                  <w:shd w:val="clear" w:color="auto" w:fill="auto"/>
                  <w:noWrap w:val="0"/>
                  <w:vAlign w:val="center"/>
                </w:tcPr>
                <w:p w14:paraId="435F3F54">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1308" w:type="dxa"/>
                  <w:shd w:val="clear" w:color="auto" w:fill="auto"/>
                  <w:noWrap w:val="0"/>
                  <w:vAlign w:val="center"/>
                </w:tcPr>
                <w:p w14:paraId="15B11F60">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1184" w:type="dxa"/>
                  <w:shd w:val="clear" w:color="auto" w:fill="auto"/>
                  <w:noWrap w:val="0"/>
                  <w:vAlign w:val="center"/>
                </w:tcPr>
                <w:p w14:paraId="370E2880">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1315" w:type="dxa"/>
                  <w:shd w:val="clear" w:color="auto" w:fill="auto"/>
                  <w:noWrap w:val="0"/>
                  <w:vAlign w:val="center"/>
                </w:tcPr>
                <w:p w14:paraId="204DAC5B">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r>
            <w:tr w14:paraId="213B23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52" w:type="dxa"/>
                  <w:vMerge w:val="restart"/>
                  <w:noWrap w:val="0"/>
                  <w:vAlign w:val="center"/>
                </w:tcPr>
                <w:p w14:paraId="254C7753">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w:t>
                  </w:r>
                  <w:r>
                    <w:rPr>
                      <w:rFonts w:hint="default" w:ascii="Times New Roman" w:hAnsi="Times New Roman" w:eastAsia="Times New Roman" w:cs="Times New Roman"/>
                      <w:color w:val="000000"/>
                      <w:spacing w:val="-3"/>
                      <w:position w:val="1"/>
                      <w:sz w:val="21"/>
                      <w:szCs w:val="21"/>
                      <w:highlight w:val="none"/>
                      <w:lang w:val="en-US" w:eastAsia="zh-CN"/>
                    </w:rPr>
                    <w:t>挥发性有机物无组织排放控制标准</w:t>
                  </w:r>
                  <w:r>
                    <w:rPr>
                      <w:rFonts w:hint="default" w:ascii="Times New Roman" w:hAnsi="Times New Roman" w:cs="Times New Roman"/>
                      <w:color w:val="000000"/>
                      <w:spacing w:val="-3"/>
                      <w:position w:val="1"/>
                      <w:sz w:val="21"/>
                      <w:szCs w:val="21"/>
                      <w:highlight w:val="none"/>
                      <w:lang w:val="en-US" w:eastAsia="zh-CN"/>
                    </w:rPr>
                    <w:t>》</w:t>
                  </w:r>
                  <w:r>
                    <w:rPr>
                      <w:rFonts w:hint="default" w:ascii="Times New Roman" w:hAnsi="Times New Roman" w:eastAsia="Times New Roman" w:cs="Times New Roman"/>
                      <w:color w:val="000000"/>
                      <w:spacing w:val="-3"/>
                      <w:position w:val="1"/>
                      <w:sz w:val="21"/>
                      <w:szCs w:val="21"/>
                      <w:highlight w:val="none"/>
                      <w:lang w:val="en-US" w:eastAsia="zh-CN"/>
                    </w:rPr>
                    <w:t>（GB 37822-2019）</w:t>
                  </w:r>
                </w:p>
              </w:tc>
              <w:tc>
                <w:tcPr>
                  <w:tcW w:w="1147" w:type="dxa"/>
                  <w:vMerge w:val="restart"/>
                  <w:noWrap w:val="0"/>
                  <w:vAlign w:val="center"/>
                </w:tcPr>
                <w:p w14:paraId="53F749F0">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非甲烷总烃</w:t>
                  </w:r>
                </w:p>
              </w:tc>
              <w:tc>
                <w:tcPr>
                  <w:tcW w:w="955" w:type="dxa"/>
                  <w:shd w:val="clear" w:color="auto" w:fill="auto"/>
                  <w:noWrap w:val="0"/>
                  <w:vAlign w:val="center"/>
                </w:tcPr>
                <w:p w14:paraId="4C9EF5A0">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846" w:type="dxa"/>
                  <w:shd w:val="clear" w:color="auto" w:fill="auto"/>
                  <w:noWrap w:val="0"/>
                  <w:vAlign w:val="center"/>
                </w:tcPr>
                <w:p w14:paraId="1A665502">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1308" w:type="dxa"/>
                  <w:shd w:val="clear" w:color="auto" w:fill="auto"/>
                  <w:noWrap w:val="0"/>
                  <w:vAlign w:val="center"/>
                </w:tcPr>
                <w:p w14:paraId="12A94D26">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1184" w:type="dxa"/>
                  <w:shd w:val="clear" w:color="auto" w:fill="auto"/>
                  <w:noWrap w:val="0"/>
                  <w:vAlign w:val="center"/>
                </w:tcPr>
                <w:p w14:paraId="1670E9CE">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eastAsia="Times New Roman" w:cs="Times New Roman"/>
                      <w:color w:val="000000"/>
                      <w:spacing w:val="-3"/>
                      <w:kern w:val="2"/>
                      <w:position w:val="1"/>
                      <w:sz w:val="21"/>
                      <w:szCs w:val="21"/>
                      <w:highlight w:val="none"/>
                      <w:lang w:val="en-US" w:eastAsia="zh-CN" w:bidi="ar-SA"/>
                    </w:rPr>
                    <w:t>监控点处1h平均浓度值</w:t>
                  </w:r>
                </w:p>
              </w:tc>
              <w:tc>
                <w:tcPr>
                  <w:tcW w:w="1315" w:type="dxa"/>
                  <w:noWrap w:val="0"/>
                  <w:vAlign w:val="center"/>
                </w:tcPr>
                <w:p w14:paraId="1D4311BD">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6</w:t>
                  </w:r>
                </w:p>
              </w:tc>
            </w:tr>
            <w:tr w14:paraId="3B2AD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52" w:type="dxa"/>
                  <w:vMerge w:val="continue"/>
                  <w:noWrap w:val="0"/>
                  <w:vAlign w:val="center"/>
                </w:tcPr>
                <w:p w14:paraId="446557E5">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color w:val="000000"/>
                      <w:spacing w:val="-3"/>
                      <w:position w:val="1"/>
                      <w:sz w:val="21"/>
                      <w:szCs w:val="21"/>
                      <w:highlight w:val="none"/>
                      <w:lang w:val="en-US" w:eastAsia="zh-CN"/>
                    </w:rPr>
                  </w:pPr>
                </w:p>
              </w:tc>
              <w:tc>
                <w:tcPr>
                  <w:tcW w:w="1147" w:type="dxa"/>
                  <w:vMerge w:val="continue"/>
                  <w:noWrap w:val="0"/>
                  <w:vAlign w:val="center"/>
                </w:tcPr>
                <w:p w14:paraId="357F5785">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color w:val="000000"/>
                      <w:spacing w:val="-3"/>
                      <w:position w:val="1"/>
                      <w:sz w:val="21"/>
                      <w:szCs w:val="21"/>
                      <w:highlight w:val="none"/>
                      <w:lang w:val="en-US" w:eastAsia="zh-CN"/>
                    </w:rPr>
                  </w:pPr>
                </w:p>
              </w:tc>
              <w:tc>
                <w:tcPr>
                  <w:tcW w:w="955" w:type="dxa"/>
                  <w:shd w:val="clear" w:color="auto" w:fill="auto"/>
                  <w:noWrap w:val="0"/>
                  <w:vAlign w:val="center"/>
                </w:tcPr>
                <w:p w14:paraId="7BE0094B">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846" w:type="dxa"/>
                  <w:shd w:val="clear" w:color="auto" w:fill="auto"/>
                  <w:noWrap w:val="0"/>
                  <w:vAlign w:val="center"/>
                </w:tcPr>
                <w:p w14:paraId="1F1C45DA">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1308" w:type="dxa"/>
                  <w:shd w:val="clear" w:color="auto" w:fill="auto"/>
                  <w:noWrap w:val="0"/>
                  <w:vAlign w:val="center"/>
                </w:tcPr>
                <w:p w14:paraId="45680271">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1184" w:type="dxa"/>
                  <w:shd w:val="clear" w:color="auto" w:fill="auto"/>
                  <w:noWrap w:val="0"/>
                  <w:vAlign w:val="center"/>
                </w:tcPr>
                <w:p w14:paraId="1108B1DF">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eastAsia="Times New Roman" w:cs="Times New Roman"/>
                      <w:color w:val="000000"/>
                      <w:spacing w:val="-3"/>
                      <w:kern w:val="2"/>
                      <w:position w:val="1"/>
                      <w:sz w:val="21"/>
                      <w:szCs w:val="21"/>
                      <w:highlight w:val="none"/>
                      <w:lang w:val="en-US" w:eastAsia="zh-CN" w:bidi="ar-SA"/>
                    </w:rPr>
                    <w:t>监控点处任意一次浓度值</w:t>
                  </w:r>
                </w:p>
              </w:tc>
              <w:tc>
                <w:tcPr>
                  <w:tcW w:w="1315" w:type="dxa"/>
                  <w:noWrap w:val="0"/>
                  <w:vAlign w:val="center"/>
                </w:tcPr>
                <w:p w14:paraId="1A7D7E5D">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20</w:t>
                  </w:r>
                </w:p>
              </w:tc>
            </w:tr>
            <w:tr w14:paraId="44CD9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2052" w:type="dxa"/>
                  <w:noWrap w:val="0"/>
                  <w:vAlign w:val="center"/>
                </w:tcPr>
                <w:p w14:paraId="471C4B2F">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color w:val="000000"/>
                      <w:spacing w:val="-3"/>
                      <w:position w:val="1"/>
                      <w:sz w:val="21"/>
                      <w:szCs w:val="21"/>
                      <w:highlight w:val="none"/>
                      <w:lang w:val="en-US" w:eastAsia="zh-CN"/>
                    </w:rPr>
                  </w:pPr>
                  <w:r>
                    <w:rPr>
                      <w:rFonts w:hint="default" w:ascii="Times New Roman" w:hAnsi="Times New Roman" w:cs="Times New Roman"/>
                      <w:color w:val="000000"/>
                      <w:spacing w:val="-3"/>
                      <w:position w:val="1"/>
                      <w:sz w:val="21"/>
                      <w:szCs w:val="21"/>
                      <w:highlight w:val="none"/>
                      <w:lang w:val="en-US" w:eastAsia="zh-CN"/>
                    </w:rPr>
                    <w:t>《饮食业油烟排放标准（试行）》（GB18483-2001）</w:t>
                  </w:r>
                </w:p>
              </w:tc>
              <w:tc>
                <w:tcPr>
                  <w:tcW w:w="1147" w:type="dxa"/>
                  <w:noWrap w:val="0"/>
                  <w:vAlign w:val="center"/>
                </w:tcPr>
                <w:p w14:paraId="7E61850B">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cs="Times New Roman"/>
                      <w:color w:val="000000"/>
                      <w:spacing w:val="-3"/>
                      <w:position w:val="1"/>
                      <w:sz w:val="21"/>
                      <w:szCs w:val="21"/>
                      <w:highlight w:val="none"/>
                      <w:lang w:val="en-US" w:eastAsia="zh-CN"/>
                    </w:rPr>
                  </w:pPr>
                  <w:r>
                    <w:rPr>
                      <w:rFonts w:hint="eastAsia" w:ascii="Times New Roman" w:hAnsi="Times New Roman" w:cs="Times New Roman"/>
                      <w:color w:val="000000"/>
                      <w:spacing w:val="-3"/>
                      <w:position w:val="1"/>
                      <w:sz w:val="21"/>
                      <w:szCs w:val="21"/>
                      <w:highlight w:val="none"/>
                      <w:lang w:val="en-US" w:eastAsia="zh-CN"/>
                    </w:rPr>
                    <w:t>油烟</w:t>
                  </w:r>
                </w:p>
              </w:tc>
              <w:tc>
                <w:tcPr>
                  <w:tcW w:w="955" w:type="dxa"/>
                  <w:shd w:val="clear" w:color="auto" w:fill="auto"/>
                  <w:noWrap w:val="0"/>
                  <w:vAlign w:val="center"/>
                </w:tcPr>
                <w:p w14:paraId="3AE9B0FE">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cs="Times New Roman"/>
                      <w:color w:val="000000"/>
                      <w:spacing w:val="-3"/>
                      <w:position w:val="1"/>
                      <w:sz w:val="21"/>
                      <w:szCs w:val="21"/>
                      <w:highlight w:val="none"/>
                      <w:lang w:val="en-US" w:eastAsia="zh-CN"/>
                    </w:rPr>
                  </w:pPr>
                  <w:r>
                    <w:rPr>
                      <w:rFonts w:hint="eastAsia" w:ascii="Times New Roman" w:hAnsi="Times New Roman" w:cs="Times New Roman"/>
                      <w:color w:val="000000"/>
                      <w:spacing w:val="-3"/>
                      <w:position w:val="1"/>
                      <w:sz w:val="21"/>
                      <w:szCs w:val="21"/>
                      <w:highlight w:val="none"/>
                      <w:lang w:val="en-US" w:eastAsia="zh-CN"/>
                    </w:rPr>
                    <w:t>2.0</w:t>
                  </w:r>
                </w:p>
              </w:tc>
              <w:tc>
                <w:tcPr>
                  <w:tcW w:w="846" w:type="dxa"/>
                  <w:shd w:val="clear" w:color="auto" w:fill="auto"/>
                  <w:noWrap w:val="0"/>
                  <w:vAlign w:val="center"/>
                </w:tcPr>
                <w:p w14:paraId="6562CB96">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1308" w:type="dxa"/>
                  <w:shd w:val="clear" w:color="auto" w:fill="auto"/>
                  <w:noWrap w:val="0"/>
                  <w:vAlign w:val="center"/>
                </w:tcPr>
                <w:p w14:paraId="614CA8E4">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1184" w:type="dxa"/>
                  <w:shd w:val="clear" w:color="auto" w:fill="auto"/>
                  <w:noWrap w:val="0"/>
                  <w:vAlign w:val="center"/>
                </w:tcPr>
                <w:p w14:paraId="2ADB9EFE">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c>
                <w:tcPr>
                  <w:tcW w:w="1315" w:type="dxa"/>
                  <w:shd w:val="clear" w:color="auto" w:fill="auto"/>
                  <w:noWrap w:val="0"/>
                  <w:vAlign w:val="center"/>
                </w:tcPr>
                <w:p w14:paraId="093FF8FD">
                  <w:pPr>
                    <w:pStyle w:val="156"/>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rPr>
                      <w:rFonts w:hint="default" w:ascii="Times New Roman" w:hAnsi="Times New Roman" w:eastAsia="Times New Roman" w:cs="Times New Roman"/>
                      <w:color w:val="000000"/>
                      <w:spacing w:val="-3"/>
                      <w:kern w:val="2"/>
                      <w:position w:val="1"/>
                      <w:sz w:val="21"/>
                      <w:szCs w:val="21"/>
                      <w:highlight w:val="none"/>
                      <w:lang w:val="en-US" w:eastAsia="zh-CN" w:bidi="ar-SA"/>
                    </w:rPr>
                  </w:pPr>
                  <w:r>
                    <w:rPr>
                      <w:rFonts w:hint="default" w:ascii="Times New Roman" w:hAnsi="Times New Roman" w:cs="Times New Roman"/>
                      <w:color w:val="000000"/>
                      <w:spacing w:val="-3"/>
                      <w:position w:val="1"/>
                      <w:sz w:val="21"/>
                      <w:szCs w:val="21"/>
                      <w:highlight w:val="none"/>
                      <w:lang w:val="en-US" w:eastAsia="zh-CN"/>
                    </w:rPr>
                    <w:t>-</w:t>
                  </w:r>
                </w:p>
              </w:tc>
            </w:tr>
          </w:tbl>
          <w:p w14:paraId="121467E6">
            <w:pPr>
              <w:pStyle w:val="171"/>
              <w:keepNext w:val="0"/>
              <w:keepLines w:val="0"/>
              <w:suppressLineNumbers w:val="0"/>
              <w:shd w:val="clear" w:color="auto" w:fill="auto"/>
              <w:bidi w:val="0"/>
              <w:spacing w:before="0" w:beforeAutospacing="0" w:after="0" w:afterAutospacing="0" w:line="240" w:lineRule="auto"/>
              <w:ind w:left="0" w:right="0"/>
              <w:rPr>
                <w:rFonts w:hint="eastAsia" w:ascii="Times New Roman" w:hAnsi="Times New Roman" w:eastAsia="宋体" w:cs="Times New Roman"/>
                <w:color w:val="auto"/>
                <w:highlight w:val="none"/>
                <w:lang w:eastAsia="zh-CN"/>
              </w:rPr>
            </w:pPr>
          </w:p>
          <w:p w14:paraId="6D37E3EA">
            <w:pPr>
              <w:keepNext w:val="0"/>
              <w:keepLines w:val="0"/>
              <w:suppressLineNumbers w:val="0"/>
              <w:adjustRightInd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（2）废水</w:t>
            </w:r>
          </w:p>
          <w:p w14:paraId="17BE0AB6">
            <w:pPr>
              <w:keepNext w:val="0"/>
              <w:keepLines w:val="0"/>
              <w:suppressLineNumbers w:val="0"/>
              <w:shd w:val="clear" w:color="auto" w:fill="auto"/>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auto"/>
                <w:kern w:val="0"/>
                <w:sz w:val="24"/>
                <w:szCs w:val="24"/>
                <w:highlight w:val="none"/>
                <w:lang w:val="en-US" w:eastAsia="zh-CN"/>
              </w:rPr>
            </w:pPr>
            <w:r>
              <w:rPr>
                <w:rFonts w:hint="eastAsia" w:ascii="Times New Roman" w:hAnsi="Times New Roman" w:eastAsia="宋体" w:cs="Times New Roman"/>
                <w:color w:val="auto"/>
                <w:kern w:val="0"/>
                <w:sz w:val="24"/>
                <w:szCs w:val="24"/>
                <w:highlight w:val="none"/>
                <w:lang w:val="en-US" w:eastAsia="zh-CN"/>
              </w:rPr>
              <w:t>项目运营期设备、车辆冲洗废水经循环沉淀池沉淀后回用；员工生活污水</w:t>
            </w:r>
            <w:r>
              <w:rPr>
                <w:rFonts w:hint="default" w:ascii="Times New Roman" w:hAnsi="Times New Roman" w:eastAsia="宋体" w:cs="Times New Roman"/>
                <w:color w:val="auto"/>
                <w:kern w:val="0"/>
                <w:sz w:val="24"/>
                <w:szCs w:val="24"/>
                <w:highlight w:val="none"/>
                <w:lang w:val="en-US" w:eastAsia="zh-CN"/>
              </w:rPr>
              <w:t>排放执行《污水综合排放标准》（GB8978-1996）中的三级标准，其中氨氮、TP、总氮执行《污水排入城镇下水道水质标准》（GB/T31962-2015）表1中B级相关标准限值。</w:t>
            </w:r>
          </w:p>
          <w:p w14:paraId="5211ABCE">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color w:val="auto"/>
                <w:sz w:val="24"/>
                <w:szCs w:val="32"/>
              </w:rPr>
            </w:pPr>
            <w:r>
              <w:rPr>
                <w:rFonts w:hint="default" w:ascii="Times New Roman" w:hAnsi="Times New Roman" w:cs="Times New Roman"/>
                <w:b/>
                <w:color w:val="auto"/>
                <w:sz w:val="24"/>
                <w:szCs w:val="32"/>
              </w:rPr>
              <w:t>表3-</w:t>
            </w:r>
            <w:r>
              <w:rPr>
                <w:rFonts w:hint="eastAsia" w:cs="Times New Roman"/>
                <w:b/>
                <w:color w:val="auto"/>
                <w:sz w:val="24"/>
                <w:szCs w:val="32"/>
                <w:lang w:val="en-US" w:eastAsia="zh-CN"/>
              </w:rPr>
              <w:t>8</w:t>
            </w:r>
            <w:r>
              <w:rPr>
                <w:rFonts w:hint="default" w:ascii="Times New Roman" w:hAnsi="Times New Roman" w:cs="Times New Roman"/>
                <w:b/>
                <w:color w:val="auto"/>
                <w:sz w:val="24"/>
                <w:szCs w:val="32"/>
              </w:rPr>
              <w:t xml:space="preserve"> 污水排放标准限值</w:t>
            </w:r>
          </w:p>
          <w:tbl>
            <w:tblPr>
              <w:tblStyle w:val="41"/>
              <w:tblW w:w="88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21"/>
              <w:gridCol w:w="2472"/>
              <w:gridCol w:w="1342"/>
              <w:gridCol w:w="1467"/>
              <w:gridCol w:w="1007"/>
              <w:gridCol w:w="1303"/>
            </w:tblGrid>
            <w:tr w14:paraId="4F4021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21" w:type="dxa"/>
                  <w:noWrap w:val="0"/>
                  <w:vAlign w:val="center"/>
                </w:tcPr>
                <w:p w14:paraId="7DB90D07">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rPr>
                  </w:pPr>
                  <w:r>
                    <w:rPr>
                      <w:rFonts w:hint="default" w:ascii="Times New Roman" w:hAnsi="Times New Roman" w:cs="Times New Roman"/>
                      <w:b/>
                      <w:bCs/>
                      <w:color w:val="auto"/>
                    </w:rPr>
                    <w:t>排放口</w:t>
                  </w:r>
                </w:p>
                <w:p w14:paraId="5FD5C339">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rPr>
                  </w:pPr>
                  <w:r>
                    <w:rPr>
                      <w:rFonts w:hint="default" w:ascii="Times New Roman" w:hAnsi="Times New Roman" w:cs="Times New Roman"/>
                      <w:b/>
                      <w:bCs/>
                      <w:color w:val="auto"/>
                    </w:rPr>
                    <w:t>名称</w:t>
                  </w:r>
                </w:p>
              </w:tc>
              <w:tc>
                <w:tcPr>
                  <w:tcW w:w="2472" w:type="dxa"/>
                  <w:noWrap w:val="0"/>
                  <w:vAlign w:val="center"/>
                </w:tcPr>
                <w:p w14:paraId="1C0E62FA">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rPr>
                  </w:pPr>
                  <w:r>
                    <w:rPr>
                      <w:rFonts w:hint="default" w:ascii="Times New Roman" w:hAnsi="Times New Roman" w:cs="Times New Roman"/>
                      <w:b/>
                      <w:bCs/>
                      <w:color w:val="auto"/>
                    </w:rPr>
                    <w:t>执行标准</w:t>
                  </w:r>
                </w:p>
              </w:tc>
              <w:tc>
                <w:tcPr>
                  <w:tcW w:w="1342" w:type="dxa"/>
                  <w:noWrap w:val="0"/>
                  <w:vAlign w:val="center"/>
                </w:tcPr>
                <w:p w14:paraId="573E6F0E">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rPr>
                  </w:pPr>
                  <w:r>
                    <w:rPr>
                      <w:rFonts w:hint="default" w:ascii="Times New Roman" w:hAnsi="Times New Roman" w:cs="Times New Roman"/>
                      <w:b/>
                      <w:bCs/>
                      <w:color w:val="auto"/>
                    </w:rPr>
                    <w:t>类别</w:t>
                  </w:r>
                </w:p>
              </w:tc>
              <w:tc>
                <w:tcPr>
                  <w:tcW w:w="1467" w:type="dxa"/>
                  <w:noWrap w:val="0"/>
                  <w:vAlign w:val="center"/>
                </w:tcPr>
                <w:p w14:paraId="7602F0E3">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rPr>
                  </w:pPr>
                  <w:r>
                    <w:rPr>
                      <w:rFonts w:hint="default" w:ascii="Times New Roman" w:hAnsi="Times New Roman" w:cs="Times New Roman"/>
                      <w:b/>
                      <w:bCs/>
                      <w:color w:val="auto"/>
                    </w:rPr>
                    <w:t>污染物指标</w:t>
                  </w:r>
                </w:p>
              </w:tc>
              <w:tc>
                <w:tcPr>
                  <w:tcW w:w="1007" w:type="dxa"/>
                  <w:noWrap w:val="0"/>
                  <w:vAlign w:val="center"/>
                </w:tcPr>
                <w:p w14:paraId="62EE2531">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rPr>
                  </w:pPr>
                  <w:r>
                    <w:rPr>
                      <w:rFonts w:hint="default" w:ascii="Times New Roman" w:hAnsi="Times New Roman" w:cs="Times New Roman"/>
                      <w:b/>
                      <w:bCs/>
                      <w:color w:val="auto"/>
                    </w:rPr>
                    <w:t>单位</w:t>
                  </w:r>
                </w:p>
              </w:tc>
              <w:tc>
                <w:tcPr>
                  <w:tcW w:w="1303" w:type="dxa"/>
                  <w:noWrap w:val="0"/>
                  <w:vAlign w:val="center"/>
                </w:tcPr>
                <w:p w14:paraId="7FD0427A">
                  <w:pPr>
                    <w:keepNext w:val="0"/>
                    <w:keepLines w:val="0"/>
                    <w:suppressLineNumbers w:val="0"/>
                    <w:spacing w:before="0" w:beforeAutospacing="0" w:after="0" w:afterAutospacing="0"/>
                    <w:ind w:left="0" w:right="0"/>
                    <w:jc w:val="center"/>
                    <w:rPr>
                      <w:rFonts w:hint="default" w:ascii="Times New Roman" w:hAnsi="Times New Roman" w:cs="Times New Roman"/>
                      <w:b/>
                      <w:bCs/>
                      <w:color w:val="auto"/>
                    </w:rPr>
                  </w:pPr>
                  <w:r>
                    <w:rPr>
                      <w:rFonts w:hint="default" w:ascii="Times New Roman" w:hAnsi="Times New Roman" w:cs="Times New Roman"/>
                      <w:b/>
                      <w:bCs/>
                      <w:color w:val="auto"/>
                    </w:rPr>
                    <w:t>标准限值</w:t>
                  </w:r>
                </w:p>
              </w:tc>
            </w:tr>
            <w:tr w14:paraId="5DF0F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21" w:type="dxa"/>
                  <w:vMerge w:val="restart"/>
                  <w:noWrap w:val="0"/>
                  <w:vAlign w:val="center"/>
                </w:tcPr>
                <w:p w14:paraId="249C4A6C">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废水排放口</w:t>
                  </w:r>
                </w:p>
              </w:tc>
              <w:tc>
                <w:tcPr>
                  <w:tcW w:w="2472" w:type="dxa"/>
                  <w:vMerge w:val="restart"/>
                  <w:noWrap w:val="0"/>
                  <w:vAlign w:val="center"/>
                </w:tcPr>
                <w:p w14:paraId="5C7FAFF5">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《污水综合排放标准》（GB8978-1996）</w:t>
                  </w:r>
                </w:p>
              </w:tc>
              <w:tc>
                <w:tcPr>
                  <w:tcW w:w="1342" w:type="dxa"/>
                  <w:vMerge w:val="restart"/>
                  <w:noWrap w:val="0"/>
                  <w:vAlign w:val="center"/>
                </w:tcPr>
                <w:p w14:paraId="006E3BA5">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表4三级标准</w:t>
                  </w:r>
                </w:p>
              </w:tc>
              <w:tc>
                <w:tcPr>
                  <w:tcW w:w="1467" w:type="dxa"/>
                  <w:noWrap w:val="0"/>
                  <w:vAlign w:val="center"/>
                </w:tcPr>
                <w:p w14:paraId="1499B467">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pH</w:t>
                  </w:r>
                </w:p>
              </w:tc>
              <w:tc>
                <w:tcPr>
                  <w:tcW w:w="1007" w:type="dxa"/>
                  <w:noWrap w:val="0"/>
                  <w:vAlign w:val="center"/>
                </w:tcPr>
                <w:p w14:paraId="078C04DD">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无量纲</w:t>
                  </w:r>
                </w:p>
              </w:tc>
              <w:tc>
                <w:tcPr>
                  <w:tcW w:w="1303" w:type="dxa"/>
                  <w:noWrap w:val="0"/>
                  <w:vAlign w:val="center"/>
                </w:tcPr>
                <w:p w14:paraId="57229790">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6-9</w:t>
                  </w:r>
                </w:p>
              </w:tc>
            </w:tr>
            <w:tr w14:paraId="669A02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21" w:type="dxa"/>
                  <w:vMerge w:val="continue"/>
                  <w:noWrap w:val="0"/>
                  <w:vAlign w:val="center"/>
                </w:tcPr>
                <w:p w14:paraId="2EE888CD">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2472" w:type="dxa"/>
                  <w:vMerge w:val="continue"/>
                  <w:noWrap w:val="0"/>
                  <w:vAlign w:val="center"/>
                </w:tcPr>
                <w:p w14:paraId="34C03E9C">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342" w:type="dxa"/>
                  <w:vMerge w:val="continue"/>
                  <w:noWrap w:val="0"/>
                  <w:vAlign w:val="center"/>
                </w:tcPr>
                <w:p w14:paraId="1E162617">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467" w:type="dxa"/>
                  <w:noWrap w:val="0"/>
                  <w:vAlign w:val="center"/>
                </w:tcPr>
                <w:p w14:paraId="088C8173">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COD</w:t>
                  </w:r>
                </w:p>
              </w:tc>
              <w:tc>
                <w:tcPr>
                  <w:tcW w:w="1007" w:type="dxa"/>
                  <w:vMerge w:val="restart"/>
                  <w:noWrap w:val="0"/>
                  <w:vAlign w:val="center"/>
                </w:tcPr>
                <w:p w14:paraId="08DEDC26">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mg/L</w:t>
                  </w:r>
                </w:p>
              </w:tc>
              <w:tc>
                <w:tcPr>
                  <w:tcW w:w="1303" w:type="dxa"/>
                  <w:noWrap w:val="0"/>
                  <w:vAlign w:val="center"/>
                </w:tcPr>
                <w:p w14:paraId="79CFAC34">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500</w:t>
                  </w:r>
                </w:p>
              </w:tc>
            </w:tr>
            <w:tr w14:paraId="376B25E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21" w:type="dxa"/>
                  <w:vMerge w:val="continue"/>
                  <w:noWrap w:val="0"/>
                  <w:vAlign w:val="center"/>
                </w:tcPr>
                <w:p w14:paraId="0775822F">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2472" w:type="dxa"/>
                  <w:vMerge w:val="continue"/>
                  <w:noWrap w:val="0"/>
                  <w:vAlign w:val="center"/>
                </w:tcPr>
                <w:p w14:paraId="0861B123">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342" w:type="dxa"/>
                  <w:vMerge w:val="continue"/>
                  <w:noWrap w:val="0"/>
                  <w:vAlign w:val="center"/>
                </w:tcPr>
                <w:p w14:paraId="6B30DA81">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467" w:type="dxa"/>
                  <w:noWrap w:val="0"/>
                  <w:vAlign w:val="center"/>
                </w:tcPr>
                <w:p w14:paraId="5AF83DDF">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SS</w:t>
                  </w:r>
                </w:p>
              </w:tc>
              <w:tc>
                <w:tcPr>
                  <w:tcW w:w="1007" w:type="dxa"/>
                  <w:vMerge w:val="continue"/>
                  <w:noWrap w:val="0"/>
                  <w:vAlign w:val="center"/>
                </w:tcPr>
                <w:p w14:paraId="62F8CE89">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303" w:type="dxa"/>
                  <w:noWrap w:val="0"/>
                  <w:vAlign w:val="center"/>
                </w:tcPr>
                <w:p w14:paraId="425AC73C">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400</w:t>
                  </w:r>
                </w:p>
              </w:tc>
            </w:tr>
            <w:tr w14:paraId="76B357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221" w:type="dxa"/>
                  <w:vMerge w:val="continue"/>
                  <w:noWrap w:val="0"/>
                  <w:vAlign w:val="center"/>
                </w:tcPr>
                <w:p w14:paraId="4A34436E">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2472" w:type="dxa"/>
                  <w:vMerge w:val="continue"/>
                  <w:noWrap w:val="0"/>
                  <w:vAlign w:val="center"/>
                </w:tcPr>
                <w:p w14:paraId="0CEDD482">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342" w:type="dxa"/>
                  <w:vMerge w:val="continue"/>
                  <w:noWrap w:val="0"/>
                  <w:vAlign w:val="center"/>
                </w:tcPr>
                <w:p w14:paraId="743BE70C">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467" w:type="dxa"/>
                  <w:noWrap w:val="0"/>
                  <w:vAlign w:val="center"/>
                </w:tcPr>
                <w:p w14:paraId="70E49F33">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BOD</w:t>
                  </w:r>
                  <w:r>
                    <w:rPr>
                      <w:rFonts w:hint="default" w:ascii="Times New Roman" w:hAnsi="Times New Roman" w:cs="Times New Roman"/>
                      <w:color w:val="auto"/>
                      <w:vertAlign w:val="subscript"/>
                    </w:rPr>
                    <w:t>5</w:t>
                  </w:r>
                </w:p>
              </w:tc>
              <w:tc>
                <w:tcPr>
                  <w:tcW w:w="1007" w:type="dxa"/>
                  <w:vMerge w:val="continue"/>
                  <w:noWrap w:val="0"/>
                  <w:vAlign w:val="center"/>
                </w:tcPr>
                <w:p w14:paraId="4A41F0D5">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303" w:type="dxa"/>
                  <w:noWrap w:val="0"/>
                  <w:vAlign w:val="center"/>
                </w:tcPr>
                <w:p w14:paraId="12A4F1BE">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300</w:t>
                  </w:r>
                </w:p>
              </w:tc>
            </w:tr>
            <w:tr w14:paraId="4C61A6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jc w:val="center"/>
              </w:trPr>
              <w:tc>
                <w:tcPr>
                  <w:tcW w:w="1221" w:type="dxa"/>
                  <w:vMerge w:val="continue"/>
                  <w:noWrap w:val="0"/>
                  <w:vAlign w:val="center"/>
                </w:tcPr>
                <w:p w14:paraId="554756CB">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2472" w:type="dxa"/>
                  <w:vMerge w:val="restart"/>
                  <w:noWrap w:val="0"/>
                  <w:vAlign w:val="center"/>
                </w:tcPr>
                <w:p w14:paraId="72924F75">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《污水排入城镇下水道水质标准》（GB/T31962-2015）</w:t>
                  </w:r>
                </w:p>
              </w:tc>
              <w:tc>
                <w:tcPr>
                  <w:tcW w:w="1342" w:type="dxa"/>
                  <w:vMerge w:val="restart"/>
                  <w:noWrap w:val="0"/>
                  <w:vAlign w:val="center"/>
                </w:tcPr>
                <w:p w14:paraId="63F74F8E">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表1B级标准</w:t>
                  </w:r>
                </w:p>
              </w:tc>
              <w:tc>
                <w:tcPr>
                  <w:tcW w:w="1467" w:type="dxa"/>
                  <w:noWrap w:val="0"/>
                  <w:vAlign w:val="center"/>
                </w:tcPr>
                <w:p w14:paraId="6B9ECC6D">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氨氮</w:t>
                  </w:r>
                </w:p>
              </w:tc>
              <w:tc>
                <w:tcPr>
                  <w:tcW w:w="1007" w:type="dxa"/>
                  <w:vMerge w:val="continue"/>
                  <w:noWrap w:val="0"/>
                  <w:vAlign w:val="center"/>
                </w:tcPr>
                <w:p w14:paraId="0AF3C7C8">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303" w:type="dxa"/>
                  <w:noWrap w:val="0"/>
                  <w:vAlign w:val="center"/>
                </w:tcPr>
                <w:p w14:paraId="3ED2AD05">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45</w:t>
                  </w:r>
                </w:p>
              </w:tc>
            </w:tr>
            <w:tr w14:paraId="072F4A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1221" w:type="dxa"/>
                  <w:vMerge w:val="continue"/>
                  <w:noWrap w:val="0"/>
                  <w:vAlign w:val="center"/>
                </w:tcPr>
                <w:p w14:paraId="1778EC11">
                  <w:pPr>
                    <w:keepNext w:val="0"/>
                    <w:keepLines w:val="0"/>
                    <w:suppressLineNumbers w:val="0"/>
                    <w:spacing w:before="0" w:beforeAutospacing="0" w:after="0" w:afterAutospacing="0"/>
                    <w:ind w:left="0" w:right="0"/>
                    <w:rPr>
                      <w:rFonts w:hint="default" w:ascii="Times New Roman" w:hAnsi="Times New Roman" w:cs="Times New Roman"/>
                      <w:color w:val="auto"/>
                    </w:rPr>
                  </w:pPr>
                </w:p>
              </w:tc>
              <w:tc>
                <w:tcPr>
                  <w:tcW w:w="2472" w:type="dxa"/>
                  <w:vMerge w:val="continue"/>
                  <w:noWrap w:val="0"/>
                  <w:vAlign w:val="center"/>
                </w:tcPr>
                <w:p w14:paraId="6179793B">
                  <w:pPr>
                    <w:keepNext w:val="0"/>
                    <w:keepLines w:val="0"/>
                    <w:suppressLineNumbers w:val="0"/>
                    <w:spacing w:before="0" w:beforeAutospacing="0" w:after="0" w:afterAutospacing="0"/>
                    <w:ind w:left="0" w:right="0"/>
                    <w:rPr>
                      <w:rFonts w:hint="default" w:ascii="Times New Roman" w:hAnsi="Times New Roman" w:cs="Times New Roman"/>
                      <w:color w:val="auto"/>
                    </w:rPr>
                  </w:pPr>
                </w:p>
              </w:tc>
              <w:tc>
                <w:tcPr>
                  <w:tcW w:w="1342" w:type="dxa"/>
                  <w:vMerge w:val="continue"/>
                  <w:noWrap w:val="0"/>
                  <w:vAlign w:val="center"/>
                </w:tcPr>
                <w:p w14:paraId="78C02E6F">
                  <w:pPr>
                    <w:keepNext w:val="0"/>
                    <w:keepLines w:val="0"/>
                    <w:suppressLineNumbers w:val="0"/>
                    <w:spacing w:before="0" w:beforeAutospacing="0" w:after="0" w:afterAutospacing="0"/>
                    <w:ind w:left="0" w:right="0"/>
                    <w:rPr>
                      <w:rFonts w:hint="default" w:ascii="Times New Roman" w:hAnsi="Times New Roman" w:cs="Times New Roman"/>
                      <w:color w:val="auto"/>
                    </w:rPr>
                  </w:pPr>
                </w:p>
              </w:tc>
              <w:tc>
                <w:tcPr>
                  <w:tcW w:w="1467" w:type="dxa"/>
                  <w:noWrap w:val="0"/>
                  <w:vAlign w:val="center"/>
                </w:tcPr>
                <w:p w14:paraId="44BB413B">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总氮</w:t>
                  </w:r>
                </w:p>
              </w:tc>
              <w:tc>
                <w:tcPr>
                  <w:tcW w:w="1007" w:type="dxa"/>
                  <w:vMerge w:val="continue"/>
                  <w:noWrap w:val="0"/>
                  <w:vAlign w:val="center"/>
                </w:tcPr>
                <w:p w14:paraId="0E8A2B3E">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303" w:type="dxa"/>
                  <w:noWrap w:val="0"/>
                  <w:vAlign w:val="center"/>
                </w:tcPr>
                <w:p w14:paraId="3AC8AC8C">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70</w:t>
                  </w:r>
                </w:p>
              </w:tc>
            </w:tr>
            <w:tr w14:paraId="1C920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1221" w:type="dxa"/>
                  <w:vMerge w:val="continue"/>
                  <w:noWrap w:val="0"/>
                  <w:vAlign w:val="center"/>
                </w:tcPr>
                <w:p w14:paraId="33586987">
                  <w:pPr>
                    <w:keepNext w:val="0"/>
                    <w:keepLines w:val="0"/>
                    <w:suppressLineNumbers w:val="0"/>
                    <w:spacing w:before="0" w:beforeAutospacing="0" w:after="0" w:afterAutospacing="0"/>
                    <w:ind w:left="0" w:right="0"/>
                    <w:rPr>
                      <w:rFonts w:hint="default" w:ascii="Times New Roman" w:hAnsi="Times New Roman" w:cs="Times New Roman"/>
                      <w:color w:val="auto"/>
                    </w:rPr>
                  </w:pPr>
                </w:p>
              </w:tc>
              <w:tc>
                <w:tcPr>
                  <w:tcW w:w="2472" w:type="dxa"/>
                  <w:vMerge w:val="continue"/>
                  <w:noWrap w:val="0"/>
                  <w:vAlign w:val="center"/>
                </w:tcPr>
                <w:p w14:paraId="62D390C2">
                  <w:pPr>
                    <w:keepNext w:val="0"/>
                    <w:keepLines w:val="0"/>
                    <w:suppressLineNumbers w:val="0"/>
                    <w:spacing w:before="0" w:beforeAutospacing="0" w:after="0" w:afterAutospacing="0"/>
                    <w:ind w:left="0" w:right="0"/>
                    <w:rPr>
                      <w:rFonts w:hint="default" w:ascii="Times New Roman" w:hAnsi="Times New Roman" w:cs="Times New Roman"/>
                      <w:color w:val="auto"/>
                    </w:rPr>
                  </w:pPr>
                </w:p>
              </w:tc>
              <w:tc>
                <w:tcPr>
                  <w:tcW w:w="1342" w:type="dxa"/>
                  <w:vMerge w:val="continue"/>
                  <w:noWrap w:val="0"/>
                  <w:vAlign w:val="center"/>
                </w:tcPr>
                <w:p w14:paraId="12A715FA">
                  <w:pPr>
                    <w:keepNext w:val="0"/>
                    <w:keepLines w:val="0"/>
                    <w:suppressLineNumbers w:val="0"/>
                    <w:spacing w:before="0" w:beforeAutospacing="0" w:after="0" w:afterAutospacing="0"/>
                    <w:ind w:left="0" w:right="0"/>
                    <w:rPr>
                      <w:rFonts w:hint="default" w:ascii="Times New Roman" w:hAnsi="Times New Roman" w:cs="Times New Roman"/>
                      <w:color w:val="auto"/>
                    </w:rPr>
                  </w:pPr>
                </w:p>
              </w:tc>
              <w:tc>
                <w:tcPr>
                  <w:tcW w:w="1467" w:type="dxa"/>
                  <w:noWrap w:val="0"/>
                  <w:vAlign w:val="center"/>
                </w:tcPr>
                <w:p w14:paraId="6509EB8D">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TP</w:t>
                  </w:r>
                </w:p>
              </w:tc>
              <w:tc>
                <w:tcPr>
                  <w:tcW w:w="1007" w:type="dxa"/>
                  <w:vMerge w:val="continue"/>
                  <w:noWrap w:val="0"/>
                  <w:vAlign w:val="center"/>
                </w:tcPr>
                <w:p w14:paraId="05CA5FB2">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p>
              </w:tc>
              <w:tc>
                <w:tcPr>
                  <w:tcW w:w="1303" w:type="dxa"/>
                  <w:noWrap w:val="0"/>
                  <w:vAlign w:val="center"/>
                </w:tcPr>
                <w:p w14:paraId="18477845">
                  <w:pPr>
                    <w:keepNext w:val="0"/>
                    <w:keepLines w:val="0"/>
                    <w:suppressLineNumbers w:val="0"/>
                    <w:spacing w:before="0" w:beforeAutospacing="0" w:after="0" w:afterAutospacing="0"/>
                    <w:ind w:left="0" w:right="0"/>
                    <w:jc w:val="center"/>
                    <w:rPr>
                      <w:rFonts w:hint="default" w:ascii="Times New Roman" w:hAnsi="Times New Roman" w:cs="Times New Roman"/>
                      <w:color w:val="auto"/>
                    </w:rPr>
                  </w:pPr>
                  <w:r>
                    <w:rPr>
                      <w:rFonts w:hint="default" w:ascii="Times New Roman" w:hAnsi="Times New Roman" w:cs="Times New Roman"/>
                      <w:color w:val="auto"/>
                    </w:rPr>
                    <w:t>8</w:t>
                  </w:r>
                </w:p>
              </w:tc>
            </w:tr>
          </w:tbl>
          <w:p w14:paraId="79ECC74A">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p>
          <w:p w14:paraId="6C448E79">
            <w:pPr>
              <w:keepNext w:val="0"/>
              <w:keepLines w:val="0"/>
              <w:suppressLineNumbers w:val="0"/>
              <w:adjustRightInd w:val="0"/>
              <w:snapToGrid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（3）噪声</w:t>
            </w:r>
          </w:p>
          <w:p w14:paraId="20BD5F15">
            <w:pPr>
              <w:keepNext w:val="0"/>
              <w:keepLines w:val="0"/>
              <w:pageBreakBefore w:val="0"/>
              <w:widowControl w:val="0"/>
              <w:numPr>
                <w:ilvl w:val="0"/>
                <w:numId w:val="0"/>
              </w:numPr>
              <w:suppressLineNumbers w:val="0"/>
              <w:kinsoku/>
              <w:wordWrap/>
              <w:overflowPunct/>
              <w:topLinePunct w:val="0"/>
              <w:autoSpaceDE/>
              <w:autoSpaceDN/>
              <w:bidi w:val="0"/>
              <w:adjustRightInd/>
              <w:snapToGrid/>
              <w:spacing w:before="0" w:beforeAutospacing="0" w:after="0" w:afterAutospacing="0" w:line="360" w:lineRule="auto"/>
              <w:ind w:left="0" w:leftChars="0" w:right="0" w:firstLine="480" w:firstLineChars="200"/>
              <w:jc w:val="both"/>
              <w:textAlignment w:val="auto"/>
              <w:rPr>
                <w:rFonts w:hint="default" w:ascii="Times New Roman" w:hAnsi="Times New Roman" w:eastAsia="宋体" w:cs="Times New Roman"/>
                <w:color w:val="000000"/>
                <w:sz w:val="24"/>
                <w:szCs w:val="32"/>
                <w:highlight w:val="none"/>
              </w:rPr>
            </w:pPr>
            <w:r>
              <w:rPr>
                <w:rFonts w:hint="default" w:ascii="Times New Roman" w:hAnsi="Times New Roman" w:eastAsia="宋体" w:cs="Times New Roman"/>
                <w:color w:val="000000"/>
                <w:sz w:val="24"/>
                <w:szCs w:val="22"/>
                <w:highlight w:val="none"/>
              </w:rPr>
              <w:t>施工期噪声执行《建筑施工场界环境噪声排放标准》(GB12523-2011)中规定的排放标准；</w:t>
            </w:r>
            <w:r>
              <w:rPr>
                <w:rFonts w:hint="default" w:ascii="Times New Roman" w:hAnsi="Times New Roman" w:eastAsia="宋体" w:cs="Times New Roman"/>
                <w:color w:val="000000"/>
                <w:sz w:val="24"/>
                <w:szCs w:val="22"/>
                <w:highlight w:val="none"/>
                <w:lang w:val="en-US" w:eastAsia="zh-CN"/>
              </w:rPr>
              <w:t>项目</w:t>
            </w:r>
            <w:r>
              <w:rPr>
                <w:rFonts w:hint="default" w:ascii="Times New Roman" w:hAnsi="Times New Roman" w:eastAsia="宋体" w:cs="Times New Roman"/>
                <w:color w:val="000000"/>
                <w:sz w:val="24"/>
                <w:szCs w:val="32"/>
                <w:highlight w:val="none"/>
              </w:rPr>
              <w:t>运营期</w:t>
            </w:r>
            <w:r>
              <w:rPr>
                <w:rFonts w:hint="eastAsia" w:cs="Times New Roman"/>
                <w:color w:val="000000"/>
                <w:sz w:val="24"/>
                <w:szCs w:val="32"/>
                <w:highlight w:val="none"/>
                <w:lang w:val="en-US" w:eastAsia="zh-CN"/>
              </w:rPr>
              <w:t>厂界</w:t>
            </w:r>
            <w:r>
              <w:rPr>
                <w:rFonts w:hint="default" w:ascii="Times New Roman" w:hAnsi="Times New Roman" w:eastAsia="宋体" w:cs="Times New Roman"/>
                <w:color w:val="000000"/>
                <w:sz w:val="24"/>
                <w:szCs w:val="32"/>
                <w:highlight w:val="none"/>
              </w:rPr>
              <w:t>噪声排放执行《工业企业厂界环境噪声排放标准》（GB12348-2008）中</w:t>
            </w:r>
            <w:r>
              <w:rPr>
                <w:rFonts w:hint="eastAsia" w:cs="Times New Roman"/>
                <w:color w:val="000000"/>
                <w:sz w:val="24"/>
                <w:szCs w:val="32"/>
                <w:highlight w:val="none"/>
                <w:lang w:val="en-US" w:eastAsia="zh-CN"/>
              </w:rPr>
              <w:t>3</w:t>
            </w:r>
            <w:r>
              <w:rPr>
                <w:rFonts w:hint="default" w:ascii="Times New Roman" w:hAnsi="Times New Roman" w:eastAsia="宋体" w:cs="Times New Roman"/>
                <w:color w:val="000000"/>
                <w:sz w:val="24"/>
                <w:szCs w:val="32"/>
                <w:highlight w:val="none"/>
              </w:rPr>
              <w:t>类标准。</w:t>
            </w:r>
          </w:p>
          <w:p w14:paraId="64041A58">
            <w:pPr>
              <w:pStyle w:val="115"/>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eastAsia="宋体" w:cs="Times New Roman"/>
                <w:b/>
                <w:bCs/>
                <w:color w:val="000000"/>
                <w:sz w:val="21"/>
                <w:szCs w:val="21"/>
                <w:highlight w:val="none"/>
                <w:lang w:val="en-US" w:eastAsia="zh-CN"/>
              </w:rPr>
            </w:pPr>
            <w:r>
              <w:rPr>
                <w:rFonts w:hint="default" w:ascii="Times New Roman" w:hAnsi="Times New Roman" w:eastAsia="宋体" w:cs="Times New Roman"/>
                <w:b/>
                <w:bCs/>
                <w:color w:val="000000"/>
                <w:sz w:val="21"/>
                <w:szCs w:val="21"/>
                <w:highlight w:val="none"/>
                <w:lang w:val="en-US" w:eastAsia="zh-CN"/>
              </w:rPr>
              <w:t>表3-</w:t>
            </w:r>
            <w:r>
              <w:rPr>
                <w:rFonts w:hint="eastAsia" w:ascii="Times New Roman" w:cs="Times New Roman"/>
                <w:b/>
                <w:bCs/>
                <w:color w:val="000000"/>
                <w:sz w:val="21"/>
                <w:szCs w:val="21"/>
                <w:highlight w:val="none"/>
                <w:lang w:val="en-US" w:eastAsia="zh-CN"/>
              </w:rPr>
              <w:t>9</w:t>
            </w:r>
            <w:r>
              <w:rPr>
                <w:rFonts w:hint="default" w:ascii="Times New Roman" w:hAnsi="Times New Roman" w:eastAsia="宋体" w:cs="Times New Roman"/>
                <w:b/>
                <w:bCs/>
                <w:color w:val="000000"/>
                <w:sz w:val="21"/>
                <w:szCs w:val="21"/>
                <w:highlight w:val="none"/>
                <w:lang w:val="en-US" w:eastAsia="zh-CN"/>
              </w:rPr>
              <w:t xml:space="preserve">   噪声排放标准</w:t>
            </w:r>
          </w:p>
          <w:tbl>
            <w:tblPr>
              <w:tblStyle w:val="41"/>
              <w:tblW w:w="87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2"/>
              <w:gridCol w:w="3325"/>
              <w:gridCol w:w="1540"/>
              <w:gridCol w:w="1289"/>
              <w:gridCol w:w="790"/>
              <w:gridCol w:w="972"/>
            </w:tblGrid>
            <w:tr w14:paraId="1E0129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882" w:type="dxa"/>
                  <w:vMerge w:val="restart"/>
                  <w:tcBorders>
                    <w:tl2br w:val="nil"/>
                    <w:tr2bl w:val="nil"/>
                  </w:tcBorders>
                  <w:noWrap w:val="0"/>
                  <w:tcMar>
                    <w:top w:w="0" w:type="dxa"/>
                    <w:left w:w="28" w:type="dxa"/>
                    <w:bottom w:w="0" w:type="dxa"/>
                    <w:right w:w="28" w:type="dxa"/>
                  </w:tcMar>
                  <w:vAlign w:val="center"/>
                </w:tcPr>
                <w:p w14:paraId="1D87D6A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lang w:eastAsia="zh-CN"/>
                    </w:rPr>
                  </w:pPr>
                  <w:r>
                    <w:rPr>
                      <w:rFonts w:hint="default" w:ascii="Times New Roman" w:hAnsi="Times New Roman" w:eastAsia="宋体" w:cs="Times New Roman"/>
                      <w:b/>
                      <w:bCs/>
                      <w:color w:val="000000"/>
                      <w:sz w:val="21"/>
                      <w:szCs w:val="21"/>
                      <w:highlight w:val="none"/>
                      <w:lang w:eastAsia="zh-CN"/>
                    </w:rPr>
                    <w:t>阶段</w:t>
                  </w:r>
                </w:p>
              </w:tc>
              <w:tc>
                <w:tcPr>
                  <w:tcW w:w="3325" w:type="dxa"/>
                  <w:vMerge w:val="restart"/>
                  <w:tcBorders>
                    <w:tl2br w:val="nil"/>
                    <w:tr2bl w:val="nil"/>
                  </w:tcBorders>
                  <w:noWrap w:val="0"/>
                  <w:tcMar>
                    <w:top w:w="0" w:type="dxa"/>
                    <w:left w:w="28" w:type="dxa"/>
                    <w:bottom w:w="0" w:type="dxa"/>
                    <w:right w:w="28" w:type="dxa"/>
                  </w:tcMar>
                  <w:vAlign w:val="center"/>
                </w:tcPr>
                <w:p w14:paraId="4598CE5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kern w:val="2"/>
                      <w:sz w:val="21"/>
                      <w:szCs w:val="21"/>
                      <w:highlight w:val="none"/>
                      <w:lang w:val="en-US" w:eastAsia="zh-CN" w:bidi="ar-SA"/>
                    </w:rPr>
                  </w:pPr>
                  <w:r>
                    <w:rPr>
                      <w:rFonts w:hint="default" w:ascii="Times New Roman" w:hAnsi="Times New Roman" w:eastAsia="宋体" w:cs="Times New Roman"/>
                      <w:b/>
                      <w:bCs/>
                      <w:color w:val="000000"/>
                      <w:sz w:val="21"/>
                      <w:szCs w:val="21"/>
                      <w:highlight w:val="none"/>
                    </w:rPr>
                    <w:t>标准名称及级(类)别</w:t>
                  </w:r>
                </w:p>
              </w:tc>
              <w:tc>
                <w:tcPr>
                  <w:tcW w:w="1540" w:type="dxa"/>
                  <w:vMerge w:val="restart"/>
                  <w:tcBorders>
                    <w:tl2br w:val="nil"/>
                    <w:tr2bl w:val="nil"/>
                  </w:tcBorders>
                  <w:noWrap w:val="0"/>
                  <w:tcMar>
                    <w:top w:w="0" w:type="dxa"/>
                    <w:left w:w="28" w:type="dxa"/>
                    <w:bottom w:w="0" w:type="dxa"/>
                    <w:right w:w="28" w:type="dxa"/>
                  </w:tcMar>
                  <w:vAlign w:val="center"/>
                </w:tcPr>
                <w:p w14:paraId="449ADEC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污染因子</w:t>
                  </w:r>
                </w:p>
              </w:tc>
              <w:tc>
                <w:tcPr>
                  <w:tcW w:w="3051" w:type="dxa"/>
                  <w:gridSpan w:val="3"/>
                  <w:tcBorders>
                    <w:tl2br w:val="nil"/>
                    <w:tr2bl w:val="nil"/>
                  </w:tcBorders>
                  <w:noWrap w:val="0"/>
                  <w:tcMar>
                    <w:top w:w="0" w:type="dxa"/>
                    <w:left w:w="28" w:type="dxa"/>
                    <w:bottom w:w="0" w:type="dxa"/>
                    <w:right w:w="28" w:type="dxa"/>
                  </w:tcMar>
                  <w:vAlign w:val="center"/>
                </w:tcPr>
                <w:p w14:paraId="4D8B9AE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标准值</w:t>
                  </w:r>
                </w:p>
              </w:tc>
            </w:tr>
            <w:tr w14:paraId="351DE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882" w:type="dxa"/>
                  <w:vMerge w:val="continue"/>
                  <w:tcBorders>
                    <w:tl2br w:val="nil"/>
                    <w:tr2bl w:val="nil"/>
                  </w:tcBorders>
                  <w:noWrap w:val="0"/>
                  <w:vAlign w:val="center"/>
                </w:tcPr>
                <w:p w14:paraId="20E7DF9E">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p>
              </w:tc>
              <w:tc>
                <w:tcPr>
                  <w:tcW w:w="3325" w:type="dxa"/>
                  <w:vMerge w:val="continue"/>
                  <w:tcBorders>
                    <w:tl2br w:val="nil"/>
                    <w:tr2bl w:val="nil"/>
                  </w:tcBorders>
                  <w:noWrap w:val="0"/>
                  <w:vAlign w:val="center"/>
                </w:tcPr>
                <w:p w14:paraId="2A599CCC">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p>
              </w:tc>
              <w:tc>
                <w:tcPr>
                  <w:tcW w:w="1540" w:type="dxa"/>
                  <w:vMerge w:val="continue"/>
                  <w:tcBorders>
                    <w:tl2br w:val="nil"/>
                    <w:tr2bl w:val="nil"/>
                  </w:tcBorders>
                  <w:noWrap w:val="0"/>
                  <w:vAlign w:val="center"/>
                </w:tcPr>
                <w:p w14:paraId="1DBC6F6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p>
              </w:tc>
              <w:tc>
                <w:tcPr>
                  <w:tcW w:w="2079" w:type="dxa"/>
                  <w:gridSpan w:val="2"/>
                  <w:tcBorders>
                    <w:tl2br w:val="nil"/>
                    <w:tr2bl w:val="nil"/>
                  </w:tcBorders>
                  <w:noWrap w:val="0"/>
                  <w:tcMar>
                    <w:top w:w="0" w:type="dxa"/>
                    <w:left w:w="28" w:type="dxa"/>
                    <w:bottom w:w="0" w:type="dxa"/>
                    <w:right w:w="28" w:type="dxa"/>
                  </w:tcMar>
                  <w:vAlign w:val="center"/>
                </w:tcPr>
                <w:p w14:paraId="58C0776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类别</w:t>
                  </w:r>
                </w:p>
              </w:tc>
              <w:tc>
                <w:tcPr>
                  <w:tcW w:w="972" w:type="dxa"/>
                  <w:tcBorders>
                    <w:tl2br w:val="nil"/>
                    <w:tr2bl w:val="nil"/>
                  </w:tcBorders>
                  <w:noWrap w:val="0"/>
                  <w:tcMar>
                    <w:top w:w="0" w:type="dxa"/>
                    <w:left w:w="28" w:type="dxa"/>
                    <w:bottom w:w="0" w:type="dxa"/>
                    <w:right w:w="28" w:type="dxa"/>
                  </w:tcMar>
                  <w:vAlign w:val="center"/>
                </w:tcPr>
                <w:p w14:paraId="3142B057">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sz w:val="21"/>
                      <w:szCs w:val="21"/>
                      <w:highlight w:val="none"/>
                    </w:rPr>
                  </w:pPr>
                  <w:r>
                    <w:rPr>
                      <w:rFonts w:hint="default" w:ascii="Times New Roman" w:hAnsi="Times New Roman" w:eastAsia="宋体" w:cs="Times New Roman"/>
                      <w:b/>
                      <w:bCs/>
                      <w:color w:val="000000"/>
                      <w:sz w:val="21"/>
                      <w:szCs w:val="21"/>
                      <w:highlight w:val="none"/>
                    </w:rPr>
                    <w:t>限值</w:t>
                  </w:r>
                </w:p>
              </w:tc>
            </w:tr>
            <w:tr w14:paraId="4DAE27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882" w:type="dxa"/>
                  <w:vMerge w:val="restart"/>
                  <w:tcBorders>
                    <w:tl2br w:val="nil"/>
                    <w:tr2bl w:val="nil"/>
                  </w:tcBorders>
                  <w:noWrap w:val="0"/>
                  <w:tcMar>
                    <w:top w:w="0" w:type="dxa"/>
                    <w:left w:w="28" w:type="dxa"/>
                    <w:bottom w:w="0" w:type="dxa"/>
                    <w:right w:w="28" w:type="dxa"/>
                  </w:tcMar>
                  <w:vAlign w:val="center"/>
                </w:tcPr>
                <w:p w14:paraId="5956B56E">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施工期</w:t>
                  </w:r>
                </w:p>
              </w:tc>
              <w:tc>
                <w:tcPr>
                  <w:tcW w:w="3325" w:type="dxa"/>
                  <w:vMerge w:val="restart"/>
                  <w:tcBorders>
                    <w:tl2br w:val="nil"/>
                    <w:tr2bl w:val="nil"/>
                  </w:tcBorders>
                  <w:noWrap w:val="0"/>
                  <w:tcMar>
                    <w:top w:w="0" w:type="dxa"/>
                    <w:left w:w="28" w:type="dxa"/>
                    <w:bottom w:w="0" w:type="dxa"/>
                    <w:right w:w="28" w:type="dxa"/>
                  </w:tcMar>
                  <w:vAlign w:val="center"/>
                </w:tcPr>
                <w:p w14:paraId="78EE069A">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kern w:val="0"/>
                      <w:szCs w:val="21"/>
                      <w:highlight w:val="none"/>
                    </w:rPr>
                    <w:t>《建筑施工场界环境噪声排放标准》(GB12523-2011)</w:t>
                  </w:r>
                </w:p>
              </w:tc>
              <w:tc>
                <w:tcPr>
                  <w:tcW w:w="1540" w:type="dxa"/>
                  <w:vMerge w:val="restart"/>
                  <w:tcBorders>
                    <w:tl2br w:val="nil"/>
                    <w:tr2bl w:val="nil"/>
                  </w:tcBorders>
                  <w:noWrap w:val="0"/>
                  <w:tcMar>
                    <w:top w:w="0" w:type="dxa"/>
                    <w:left w:w="28" w:type="dxa"/>
                    <w:bottom w:w="0" w:type="dxa"/>
                    <w:right w:w="28" w:type="dxa"/>
                  </w:tcMar>
                  <w:vAlign w:val="center"/>
                </w:tcPr>
                <w:p w14:paraId="0325FE3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噪声dB(A)</w:t>
                  </w:r>
                </w:p>
              </w:tc>
              <w:tc>
                <w:tcPr>
                  <w:tcW w:w="1289" w:type="dxa"/>
                  <w:vMerge w:val="restart"/>
                  <w:tcBorders>
                    <w:tl2br w:val="nil"/>
                    <w:tr2bl w:val="nil"/>
                  </w:tcBorders>
                  <w:noWrap w:val="0"/>
                  <w:tcMar>
                    <w:top w:w="0" w:type="dxa"/>
                    <w:left w:w="28" w:type="dxa"/>
                    <w:bottom w:w="0" w:type="dxa"/>
                    <w:right w:w="28" w:type="dxa"/>
                  </w:tcMar>
                  <w:vAlign w:val="center"/>
                </w:tcPr>
                <w:p w14:paraId="5414B60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lang w:val="en-US" w:eastAsia="zh-CN"/>
                    </w:rPr>
                  </w:pPr>
                  <w:r>
                    <w:rPr>
                      <w:rFonts w:hint="default" w:ascii="Times New Roman" w:hAnsi="Times New Roman" w:eastAsia="宋体" w:cs="Times New Roman"/>
                      <w:color w:val="000000"/>
                      <w:sz w:val="21"/>
                      <w:szCs w:val="21"/>
                      <w:highlight w:val="none"/>
                      <w:lang w:val="en-US" w:eastAsia="zh-CN"/>
                    </w:rPr>
                    <w:t>厂界</w:t>
                  </w:r>
                </w:p>
              </w:tc>
              <w:tc>
                <w:tcPr>
                  <w:tcW w:w="790" w:type="dxa"/>
                  <w:tcBorders>
                    <w:tl2br w:val="nil"/>
                    <w:tr2bl w:val="nil"/>
                  </w:tcBorders>
                  <w:noWrap w:val="0"/>
                  <w:tcMar>
                    <w:top w:w="0" w:type="dxa"/>
                    <w:left w:w="28" w:type="dxa"/>
                    <w:bottom w:w="0" w:type="dxa"/>
                    <w:right w:w="28" w:type="dxa"/>
                  </w:tcMar>
                  <w:vAlign w:val="center"/>
                </w:tcPr>
                <w:p w14:paraId="272895F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昼间</w:t>
                  </w:r>
                </w:p>
              </w:tc>
              <w:tc>
                <w:tcPr>
                  <w:tcW w:w="972" w:type="dxa"/>
                  <w:tcBorders>
                    <w:tl2br w:val="nil"/>
                    <w:tr2bl w:val="nil"/>
                  </w:tcBorders>
                  <w:noWrap w:val="0"/>
                  <w:tcMar>
                    <w:top w:w="0" w:type="dxa"/>
                    <w:left w:w="28" w:type="dxa"/>
                    <w:bottom w:w="0" w:type="dxa"/>
                    <w:right w:w="28" w:type="dxa"/>
                  </w:tcMar>
                  <w:vAlign w:val="center"/>
                </w:tcPr>
                <w:p w14:paraId="52D4AD22">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Cs w:val="21"/>
                      <w:highlight w:val="none"/>
                    </w:rPr>
                    <w:t>70dB(A)</w:t>
                  </w:r>
                </w:p>
              </w:tc>
            </w:tr>
            <w:tr w14:paraId="66317B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882" w:type="dxa"/>
                  <w:vMerge w:val="continue"/>
                  <w:tcBorders>
                    <w:tl2br w:val="nil"/>
                    <w:tr2bl w:val="nil"/>
                  </w:tcBorders>
                  <w:noWrap w:val="0"/>
                  <w:tcMar>
                    <w:top w:w="0" w:type="dxa"/>
                    <w:left w:w="28" w:type="dxa"/>
                    <w:bottom w:w="0" w:type="dxa"/>
                    <w:right w:w="28" w:type="dxa"/>
                  </w:tcMar>
                  <w:vAlign w:val="center"/>
                </w:tcPr>
                <w:p w14:paraId="55D9C1A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lang w:eastAsia="zh-CN"/>
                    </w:rPr>
                  </w:pPr>
                </w:p>
              </w:tc>
              <w:tc>
                <w:tcPr>
                  <w:tcW w:w="3325" w:type="dxa"/>
                  <w:vMerge w:val="continue"/>
                  <w:tcBorders>
                    <w:tl2br w:val="nil"/>
                    <w:tr2bl w:val="nil"/>
                  </w:tcBorders>
                  <w:noWrap w:val="0"/>
                  <w:tcMar>
                    <w:top w:w="0" w:type="dxa"/>
                    <w:left w:w="28" w:type="dxa"/>
                    <w:bottom w:w="0" w:type="dxa"/>
                    <w:right w:w="28" w:type="dxa"/>
                  </w:tcMar>
                  <w:vAlign w:val="center"/>
                </w:tcPr>
                <w:p w14:paraId="01BA7C2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p>
              </w:tc>
              <w:tc>
                <w:tcPr>
                  <w:tcW w:w="1540" w:type="dxa"/>
                  <w:vMerge w:val="continue"/>
                  <w:tcBorders>
                    <w:tl2br w:val="nil"/>
                    <w:tr2bl w:val="nil"/>
                  </w:tcBorders>
                  <w:noWrap w:val="0"/>
                  <w:tcMar>
                    <w:top w:w="0" w:type="dxa"/>
                    <w:left w:w="28" w:type="dxa"/>
                    <w:bottom w:w="0" w:type="dxa"/>
                    <w:right w:w="28" w:type="dxa"/>
                  </w:tcMar>
                  <w:vAlign w:val="center"/>
                </w:tcPr>
                <w:p w14:paraId="1BCCD1F0">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p>
              </w:tc>
              <w:tc>
                <w:tcPr>
                  <w:tcW w:w="1289" w:type="dxa"/>
                  <w:vMerge w:val="continue"/>
                  <w:tcBorders>
                    <w:tl2br w:val="nil"/>
                    <w:tr2bl w:val="nil"/>
                  </w:tcBorders>
                  <w:noWrap w:val="0"/>
                  <w:tcMar>
                    <w:top w:w="0" w:type="dxa"/>
                    <w:left w:w="28" w:type="dxa"/>
                    <w:bottom w:w="0" w:type="dxa"/>
                    <w:right w:w="28" w:type="dxa"/>
                  </w:tcMar>
                  <w:vAlign w:val="center"/>
                </w:tcPr>
                <w:p w14:paraId="0A1499EF">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p>
              </w:tc>
              <w:tc>
                <w:tcPr>
                  <w:tcW w:w="790" w:type="dxa"/>
                  <w:tcBorders>
                    <w:tl2br w:val="nil"/>
                    <w:tr2bl w:val="nil"/>
                  </w:tcBorders>
                  <w:noWrap w:val="0"/>
                  <w:tcMar>
                    <w:top w:w="0" w:type="dxa"/>
                    <w:left w:w="28" w:type="dxa"/>
                    <w:bottom w:w="0" w:type="dxa"/>
                    <w:right w:w="28" w:type="dxa"/>
                  </w:tcMar>
                  <w:vAlign w:val="center"/>
                </w:tcPr>
                <w:p w14:paraId="0410BE2D">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kern w:val="2"/>
                      <w:sz w:val="21"/>
                      <w:szCs w:val="21"/>
                      <w:highlight w:val="none"/>
                      <w:lang w:val="en-US" w:eastAsia="zh-CN" w:bidi="ar-SA"/>
                    </w:rPr>
                  </w:pPr>
                  <w:r>
                    <w:rPr>
                      <w:rFonts w:hint="default" w:ascii="Times New Roman" w:hAnsi="Times New Roman" w:eastAsia="宋体" w:cs="Times New Roman"/>
                      <w:color w:val="000000"/>
                      <w:sz w:val="21"/>
                      <w:szCs w:val="21"/>
                      <w:highlight w:val="none"/>
                    </w:rPr>
                    <w:t>夜间</w:t>
                  </w:r>
                </w:p>
              </w:tc>
              <w:tc>
                <w:tcPr>
                  <w:tcW w:w="972" w:type="dxa"/>
                  <w:tcBorders>
                    <w:tl2br w:val="nil"/>
                    <w:tr2bl w:val="nil"/>
                  </w:tcBorders>
                  <w:noWrap w:val="0"/>
                  <w:tcMar>
                    <w:top w:w="0" w:type="dxa"/>
                    <w:left w:w="28" w:type="dxa"/>
                    <w:bottom w:w="0" w:type="dxa"/>
                    <w:right w:w="28" w:type="dxa"/>
                  </w:tcMar>
                  <w:vAlign w:val="center"/>
                </w:tcPr>
                <w:p w14:paraId="37B2D357">
                  <w:pPr>
                    <w:keepNext w:val="0"/>
                    <w:keepLines w:val="0"/>
                    <w:suppressLineNumbers w:val="0"/>
                    <w:snapToGrid w:val="0"/>
                    <w:spacing w:before="0" w:beforeAutospacing="0" w:after="0" w:afterAutospacing="0" w:line="240" w:lineRule="auto"/>
                    <w:ind w:left="0" w:right="0"/>
                    <w:jc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eastAsia="宋体" w:cs="Times New Roman"/>
                      <w:color w:val="000000"/>
                      <w:kern w:val="0"/>
                      <w:szCs w:val="21"/>
                      <w:highlight w:val="none"/>
                    </w:rPr>
                    <w:t>55dB(A)</w:t>
                  </w:r>
                </w:p>
              </w:tc>
            </w:tr>
            <w:tr w14:paraId="154CD08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882" w:type="dxa"/>
                  <w:vMerge w:val="restart"/>
                  <w:tcBorders>
                    <w:tl2br w:val="nil"/>
                    <w:tr2bl w:val="nil"/>
                  </w:tcBorders>
                  <w:noWrap w:val="0"/>
                  <w:tcMar>
                    <w:top w:w="0" w:type="dxa"/>
                    <w:left w:w="28" w:type="dxa"/>
                    <w:bottom w:w="0" w:type="dxa"/>
                    <w:right w:w="28" w:type="dxa"/>
                  </w:tcMar>
                  <w:vAlign w:val="center"/>
                </w:tcPr>
                <w:p w14:paraId="2706B4DC">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lang w:eastAsia="zh-CN"/>
                    </w:rPr>
                  </w:pPr>
                  <w:r>
                    <w:rPr>
                      <w:rFonts w:hint="default" w:ascii="Times New Roman" w:hAnsi="Times New Roman" w:eastAsia="宋体" w:cs="Times New Roman"/>
                      <w:color w:val="000000"/>
                      <w:sz w:val="21"/>
                      <w:szCs w:val="21"/>
                      <w:highlight w:val="none"/>
                      <w:lang w:eastAsia="zh-CN"/>
                    </w:rPr>
                    <w:t>运营期</w:t>
                  </w:r>
                </w:p>
              </w:tc>
              <w:tc>
                <w:tcPr>
                  <w:tcW w:w="3325" w:type="dxa"/>
                  <w:vMerge w:val="restart"/>
                  <w:tcBorders>
                    <w:tl2br w:val="nil"/>
                    <w:tr2bl w:val="nil"/>
                  </w:tcBorders>
                  <w:noWrap w:val="0"/>
                  <w:tcMar>
                    <w:top w:w="0" w:type="dxa"/>
                    <w:left w:w="28" w:type="dxa"/>
                    <w:bottom w:w="0" w:type="dxa"/>
                    <w:right w:w="28" w:type="dxa"/>
                  </w:tcMar>
                  <w:vAlign w:val="center"/>
                </w:tcPr>
                <w:p w14:paraId="37CD5033">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《工业企业厂界环境噪声排放标准》(GB12348-2008)中</w:t>
                  </w:r>
                  <w:r>
                    <w:rPr>
                      <w:rFonts w:hint="eastAsia" w:cs="Times New Roman"/>
                      <w:color w:val="000000"/>
                      <w:sz w:val="21"/>
                      <w:szCs w:val="21"/>
                      <w:highlight w:val="none"/>
                      <w:lang w:val="en-US" w:eastAsia="zh-CN"/>
                    </w:rPr>
                    <w:t>3</w:t>
                  </w:r>
                  <w:r>
                    <w:rPr>
                      <w:rFonts w:hint="default" w:ascii="Times New Roman" w:hAnsi="Times New Roman" w:eastAsia="宋体" w:cs="Times New Roman"/>
                      <w:color w:val="000000"/>
                      <w:sz w:val="21"/>
                      <w:szCs w:val="21"/>
                      <w:highlight w:val="none"/>
                    </w:rPr>
                    <w:t>类标准</w:t>
                  </w:r>
                </w:p>
              </w:tc>
              <w:tc>
                <w:tcPr>
                  <w:tcW w:w="1540" w:type="dxa"/>
                  <w:vMerge w:val="restart"/>
                  <w:tcBorders>
                    <w:tl2br w:val="nil"/>
                    <w:tr2bl w:val="nil"/>
                  </w:tcBorders>
                  <w:noWrap w:val="0"/>
                  <w:tcMar>
                    <w:top w:w="0" w:type="dxa"/>
                    <w:left w:w="28" w:type="dxa"/>
                    <w:bottom w:w="0" w:type="dxa"/>
                    <w:right w:w="28" w:type="dxa"/>
                  </w:tcMar>
                  <w:vAlign w:val="center"/>
                </w:tcPr>
                <w:p w14:paraId="0FB285C5">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噪声dB(A)</w:t>
                  </w:r>
                </w:p>
              </w:tc>
              <w:tc>
                <w:tcPr>
                  <w:tcW w:w="1289" w:type="dxa"/>
                  <w:vMerge w:val="restart"/>
                  <w:tcBorders>
                    <w:tl2br w:val="nil"/>
                    <w:tr2bl w:val="nil"/>
                  </w:tcBorders>
                  <w:noWrap w:val="0"/>
                  <w:tcMar>
                    <w:top w:w="0" w:type="dxa"/>
                    <w:left w:w="28" w:type="dxa"/>
                    <w:bottom w:w="0" w:type="dxa"/>
                    <w:right w:w="28" w:type="dxa"/>
                  </w:tcMar>
                  <w:vAlign w:val="center"/>
                </w:tcPr>
                <w:p w14:paraId="38975396">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一般厂界</w:t>
                  </w:r>
                </w:p>
              </w:tc>
              <w:tc>
                <w:tcPr>
                  <w:tcW w:w="790" w:type="dxa"/>
                  <w:tcBorders>
                    <w:tl2br w:val="nil"/>
                    <w:tr2bl w:val="nil"/>
                  </w:tcBorders>
                  <w:noWrap w:val="0"/>
                  <w:tcMar>
                    <w:top w:w="0" w:type="dxa"/>
                    <w:left w:w="28" w:type="dxa"/>
                    <w:bottom w:w="0" w:type="dxa"/>
                    <w:right w:w="28" w:type="dxa"/>
                  </w:tcMar>
                  <w:vAlign w:val="center"/>
                </w:tcPr>
                <w:p w14:paraId="5DB4C2FB">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昼间</w:t>
                  </w:r>
                </w:p>
              </w:tc>
              <w:tc>
                <w:tcPr>
                  <w:tcW w:w="972" w:type="dxa"/>
                  <w:tcBorders>
                    <w:tl2br w:val="nil"/>
                    <w:tr2bl w:val="nil"/>
                  </w:tcBorders>
                  <w:noWrap w:val="0"/>
                  <w:tcMar>
                    <w:top w:w="0" w:type="dxa"/>
                    <w:left w:w="28" w:type="dxa"/>
                    <w:bottom w:w="0" w:type="dxa"/>
                    <w:right w:w="28" w:type="dxa"/>
                  </w:tcMar>
                  <w:vAlign w:val="center"/>
                </w:tcPr>
                <w:p w14:paraId="3F965421">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6</w:t>
                  </w:r>
                  <w:r>
                    <w:rPr>
                      <w:rFonts w:hint="eastAsia" w:cs="Times New Roman"/>
                      <w:color w:val="000000"/>
                      <w:sz w:val="21"/>
                      <w:szCs w:val="21"/>
                      <w:highlight w:val="none"/>
                      <w:lang w:val="en-US" w:eastAsia="zh-CN"/>
                    </w:rPr>
                    <w:t>5</w:t>
                  </w:r>
                  <w:r>
                    <w:rPr>
                      <w:rFonts w:hint="default" w:ascii="Times New Roman" w:hAnsi="Times New Roman" w:eastAsia="宋体" w:cs="Times New Roman"/>
                      <w:color w:val="000000"/>
                      <w:kern w:val="0"/>
                      <w:szCs w:val="21"/>
                      <w:highlight w:val="none"/>
                    </w:rPr>
                    <w:t>dB(A)</w:t>
                  </w:r>
                </w:p>
              </w:tc>
            </w:tr>
            <w:tr w14:paraId="6ED630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882" w:type="dxa"/>
                  <w:vMerge w:val="continue"/>
                  <w:tcBorders>
                    <w:tl2br w:val="nil"/>
                    <w:tr2bl w:val="nil"/>
                  </w:tcBorders>
                  <w:noWrap w:val="0"/>
                  <w:vAlign w:val="center"/>
                </w:tcPr>
                <w:p w14:paraId="06364F9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p>
              </w:tc>
              <w:tc>
                <w:tcPr>
                  <w:tcW w:w="3325" w:type="dxa"/>
                  <w:vMerge w:val="continue"/>
                  <w:tcBorders>
                    <w:tl2br w:val="nil"/>
                    <w:tr2bl w:val="nil"/>
                  </w:tcBorders>
                  <w:noWrap w:val="0"/>
                  <w:vAlign w:val="center"/>
                </w:tcPr>
                <w:p w14:paraId="380BE557">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p>
              </w:tc>
              <w:tc>
                <w:tcPr>
                  <w:tcW w:w="1540" w:type="dxa"/>
                  <w:vMerge w:val="continue"/>
                  <w:tcBorders>
                    <w:tl2br w:val="nil"/>
                    <w:tr2bl w:val="nil"/>
                  </w:tcBorders>
                  <w:noWrap w:val="0"/>
                  <w:vAlign w:val="center"/>
                </w:tcPr>
                <w:p w14:paraId="1E59E078">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p>
              </w:tc>
              <w:tc>
                <w:tcPr>
                  <w:tcW w:w="1289" w:type="dxa"/>
                  <w:vMerge w:val="continue"/>
                  <w:tcBorders>
                    <w:tl2br w:val="nil"/>
                    <w:tr2bl w:val="nil"/>
                  </w:tcBorders>
                  <w:noWrap w:val="0"/>
                  <w:vAlign w:val="center"/>
                </w:tcPr>
                <w:p w14:paraId="5CD88271">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p>
              </w:tc>
              <w:tc>
                <w:tcPr>
                  <w:tcW w:w="790" w:type="dxa"/>
                  <w:tcBorders>
                    <w:tl2br w:val="nil"/>
                    <w:tr2bl w:val="nil"/>
                  </w:tcBorders>
                  <w:noWrap w:val="0"/>
                  <w:tcMar>
                    <w:top w:w="0" w:type="dxa"/>
                    <w:left w:w="28" w:type="dxa"/>
                    <w:bottom w:w="0" w:type="dxa"/>
                    <w:right w:w="28" w:type="dxa"/>
                  </w:tcMar>
                  <w:vAlign w:val="center"/>
                </w:tcPr>
                <w:p w14:paraId="0E8116A4">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rPr>
                    <w:t>夜间</w:t>
                  </w:r>
                </w:p>
              </w:tc>
              <w:tc>
                <w:tcPr>
                  <w:tcW w:w="972" w:type="dxa"/>
                  <w:tcBorders>
                    <w:tl2br w:val="nil"/>
                    <w:tr2bl w:val="nil"/>
                  </w:tcBorders>
                  <w:noWrap w:val="0"/>
                  <w:tcMar>
                    <w:top w:w="0" w:type="dxa"/>
                    <w:left w:w="28" w:type="dxa"/>
                    <w:bottom w:w="0" w:type="dxa"/>
                    <w:right w:w="28" w:type="dxa"/>
                  </w:tcMar>
                  <w:vAlign w:val="center"/>
                </w:tcPr>
                <w:p w14:paraId="3D5A27C9">
                  <w:pPr>
                    <w:keepNext w:val="0"/>
                    <w:keepLines w:val="0"/>
                    <w:pageBreakBefore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sz w:val="21"/>
                      <w:szCs w:val="21"/>
                      <w:highlight w:val="none"/>
                    </w:rPr>
                  </w:pPr>
                  <w:r>
                    <w:rPr>
                      <w:rFonts w:hint="default" w:ascii="Times New Roman" w:hAnsi="Times New Roman" w:eastAsia="宋体" w:cs="Times New Roman"/>
                      <w:color w:val="000000"/>
                      <w:sz w:val="21"/>
                      <w:szCs w:val="21"/>
                      <w:highlight w:val="none"/>
                      <w:lang w:val="en-US" w:eastAsia="zh-CN"/>
                    </w:rPr>
                    <w:t>5</w:t>
                  </w:r>
                  <w:r>
                    <w:rPr>
                      <w:rFonts w:hint="eastAsia" w:cs="Times New Roman"/>
                      <w:color w:val="000000"/>
                      <w:sz w:val="21"/>
                      <w:szCs w:val="21"/>
                      <w:highlight w:val="none"/>
                      <w:lang w:val="en-US" w:eastAsia="zh-CN"/>
                    </w:rPr>
                    <w:t>5</w:t>
                  </w:r>
                  <w:r>
                    <w:rPr>
                      <w:rFonts w:hint="default" w:ascii="Times New Roman" w:hAnsi="Times New Roman" w:eastAsia="宋体" w:cs="Times New Roman"/>
                      <w:color w:val="000000"/>
                      <w:kern w:val="0"/>
                      <w:szCs w:val="21"/>
                      <w:highlight w:val="none"/>
                    </w:rPr>
                    <w:t>dB(A)</w:t>
                  </w:r>
                </w:p>
              </w:tc>
            </w:tr>
          </w:tbl>
          <w:p w14:paraId="735EE0C8">
            <w:pPr>
              <w:keepNext w:val="0"/>
              <w:keepLines w:val="0"/>
              <w:suppressLineNumbers w:val="0"/>
              <w:adjustRightInd w:val="0"/>
              <w:snapToGrid w:val="0"/>
              <w:spacing w:before="120" w:beforeLines="50" w:beforeAutospacing="0" w:after="0" w:afterAutospacing="0" w:line="480" w:lineRule="exact"/>
              <w:ind w:left="0" w:right="0" w:firstLine="480" w:firstLineChars="200"/>
              <w:jc w:val="left"/>
              <w:rPr>
                <w:rFonts w:hint="default"/>
                <w:color w:val="000000" w:themeColor="text1"/>
                <w:sz w:val="24"/>
                <w:szCs w:val="24"/>
                <w:highlight w:val="none"/>
                <w14:textFill>
                  <w14:solidFill>
                    <w14:schemeClr w14:val="tx1"/>
                  </w14:solidFill>
                </w14:textFill>
              </w:rPr>
            </w:pPr>
            <w:r>
              <w:rPr>
                <w:rFonts w:hint="default"/>
                <w:color w:val="000000" w:themeColor="text1"/>
                <w:sz w:val="24"/>
                <w:szCs w:val="24"/>
                <w:highlight w:val="none"/>
                <w14:textFill>
                  <w14:solidFill>
                    <w14:schemeClr w14:val="tx1"/>
                  </w14:solidFill>
                </w14:textFill>
              </w:rPr>
              <w:t>（4）固体废物</w:t>
            </w:r>
          </w:p>
          <w:p w14:paraId="099AD1A7">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000000" w:themeColor="text1"/>
                <w:sz w:val="24"/>
                <w:szCs w:val="24"/>
                <w:highlight w:val="green"/>
                <w14:textFill>
                  <w14:solidFill>
                    <w14:schemeClr w14:val="tx1"/>
                  </w14:solidFill>
                </w14:textFill>
              </w:rPr>
            </w:pPr>
            <w:r>
              <w:rPr>
                <w:rFonts w:hint="default" w:ascii="Times New Roman" w:hAnsi="Times New Roman" w:eastAsia="宋体" w:cs="Times New Roman"/>
                <w:color w:val="000000"/>
                <w:sz w:val="24"/>
                <w:szCs w:val="32"/>
                <w:highlight w:val="none"/>
              </w:rPr>
              <w:t>一般固体废弃物执行《一般工业固体废物贮存和填埋污染控制标准》（GB18599-2020）有关规定；危险废物贮存执行《危险废物贮存污染控制标准》（GB 18597-2023）</w:t>
            </w:r>
            <w:r>
              <w:rPr>
                <w:rFonts w:hint="default" w:ascii="Times New Roman" w:hAnsi="Times New Roman" w:eastAsia="宋体" w:cs="Times New Roman"/>
                <w:color w:val="000000"/>
                <w:sz w:val="24"/>
                <w:szCs w:val="32"/>
                <w:highlight w:val="none"/>
                <w:lang w:val="en-GB" w:eastAsia="zh-CN"/>
              </w:rPr>
              <w:t>。</w:t>
            </w:r>
          </w:p>
        </w:tc>
      </w:tr>
      <w:tr w14:paraId="6B3C7E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45" w:hRule="atLeast"/>
          <w:jc w:val="center"/>
        </w:trPr>
        <w:tc>
          <w:tcPr>
            <w:tcW w:w="510" w:type="dxa"/>
            <w:tcBorders>
              <w:bottom w:val="single" w:color="auto" w:sz="8" w:space="0"/>
            </w:tcBorders>
            <w:vAlign w:val="center"/>
          </w:tcPr>
          <w:p w14:paraId="6D06F033">
            <w:pPr>
              <w:keepNext w:val="0"/>
              <w:keepLines w:val="0"/>
              <w:suppressLineNumbers w:val="0"/>
              <w:adjustRightInd w:val="0"/>
              <w:snapToGrid w:val="0"/>
              <w:spacing w:before="0" w:beforeAutospacing="0" w:after="0" w:afterAutospacing="0" w:line="480" w:lineRule="exact"/>
              <w:ind w:left="0" w:right="0"/>
              <w:jc w:val="center"/>
              <w:rPr>
                <w:rFonts w:hint="default"/>
                <w:color w:val="000000" w:themeColor="text1"/>
                <w:kern w:val="0"/>
                <w:sz w:val="24"/>
                <w:szCs w:val="24"/>
                <w:highlight w:val="green"/>
                <w14:textFill>
                  <w14:solidFill>
                    <w14:schemeClr w14:val="tx1"/>
                  </w14:solidFill>
                </w14:textFill>
              </w:rPr>
            </w:pPr>
            <w:r>
              <w:rPr>
                <w:rFonts w:hint="default"/>
                <w:color w:val="000000" w:themeColor="text1"/>
                <w:kern w:val="0"/>
                <w:sz w:val="24"/>
                <w:szCs w:val="24"/>
                <w:highlight w:val="none"/>
                <w14:textFill>
                  <w14:solidFill>
                    <w14:schemeClr w14:val="tx1"/>
                  </w14:solidFill>
                </w14:textFill>
              </w:rPr>
              <w:t>总量控制指标</w:t>
            </w:r>
          </w:p>
        </w:tc>
        <w:tc>
          <w:tcPr>
            <w:tcW w:w="9038" w:type="dxa"/>
            <w:tcBorders>
              <w:bottom w:val="single" w:color="auto" w:sz="8" w:space="0"/>
            </w:tcBorders>
            <w:vAlign w:val="top"/>
          </w:tcPr>
          <w:p w14:paraId="52E8F83C">
            <w:pPr>
              <w:keepNext w:val="0"/>
              <w:keepLines w:val="0"/>
              <w:widowControl/>
              <w:suppressLineNumbers w:val="0"/>
              <w:adjustRightInd w:val="0"/>
              <w:snapToGrid w:val="0"/>
              <w:spacing w:before="0" w:beforeAutospacing="0" w:after="0" w:afterAutospacing="0" w:line="360" w:lineRule="auto"/>
              <w:ind w:left="0" w:right="0" w:firstLine="444" w:firstLineChars="185"/>
              <w:jc w:val="left"/>
              <w:rPr>
                <w:rFonts w:hint="default" w:ascii="Times New Roman" w:hAnsi="Times New Roman" w:eastAsia="宋体" w:cs="Times New Roman"/>
                <w:color w:val="000000"/>
                <w:sz w:val="24"/>
                <w:highlight w:val="none"/>
              </w:rPr>
            </w:pPr>
          </w:p>
          <w:p w14:paraId="38C75B9F">
            <w:pPr>
              <w:keepNext w:val="0"/>
              <w:keepLines w:val="0"/>
              <w:widowControl/>
              <w:suppressLineNumbers w:val="0"/>
              <w:adjustRightInd w:val="0"/>
              <w:snapToGrid w:val="0"/>
              <w:spacing w:before="0" w:beforeAutospacing="0" w:after="0" w:afterAutospacing="0" w:line="360" w:lineRule="auto"/>
              <w:ind w:left="0" w:right="0" w:firstLine="444" w:firstLineChars="185"/>
              <w:jc w:val="left"/>
              <w:rPr>
                <w:rFonts w:hint="default" w:ascii="Times New Roman" w:hAnsi="Times New Roman" w:eastAsia="宋体" w:cs="Times New Roman"/>
                <w:color w:val="000000"/>
                <w:sz w:val="24"/>
                <w:highlight w:val="none"/>
              </w:rPr>
            </w:pPr>
          </w:p>
          <w:p w14:paraId="0B38DEEF">
            <w:pPr>
              <w:keepNext w:val="0"/>
              <w:keepLines w:val="0"/>
              <w:widowControl/>
              <w:suppressLineNumbers w:val="0"/>
              <w:adjustRightInd w:val="0"/>
              <w:snapToGrid w:val="0"/>
              <w:spacing w:before="0" w:beforeAutospacing="0" w:after="0" w:afterAutospacing="0" w:line="360" w:lineRule="auto"/>
              <w:ind w:left="0" w:right="0" w:firstLine="444" w:firstLineChars="185"/>
              <w:jc w:val="left"/>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rPr>
              <w:t>根据国家和陕西省“十</w:t>
            </w:r>
            <w:r>
              <w:rPr>
                <w:rFonts w:hint="default" w:ascii="Times New Roman" w:hAnsi="Times New Roman" w:eastAsia="宋体" w:cs="Times New Roman"/>
                <w:color w:val="000000"/>
                <w:sz w:val="24"/>
                <w:highlight w:val="none"/>
                <w:lang w:val="en-US" w:eastAsia="zh-CN"/>
              </w:rPr>
              <w:t>四</w:t>
            </w:r>
            <w:r>
              <w:rPr>
                <w:rFonts w:hint="default" w:ascii="Times New Roman" w:hAnsi="Times New Roman" w:eastAsia="宋体" w:cs="Times New Roman"/>
                <w:color w:val="000000"/>
                <w:sz w:val="24"/>
                <w:highlight w:val="none"/>
              </w:rPr>
              <w:t>五”期间对NO</w:t>
            </w:r>
            <w:r>
              <w:rPr>
                <w:rFonts w:hint="default" w:ascii="Times New Roman" w:hAnsi="Times New Roman" w:eastAsia="宋体" w:cs="Times New Roman"/>
                <w:color w:val="000000"/>
                <w:sz w:val="24"/>
                <w:highlight w:val="none"/>
                <w:vertAlign w:val="subscript"/>
              </w:rPr>
              <w:t>X</w:t>
            </w:r>
            <w:r>
              <w:rPr>
                <w:rFonts w:hint="default" w:ascii="Times New Roman" w:hAnsi="Times New Roman" w:eastAsia="宋体" w:cs="Times New Roman"/>
                <w:color w:val="000000"/>
                <w:sz w:val="24"/>
                <w:highlight w:val="none"/>
              </w:rPr>
              <w:t>、VOCs、COD和NH</w:t>
            </w:r>
            <w:r>
              <w:rPr>
                <w:rFonts w:hint="default" w:ascii="Times New Roman" w:hAnsi="Times New Roman" w:eastAsia="宋体" w:cs="Times New Roman"/>
                <w:color w:val="000000"/>
                <w:sz w:val="24"/>
                <w:highlight w:val="none"/>
                <w:vertAlign w:val="subscript"/>
              </w:rPr>
              <w:t>3</w:t>
            </w:r>
            <w:r>
              <w:rPr>
                <w:rFonts w:hint="default" w:ascii="Times New Roman" w:hAnsi="Times New Roman" w:eastAsia="宋体" w:cs="Times New Roman"/>
                <w:color w:val="000000"/>
                <w:sz w:val="24"/>
                <w:highlight w:val="none"/>
              </w:rPr>
              <w:t>-N污染物排放实行总量控制和计划管理的规定。</w:t>
            </w:r>
          </w:p>
          <w:p w14:paraId="7C17155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80" w:firstLineChars="200"/>
              <w:jc w:val="left"/>
              <w:textAlignment w:val="auto"/>
              <w:rPr>
                <w:rFonts w:hint="default" w:ascii="Times New Roman" w:hAnsi="Times New Roman" w:eastAsia="宋体" w:cs="Times New Roman"/>
                <w:color w:val="000000"/>
                <w:sz w:val="24"/>
                <w:highlight w:val="none"/>
              </w:rPr>
            </w:pPr>
            <w:r>
              <w:rPr>
                <w:rFonts w:hint="default" w:ascii="Times New Roman" w:hAnsi="Times New Roman" w:eastAsia="宋体" w:cs="Times New Roman"/>
                <w:color w:val="000000"/>
                <w:sz w:val="24"/>
                <w:highlight w:val="none"/>
              </w:rPr>
              <w:t>结合本项目实际情况，</w:t>
            </w:r>
            <w:r>
              <w:rPr>
                <w:rFonts w:hint="default" w:ascii="Times New Roman" w:hAnsi="Times New Roman" w:eastAsia="宋体" w:cs="Times New Roman"/>
                <w:color w:val="000000"/>
                <w:sz w:val="24"/>
                <w:highlight w:val="none"/>
                <w:lang w:val="en-US" w:eastAsia="zh-CN"/>
              </w:rPr>
              <w:t>本项目</w:t>
            </w:r>
            <w:r>
              <w:rPr>
                <w:rFonts w:hint="eastAsia" w:cs="Times New Roman"/>
                <w:color w:val="000000"/>
                <w:sz w:val="24"/>
                <w:highlight w:val="none"/>
                <w:lang w:val="en-US" w:eastAsia="zh-CN"/>
              </w:rPr>
              <w:t>总量控制指标为</w:t>
            </w:r>
            <w:r>
              <w:rPr>
                <w:rFonts w:hint="default" w:ascii="Times New Roman" w:hAnsi="Times New Roman" w:eastAsia="宋体" w:cs="Times New Roman"/>
                <w:color w:val="000000"/>
                <w:sz w:val="24"/>
                <w:highlight w:val="none"/>
              </w:rPr>
              <w:t>VOCs</w:t>
            </w:r>
            <w:r>
              <w:rPr>
                <w:rFonts w:hint="eastAsia" w:ascii="Times New Roman" w:hAnsi="Times New Roman" w:eastAsia="宋体" w:cs="Times New Roman"/>
                <w:color w:val="000000"/>
                <w:sz w:val="24"/>
                <w:highlight w:val="none"/>
                <w:lang w:eastAsia="zh-CN"/>
              </w:rPr>
              <w:t>，</w:t>
            </w:r>
            <w:r>
              <w:rPr>
                <w:rFonts w:hint="eastAsia" w:ascii="Times New Roman" w:hAnsi="Times New Roman" w:eastAsia="宋体" w:cs="Times New Roman"/>
                <w:color w:val="000000"/>
                <w:sz w:val="24"/>
                <w:highlight w:val="none"/>
                <w:lang w:val="en-US" w:eastAsia="zh-CN"/>
              </w:rPr>
              <w:t>本项目建成后全厂</w:t>
            </w:r>
            <w:r>
              <w:rPr>
                <w:rFonts w:hint="default" w:ascii="Times New Roman" w:hAnsi="Times New Roman" w:eastAsia="宋体" w:cs="Times New Roman"/>
                <w:color w:val="000000"/>
                <w:sz w:val="24"/>
                <w:highlight w:val="none"/>
              </w:rPr>
              <w:t>VOCs</w:t>
            </w:r>
            <w:r>
              <w:rPr>
                <w:rFonts w:hint="eastAsia" w:ascii="Times New Roman" w:hAnsi="Times New Roman" w:eastAsia="宋体" w:cs="Times New Roman"/>
                <w:color w:val="000000"/>
                <w:sz w:val="24"/>
                <w:highlight w:val="none"/>
                <w:lang w:val="en-US" w:eastAsia="zh-CN"/>
              </w:rPr>
              <w:t>总量为</w:t>
            </w:r>
            <w:r>
              <w:rPr>
                <w:rFonts w:hint="eastAsia" w:cs="Times New Roman"/>
                <w:color w:val="000000"/>
                <w:sz w:val="24"/>
                <w:highlight w:val="none"/>
                <w:lang w:val="en-US" w:eastAsia="zh-CN"/>
              </w:rPr>
              <w:t>1.1</w:t>
            </w:r>
            <w:r>
              <w:rPr>
                <w:rFonts w:hint="eastAsia" w:ascii="Times New Roman" w:hAnsi="Times New Roman" w:eastAsia="宋体" w:cs="Times New Roman"/>
                <w:color w:val="000000"/>
                <w:sz w:val="24"/>
                <w:highlight w:val="none"/>
                <w:lang w:val="en-US" w:eastAsia="zh-CN"/>
              </w:rPr>
              <w:t>t/a</w:t>
            </w:r>
            <w:r>
              <w:rPr>
                <w:rFonts w:hint="default" w:ascii="Times New Roman" w:hAnsi="Times New Roman" w:eastAsia="宋体" w:cs="Times New Roman"/>
                <w:color w:val="000000"/>
                <w:sz w:val="24"/>
                <w:highlight w:val="none"/>
              </w:rPr>
              <w:t>。</w:t>
            </w:r>
          </w:p>
          <w:p w14:paraId="084A7C85">
            <w:pPr>
              <w:keepNext w:val="0"/>
              <w:keepLines w:val="0"/>
              <w:suppressLineNumbers w:val="0"/>
              <w:adjustRightInd w:val="0"/>
              <w:snapToGrid w:val="0"/>
              <w:spacing w:before="0" w:beforeAutospacing="0" w:after="0" w:afterAutospacing="0" w:line="480" w:lineRule="exact"/>
              <w:ind w:left="0" w:right="0" w:firstLine="480" w:firstLineChars="200"/>
              <w:jc w:val="left"/>
              <w:rPr>
                <w:rFonts w:hint="default"/>
                <w:color w:val="000000" w:themeColor="text1"/>
                <w:kern w:val="10"/>
                <w:sz w:val="24"/>
                <w:szCs w:val="24"/>
                <w:highlight w:val="none"/>
                <w14:textFill>
                  <w14:solidFill>
                    <w14:schemeClr w14:val="tx1"/>
                  </w14:solidFill>
                </w14:textFill>
              </w:rPr>
            </w:pPr>
            <w:r>
              <w:rPr>
                <w:rFonts w:hint="default" w:ascii="Times New Roman" w:hAnsi="Times New Roman" w:eastAsia="宋体" w:cs="Times New Roman"/>
                <w:color w:val="000000"/>
                <w:sz w:val="24"/>
                <w:highlight w:val="none"/>
              </w:rPr>
              <w:t>项目具体总量指标最后以当地环保部门核定的总量为准。</w:t>
            </w:r>
          </w:p>
          <w:p w14:paraId="75EF80BC">
            <w:pPr>
              <w:keepNext w:val="0"/>
              <w:keepLines w:val="0"/>
              <w:suppressLineNumbers w:val="0"/>
              <w:adjustRightInd w:val="0"/>
              <w:snapToGrid w:val="0"/>
              <w:spacing w:before="0" w:beforeAutospacing="0" w:after="0" w:afterAutospacing="0" w:line="480" w:lineRule="exact"/>
              <w:ind w:left="0" w:right="0"/>
              <w:jc w:val="left"/>
              <w:rPr>
                <w:rFonts w:hint="eastAsia" w:eastAsia="宋体"/>
                <w:color w:val="000000" w:themeColor="text1"/>
                <w:kern w:val="10"/>
                <w:sz w:val="24"/>
                <w:szCs w:val="24"/>
                <w:highlight w:val="none"/>
                <w:lang w:val="en-US" w:eastAsia="zh-CN"/>
                <w14:textFill>
                  <w14:solidFill>
                    <w14:schemeClr w14:val="tx1"/>
                  </w14:solidFill>
                </w14:textFill>
              </w:rPr>
            </w:pPr>
          </w:p>
          <w:p w14:paraId="75E3B8F0">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none"/>
                <w:lang w:val="en-US" w:eastAsia="zh-CN"/>
                <w14:textFill>
                  <w14:solidFill>
                    <w14:schemeClr w14:val="tx1"/>
                  </w14:solidFill>
                </w14:textFill>
              </w:rPr>
            </w:pPr>
          </w:p>
          <w:p w14:paraId="3433710E">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none"/>
                <w:lang w:val="en-US" w:eastAsia="zh-CN"/>
                <w14:textFill>
                  <w14:solidFill>
                    <w14:schemeClr w14:val="tx1"/>
                  </w14:solidFill>
                </w14:textFill>
              </w:rPr>
            </w:pPr>
          </w:p>
          <w:p w14:paraId="69535A12">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none"/>
                <w:lang w:val="en-US" w:eastAsia="zh-CN"/>
                <w14:textFill>
                  <w14:solidFill>
                    <w14:schemeClr w14:val="tx1"/>
                  </w14:solidFill>
                </w14:textFill>
              </w:rPr>
            </w:pPr>
          </w:p>
          <w:p w14:paraId="57D9ECCE">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none"/>
                <w:lang w:val="en-US" w:eastAsia="zh-CN"/>
                <w14:textFill>
                  <w14:solidFill>
                    <w14:schemeClr w14:val="tx1"/>
                  </w14:solidFill>
                </w14:textFill>
              </w:rPr>
            </w:pPr>
          </w:p>
          <w:p w14:paraId="593EB8DE">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none"/>
                <w:lang w:val="en-US" w:eastAsia="zh-CN"/>
                <w14:textFill>
                  <w14:solidFill>
                    <w14:schemeClr w14:val="tx1"/>
                  </w14:solidFill>
                </w14:textFill>
              </w:rPr>
            </w:pPr>
          </w:p>
          <w:p w14:paraId="03289CE5">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4BC9B739">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640CE406">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49E26F6A">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3D9E9291">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37FAD38A">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69A7D0CD">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19A39E51">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316435FB">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65F80282">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55ACD111">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16694B3D">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0E4C5520">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46EB561D">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60EC9214">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2BFC1BE4">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60CAE079">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460BB4C7">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185FF25D">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0DE45FC6">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5CB23888">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7413D011">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74D4F2AD">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604B92EF">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24EF8286">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6353C581">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2431D05C">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p w14:paraId="37F12038">
            <w:pPr>
              <w:pStyle w:val="51"/>
              <w:keepNext w:val="0"/>
              <w:keepLines w:val="0"/>
              <w:suppressLineNumbers w:val="0"/>
              <w:spacing w:before="0" w:beforeAutospacing="0" w:after="0" w:afterAutospacing="0"/>
              <w:ind w:left="0" w:right="0"/>
              <w:rPr>
                <w:rFonts w:hint="eastAsia" w:eastAsia="宋体"/>
                <w:color w:val="000000" w:themeColor="text1"/>
                <w:kern w:val="10"/>
                <w:sz w:val="24"/>
                <w:szCs w:val="24"/>
                <w:highlight w:val="green"/>
                <w:lang w:val="en-US" w:eastAsia="zh-CN"/>
                <w14:textFill>
                  <w14:solidFill>
                    <w14:schemeClr w14:val="tx1"/>
                  </w14:solidFill>
                </w14:textFill>
              </w:rPr>
            </w:pPr>
          </w:p>
        </w:tc>
      </w:tr>
    </w:tbl>
    <w:p w14:paraId="4BBD092E">
      <w:pPr>
        <w:pStyle w:val="37"/>
        <w:jc w:val="center"/>
        <w:outlineLvl w:val="0"/>
        <w:rPr>
          <w:rFonts w:ascii="Times New Roman" w:hAnsi="Times New Roman"/>
          <w:snapToGrid w:val="0"/>
          <w:color w:val="000000" w:themeColor="text1"/>
          <w:sz w:val="30"/>
          <w:szCs w:val="30"/>
          <w:highlight w:val="none"/>
          <w14:textFill>
            <w14:solidFill>
              <w14:schemeClr w14:val="tx1"/>
            </w14:solidFill>
          </w14:textFill>
        </w:rPr>
      </w:pPr>
      <w:r>
        <w:rPr>
          <w:rFonts w:ascii="Times New Roman" w:hAnsi="Times New Roman"/>
          <w:snapToGrid w:val="0"/>
          <w:color w:val="000000" w:themeColor="text1"/>
          <w:sz w:val="36"/>
          <w:szCs w:val="36"/>
          <w:highlight w:val="green"/>
          <w14:textFill>
            <w14:solidFill>
              <w14:schemeClr w14:val="tx1"/>
            </w14:solidFill>
          </w14:textFill>
        </w:rPr>
        <w:br w:type="page"/>
      </w:r>
      <w:r>
        <w:rPr>
          <w:rFonts w:hint="eastAsia" w:ascii="Times New Roman" w:hAnsi="Times New Roman"/>
          <w:b/>
          <w:bCs/>
          <w:snapToGrid w:val="0"/>
          <w:color w:val="000000" w:themeColor="text1"/>
          <w:sz w:val="30"/>
          <w:szCs w:val="30"/>
          <w:highlight w:val="none"/>
          <w14:textFill>
            <w14:solidFill>
              <w14:schemeClr w14:val="tx1"/>
            </w14:solidFill>
          </w14:textFill>
        </w:rPr>
        <w:t>四、主要环境影响和保护措施</w:t>
      </w:r>
    </w:p>
    <w:tbl>
      <w:tblPr>
        <w:tblStyle w:val="41"/>
        <w:tblW w:w="9263"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541"/>
        <w:gridCol w:w="8722"/>
      </w:tblGrid>
      <w:tr w14:paraId="09EAB78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17" w:hRule="atLeast"/>
          <w:jc w:val="center"/>
        </w:trPr>
        <w:tc>
          <w:tcPr>
            <w:tcW w:w="541" w:type="dxa"/>
            <w:tcBorders>
              <w:top w:val="single" w:color="auto" w:sz="8" w:space="0"/>
            </w:tcBorders>
            <w:tcMar>
              <w:left w:w="28" w:type="dxa"/>
              <w:right w:w="28" w:type="dxa"/>
            </w:tcMar>
            <w:vAlign w:val="center"/>
          </w:tcPr>
          <w:p w14:paraId="495CF227">
            <w:pPr>
              <w:keepNext w:val="0"/>
              <w:keepLines w:val="0"/>
              <w:suppressLineNumbers w:val="0"/>
              <w:adjustRightInd w:val="0"/>
              <w:snapToGrid w:val="0"/>
              <w:spacing w:before="0" w:beforeAutospacing="0" w:after="0" w:afterAutospacing="0" w:line="240" w:lineRule="auto"/>
              <w:ind w:left="0" w:right="0"/>
              <w:jc w:val="center"/>
              <w:rPr>
                <w:rFonts w:hint="default"/>
                <w:color w:val="000000" w:themeColor="text1"/>
                <w:highlight w:val="green"/>
                <w14:textFill>
                  <w14:solidFill>
                    <w14:schemeClr w14:val="tx1"/>
                  </w14:solidFill>
                </w14:textFill>
              </w:rPr>
            </w:pPr>
            <w:r>
              <w:rPr>
                <w:rFonts w:hint="eastAsia" w:cs="宋体"/>
                <w:color w:val="000000" w:themeColor="text1"/>
                <w:kern w:val="0"/>
                <w:sz w:val="24"/>
                <w:szCs w:val="24"/>
                <w:highlight w:val="none"/>
                <w14:textFill>
                  <w14:solidFill>
                    <w14:schemeClr w14:val="tx1"/>
                  </w14:solidFill>
                </w14:textFill>
              </w:rPr>
              <w:t>施工期环境保护措施</w:t>
            </w:r>
          </w:p>
        </w:tc>
        <w:tc>
          <w:tcPr>
            <w:tcW w:w="8722" w:type="dxa"/>
            <w:tcBorders>
              <w:top w:val="single" w:color="auto" w:sz="8" w:space="0"/>
            </w:tcBorders>
            <w:vAlign w:val="center"/>
          </w:tcPr>
          <w:p w14:paraId="2CDC2F6C">
            <w:pPr>
              <w:keepNext w:val="0"/>
              <w:keepLines w:val="0"/>
              <w:pageBreakBefore w:val="0"/>
              <w:widowControl w:val="0"/>
              <w:suppressLineNumbers w:val="0"/>
              <w:kinsoku/>
              <w:wordWrap/>
              <w:overflowPunct/>
              <w:topLinePunct w:val="0"/>
              <w:bidi w:val="0"/>
              <w:adjustRightInd/>
              <w:snapToGrid/>
              <w:spacing w:before="0" w:beforeAutospacing="0" w:after="0" w:afterAutospacing="0" w:line="360" w:lineRule="auto"/>
              <w:ind w:left="0" w:right="0" w:firstLine="480" w:firstLineChars="200"/>
              <w:textAlignment w:val="auto"/>
              <w:outlineLvl w:val="9"/>
              <w:rPr>
                <w:rFonts w:hint="eastAsia" w:eastAsia="宋体"/>
                <w:color w:val="000000" w:themeColor="text1"/>
                <w:sz w:val="24"/>
                <w:szCs w:val="24"/>
                <w:highlight w:val="green"/>
                <w:lang w:val="en-US" w:eastAsia="zh-CN"/>
                <w14:textFill>
                  <w14:solidFill>
                    <w14:schemeClr w14:val="tx1"/>
                  </w14:solidFill>
                </w14:textFill>
              </w:rPr>
            </w:pPr>
            <w:r>
              <w:rPr>
                <w:rFonts w:hint="default" w:ascii="Times New Roman" w:hAnsi="Times New Roman" w:cs="Times New Roman"/>
                <w:color w:val="000000"/>
                <w:sz w:val="24"/>
                <w:szCs w:val="24"/>
                <w:highlight w:val="none"/>
                <w:lang w:val="en-US" w:eastAsia="zh-CN"/>
              </w:rPr>
              <w:t>项目施工期对周围环境造成的影响主要为废气、废水、噪声和固体废物，项目主要施工过程在</w:t>
            </w:r>
            <w:r>
              <w:rPr>
                <w:rFonts w:hint="eastAsia" w:ascii="Times New Roman" w:hAnsi="Times New Roman" w:cs="Times New Roman"/>
                <w:color w:val="000000"/>
                <w:sz w:val="24"/>
                <w:szCs w:val="24"/>
                <w:highlight w:val="none"/>
                <w:lang w:val="en-US" w:eastAsia="zh-CN"/>
              </w:rPr>
              <w:t>已有的车间内</w:t>
            </w:r>
            <w:r>
              <w:rPr>
                <w:rFonts w:hint="default" w:ascii="Times New Roman" w:hAnsi="Times New Roman" w:cs="Times New Roman"/>
                <w:color w:val="000000"/>
                <w:sz w:val="24"/>
                <w:szCs w:val="24"/>
                <w:highlight w:val="none"/>
                <w:lang w:val="en-US" w:eastAsia="zh-CN"/>
              </w:rPr>
              <w:t>进行，</w:t>
            </w:r>
            <w:r>
              <w:rPr>
                <w:rFonts w:hint="eastAsia" w:ascii="Times New Roman" w:hAnsi="Times New Roman" w:cs="Times New Roman"/>
                <w:color w:val="000000"/>
                <w:sz w:val="24"/>
                <w:szCs w:val="24"/>
                <w:highlight w:val="none"/>
                <w:lang w:val="en-US" w:eastAsia="zh-CN"/>
              </w:rPr>
              <w:t>主要为设备安装，施工期比较短，对周边</w:t>
            </w:r>
            <w:r>
              <w:rPr>
                <w:rFonts w:hint="default" w:ascii="Times New Roman" w:hAnsi="Times New Roman" w:cs="Times New Roman"/>
                <w:color w:val="000000"/>
                <w:sz w:val="24"/>
                <w:szCs w:val="24"/>
                <w:highlight w:val="none"/>
                <w:lang w:val="en-US" w:eastAsia="zh-CN"/>
              </w:rPr>
              <w:t>环境影响较小。</w:t>
            </w:r>
          </w:p>
        </w:tc>
      </w:tr>
      <w:tr w14:paraId="46418A4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541" w:type="dxa"/>
            <w:tcBorders>
              <w:bottom w:val="single" w:color="auto" w:sz="8" w:space="0"/>
            </w:tcBorders>
            <w:tcMar>
              <w:left w:w="28" w:type="dxa"/>
              <w:right w:w="28" w:type="dxa"/>
            </w:tcMar>
            <w:vAlign w:val="center"/>
          </w:tcPr>
          <w:p w14:paraId="62047921">
            <w:pPr>
              <w:keepNext w:val="0"/>
              <w:keepLines w:val="0"/>
              <w:suppressLineNumbers w:val="0"/>
              <w:adjustRightInd w:val="0"/>
              <w:snapToGrid w:val="0"/>
              <w:spacing w:before="0" w:beforeAutospacing="0" w:after="0" w:afterAutospacing="0" w:line="480" w:lineRule="exact"/>
              <w:ind w:left="0" w:right="0"/>
              <w:jc w:val="center"/>
              <w:rPr>
                <w:rFonts w:hint="default"/>
                <w:color w:val="000000" w:themeColor="text1"/>
                <w:highlight w:val="green"/>
                <w14:textFill>
                  <w14:solidFill>
                    <w14:schemeClr w14:val="tx1"/>
                  </w14:solidFill>
                </w14:textFill>
              </w:rPr>
            </w:pPr>
            <w:r>
              <w:rPr>
                <w:rFonts w:hint="eastAsia" w:cs="宋体"/>
                <w:color w:val="000000" w:themeColor="text1"/>
                <w:kern w:val="0"/>
                <w:sz w:val="24"/>
                <w:szCs w:val="24"/>
                <w:highlight w:val="none"/>
                <w14:textFill>
                  <w14:solidFill>
                    <w14:schemeClr w14:val="tx1"/>
                  </w14:solidFill>
                </w14:textFill>
              </w:rPr>
              <w:t>运营期环境影响和保护措施</w:t>
            </w:r>
          </w:p>
        </w:tc>
        <w:tc>
          <w:tcPr>
            <w:tcW w:w="8722" w:type="dxa"/>
            <w:tcBorders>
              <w:bottom w:val="single" w:color="auto" w:sz="8" w:space="0"/>
            </w:tcBorders>
            <w:vAlign w:val="center"/>
          </w:tcPr>
          <w:p w14:paraId="361A71AF">
            <w:pPr>
              <w:keepNext w:val="0"/>
              <w:keepLines w:val="0"/>
              <w:suppressLineNumbers w:val="0"/>
              <w:tabs>
                <w:tab w:val="left" w:pos="5830"/>
              </w:tabs>
              <w:adjustRightInd w:val="0"/>
              <w:snapToGrid w:val="0"/>
              <w:spacing w:before="0" w:beforeAutospacing="0" w:after="0" w:afterAutospacing="0" w:line="360" w:lineRule="auto"/>
              <w:ind w:left="0" w:right="0"/>
              <w:jc w:val="left"/>
              <w:rPr>
                <w:rFonts w:hint="default"/>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4.5</w:t>
            </w:r>
            <w:r>
              <w:rPr>
                <w:rFonts w:hint="eastAsia" w:cs="宋体"/>
                <w:b/>
                <w:bCs/>
                <w:color w:val="000000" w:themeColor="text1"/>
                <w:sz w:val="24"/>
                <w:szCs w:val="24"/>
                <w:highlight w:val="none"/>
                <w14:textFill>
                  <w14:solidFill>
                    <w14:schemeClr w14:val="tx1"/>
                  </w14:solidFill>
                </w14:textFill>
              </w:rPr>
              <w:t>废气</w:t>
            </w:r>
          </w:p>
          <w:p w14:paraId="76D70269">
            <w:pPr>
              <w:keepNext w:val="0"/>
              <w:keepLines w:val="0"/>
              <w:suppressLineNumbers w:val="0"/>
              <w:spacing w:before="0" w:beforeAutospacing="0" w:after="0" w:afterAutospacing="0" w:line="360" w:lineRule="auto"/>
              <w:ind w:left="0" w:right="0" w:firstLine="480" w:firstLineChars="200"/>
              <w:jc w:val="left"/>
              <w:rPr>
                <w:rFonts w:hint="eastAsia"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本项目运营期废气主要包括</w:t>
            </w:r>
            <w:r>
              <w:rPr>
                <w:rFonts w:hint="default" w:ascii="Times New Roman" w:hAnsi="Times New Roman" w:eastAsia="宋体" w:cs="Times New Roman"/>
                <w:color w:val="000000"/>
                <w:sz w:val="24"/>
                <w:highlight w:val="none"/>
              </w:rPr>
              <w:t>原料</w:t>
            </w:r>
            <w:r>
              <w:rPr>
                <w:rFonts w:hint="default" w:ascii="Times New Roman" w:hAnsi="Times New Roman" w:eastAsia="宋体" w:cs="Times New Roman"/>
                <w:color w:val="000000"/>
                <w:sz w:val="24"/>
                <w:highlight w:val="none"/>
                <w:lang w:val="en-US" w:eastAsia="zh-CN"/>
              </w:rPr>
              <w:t>堆场</w:t>
            </w:r>
            <w:r>
              <w:rPr>
                <w:rFonts w:hint="default" w:ascii="Times New Roman" w:hAnsi="Times New Roman" w:eastAsia="宋体" w:cs="Times New Roman"/>
                <w:color w:val="000000"/>
                <w:sz w:val="24"/>
                <w:highlight w:val="none"/>
              </w:rPr>
              <w:t>粉尘、</w:t>
            </w:r>
            <w:r>
              <w:rPr>
                <w:rFonts w:hint="default" w:ascii="Times New Roman" w:hAnsi="Times New Roman" w:eastAsia="宋体" w:cs="Times New Roman"/>
                <w:color w:val="000000"/>
                <w:sz w:val="24"/>
                <w:highlight w:val="none"/>
                <w:lang w:val="en-US" w:eastAsia="zh-CN"/>
              </w:rPr>
              <w:t>原料</w:t>
            </w:r>
            <w:r>
              <w:rPr>
                <w:rFonts w:hint="default" w:ascii="Times New Roman" w:hAnsi="Times New Roman" w:eastAsia="宋体" w:cs="Times New Roman"/>
                <w:color w:val="000000"/>
                <w:sz w:val="24"/>
                <w:highlight w:val="none"/>
              </w:rPr>
              <w:t>上料粉尘、</w:t>
            </w:r>
            <w:r>
              <w:rPr>
                <w:rFonts w:hint="default" w:ascii="Times New Roman" w:hAnsi="Times New Roman" w:eastAsia="宋体" w:cs="Times New Roman"/>
                <w:color w:val="000000"/>
                <w:sz w:val="24"/>
                <w:highlight w:val="none"/>
                <w:lang w:val="en-US" w:eastAsia="zh-CN"/>
              </w:rPr>
              <w:t>导热油炉废气、</w:t>
            </w:r>
            <w:r>
              <w:rPr>
                <w:rFonts w:hint="default" w:ascii="Times New Roman" w:hAnsi="Times New Roman" w:eastAsia="宋体" w:cs="Times New Roman"/>
                <w:color w:val="auto"/>
                <w:sz w:val="24"/>
                <w:highlight w:val="none"/>
                <w:lang w:val="en-US" w:eastAsia="zh-CN"/>
              </w:rPr>
              <w:t>生料</w:t>
            </w:r>
            <w:r>
              <w:rPr>
                <w:rFonts w:hint="default" w:ascii="Times New Roman" w:hAnsi="Times New Roman" w:eastAsia="宋体" w:cs="Times New Roman"/>
                <w:color w:val="auto"/>
                <w:sz w:val="24"/>
                <w:highlight w:val="none"/>
              </w:rPr>
              <w:t>骨料</w:t>
            </w:r>
            <w:r>
              <w:rPr>
                <w:rFonts w:hint="default" w:ascii="Times New Roman" w:hAnsi="Times New Roman" w:eastAsia="宋体" w:cs="Times New Roman"/>
                <w:color w:val="auto"/>
                <w:sz w:val="24"/>
                <w:highlight w:val="none"/>
                <w:lang w:val="en-US" w:eastAsia="zh-CN"/>
              </w:rPr>
              <w:t>烘干废气、</w:t>
            </w:r>
            <w:r>
              <w:rPr>
                <w:rFonts w:hint="default" w:ascii="Times New Roman" w:hAnsi="Times New Roman" w:eastAsia="宋体" w:cs="Times New Roman"/>
                <w:sz w:val="24"/>
                <w:szCs w:val="32"/>
                <w:highlight w:val="none"/>
                <w:lang w:val="en-US" w:eastAsia="zh-CN"/>
              </w:rPr>
              <w:t>再生骨料加热废气、沥青混合料搅拌废气及沥青储罐废气</w:t>
            </w:r>
            <w:r>
              <w:rPr>
                <w:rFonts w:hint="eastAsia" w:ascii="Times New Roman" w:hAnsi="Times New Roman" w:cs="Times New Roman"/>
                <w:color w:val="000000" w:themeColor="text1"/>
                <w:sz w:val="24"/>
                <w:highlight w:val="none"/>
                <w:lang w:val="en-US" w:eastAsia="zh-CN"/>
                <w14:textFill>
                  <w14:solidFill>
                    <w14:schemeClr w14:val="tx1"/>
                  </w14:solidFill>
                </w14:textFill>
              </w:rPr>
              <w:t>等</w:t>
            </w:r>
            <w:r>
              <w:rPr>
                <w:rFonts w:hint="eastAsia" w:ascii="Times New Roman" w:hAnsi="Times New Roman" w:cs="Times New Roman"/>
                <w:color w:val="000000" w:themeColor="text1"/>
                <w:sz w:val="24"/>
                <w:highlight w:val="none"/>
                <w:lang w:eastAsia="zh-CN"/>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详见文末大气专项评价</w:t>
            </w:r>
            <w:r>
              <w:rPr>
                <w:rFonts w:hint="eastAsia" w:cs="Times New Roman"/>
                <w:color w:val="000000" w:themeColor="text1"/>
                <w:sz w:val="24"/>
                <w:highlight w:val="none"/>
                <w:lang w:val="en-US" w:eastAsia="zh-CN"/>
                <w14:textFill>
                  <w14:solidFill>
                    <w14:schemeClr w14:val="tx1"/>
                  </w14:solidFill>
                </w14:textFill>
              </w:rPr>
              <w:t>。</w:t>
            </w:r>
          </w:p>
          <w:p w14:paraId="3EDB278B">
            <w:pPr>
              <w:keepNext w:val="0"/>
              <w:keepLines w:val="0"/>
              <w:suppressLineNumbers w:val="0"/>
              <w:spacing w:before="0" w:beforeAutospacing="0" w:after="0" w:afterAutospacing="0" w:line="360" w:lineRule="auto"/>
              <w:ind w:left="0" w:right="0" w:firstLine="480" w:firstLineChars="200"/>
              <w:jc w:val="left"/>
              <w:rPr>
                <w:rFonts w:hint="eastAsia" w:ascii="Times New Roman" w:hAnsi="Times New Roman" w:eastAsia="宋体" w:cs="宋体"/>
                <w:color w:val="000000" w:themeColor="text1"/>
                <w:kern w:val="0"/>
                <w:sz w:val="24"/>
                <w:szCs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根据大气专项评价内容：由估算模式预测可知，在采取相应的环保措施后项目产生的废气均能达标排放，</w:t>
            </w:r>
            <w:r>
              <w:rPr>
                <w:rFonts w:hint="eastAsia" w:cs="Times New Roman"/>
                <w:color w:val="000000" w:themeColor="text1"/>
                <w:sz w:val="24"/>
                <w:highlight w:val="none"/>
                <w:lang w:val="en-US" w:eastAsia="zh-CN"/>
                <w14:textFill>
                  <w14:solidFill>
                    <w14:schemeClr w14:val="tx1"/>
                  </w14:solidFill>
                </w14:textFill>
              </w:rPr>
              <w:t>颗粒物、</w:t>
            </w:r>
            <w:r>
              <w:rPr>
                <w:rFonts w:hint="eastAsia" w:ascii="Times New Roman" w:hAnsi="Times New Roman" w:eastAsia="宋体" w:cs="Times New Roman"/>
                <w:color w:val="auto"/>
                <w:sz w:val="24"/>
                <w:highlight w:val="none"/>
                <w:lang w:eastAsia="zh-CN"/>
              </w:rPr>
              <w:t>苯并[a]芘</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最大落地浓度满足</w:t>
            </w:r>
            <w:r>
              <w:rPr>
                <w:rFonts w:hint="default" w:ascii="Times New Roman" w:hAnsi="Times New Roman" w:eastAsia="宋体" w:cs="Times New Roman"/>
                <w:color w:val="000000"/>
                <w:sz w:val="24"/>
                <w:highlight w:val="none"/>
              </w:rPr>
              <w:t>《环境空气质量标准》（GB3095－2012）</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二级标准；非甲烷总烃最大落地浓度满足《大气污染物综合排放标准详解》中的有关限值。因此，项目废气排放对周围环境影响较小。</w:t>
            </w:r>
          </w:p>
          <w:p w14:paraId="3017D72E">
            <w:pPr>
              <w:keepNext w:val="0"/>
              <w:keepLines w:val="0"/>
              <w:suppressLineNumbers w:val="0"/>
              <w:adjustRightInd w:val="0"/>
              <w:snapToGrid w:val="0"/>
              <w:spacing w:before="0" w:beforeAutospacing="0" w:after="0" w:afterAutospacing="0" w:line="360" w:lineRule="auto"/>
              <w:ind w:left="0" w:right="0"/>
              <w:jc w:val="left"/>
              <w:rPr>
                <w:rFonts w:hint="default"/>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4.6</w:t>
            </w:r>
            <w:r>
              <w:rPr>
                <w:rFonts w:hint="eastAsia" w:cs="宋体"/>
                <w:b/>
                <w:bCs/>
                <w:color w:val="000000" w:themeColor="text1"/>
                <w:sz w:val="24"/>
                <w:szCs w:val="24"/>
                <w:highlight w:val="none"/>
                <w14:textFill>
                  <w14:solidFill>
                    <w14:schemeClr w14:val="tx1"/>
                  </w14:solidFill>
                </w14:textFill>
              </w:rPr>
              <w:t>废水</w:t>
            </w:r>
          </w:p>
          <w:p w14:paraId="408535E5">
            <w:pPr>
              <w:pStyle w:val="13"/>
              <w:keepNext w:val="0"/>
              <w:keepLines w:val="0"/>
              <w:suppressLineNumbers w:val="0"/>
              <w:adjustRightInd w:val="0"/>
              <w:snapToGrid w:val="0"/>
              <w:spacing w:before="0" w:beforeAutospacing="0" w:after="0" w:afterAutospacing="0" w:line="360" w:lineRule="auto"/>
              <w:ind w:left="0" w:leftChars="0" w:right="0" w:firstLine="480"/>
              <w:rPr>
                <w:rFonts w:hint="default" w:ascii="Times New Roman" w:hAnsi="Times New Roman" w:cs="Times New Roman"/>
                <w:color w:val="auto"/>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项目运营期车辆冲洗废水经循环沉淀池沉淀后回用；员工生活污水经</w:t>
            </w:r>
            <w:r>
              <w:rPr>
                <w:rFonts w:hint="eastAsia" w:cs="Times New Roman"/>
                <w:color w:val="000000" w:themeColor="text1"/>
                <w:sz w:val="24"/>
                <w:highlight w:val="none"/>
                <w:lang w:val="en-US" w:eastAsia="zh-CN"/>
                <w14:textFill>
                  <w14:solidFill>
                    <w14:schemeClr w14:val="tx1"/>
                  </w14:solidFill>
                </w14:textFill>
              </w:rPr>
              <w:t>化粪池</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收集后</w:t>
            </w:r>
            <w:r>
              <w:rPr>
                <w:rFonts w:hint="eastAsia" w:cs="Times New Roman"/>
                <w:color w:val="000000" w:themeColor="text1"/>
                <w:sz w:val="24"/>
                <w:highlight w:val="none"/>
                <w:lang w:val="en-US" w:eastAsia="zh-CN"/>
                <w14:textFill>
                  <w14:solidFill>
                    <w14:schemeClr w14:val="tx1"/>
                  </w14:solidFill>
                </w14:textFill>
              </w:rPr>
              <w:t>排入市政污水管网，进入泾河第二污水</w:t>
            </w:r>
            <w:bookmarkStart w:id="7" w:name="_GoBack"/>
            <w:bookmarkEnd w:id="7"/>
            <w:r>
              <w:rPr>
                <w:rFonts w:hint="eastAsia" w:cs="Times New Roman"/>
                <w:color w:val="000000" w:themeColor="text1"/>
                <w:sz w:val="24"/>
                <w:highlight w:val="none"/>
                <w:lang w:val="en-US" w:eastAsia="zh-CN"/>
                <w14:textFill>
                  <w14:solidFill>
                    <w14:schemeClr w14:val="tx1"/>
                  </w14:solidFill>
                </w14:textFill>
              </w:rPr>
              <w:t>处理厂处理</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cs="Times New Roman"/>
                <w:color w:val="auto"/>
              </w:rPr>
              <w:t>本项目</w:t>
            </w:r>
            <w:r>
              <w:rPr>
                <w:rFonts w:hint="eastAsia" w:cs="Times New Roman"/>
                <w:color w:val="auto"/>
                <w:lang w:val="en-US" w:eastAsia="zh-CN"/>
              </w:rPr>
              <w:t>生活污</w:t>
            </w:r>
            <w:r>
              <w:rPr>
                <w:rFonts w:hint="default" w:ascii="Times New Roman" w:hAnsi="Times New Roman" w:cs="Times New Roman"/>
                <w:color w:val="auto"/>
              </w:rPr>
              <w:t>水产生及排放情况见下表：</w:t>
            </w:r>
          </w:p>
          <w:p w14:paraId="19FA4ECA">
            <w:pPr>
              <w:pStyle w:val="13"/>
              <w:keepNext w:val="0"/>
              <w:keepLines w:val="0"/>
              <w:suppressLineNumbers w:val="0"/>
              <w:adjustRightInd w:val="0"/>
              <w:snapToGrid w:val="0"/>
              <w:spacing w:before="0" w:beforeAutospacing="0" w:after="0" w:afterAutospacing="0"/>
              <w:ind w:left="0" w:leftChars="0" w:right="0" w:firstLine="480"/>
              <w:jc w:val="center"/>
              <w:rPr>
                <w:rFonts w:hint="default" w:ascii="Times New Roman" w:hAnsi="Times New Roman" w:cs="Times New Roman"/>
                <w:b/>
                <w:bCs/>
                <w:color w:val="auto"/>
              </w:rPr>
            </w:pPr>
            <w:r>
              <w:rPr>
                <w:rFonts w:hint="default" w:ascii="Times New Roman" w:hAnsi="Times New Roman" w:cs="Times New Roman"/>
                <w:b/>
                <w:bCs/>
                <w:color w:val="auto"/>
              </w:rPr>
              <w:t>表4-</w:t>
            </w:r>
            <w:r>
              <w:rPr>
                <w:rFonts w:hint="eastAsia" w:cs="Times New Roman"/>
                <w:b/>
                <w:bCs/>
                <w:color w:val="auto"/>
                <w:lang w:val="en-US" w:eastAsia="zh-CN"/>
              </w:rPr>
              <w:t>1</w:t>
            </w:r>
            <w:r>
              <w:rPr>
                <w:rFonts w:hint="default" w:ascii="Times New Roman" w:hAnsi="Times New Roman" w:cs="Times New Roman"/>
                <w:b/>
                <w:bCs/>
                <w:color w:val="auto"/>
              </w:rPr>
              <w:t>生产废水产排情况一览表</w:t>
            </w:r>
          </w:p>
          <w:tbl>
            <w:tblPr>
              <w:tblStyle w:val="41"/>
              <w:tblW w:w="8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07"/>
              <w:gridCol w:w="1210"/>
              <w:gridCol w:w="1216"/>
              <w:gridCol w:w="1210"/>
              <w:gridCol w:w="1213"/>
              <w:gridCol w:w="1215"/>
              <w:gridCol w:w="1222"/>
            </w:tblGrid>
            <w:tr w14:paraId="12CE6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vMerge w:val="restart"/>
                  <w:noWrap w:val="0"/>
                  <w:vAlign w:val="center"/>
                </w:tcPr>
                <w:p w14:paraId="7841BB8D">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污染物</w:t>
                  </w:r>
                </w:p>
              </w:tc>
              <w:tc>
                <w:tcPr>
                  <w:tcW w:w="2426" w:type="dxa"/>
                  <w:gridSpan w:val="2"/>
                  <w:noWrap w:val="0"/>
                  <w:vAlign w:val="center"/>
                </w:tcPr>
                <w:p w14:paraId="4628CDCA">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产生情况</w:t>
                  </w:r>
                </w:p>
              </w:tc>
              <w:tc>
                <w:tcPr>
                  <w:tcW w:w="1210" w:type="dxa"/>
                  <w:vMerge w:val="restart"/>
                  <w:noWrap w:val="0"/>
                  <w:vAlign w:val="center"/>
                </w:tcPr>
                <w:p w14:paraId="56BA8001">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处理措施</w:t>
                  </w:r>
                </w:p>
              </w:tc>
              <w:tc>
                <w:tcPr>
                  <w:tcW w:w="2428" w:type="dxa"/>
                  <w:gridSpan w:val="2"/>
                  <w:noWrap w:val="0"/>
                  <w:vAlign w:val="center"/>
                </w:tcPr>
                <w:p w14:paraId="637885CF">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排放情况</w:t>
                  </w:r>
                </w:p>
              </w:tc>
              <w:tc>
                <w:tcPr>
                  <w:tcW w:w="1222" w:type="dxa"/>
                  <w:vMerge w:val="restart"/>
                  <w:noWrap w:val="0"/>
                  <w:vAlign w:val="center"/>
                </w:tcPr>
                <w:p w14:paraId="7100BBEC">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标准限值</w:t>
                  </w:r>
                </w:p>
              </w:tc>
            </w:tr>
            <w:tr w14:paraId="3725D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vMerge w:val="continue"/>
                  <w:noWrap w:val="0"/>
                  <w:vAlign w:val="center"/>
                </w:tcPr>
                <w:p w14:paraId="6754BA7C">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p>
              </w:tc>
              <w:tc>
                <w:tcPr>
                  <w:tcW w:w="1210" w:type="dxa"/>
                  <w:noWrap w:val="0"/>
                  <w:vAlign w:val="center"/>
                </w:tcPr>
                <w:p w14:paraId="2669C404">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浓度mg/L</w:t>
                  </w:r>
                </w:p>
              </w:tc>
              <w:tc>
                <w:tcPr>
                  <w:tcW w:w="1216" w:type="dxa"/>
                  <w:noWrap w:val="0"/>
                  <w:vAlign w:val="center"/>
                </w:tcPr>
                <w:p w14:paraId="0C52151D">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产生量t/a</w:t>
                  </w:r>
                </w:p>
              </w:tc>
              <w:tc>
                <w:tcPr>
                  <w:tcW w:w="1210" w:type="dxa"/>
                  <w:vMerge w:val="continue"/>
                  <w:noWrap w:val="0"/>
                  <w:vAlign w:val="center"/>
                </w:tcPr>
                <w:p w14:paraId="633E61D7">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p>
              </w:tc>
              <w:tc>
                <w:tcPr>
                  <w:tcW w:w="1213" w:type="dxa"/>
                  <w:noWrap w:val="0"/>
                  <w:vAlign w:val="center"/>
                </w:tcPr>
                <w:p w14:paraId="52532A63">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浓度mg/L</w:t>
                  </w:r>
                </w:p>
              </w:tc>
              <w:tc>
                <w:tcPr>
                  <w:tcW w:w="1215" w:type="dxa"/>
                  <w:noWrap w:val="0"/>
                  <w:vAlign w:val="center"/>
                </w:tcPr>
                <w:p w14:paraId="5ACA1844">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r>
                    <w:rPr>
                      <w:rFonts w:hint="default" w:ascii="Times New Roman" w:hAnsi="Times New Roman" w:cs="Times New Roman"/>
                      <w:b/>
                      <w:bCs/>
                      <w:color w:val="auto"/>
                      <w:sz w:val="21"/>
                      <w:szCs w:val="21"/>
                    </w:rPr>
                    <w:t>排放量ta/</w:t>
                  </w:r>
                </w:p>
              </w:tc>
              <w:tc>
                <w:tcPr>
                  <w:tcW w:w="1222" w:type="dxa"/>
                  <w:vMerge w:val="continue"/>
                  <w:noWrap w:val="0"/>
                  <w:vAlign w:val="center"/>
                </w:tcPr>
                <w:p w14:paraId="50ABE5D6">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b/>
                      <w:bCs/>
                      <w:color w:val="auto"/>
                      <w:sz w:val="21"/>
                      <w:szCs w:val="21"/>
                    </w:rPr>
                  </w:pPr>
                </w:p>
              </w:tc>
            </w:tr>
            <w:tr w14:paraId="133BF7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187E7BE3">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水量</w:t>
                  </w:r>
                </w:p>
              </w:tc>
              <w:tc>
                <w:tcPr>
                  <w:tcW w:w="7286" w:type="dxa"/>
                  <w:gridSpan w:val="6"/>
                  <w:noWrap w:val="0"/>
                  <w:vAlign w:val="center"/>
                </w:tcPr>
                <w:p w14:paraId="55F51CBA">
                  <w:pPr>
                    <w:pStyle w:val="13"/>
                    <w:keepNext w:val="0"/>
                    <w:keepLines w:val="0"/>
                    <w:suppressLineNumbers w:val="0"/>
                    <w:adjustRightInd w:val="0"/>
                    <w:snapToGrid w:val="0"/>
                    <w:spacing w:before="0" w:beforeAutospacing="0" w:after="0" w:afterAutospacing="0"/>
                    <w:ind w:left="0" w:leftChars="0" w:right="0"/>
                    <w:jc w:val="center"/>
                    <w:rPr>
                      <w:rFonts w:hint="eastAsia" w:cs="Times New Roman"/>
                      <w:color w:val="auto"/>
                      <w:sz w:val="21"/>
                      <w:szCs w:val="21"/>
                      <w:lang w:val="en-US" w:eastAsia="zh-CN"/>
                    </w:rPr>
                  </w:pPr>
                  <w:r>
                    <w:rPr>
                      <w:rFonts w:hint="eastAsia" w:cs="Times New Roman"/>
                      <w:color w:val="auto"/>
                      <w:sz w:val="21"/>
                      <w:szCs w:val="21"/>
                      <w:lang w:val="en-US" w:eastAsia="zh-CN"/>
                    </w:rPr>
                    <w:t>192</w:t>
                  </w:r>
                  <w:r>
                    <w:rPr>
                      <w:rFonts w:hint="default" w:ascii="Times New Roman" w:hAnsi="Times New Roman" w:cs="Times New Roman"/>
                      <w:color w:val="auto"/>
                      <w:sz w:val="21"/>
                      <w:szCs w:val="21"/>
                    </w:rPr>
                    <w:t>t/a</w:t>
                  </w:r>
                </w:p>
              </w:tc>
            </w:tr>
            <w:tr w14:paraId="4E08F4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52BA03B2">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COD</w:t>
                  </w:r>
                </w:p>
              </w:tc>
              <w:tc>
                <w:tcPr>
                  <w:tcW w:w="1210" w:type="dxa"/>
                  <w:noWrap w:val="0"/>
                  <w:vAlign w:val="center"/>
                </w:tcPr>
                <w:p w14:paraId="06231377">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16"/>
                      <w:lang w:val="en-US" w:eastAsia="zh-CN"/>
                    </w:rPr>
                    <w:t>350</w:t>
                  </w:r>
                </w:p>
              </w:tc>
              <w:tc>
                <w:tcPr>
                  <w:tcW w:w="1216" w:type="dxa"/>
                  <w:noWrap w:val="0"/>
                  <w:vAlign w:val="center"/>
                </w:tcPr>
                <w:p w14:paraId="4AA1F21F">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lang w:val="en-US"/>
                    </w:rPr>
                  </w:pPr>
                  <w:r>
                    <w:rPr>
                      <w:rFonts w:hint="eastAsia" w:cs="Times New Roman"/>
                      <w:color w:val="auto"/>
                      <w:sz w:val="21"/>
                      <w:szCs w:val="16"/>
                      <w:lang w:val="en-US" w:eastAsia="zh-CN"/>
                    </w:rPr>
                    <w:t>0.067</w:t>
                  </w:r>
                </w:p>
              </w:tc>
              <w:tc>
                <w:tcPr>
                  <w:tcW w:w="1210" w:type="dxa"/>
                  <w:vMerge w:val="restart"/>
                  <w:noWrap w:val="0"/>
                  <w:vAlign w:val="center"/>
                </w:tcPr>
                <w:p w14:paraId="298955D4">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化粪池收集</w:t>
                  </w:r>
                </w:p>
              </w:tc>
              <w:tc>
                <w:tcPr>
                  <w:tcW w:w="1213" w:type="dxa"/>
                  <w:shd w:val="clear" w:color="auto" w:fill="auto"/>
                  <w:noWrap w:val="0"/>
                  <w:vAlign w:val="center"/>
                </w:tcPr>
                <w:p w14:paraId="5FC81241">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350</w:t>
                  </w:r>
                </w:p>
              </w:tc>
              <w:tc>
                <w:tcPr>
                  <w:tcW w:w="1215" w:type="dxa"/>
                  <w:shd w:val="clear" w:color="auto" w:fill="auto"/>
                  <w:noWrap w:val="0"/>
                  <w:vAlign w:val="center"/>
                </w:tcPr>
                <w:p w14:paraId="36CD5FC1">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0.067</w:t>
                  </w:r>
                </w:p>
              </w:tc>
              <w:tc>
                <w:tcPr>
                  <w:tcW w:w="1222" w:type="dxa"/>
                  <w:noWrap w:val="0"/>
                  <w:vAlign w:val="center"/>
                </w:tcPr>
                <w:p w14:paraId="03AC0916">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500</w:t>
                  </w:r>
                </w:p>
              </w:tc>
            </w:tr>
            <w:tr w14:paraId="1420D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40FF4014">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SS</w:t>
                  </w:r>
                </w:p>
              </w:tc>
              <w:tc>
                <w:tcPr>
                  <w:tcW w:w="1210" w:type="dxa"/>
                  <w:noWrap w:val="0"/>
                  <w:vAlign w:val="center"/>
                </w:tcPr>
                <w:p w14:paraId="77F141D7">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lang w:val="en-US"/>
                    </w:rPr>
                  </w:pPr>
                  <w:r>
                    <w:rPr>
                      <w:rFonts w:hint="eastAsia" w:cs="Times New Roman"/>
                      <w:color w:val="auto"/>
                      <w:sz w:val="21"/>
                      <w:szCs w:val="16"/>
                      <w:lang w:val="en-US" w:eastAsia="zh-CN"/>
                    </w:rPr>
                    <w:t>150</w:t>
                  </w:r>
                </w:p>
              </w:tc>
              <w:tc>
                <w:tcPr>
                  <w:tcW w:w="1216" w:type="dxa"/>
                  <w:noWrap w:val="0"/>
                  <w:vAlign w:val="center"/>
                </w:tcPr>
                <w:p w14:paraId="09A1E681">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lang w:val="en-US"/>
                    </w:rPr>
                  </w:pPr>
                  <w:r>
                    <w:rPr>
                      <w:rFonts w:hint="eastAsia" w:cs="Times New Roman"/>
                      <w:color w:val="auto"/>
                      <w:sz w:val="21"/>
                      <w:szCs w:val="16"/>
                      <w:lang w:val="en-US" w:eastAsia="zh-CN"/>
                    </w:rPr>
                    <w:t>0.029</w:t>
                  </w:r>
                </w:p>
              </w:tc>
              <w:tc>
                <w:tcPr>
                  <w:tcW w:w="1210" w:type="dxa"/>
                  <w:vMerge w:val="continue"/>
                  <w:noWrap w:val="0"/>
                  <w:vAlign w:val="center"/>
                </w:tcPr>
                <w:p w14:paraId="48BEE069">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p>
              </w:tc>
              <w:tc>
                <w:tcPr>
                  <w:tcW w:w="1213" w:type="dxa"/>
                  <w:shd w:val="clear" w:color="auto" w:fill="auto"/>
                  <w:noWrap w:val="0"/>
                  <w:vAlign w:val="center"/>
                </w:tcPr>
                <w:p w14:paraId="57C7C75E">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150</w:t>
                  </w:r>
                </w:p>
              </w:tc>
              <w:tc>
                <w:tcPr>
                  <w:tcW w:w="1215" w:type="dxa"/>
                  <w:shd w:val="clear" w:color="auto" w:fill="auto"/>
                  <w:noWrap w:val="0"/>
                  <w:vAlign w:val="center"/>
                </w:tcPr>
                <w:p w14:paraId="045072BE">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0.029</w:t>
                  </w:r>
                </w:p>
              </w:tc>
              <w:tc>
                <w:tcPr>
                  <w:tcW w:w="1222" w:type="dxa"/>
                  <w:noWrap w:val="0"/>
                  <w:vAlign w:val="center"/>
                </w:tcPr>
                <w:p w14:paraId="53581D2D">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400</w:t>
                  </w:r>
                </w:p>
              </w:tc>
            </w:tr>
            <w:tr w14:paraId="504218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4CC16485">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氨氮</w:t>
                  </w:r>
                </w:p>
              </w:tc>
              <w:tc>
                <w:tcPr>
                  <w:tcW w:w="1210" w:type="dxa"/>
                  <w:noWrap w:val="0"/>
                  <w:vAlign w:val="center"/>
                </w:tcPr>
                <w:p w14:paraId="6F59AE76">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16"/>
                      <w:lang w:val="en-US" w:eastAsia="zh-CN"/>
                    </w:rPr>
                    <w:t>35</w:t>
                  </w:r>
                </w:p>
              </w:tc>
              <w:tc>
                <w:tcPr>
                  <w:tcW w:w="1216" w:type="dxa"/>
                  <w:noWrap w:val="0"/>
                  <w:vAlign w:val="center"/>
                </w:tcPr>
                <w:p w14:paraId="2A604ECD">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16"/>
                      <w:lang w:val="en-US" w:eastAsia="zh-CN"/>
                    </w:rPr>
                    <w:t>0.007</w:t>
                  </w:r>
                </w:p>
              </w:tc>
              <w:tc>
                <w:tcPr>
                  <w:tcW w:w="1210" w:type="dxa"/>
                  <w:vMerge w:val="continue"/>
                  <w:noWrap w:val="0"/>
                  <w:vAlign w:val="center"/>
                </w:tcPr>
                <w:p w14:paraId="5FD7E46E">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p>
              </w:tc>
              <w:tc>
                <w:tcPr>
                  <w:tcW w:w="1213" w:type="dxa"/>
                  <w:shd w:val="clear" w:color="auto" w:fill="auto"/>
                  <w:noWrap w:val="0"/>
                  <w:vAlign w:val="center"/>
                </w:tcPr>
                <w:p w14:paraId="19AB7CA2">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35</w:t>
                  </w:r>
                </w:p>
              </w:tc>
              <w:tc>
                <w:tcPr>
                  <w:tcW w:w="1215" w:type="dxa"/>
                  <w:shd w:val="clear" w:color="auto" w:fill="auto"/>
                  <w:noWrap w:val="0"/>
                  <w:vAlign w:val="center"/>
                </w:tcPr>
                <w:p w14:paraId="413DC5BD">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0.007</w:t>
                  </w:r>
                </w:p>
              </w:tc>
              <w:tc>
                <w:tcPr>
                  <w:tcW w:w="1222" w:type="dxa"/>
                  <w:noWrap w:val="0"/>
                  <w:vAlign w:val="center"/>
                </w:tcPr>
                <w:p w14:paraId="74E50BEB">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45</w:t>
                  </w:r>
                </w:p>
              </w:tc>
            </w:tr>
            <w:tr w14:paraId="74842B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0C299C96">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TP</w:t>
                  </w:r>
                </w:p>
              </w:tc>
              <w:tc>
                <w:tcPr>
                  <w:tcW w:w="1210" w:type="dxa"/>
                  <w:noWrap w:val="0"/>
                  <w:vAlign w:val="center"/>
                </w:tcPr>
                <w:p w14:paraId="4694E53B">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16"/>
                      <w:lang w:val="en-US" w:eastAsia="zh-CN"/>
                    </w:rPr>
                    <w:t>5</w:t>
                  </w:r>
                </w:p>
              </w:tc>
              <w:tc>
                <w:tcPr>
                  <w:tcW w:w="1216" w:type="dxa"/>
                  <w:noWrap w:val="0"/>
                  <w:vAlign w:val="center"/>
                </w:tcPr>
                <w:p w14:paraId="34250C1B">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16"/>
                      <w:lang w:val="en-US" w:eastAsia="zh-CN"/>
                    </w:rPr>
                    <w:t>0.001</w:t>
                  </w:r>
                </w:p>
              </w:tc>
              <w:tc>
                <w:tcPr>
                  <w:tcW w:w="1210" w:type="dxa"/>
                  <w:vMerge w:val="continue"/>
                  <w:noWrap w:val="0"/>
                  <w:vAlign w:val="center"/>
                </w:tcPr>
                <w:p w14:paraId="47D2274F">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p>
              </w:tc>
              <w:tc>
                <w:tcPr>
                  <w:tcW w:w="1213" w:type="dxa"/>
                  <w:shd w:val="clear" w:color="auto" w:fill="auto"/>
                  <w:noWrap w:val="0"/>
                  <w:vAlign w:val="center"/>
                </w:tcPr>
                <w:p w14:paraId="2B4AE587">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5</w:t>
                  </w:r>
                </w:p>
              </w:tc>
              <w:tc>
                <w:tcPr>
                  <w:tcW w:w="1215" w:type="dxa"/>
                  <w:shd w:val="clear" w:color="auto" w:fill="auto"/>
                  <w:noWrap w:val="0"/>
                  <w:vAlign w:val="center"/>
                </w:tcPr>
                <w:p w14:paraId="7AEF785D">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0.001</w:t>
                  </w:r>
                </w:p>
              </w:tc>
              <w:tc>
                <w:tcPr>
                  <w:tcW w:w="1222" w:type="dxa"/>
                  <w:noWrap w:val="0"/>
                  <w:vAlign w:val="center"/>
                </w:tcPr>
                <w:p w14:paraId="21A99BCD">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8</w:t>
                  </w:r>
                </w:p>
              </w:tc>
            </w:tr>
            <w:tr w14:paraId="7C7C56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45DD2E52">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TN</w:t>
                  </w:r>
                </w:p>
              </w:tc>
              <w:tc>
                <w:tcPr>
                  <w:tcW w:w="1210" w:type="dxa"/>
                  <w:noWrap w:val="0"/>
                  <w:vAlign w:val="center"/>
                </w:tcPr>
                <w:p w14:paraId="1703E96E">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16"/>
                      <w:lang w:val="en-US" w:eastAsia="zh-CN"/>
                    </w:rPr>
                    <w:t>50</w:t>
                  </w:r>
                </w:p>
              </w:tc>
              <w:tc>
                <w:tcPr>
                  <w:tcW w:w="1216" w:type="dxa"/>
                  <w:noWrap w:val="0"/>
                  <w:vAlign w:val="center"/>
                </w:tcPr>
                <w:p w14:paraId="380A143D">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16"/>
                      <w:lang w:val="en-US" w:eastAsia="zh-CN"/>
                    </w:rPr>
                    <w:t>0.0096</w:t>
                  </w:r>
                </w:p>
              </w:tc>
              <w:tc>
                <w:tcPr>
                  <w:tcW w:w="1210" w:type="dxa"/>
                  <w:vMerge w:val="continue"/>
                  <w:noWrap w:val="0"/>
                  <w:vAlign w:val="center"/>
                </w:tcPr>
                <w:p w14:paraId="222F0F48">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p>
              </w:tc>
              <w:tc>
                <w:tcPr>
                  <w:tcW w:w="1213" w:type="dxa"/>
                  <w:shd w:val="clear" w:color="auto" w:fill="auto"/>
                  <w:noWrap w:val="0"/>
                  <w:vAlign w:val="center"/>
                </w:tcPr>
                <w:p w14:paraId="6A685B65">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50</w:t>
                  </w:r>
                </w:p>
              </w:tc>
              <w:tc>
                <w:tcPr>
                  <w:tcW w:w="1215" w:type="dxa"/>
                  <w:shd w:val="clear" w:color="auto" w:fill="auto"/>
                  <w:noWrap w:val="0"/>
                  <w:vAlign w:val="center"/>
                </w:tcPr>
                <w:p w14:paraId="524E7131">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0.0096</w:t>
                  </w:r>
                </w:p>
              </w:tc>
              <w:tc>
                <w:tcPr>
                  <w:tcW w:w="1222" w:type="dxa"/>
                  <w:noWrap w:val="0"/>
                  <w:vAlign w:val="center"/>
                </w:tcPr>
                <w:p w14:paraId="2243CFC4">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r>
                    <w:rPr>
                      <w:rFonts w:hint="default" w:ascii="Times New Roman" w:hAnsi="Times New Roman" w:cs="Times New Roman"/>
                      <w:color w:val="auto"/>
                      <w:sz w:val="21"/>
                      <w:szCs w:val="21"/>
                    </w:rPr>
                    <w:t>70</w:t>
                  </w:r>
                </w:p>
              </w:tc>
            </w:tr>
            <w:tr w14:paraId="66FD17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07" w:type="dxa"/>
                  <w:noWrap w:val="0"/>
                  <w:vAlign w:val="center"/>
                </w:tcPr>
                <w:p w14:paraId="02DA3E62">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BOD</w:t>
                  </w:r>
                  <w:r>
                    <w:rPr>
                      <w:rFonts w:hint="eastAsia" w:cs="Times New Roman"/>
                      <w:color w:val="auto"/>
                      <w:sz w:val="21"/>
                      <w:szCs w:val="21"/>
                      <w:vertAlign w:val="subscript"/>
                      <w:lang w:val="en-US" w:eastAsia="zh-CN"/>
                    </w:rPr>
                    <w:t>5</w:t>
                  </w:r>
                </w:p>
              </w:tc>
              <w:tc>
                <w:tcPr>
                  <w:tcW w:w="1210" w:type="dxa"/>
                  <w:noWrap w:val="0"/>
                  <w:vAlign w:val="center"/>
                </w:tcPr>
                <w:p w14:paraId="62AE789C">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16"/>
                      <w:lang w:val="en-US" w:eastAsia="zh-CN"/>
                    </w:rPr>
                    <w:t>200</w:t>
                  </w:r>
                </w:p>
              </w:tc>
              <w:tc>
                <w:tcPr>
                  <w:tcW w:w="1216" w:type="dxa"/>
                  <w:noWrap w:val="0"/>
                  <w:vAlign w:val="center"/>
                </w:tcPr>
                <w:p w14:paraId="27D33872">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lang w:val="en-US"/>
                    </w:rPr>
                  </w:pPr>
                  <w:r>
                    <w:rPr>
                      <w:rFonts w:hint="eastAsia" w:cs="Times New Roman"/>
                      <w:color w:val="auto"/>
                      <w:sz w:val="21"/>
                      <w:szCs w:val="16"/>
                      <w:lang w:val="en-US" w:eastAsia="zh-CN"/>
                    </w:rPr>
                    <w:t>0.038</w:t>
                  </w:r>
                </w:p>
              </w:tc>
              <w:tc>
                <w:tcPr>
                  <w:tcW w:w="1210" w:type="dxa"/>
                  <w:vMerge w:val="continue"/>
                  <w:noWrap w:val="0"/>
                  <w:vAlign w:val="center"/>
                </w:tcPr>
                <w:p w14:paraId="219357CD">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cs="Times New Roman"/>
                      <w:color w:val="auto"/>
                      <w:sz w:val="21"/>
                      <w:szCs w:val="21"/>
                    </w:rPr>
                  </w:pPr>
                </w:p>
              </w:tc>
              <w:tc>
                <w:tcPr>
                  <w:tcW w:w="1213" w:type="dxa"/>
                  <w:shd w:val="clear" w:color="auto" w:fill="auto"/>
                  <w:noWrap w:val="0"/>
                  <w:vAlign w:val="center"/>
                </w:tcPr>
                <w:p w14:paraId="0DE3BB09">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200</w:t>
                  </w:r>
                </w:p>
              </w:tc>
              <w:tc>
                <w:tcPr>
                  <w:tcW w:w="1215" w:type="dxa"/>
                  <w:shd w:val="clear" w:color="auto" w:fill="auto"/>
                  <w:noWrap w:val="0"/>
                  <w:vAlign w:val="center"/>
                </w:tcPr>
                <w:p w14:paraId="5C16D3D8">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lang w:val="en-US" w:eastAsia="zh-CN" w:bidi="ar-SA"/>
                    </w:rPr>
                  </w:pPr>
                  <w:r>
                    <w:rPr>
                      <w:rFonts w:hint="eastAsia" w:cs="Times New Roman"/>
                      <w:color w:val="auto"/>
                      <w:sz w:val="21"/>
                      <w:szCs w:val="16"/>
                      <w:lang w:val="en-US" w:eastAsia="zh-CN"/>
                    </w:rPr>
                    <w:t>0.038</w:t>
                  </w:r>
                </w:p>
              </w:tc>
              <w:tc>
                <w:tcPr>
                  <w:tcW w:w="1222" w:type="dxa"/>
                  <w:noWrap w:val="0"/>
                  <w:vAlign w:val="center"/>
                </w:tcPr>
                <w:p w14:paraId="6D5422EE">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300</w:t>
                  </w:r>
                </w:p>
              </w:tc>
            </w:tr>
          </w:tbl>
          <w:p w14:paraId="2D8601FE">
            <w:pPr>
              <w:pStyle w:val="13"/>
              <w:keepNext w:val="0"/>
              <w:keepLines w:val="0"/>
              <w:suppressLineNumbers w:val="0"/>
              <w:adjustRightInd w:val="0"/>
              <w:snapToGrid w:val="0"/>
              <w:spacing w:before="0" w:beforeAutospacing="0" w:after="0" w:afterAutospacing="0" w:line="360" w:lineRule="auto"/>
              <w:ind w:left="0" w:leftChars="0" w:right="0" w:firstLine="480" w:firstLineChars="200"/>
              <w:jc w:val="left"/>
              <w:rPr>
                <w:rFonts w:hint="eastAsia" w:cs="Times New Roman"/>
                <w:bCs/>
                <w:color w:val="auto"/>
                <w:lang w:val="en-US" w:eastAsia="zh-CN"/>
              </w:rPr>
            </w:pPr>
            <w:r>
              <w:rPr>
                <w:rFonts w:hint="default" w:ascii="Times New Roman" w:hAnsi="Times New Roman" w:cs="Times New Roman"/>
                <w:bCs/>
                <w:color w:val="auto"/>
              </w:rPr>
              <w:t>由上表可知，本项目所产生的</w:t>
            </w:r>
            <w:r>
              <w:rPr>
                <w:rFonts w:hint="eastAsia" w:cs="Times New Roman"/>
                <w:bCs/>
                <w:color w:val="auto"/>
                <w:lang w:val="en-US" w:eastAsia="zh-CN"/>
              </w:rPr>
              <w:t>生活污水经化粪池收集后满足</w:t>
            </w:r>
            <w:r>
              <w:rPr>
                <w:rFonts w:hint="default" w:ascii="Times New Roman" w:hAnsi="Times New Roman" w:cs="Times New Roman"/>
                <w:bCs/>
                <w:color w:val="auto"/>
              </w:rPr>
              <w:t>《污水综合排放标准》（GB8978-1996）表4三级标准及《污水排入城镇下水道水质标准》（GB/T31962-2015）表1B级标准，符合泾河新城第二污水处理厂接管水质要求</w:t>
            </w:r>
            <w:r>
              <w:rPr>
                <w:rFonts w:hint="eastAsia" w:cs="Times New Roman"/>
                <w:bCs/>
                <w:color w:val="auto"/>
                <w:lang w:val="en-US" w:eastAsia="zh-CN"/>
              </w:rPr>
              <w:t>。</w:t>
            </w:r>
          </w:p>
          <w:p w14:paraId="26E7691F">
            <w:pPr>
              <w:pStyle w:val="13"/>
              <w:keepNext w:val="0"/>
              <w:keepLines w:val="0"/>
              <w:suppressLineNumbers w:val="0"/>
              <w:adjustRightInd w:val="0"/>
              <w:snapToGrid w:val="0"/>
              <w:spacing w:before="0" w:beforeAutospacing="0" w:after="0" w:afterAutospacing="0" w:line="360" w:lineRule="auto"/>
              <w:ind w:left="0" w:leftChars="0" w:right="0" w:firstLine="480" w:firstLineChars="200"/>
              <w:rPr>
                <w:rFonts w:hint="default" w:ascii="Times New Roman" w:hAnsi="Times New Roman" w:cs="Times New Roman"/>
                <w:bCs/>
                <w:color w:val="auto"/>
              </w:rPr>
            </w:pPr>
            <w:r>
              <w:rPr>
                <w:rFonts w:hint="default" w:ascii="Times New Roman" w:hAnsi="Times New Roman" w:cs="Times New Roman"/>
                <w:bCs/>
                <w:color w:val="auto"/>
              </w:rPr>
              <w:t>泾河新城第二污水处理厂位于陕西省西咸新区泾河新城崇文镇北丈八寺村南丈南组100号，该污水处理厂一期项目已于2018年初开工建设，并于2020年2月进行泾河新城第二污水处理厂（一期）提标改造和加盖除臭工程建设，现已建成，已开展试运行，二期工程尚未实施建设。设计处理总规模为80000m</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/d，一期为40000m</w:t>
            </w:r>
            <w:r>
              <w:rPr>
                <w:rFonts w:hint="default" w:ascii="Times New Roman" w:hAnsi="Times New Roman" w:cs="Times New Roman"/>
                <w:bCs/>
                <w:color w:val="auto"/>
                <w:vertAlign w:val="superscript"/>
              </w:rPr>
              <w:t>3</w:t>
            </w:r>
            <w:r>
              <w:rPr>
                <w:rFonts w:hint="default" w:ascii="Times New Roman" w:hAnsi="Times New Roman" w:cs="Times New Roman"/>
                <w:bCs/>
                <w:color w:val="auto"/>
              </w:rPr>
              <w:t>/d，二期为远期规划。服务范围为泾河以北，规划东边界以西，茶马大道以东及规划北边界以南围合的范围，目前大部分为泾河新城永乐镇和崇文镇所在区域，总服务面积43.35km</w:t>
            </w:r>
            <w:r>
              <w:rPr>
                <w:rFonts w:hint="default" w:ascii="Times New Roman" w:hAnsi="Times New Roman" w:cs="Times New Roman"/>
                <w:bCs/>
                <w:color w:val="auto"/>
                <w:vertAlign w:val="superscript"/>
              </w:rPr>
              <w:t>2</w:t>
            </w:r>
            <w:r>
              <w:rPr>
                <w:rFonts w:hint="default" w:ascii="Times New Roman" w:hAnsi="Times New Roman" w:cs="Times New Roman"/>
                <w:bCs/>
                <w:color w:val="auto"/>
              </w:rPr>
              <w:t>（含远景发展区域约9.35km</w:t>
            </w:r>
            <w:r>
              <w:rPr>
                <w:rFonts w:hint="default" w:ascii="Times New Roman" w:hAnsi="Times New Roman" w:cs="Times New Roman"/>
                <w:bCs/>
                <w:color w:val="auto"/>
                <w:vertAlign w:val="superscript"/>
              </w:rPr>
              <w:t>2</w:t>
            </w:r>
            <w:r>
              <w:rPr>
                <w:rFonts w:hint="default" w:ascii="Times New Roman" w:hAnsi="Times New Roman" w:cs="Times New Roman"/>
                <w:bCs/>
                <w:color w:val="auto"/>
              </w:rPr>
              <w:t>）。</w:t>
            </w:r>
          </w:p>
          <w:p w14:paraId="4CAB8999">
            <w:pPr>
              <w:pStyle w:val="13"/>
              <w:keepNext w:val="0"/>
              <w:keepLines w:val="0"/>
              <w:suppressLineNumbers w:val="0"/>
              <w:adjustRightInd w:val="0"/>
              <w:snapToGrid w:val="0"/>
              <w:spacing w:before="0" w:beforeAutospacing="0" w:after="0" w:afterAutospacing="0" w:line="360" w:lineRule="auto"/>
              <w:ind w:left="0" w:leftChars="0" w:right="0" w:firstLine="480" w:firstLineChars="200"/>
              <w:rPr>
                <w:rFonts w:hint="default" w:ascii="Times New Roman" w:hAnsi="Times New Roman" w:cs="Times New Roman"/>
                <w:bCs/>
                <w:color w:val="auto"/>
              </w:rPr>
            </w:pPr>
            <w:r>
              <w:rPr>
                <w:rFonts w:hint="default" w:ascii="Times New Roman" w:hAnsi="Times New Roman" w:cs="Times New Roman"/>
                <w:bCs/>
                <w:color w:val="auto"/>
              </w:rPr>
              <w:t>泾河新城第二污水处理厂（一期）项目采用</w:t>
            </w:r>
            <w:r>
              <w:rPr>
                <w:rFonts w:hint="eastAsia" w:ascii="Times New Roman" w:hAnsi="Times New Roman" w:cs="Times New Roman"/>
                <w:bCs/>
                <w:color w:val="auto"/>
                <w:lang w:eastAsia="zh-CN"/>
              </w:rPr>
              <w:t>“</w:t>
            </w:r>
            <w:r>
              <w:rPr>
                <w:rFonts w:hint="default" w:ascii="Times New Roman" w:hAnsi="Times New Roman" w:cs="Times New Roman"/>
                <w:bCs/>
                <w:color w:val="auto"/>
              </w:rPr>
              <w:t>粗格栅及提升泵房+细格栅+沉砂池+MBBR复合工艺+二沉池+超效沉淀池+次氯酸钠消毒</w:t>
            </w:r>
            <w:r>
              <w:rPr>
                <w:rFonts w:hint="eastAsia" w:ascii="Times New Roman" w:hAnsi="Times New Roman" w:cs="Times New Roman"/>
                <w:bCs/>
                <w:color w:val="auto"/>
                <w:lang w:eastAsia="zh-CN"/>
              </w:rPr>
              <w:t>”</w:t>
            </w:r>
            <w:r>
              <w:rPr>
                <w:rFonts w:hint="default" w:ascii="Times New Roman" w:hAnsi="Times New Roman" w:cs="Times New Roman"/>
                <w:bCs/>
                <w:color w:val="auto"/>
              </w:rPr>
              <w:t>的污水处理工艺，增强脱氮除磷效果，出水水质达到《陕西省黄河流域污水综合排放标准》表1中A标准，最终排入泾河。</w:t>
            </w:r>
          </w:p>
          <w:p w14:paraId="78516465">
            <w:pPr>
              <w:pStyle w:val="13"/>
              <w:keepNext w:val="0"/>
              <w:keepLines w:val="0"/>
              <w:suppressLineNumbers w:val="0"/>
              <w:adjustRightInd w:val="0"/>
              <w:snapToGrid w:val="0"/>
              <w:spacing w:before="0" w:beforeAutospacing="0" w:after="0" w:afterAutospacing="0" w:line="360" w:lineRule="auto"/>
              <w:ind w:left="0" w:leftChars="0" w:right="0" w:firstLine="480" w:firstLineChars="200"/>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cs="Times New Roman"/>
                <w:bCs/>
                <w:color w:val="auto"/>
              </w:rPr>
              <w:t>本项目位于泾河新城第二污水处理厂收水范围，市政污水管网已接通</w:t>
            </w:r>
            <w:r>
              <w:rPr>
                <w:rFonts w:hint="default" w:ascii="Times New Roman" w:hAnsi="Times New Roman" w:cs="Times New Roman"/>
                <w:bCs/>
                <w:color w:val="auto"/>
                <w:lang w:eastAsia="zh-CN"/>
              </w:rPr>
              <w:t>，</w:t>
            </w:r>
            <w:r>
              <w:rPr>
                <w:rFonts w:hint="default" w:ascii="Times New Roman" w:hAnsi="Times New Roman" w:cs="Times New Roman"/>
                <w:bCs/>
                <w:color w:val="auto"/>
                <w:lang w:val="en-US" w:eastAsia="zh-CN"/>
              </w:rPr>
              <w:t>且本项目已取得泾河新城第二污水处理厂排水许可证</w:t>
            </w:r>
            <w:r>
              <w:rPr>
                <w:rFonts w:hint="default" w:ascii="Times New Roman" w:hAnsi="Times New Roman" w:cs="Times New Roman"/>
                <w:bCs/>
                <w:color w:val="auto"/>
              </w:rPr>
              <w:t>。综上所述，本项目产生的生产废水在管网对接、纳污范围、时间对接、设计处理能力及水质上均能与污水厂处理吻合，生活污水及生产废水经市政污水管网排入泾河新城第二污水处理厂进行处理是可行的。</w:t>
            </w:r>
          </w:p>
          <w:p w14:paraId="391A0764">
            <w:pPr>
              <w:keepNext w:val="0"/>
              <w:keepLines w:val="0"/>
              <w:suppressLineNumbers w:val="0"/>
              <w:adjustRightInd w:val="0"/>
              <w:snapToGrid w:val="0"/>
              <w:spacing w:before="0" w:beforeAutospacing="0" w:after="0" w:afterAutospacing="0" w:line="360" w:lineRule="auto"/>
              <w:ind w:left="0" w:right="0"/>
              <w:jc w:val="left"/>
              <w:rPr>
                <w:rFonts w:hint="default"/>
                <w:b/>
                <w:bCs/>
                <w:i/>
                <w:i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4.7</w:t>
            </w:r>
            <w:r>
              <w:rPr>
                <w:rFonts w:hint="eastAsia" w:cs="宋体"/>
                <w:b/>
                <w:bCs/>
                <w:color w:val="000000" w:themeColor="text1"/>
                <w:sz w:val="24"/>
                <w:szCs w:val="24"/>
                <w:highlight w:val="none"/>
                <w14:textFill>
                  <w14:solidFill>
                    <w14:schemeClr w14:val="tx1"/>
                  </w14:solidFill>
                </w14:textFill>
              </w:rPr>
              <w:t>噪声</w:t>
            </w:r>
          </w:p>
          <w:p w14:paraId="5F39C25A">
            <w:pPr>
              <w:keepNext w:val="0"/>
              <w:keepLines w:val="0"/>
              <w:suppressLineNumbers w:val="0"/>
              <w:adjustRightInd w:val="0"/>
              <w:snapToGrid w:val="0"/>
              <w:spacing w:before="0" w:beforeAutospacing="0" w:after="0" w:afterAutospacing="0" w:line="360" w:lineRule="auto"/>
              <w:ind w:left="0" w:right="0" w:firstLine="38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bCs/>
                <w:color w:val="000000" w:themeColor="text1"/>
                <w:sz w:val="24"/>
                <w:highlight w:val="none"/>
                <w14:textFill>
                  <w14:solidFill>
                    <w14:schemeClr w14:val="tx1"/>
                  </w14:solidFill>
                </w14:textFill>
              </w:rPr>
              <w:t>本次环评参考《环境影响评价技术导则 声环境》（HJ2.4-2021）附录A和附录B中预测模式对项目声环境影响进行分析，预测模型如下。</w:t>
            </w:r>
          </w:p>
          <w:p w14:paraId="150600C4">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）室内声源</w:t>
            </w:r>
          </w:p>
          <w:p w14:paraId="0F2C29F0">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①附录B.1.3室内声源等效室外声源声功率级计算方法</w:t>
            </w:r>
          </w:p>
          <w:p w14:paraId="652C4913">
            <w:pPr>
              <w:keepNext w:val="0"/>
              <w:keepLines w:val="0"/>
              <w:suppressLineNumbers w:val="0"/>
              <w:spacing w:before="0" w:beforeAutospacing="0" w:after="0" w:afterAutospacing="0" w:line="360" w:lineRule="auto"/>
              <w:ind w:left="0" w:right="0" w:firstLine="480" w:firstLineChars="200"/>
              <w:jc w:val="righ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声源位于室内，室内声源可采用等效室外声源声功率级法进行计算。设靠近开口处（或窗户）室内、室外某倍频带的声压级或A声级分别为L</w:t>
            </w:r>
            <w:r>
              <w:rPr>
                <w:rFonts w:hint="default" w:ascii="Times New Roman" w:hAnsi="Times New Roman" w:eastAsia="宋体" w:cs="Times New Roman"/>
                <w:color w:val="000000" w:themeColor="text1"/>
                <w:sz w:val="24"/>
                <w:highlight w:val="none"/>
                <w:vertAlign w:val="subscript"/>
                <w14:textFill>
                  <w14:solidFill>
                    <w14:schemeClr w14:val="tx1"/>
                  </w14:solidFill>
                </w14:textFill>
              </w:rPr>
              <w:t>p1</w:t>
            </w:r>
            <w:r>
              <w:rPr>
                <w:rFonts w:hint="default" w:ascii="Times New Roman" w:hAnsi="Times New Roman" w:eastAsia="宋体" w:cs="Times New Roman"/>
                <w:color w:val="000000" w:themeColor="text1"/>
                <w:sz w:val="24"/>
                <w:highlight w:val="none"/>
                <w14:textFill>
                  <w14:solidFill>
                    <w14:schemeClr w14:val="tx1"/>
                  </w14:solidFill>
                </w14:textFill>
              </w:rPr>
              <w:t>和L</w:t>
            </w:r>
            <w:r>
              <w:rPr>
                <w:rFonts w:hint="default" w:ascii="Times New Roman" w:hAnsi="Times New Roman" w:eastAsia="宋体" w:cs="Times New Roman"/>
                <w:color w:val="000000" w:themeColor="text1"/>
                <w:sz w:val="24"/>
                <w:highlight w:val="none"/>
                <w:vertAlign w:val="subscript"/>
                <w14:textFill>
                  <w14:solidFill>
                    <w14:schemeClr w14:val="tx1"/>
                  </w14:solidFill>
                </w14:textFill>
              </w:rPr>
              <w:t>p2</w:t>
            </w:r>
            <w:r>
              <w:rPr>
                <w:rFonts w:hint="default" w:ascii="Times New Roman" w:hAnsi="Times New Roman" w:eastAsia="宋体" w:cs="Times New Roman"/>
                <w:color w:val="000000" w:themeColor="text1"/>
                <w:sz w:val="24"/>
                <w:highlight w:val="none"/>
                <w14:textFill>
                  <w14:solidFill>
                    <w14:schemeClr w14:val="tx1"/>
                  </w14:solidFill>
                </w14:textFill>
              </w:rPr>
              <w:t>。若声源所在室内声场为近似扩散声场，则室外的倍频带声压级可按式（B.1）近似求出：</w:t>
            </w:r>
            <w:r>
              <w:rPr>
                <w:rFonts w:hint="default" w:ascii="Times New Roman" w:hAnsi="Times New Roman" w:eastAsia="宋体" w:cs="Times New Roman"/>
                <w:color w:val="000000" w:themeColor="text1"/>
                <w:position w:val="-14"/>
                <w:sz w:val="24"/>
                <w:highlight w:val="none"/>
                <w14:textFill>
                  <w14:solidFill>
                    <w14:schemeClr w14:val="tx1"/>
                  </w14:solidFill>
                </w14:textFill>
              </w:rPr>
              <w:object>
                <v:shape id="_x0000_i1025" o:spt="75" type="#_x0000_t75" style="height:19pt;width:95pt;" o:ole="t" filled="f" o:preferrelative="t" stroked="f" coordsize="21600,21600">
                  <v:path/>
                  <v:fill on="f" focussize="0,0"/>
                  <v:stroke on="f"/>
                  <v:imagedata r:id="rId10" o:title=""/>
                  <o:lock v:ext="edit" aspectratio="t"/>
                  <w10:wrap type="none"/>
                  <w10:anchorlock/>
                </v:shape>
                <o:OLEObject Type="Embed" ProgID="Equation.KSEE3" ShapeID="_x0000_i1025" DrawAspect="Content" ObjectID="_1468075725" r:id="rId9">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 xml:space="preserve">                      （B.1）</w:t>
            </w:r>
          </w:p>
          <w:p w14:paraId="619D9531">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式中：</w:t>
            </w:r>
            <w:r>
              <w:rPr>
                <w:rFonts w:hint="default" w:ascii="Times New Roman" w:hAnsi="Times New Roman" w:eastAsia="宋体" w:cs="Times New Roman"/>
                <w:color w:val="000000" w:themeColor="text1"/>
                <w:position w:val="-14"/>
                <w:sz w:val="24"/>
                <w:highlight w:val="none"/>
                <w14:textFill>
                  <w14:solidFill>
                    <w14:schemeClr w14:val="tx1"/>
                  </w14:solidFill>
                </w14:textFill>
              </w:rPr>
              <w:object>
                <v:shape id="_x0000_i1026" o:spt="75" type="#_x0000_t75" style="height:19pt;width:18pt;" o:ole="t" filled="f" o:preferrelative="t" stroked="f" coordsize="21600,21600">
                  <v:path/>
                  <v:fill on="f" focussize="0,0"/>
                  <v:stroke on="f"/>
                  <v:imagedata r:id="rId12" o:title=""/>
                  <o:lock v:ext="edit" aspectratio="t"/>
                  <w10:wrap type="none"/>
                  <w10:anchorlock/>
                </v:shape>
                <o:OLEObject Type="Embed" ProgID="Equation.KSEE3" ShapeID="_x0000_i1026" DrawAspect="Content" ObjectID="_1468075726" r:id="rId11">
                  <o:LockedField>false</o:LockedField>
                </o:OLEObject>
              </w:objec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靠近开口处（或窗户）室内某倍频带的声压级或A声级，dB；</w:t>
            </w:r>
          </w:p>
          <w:p w14:paraId="708BDA67">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position w:val="-14"/>
                <w:sz w:val="24"/>
                <w:highlight w:val="none"/>
                <w14:textFill>
                  <w14:solidFill>
                    <w14:schemeClr w14:val="tx1"/>
                  </w14:solidFill>
                </w14:textFill>
              </w:rPr>
              <w:object>
                <v:shape id="_x0000_i1027" o:spt="75" type="#_x0000_t75" style="height:19pt;width:19pt;" o:ole="t" filled="f" o:preferrelative="t" stroked="f" coordsize="21600,21600">
                  <v:path/>
                  <v:fill on="f" focussize="0,0"/>
                  <v:stroke on="f"/>
                  <v:imagedata r:id="rId14" o:title=""/>
                  <o:lock v:ext="edit" aspectratio="t"/>
                  <w10:wrap type="none"/>
                  <w10:anchorlock/>
                </v:shape>
                <o:OLEObject Type="Embed" ProgID="Equation.KSEE3" ShapeID="_x0000_i1027" DrawAspect="Content" ObjectID="_1468075727" r:id="rId13">
                  <o:LockedField>false</o:LockedField>
                </o:OLEObject>
              </w:objec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靠近开口处（或窗户）室外某倍频带的声压级或A声级，dB；</w:t>
            </w:r>
          </w:p>
          <w:p w14:paraId="4A354291">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TL</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隔墙（或窗户）倍频带或A声级的隔声量，dB。</w:t>
            </w:r>
          </w:p>
          <w:p w14:paraId="5C032DE9">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也可按式（B.2）计算某一室内声源靠近围护结构处产生的倍频带声压级或A声级：</w:t>
            </w:r>
          </w:p>
          <w:p w14:paraId="18D9124F">
            <w:pPr>
              <w:keepNext w:val="0"/>
              <w:keepLines w:val="0"/>
              <w:suppressLineNumbers w:val="0"/>
              <w:spacing w:before="0" w:beforeAutospacing="0" w:after="0" w:afterAutospacing="0" w:line="360" w:lineRule="auto"/>
              <w:ind w:left="0" w:right="0" w:firstLine="480" w:firstLineChars="200"/>
              <w:jc w:val="righ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position w:val="-28"/>
                <w:sz w:val="24"/>
                <w:highlight w:val="none"/>
                <w14:textFill>
                  <w14:solidFill>
                    <w14:schemeClr w14:val="tx1"/>
                  </w14:solidFill>
                </w14:textFill>
              </w:rPr>
              <w:object>
                <v:shape id="_x0000_i1028" o:spt="75" type="#_x0000_t75" style="height:34pt;width:132.95pt;" o:ole="t" filled="f" o:preferrelative="t" stroked="f" coordsize="21600,21600">
                  <v:path/>
                  <v:fill on="f" focussize="0,0"/>
                  <v:stroke on="f"/>
                  <v:imagedata r:id="rId16" o:title=""/>
                  <o:lock v:ext="edit" aspectratio="t"/>
                  <w10:wrap type="none"/>
                  <w10:anchorlock/>
                </v:shape>
                <o:OLEObject Type="Embed" ProgID="Equation.KSEE3" ShapeID="_x0000_i1028" DrawAspect="Content" ObjectID="_1468075728" r:id="rId15">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 xml:space="preserve">                  （B.2）</w:t>
            </w:r>
          </w:p>
          <w:p w14:paraId="65F23FA1">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式中：</w:t>
            </w:r>
            <w:r>
              <w:rPr>
                <w:rFonts w:hint="default" w:ascii="Times New Roman" w:hAnsi="Times New Roman" w:eastAsia="宋体" w:cs="Times New Roman"/>
                <w:color w:val="000000" w:themeColor="text1"/>
                <w:position w:val="-14"/>
                <w:sz w:val="24"/>
                <w:highlight w:val="none"/>
                <w14:textFill>
                  <w14:solidFill>
                    <w14:schemeClr w14:val="tx1"/>
                  </w14:solidFill>
                </w14:textFill>
              </w:rPr>
              <w:object>
                <v:shape id="_x0000_i1029" o:spt="75" type="#_x0000_t75" style="height:19pt;width:18pt;" o:ole="t" filled="f" o:preferrelative="t" stroked="f" coordsize="21600,21600">
                  <v:path/>
                  <v:fill on="f" focussize="0,0"/>
                  <v:stroke on="f"/>
                  <v:imagedata r:id="rId12" o:title=""/>
                  <o:lock v:ext="edit" aspectratio="t"/>
                  <w10:wrap type="none"/>
                  <w10:anchorlock/>
                </v:shape>
                <o:OLEObject Type="Embed" ProgID="Equation.KSEE3" ShapeID="_x0000_i1029" DrawAspect="Content" ObjectID="_1468075729" r:id="rId17">
                  <o:LockedField>false</o:LockedField>
                </o:OLEObject>
              </w:objec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靠近开口处（或窗户）室内某倍频带的声压级或A声级，dB；</w:t>
            </w:r>
          </w:p>
          <w:p w14:paraId="348A6930">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position w:val="-12"/>
                <w:sz w:val="24"/>
                <w:highlight w:val="none"/>
                <w14:textFill>
                  <w14:solidFill>
                    <w14:schemeClr w14:val="tx1"/>
                  </w14:solidFill>
                </w14:textFill>
              </w:rPr>
              <w:object>
                <v:shape id="_x0000_i1030" o:spt="75" type="#_x0000_t75" style="height:18pt;width:15pt;" o:ole="t" filled="f" o:preferrelative="t" stroked="f" coordsize="21600,21600">
                  <v:path/>
                  <v:fill on="f" focussize="0,0"/>
                  <v:stroke on="f"/>
                  <v:imagedata r:id="rId19" o:title=""/>
                  <o:lock v:ext="edit" aspectratio="t"/>
                  <w10:wrap type="none"/>
                  <w10:anchorlock/>
                </v:shape>
                <o:OLEObject Type="Embed" ProgID="Equation.KSEE3" ShapeID="_x0000_i1030" DrawAspect="Content" ObjectID="_1468075730" r:id="rId18">
                  <o:LockedField>false</o:LockedField>
                </o:OLEObject>
              </w:objec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点声源声功率级（A计权或倍频带），dB；</w:t>
            </w:r>
          </w:p>
          <w:p w14:paraId="6126CB1D">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position w:val="-10"/>
                <w:sz w:val="24"/>
                <w:highlight w:val="none"/>
                <w14:textFill>
                  <w14:solidFill>
                    <w14:schemeClr w14:val="tx1"/>
                  </w14:solidFill>
                </w14:textFill>
              </w:rPr>
              <w:object>
                <v:shape id="_x0000_i1031" o:spt="75" type="#_x0000_t75" style="height:16pt;width:12pt;" o:ole="t" filled="f" o:preferrelative="t" stroked="f" coordsize="21600,21600">
                  <v:path/>
                  <v:fill on="f" focussize="0,0"/>
                  <v:stroke on="f"/>
                  <v:imagedata r:id="rId21" o:title=""/>
                  <o:lock v:ext="edit" aspectratio="t"/>
                  <w10:wrap type="none"/>
                  <w10:anchorlock/>
                </v:shape>
                <o:OLEObject Type="Embed" ProgID="Equation.KSEE3" ShapeID="_x0000_i1031" DrawAspect="Content" ObjectID="_1468075731" r:id="rId20">
                  <o:LockedField>false</o:LockedField>
                </o:OLEObject>
              </w:objec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指向性因数；通常对无指向性声源，当声源放在房间中心时，</w:t>
            </w:r>
            <w:r>
              <w:rPr>
                <w:rFonts w:hint="default" w:ascii="Times New Roman" w:hAnsi="Times New Roman" w:eastAsia="宋体" w:cs="Times New Roman"/>
                <w:color w:val="000000" w:themeColor="text1"/>
                <w:position w:val="-10"/>
                <w:sz w:val="24"/>
                <w:highlight w:val="none"/>
                <w14:textFill>
                  <w14:solidFill>
                    <w14:schemeClr w14:val="tx1"/>
                  </w14:solidFill>
                </w14:textFill>
              </w:rPr>
              <w:object>
                <v:shape id="_x0000_i1032" o:spt="75" type="#_x0000_t75" style="height:16pt;width:28pt;" o:ole="t" filled="f" o:preferrelative="t" stroked="f" coordsize="21600,21600">
                  <v:path/>
                  <v:fill on="f" focussize="0,0"/>
                  <v:stroke on="f"/>
                  <v:imagedata r:id="rId23" o:title=""/>
                  <o:lock v:ext="edit" aspectratio="t"/>
                  <w10:wrap type="none"/>
                  <w10:anchorlock/>
                </v:shape>
                <o:OLEObject Type="Embed" ProgID="Equation.KSEE3" ShapeID="_x0000_i1032" DrawAspect="Content" ObjectID="_1468075732" r:id="rId22">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；当放在一面墙的中心时，</w:t>
            </w:r>
            <w:r>
              <w:rPr>
                <w:rFonts w:hint="default" w:ascii="Times New Roman" w:hAnsi="Times New Roman" w:eastAsia="宋体" w:cs="Times New Roman"/>
                <w:color w:val="000000" w:themeColor="text1"/>
                <w:position w:val="-10"/>
                <w:sz w:val="24"/>
                <w:highlight w:val="none"/>
                <w14:textFill>
                  <w14:solidFill>
                    <w14:schemeClr w14:val="tx1"/>
                  </w14:solidFill>
                </w14:textFill>
              </w:rPr>
              <w:object>
                <v:shape id="_x0000_i1033" o:spt="75" type="#_x0000_t75" style="height:16pt;width:30pt;" o:ole="t" filled="f" o:preferrelative="t" stroked="f" coordsize="21600,21600">
                  <v:path/>
                  <v:fill on="f" focussize="0,0"/>
                  <v:stroke on="f"/>
                  <v:imagedata r:id="rId25" o:title=""/>
                  <o:lock v:ext="edit" aspectratio="t"/>
                  <w10:wrap type="none"/>
                  <w10:anchorlock/>
                </v:shape>
                <o:OLEObject Type="Embed" ProgID="Equation.KSEE3" ShapeID="_x0000_i1033" DrawAspect="Content" ObjectID="_1468075733" r:id="rId24">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；当放在两面墙夹角处时，</w:t>
            </w:r>
            <w:r>
              <w:rPr>
                <w:rFonts w:hint="default" w:ascii="Times New Roman" w:hAnsi="Times New Roman" w:eastAsia="宋体" w:cs="Times New Roman"/>
                <w:color w:val="000000" w:themeColor="text1"/>
                <w:position w:val="-10"/>
                <w:sz w:val="24"/>
                <w:highlight w:val="none"/>
                <w14:textFill>
                  <w14:solidFill>
                    <w14:schemeClr w14:val="tx1"/>
                  </w14:solidFill>
                </w14:textFill>
              </w:rPr>
              <w:object>
                <v:shape id="_x0000_i1034" o:spt="75" type="#_x0000_t75" style="height:16pt;width:30pt;" o:ole="t" filled="f" o:preferrelative="t" stroked="f" coordsize="21600,21600">
                  <v:path/>
                  <v:fill on="f" focussize="0,0"/>
                  <v:stroke on="f"/>
                  <v:imagedata r:id="rId27" o:title=""/>
                  <o:lock v:ext="edit" aspectratio="t"/>
                  <w10:wrap type="none"/>
                  <w10:anchorlock/>
                </v:shape>
                <o:OLEObject Type="Embed" ProgID="Equation.KSEE3" ShapeID="_x0000_i1034" DrawAspect="Content" ObjectID="_1468075734" r:id="rId26">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；当放在三面墙夹角处时，</w:t>
            </w:r>
            <w:r>
              <w:rPr>
                <w:rFonts w:hint="default" w:ascii="Times New Roman" w:hAnsi="Times New Roman" w:eastAsia="宋体" w:cs="Times New Roman"/>
                <w:color w:val="000000" w:themeColor="text1"/>
                <w:position w:val="-10"/>
                <w:sz w:val="24"/>
                <w:highlight w:val="none"/>
                <w14:textFill>
                  <w14:solidFill>
                    <w14:schemeClr w14:val="tx1"/>
                  </w14:solidFill>
                </w14:textFill>
              </w:rPr>
              <w:object>
                <v:shape id="_x0000_i1035" o:spt="75" type="#_x0000_t75" style="height:16pt;width:30pt;" o:ole="t" filled="f" o:preferrelative="t" stroked="f" coordsize="21600,21600">
                  <v:path/>
                  <v:fill on="f" focussize="0,0"/>
                  <v:stroke on="f"/>
                  <v:imagedata r:id="rId29" o:title=""/>
                  <o:lock v:ext="edit" aspectratio="t"/>
                  <w10:wrap type="none"/>
                  <w10:anchorlock/>
                </v:shape>
                <o:OLEObject Type="Embed" ProgID="Equation.KSEE3" ShapeID="_x0000_i1035" DrawAspect="Content" ObjectID="_1468075735" r:id="rId28">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w:t>
            </w:r>
          </w:p>
          <w:p w14:paraId="54BB772A">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position w:val="-4"/>
                <w:sz w:val="24"/>
                <w:highlight w:val="none"/>
                <w14:textFill>
                  <w14:solidFill>
                    <w14:schemeClr w14:val="tx1"/>
                  </w14:solidFill>
                </w14:textFill>
              </w:rPr>
              <w:object>
                <v:shape id="_x0000_i1036" o:spt="75" type="#_x0000_t75" style="height:13pt;width:12pt;" o:ole="t" filled="f" o:preferrelative="t" stroked="f" coordsize="21600,21600">
                  <v:path/>
                  <v:fill on="f" focussize="0,0"/>
                  <v:stroke on="f"/>
                  <v:imagedata r:id="rId31" o:title=""/>
                  <o:lock v:ext="edit" aspectratio="t"/>
                  <w10:wrap type="none"/>
                  <w10:anchorlock/>
                </v:shape>
                <o:OLEObject Type="Embed" ProgID="Equation.KSEE3" ShapeID="_x0000_i1036" DrawAspect="Content" ObjectID="_1468075736" r:id="rId30">
                  <o:LockedField>false</o:LockedField>
                </o:OLEObject>
              </w:objec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房间常数；</w:t>
            </w:r>
            <w:r>
              <w:rPr>
                <w:rFonts w:hint="default" w:ascii="Times New Roman" w:hAnsi="Times New Roman" w:eastAsia="宋体" w:cs="Times New Roman"/>
                <w:color w:val="000000" w:themeColor="text1"/>
                <w:position w:val="-10"/>
                <w:sz w:val="24"/>
                <w:highlight w:val="none"/>
                <w14:textFill>
                  <w14:solidFill>
                    <w14:schemeClr w14:val="tx1"/>
                  </w14:solidFill>
                </w14:textFill>
              </w:rPr>
              <w:object>
                <v:shape id="_x0000_i1037" o:spt="75" type="#_x0000_t75" style="height:17pt;width:74pt;" o:ole="t" filled="f" o:preferrelative="t" stroked="f" coordsize="21600,21600">
                  <v:path/>
                  <v:fill on="f" focussize="0,0"/>
                  <v:stroke on="f"/>
                  <v:imagedata r:id="rId33" o:title=""/>
                  <o:lock v:ext="edit" aspectratio="t"/>
                  <w10:wrap type="none"/>
                  <w10:anchorlock/>
                </v:shape>
                <o:OLEObject Type="Embed" ProgID="Equation.KSEE3" ShapeID="_x0000_i1037" DrawAspect="Content" ObjectID="_1468075737" r:id="rId32">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w:t>
            </w: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38" o:spt="75" type="#_x0000_t75" style="height:13.95pt;width:11pt;" o:ole="t" filled="f" o:preferrelative="t" stroked="f" coordsize="21600,21600">
                  <v:path/>
                  <v:fill on="f" focussize="0,0"/>
                  <v:stroke on="f"/>
                  <v:imagedata r:id="rId35" o:title=""/>
                  <o:lock v:ext="edit" aspectratio="t"/>
                  <w10:wrap type="none"/>
                  <w10:anchorlock/>
                </v:shape>
                <o:OLEObject Type="Embed" ProgID="Equation.KSEE3" ShapeID="_x0000_i1038" DrawAspect="Content" ObjectID="_1468075738" r:id="rId34">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为房间内表面面积，</w:t>
            </w: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39" o:spt="75" type="#_x0000_t75" style="height:16pt;width:17pt;" o:ole="t" filled="f" o:preferrelative="t" stroked="f" coordsize="21600,21600">
                  <v:path/>
                  <v:fill on="f" focussize="0,0"/>
                  <v:stroke on="f"/>
                  <v:imagedata r:id="rId37" o:title=""/>
                  <o:lock v:ext="edit" aspectratio="t"/>
                  <w10:wrap type="none"/>
                  <w10:anchorlock/>
                </v:shape>
                <o:OLEObject Type="Embed" ProgID="Equation.KSEE3" ShapeID="_x0000_i1039" DrawAspect="Content" ObjectID="_1468075739" r:id="rId36">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w:t>
            </w: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40" o:spt="75" type="#_x0000_t75" style="height:11pt;width:12pt;" o:ole="t" filled="f" o:preferrelative="t" stroked="f" coordsize="21600,21600">
                  <v:path/>
                  <v:fill on="f" focussize="0,0"/>
                  <v:stroke on="f"/>
                  <v:imagedata r:id="rId39" o:title=""/>
                  <o:lock v:ext="edit" aspectratio="t"/>
                  <w10:wrap type="none"/>
                  <w10:anchorlock/>
                </v:shape>
                <o:OLEObject Type="Embed" ProgID="Equation.KSEE3" ShapeID="_x0000_i1040" DrawAspect="Content" ObjectID="_1468075740" r:id="rId38">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为平均吸声系数；</w:t>
            </w:r>
          </w:p>
          <w:p w14:paraId="2CBC47B2">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position w:val="-4"/>
                <w:sz w:val="24"/>
                <w:highlight w:val="none"/>
                <w14:textFill>
                  <w14:solidFill>
                    <w14:schemeClr w14:val="tx1"/>
                  </w14:solidFill>
                </w14:textFill>
              </w:rPr>
              <w:object>
                <v:shape id="_x0000_i1041" o:spt="75" type="#_x0000_t75" style="height:10pt;width:9pt;" o:ole="t" filled="f" o:preferrelative="t" stroked="f" coordsize="21600,21600">
                  <v:path/>
                  <v:fill on="f" focussize="0,0"/>
                  <v:stroke on="f"/>
                  <v:imagedata r:id="rId41" o:title=""/>
                  <o:lock v:ext="edit" aspectratio="t"/>
                  <w10:wrap type="none"/>
                  <w10:anchorlock/>
                </v:shape>
                <o:OLEObject Type="Embed" ProgID="Equation.KSEE3" ShapeID="_x0000_i1041" DrawAspect="Content" ObjectID="_1468075741" r:id="rId40">
                  <o:LockedField>false</o:LockedField>
                </o:OLEObject>
              </w:objec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声源到靠近围护结构某点处的距离，m。</w:t>
            </w:r>
          </w:p>
          <w:p w14:paraId="7219F709">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然后按式（B.3）计算出所有室内声源在围护结构处产生的</w:t>
            </w: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42" o:spt="75" type="#_x0000_t75" style="height:13pt;width:6.95pt;" o:ole="t" filled="f" o:preferrelative="t" stroked="f" coordsize="21600,21600">
                  <v:path/>
                  <v:fill on="f" focussize="0,0"/>
                  <v:stroke on="f"/>
                  <v:imagedata r:id="rId43" o:title=""/>
                  <o:lock v:ext="edit" aspectratio="t"/>
                  <w10:wrap type="none"/>
                  <w10:anchorlock/>
                </v:shape>
                <o:OLEObject Type="Embed" ProgID="Equation.KSEE3" ShapeID="_x0000_i1042" DrawAspect="Content" ObjectID="_1468075742" r:id="rId42">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倍频带叠加声压级：</w:t>
            </w:r>
          </w:p>
          <w:p w14:paraId="68092998">
            <w:pPr>
              <w:keepNext w:val="0"/>
              <w:keepLines w:val="0"/>
              <w:suppressLineNumbers w:val="0"/>
              <w:spacing w:before="0" w:beforeAutospacing="0" w:after="0" w:afterAutospacing="0" w:line="360" w:lineRule="auto"/>
              <w:ind w:left="0" w:right="0" w:firstLine="480" w:firstLineChars="200"/>
              <w:jc w:val="righ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position w:val="-34"/>
                <w:sz w:val="24"/>
                <w:highlight w:val="none"/>
                <w14:textFill>
                  <w14:solidFill>
                    <w14:schemeClr w14:val="tx1"/>
                  </w14:solidFill>
                </w14:textFill>
              </w:rPr>
              <w:object>
                <v:shape id="_x0000_i1043" o:spt="75" type="#_x0000_t75" style="height:40pt;width:131pt;" o:ole="t" filled="f" o:preferrelative="t" stroked="f" coordsize="21600,21600">
                  <v:path/>
                  <v:fill on="f" focussize="0,0"/>
                  <v:stroke on="f"/>
                  <v:imagedata r:id="rId45" o:title=""/>
                  <o:lock v:ext="edit" aspectratio="t"/>
                  <w10:wrap type="none"/>
                  <w10:anchorlock/>
                </v:shape>
                <o:OLEObject Type="Embed" ProgID="Equation.KSEE3" ShapeID="_x0000_i1043" DrawAspect="Content" ObjectID="_1468075743" r:id="rId44">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 xml:space="preserve">               （B.3）</w:t>
            </w:r>
          </w:p>
          <w:p w14:paraId="1A14AFEF">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式中：</w:t>
            </w:r>
            <w:r>
              <w:rPr>
                <w:rFonts w:hint="default" w:ascii="Times New Roman" w:hAnsi="Times New Roman" w:eastAsia="宋体" w:cs="Times New Roman"/>
                <w:color w:val="000000" w:themeColor="text1"/>
                <w:position w:val="-14"/>
                <w:sz w:val="24"/>
                <w:highlight w:val="none"/>
                <w14:textFill>
                  <w14:solidFill>
                    <w14:schemeClr w14:val="tx1"/>
                  </w14:solidFill>
                </w14:textFill>
              </w:rPr>
              <w:object>
                <v:shape id="_x0000_i1044" o:spt="75" type="#_x0000_t75" style="height:19pt;width:36pt;" o:ole="t" filled="f" o:preferrelative="t" stroked="f" coordsize="21600,21600">
                  <v:path/>
                  <v:fill on="f" focussize="0,0"/>
                  <v:stroke on="f"/>
                  <v:imagedata r:id="rId47" o:title=""/>
                  <o:lock v:ext="edit" aspectratio="t"/>
                  <w10:wrap type="none"/>
                  <w10:anchorlock/>
                </v:shape>
                <o:OLEObject Type="Embed" ProgID="Equation.KSEE3" ShapeID="_x0000_i1044" DrawAspect="Content" ObjectID="_1468075744" r:id="rId46">
                  <o:LockedField>false</o:LockedField>
                </o:OLEObject>
              </w:objec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靠近围护结构处室内</w:t>
            </w: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45" o:spt="75" type="#_x0000_t75" style="height:13.95pt;width:13.95pt;" o:ole="t" filled="f" o:preferrelative="t" stroked="f" coordsize="21600,21600">
                  <v:path/>
                  <v:fill on="f" focussize="0,0"/>
                  <v:stroke on="f"/>
                  <v:imagedata r:id="rId49" o:title=""/>
                  <o:lock v:ext="edit" aspectratio="t"/>
                  <w10:wrap type="none"/>
                  <w10:anchorlock/>
                </v:shape>
                <o:OLEObject Type="Embed" ProgID="Equation.KSEE3" ShapeID="_x0000_i1045" DrawAspect="Content" ObjectID="_1468075745" r:id="rId48">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个声源</w:t>
            </w: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46" o:spt="75" type="#_x0000_t75" style="height:13pt;width:6.95pt;" o:ole="t" filled="f" o:preferrelative="t" stroked="f" coordsize="21600,21600">
                  <v:path/>
                  <v:fill on="f" focussize="0,0"/>
                  <v:stroke on="f"/>
                  <v:imagedata r:id="rId43" o:title=""/>
                  <o:lock v:ext="edit" aspectratio="t"/>
                  <w10:wrap type="none"/>
                  <w10:anchorlock/>
                </v:shape>
                <o:OLEObject Type="Embed" ProgID="Equation.KSEE3" ShapeID="_x0000_i1046" DrawAspect="Content" ObjectID="_1468075746" r:id="rId50">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倍频带的叠加声压级，dB；</w:t>
            </w:r>
          </w:p>
          <w:p w14:paraId="2CBD49FD">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position w:val="-14"/>
                <w:sz w:val="24"/>
                <w:highlight w:val="none"/>
                <w14:textFill>
                  <w14:solidFill>
                    <w14:schemeClr w14:val="tx1"/>
                  </w14:solidFill>
                </w14:textFill>
              </w:rPr>
              <w:object>
                <v:shape id="_x0000_i1047" o:spt="75" type="#_x0000_t75" style="height:19pt;width:23pt;" o:ole="t" filled="f" o:preferrelative="t" stroked="f" coordsize="21600,21600">
                  <v:path/>
                  <v:fill on="f" focussize="0,0"/>
                  <v:stroke on="f"/>
                  <v:imagedata r:id="rId52" o:title=""/>
                  <o:lock v:ext="edit" aspectratio="t"/>
                  <w10:wrap type="none"/>
                  <w10:anchorlock/>
                </v:shape>
                <o:OLEObject Type="Embed" ProgID="Equation.KSEE3" ShapeID="_x0000_i1047" DrawAspect="Content" ObjectID="_1468075747" r:id="rId51">
                  <o:LockedField>false</o:LockedField>
                </o:OLEObject>
              </w:objec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室内</w:t>
            </w:r>
            <w:r>
              <w:rPr>
                <w:rFonts w:hint="default" w:ascii="Times New Roman" w:hAnsi="Times New Roman" w:eastAsia="宋体" w:cs="Times New Roman"/>
                <w:color w:val="000000" w:themeColor="text1"/>
                <w:position w:val="-10"/>
                <w:sz w:val="24"/>
                <w:highlight w:val="none"/>
                <w14:textFill>
                  <w14:solidFill>
                    <w14:schemeClr w14:val="tx1"/>
                  </w14:solidFill>
                </w14:textFill>
              </w:rPr>
              <w:object>
                <v:shape id="_x0000_i1048" o:spt="75" type="#_x0000_t75" style="height:15pt;width:10pt;" o:ole="t" filled="f" o:preferrelative="t" stroked="f" coordsize="21600,21600">
                  <v:path/>
                  <v:fill on="f" focussize="0,0"/>
                  <v:stroke on="f"/>
                  <v:imagedata r:id="rId54" o:title=""/>
                  <o:lock v:ext="edit" aspectratio="t"/>
                  <w10:wrap type="none"/>
                  <w10:anchorlock/>
                </v:shape>
                <o:OLEObject Type="Embed" ProgID="Equation.KSEE3" ShapeID="_x0000_i1048" DrawAspect="Content" ObjectID="_1468075748" r:id="rId53">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声源</w:t>
            </w: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49" o:spt="75" type="#_x0000_t75" style="height:13pt;width:6.95pt;" o:ole="t" filled="f" o:preferrelative="t" stroked="f" coordsize="21600,21600">
                  <v:path/>
                  <v:fill on="f" focussize="0,0"/>
                  <v:stroke on="f"/>
                  <v:imagedata r:id="rId43" o:title=""/>
                  <o:lock v:ext="edit" aspectratio="t"/>
                  <w10:wrap type="none"/>
                  <w10:anchorlock/>
                </v:shape>
                <o:OLEObject Type="Embed" ProgID="Equation.KSEE3" ShapeID="_x0000_i1049" DrawAspect="Content" ObjectID="_1468075749" r:id="rId55">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倍频带的声压级，dB；</w:t>
            </w:r>
          </w:p>
          <w:p w14:paraId="24F265CB">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50" o:spt="75" type="#_x0000_t75" style="height:13.95pt;width:13.95pt;" o:ole="t" filled="f" o:preferrelative="t" stroked="f" coordsize="21600,21600">
                  <v:path/>
                  <v:fill on="f" focussize="0,0"/>
                  <v:stroke on="f"/>
                  <v:imagedata r:id="rId49" o:title=""/>
                  <o:lock v:ext="edit" aspectratio="t"/>
                  <w10:wrap type="none"/>
                  <w10:anchorlock/>
                </v:shape>
                <o:OLEObject Type="Embed" ProgID="Equation.KSEE3" ShapeID="_x0000_i1050" DrawAspect="Content" ObjectID="_1468075750" r:id="rId56">
                  <o:LockedField>false</o:LockedField>
                </o:OLEObject>
              </w:objec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室内声源总数。</w:t>
            </w:r>
          </w:p>
          <w:p w14:paraId="3651D184">
            <w:pPr>
              <w:keepNext w:val="0"/>
              <w:keepLines w:val="0"/>
              <w:suppressLineNumbers w:val="0"/>
              <w:spacing w:before="0" w:beforeAutospacing="0" w:after="0" w:afterAutospacing="0" w:line="360" w:lineRule="auto"/>
              <w:ind w:left="0" w:right="0" w:firstLine="480" w:firstLineChars="200"/>
              <w:jc w:val="righ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在室内近似为扩散声场时，按式（B.4）计算出靠近室外围护结构处的声压级：</w:t>
            </w:r>
            <w:r>
              <w:rPr>
                <w:rFonts w:hint="default" w:ascii="Times New Roman" w:hAnsi="Times New Roman" w:eastAsia="宋体" w:cs="Times New Roman"/>
                <w:color w:val="000000" w:themeColor="text1"/>
                <w:position w:val="-14"/>
                <w:sz w:val="24"/>
                <w:highlight w:val="none"/>
                <w14:textFill>
                  <w14:solidFill>
                    <w14:schemeClr w14:val="tx1"/>
                  </w14:solidFill>
                </w14:textFill>
              </w:rPr>
              <w:object>
                <v:shape id="_x0000_i1051" o:spt="75" type="#_x0000_t75" style="height:19pt;width:132pt;" o:ole="t" filled="f" o:preferrelative="t" stroked="f" coordsize="21600,21600">
                  <v:path/>
                  <v:fill on="f" focussize="0,0"/>
                  <v:stroke on="f"/>
                  <v:imagedata r:id="rId58" o:title=""/>
                  <o:lock v:ext="edit" aspectratio="t"/>
                  <w10:wrap type="none"/>
                  <w10:anchorlock/>
                </v:shape>
                <o:OLEObject Type="Embed" ProgID="Equation.KSEE3" ShapeID="_x0000_i1051" DrawAspect="Content" ObjectID="_1468075751" r:id="rId57">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 xml:space="preserve">              （B.4）</w:t>
            </w:r>
          </w:p>
          <w:p w14:paraId="28E6BEAB">
            <w:pPr>
              <w:keepNext w:val="0"/>
              <w:keepLines w:val="0"/>
              <w:suppressLineNumbers w:val="0"/>
              <w:spacing w:before="0" w:beforeAutospacing="0" w:after="0" w:afterAutospacing="0" w:line="360" w:lineRule="auto"/>
              <w:ind w:left="1199" w:leftChars="228" w:right="0" w:hanging="720" w:hangingChars="3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式中：</w:t>
            </w:r>
            <w:r>
              <w:rPr>
                <w:rFonts w:hint="default" w:ascii="Times New Roman" w:hAnsi="Times New Roman" w:eastAsia="宋体" w:cs="Times New Roman"/>
                <w:color w:val="000000" w:themeColor="text1"/>
                <w:position w:val="-14"/>
                <w:sz w:val="24"/>
                <w:highlight w:val="none"/>
                <w14:textFill>
                  <w14:solidFill>
                    <w14:schemeClr w14:val="tx1"/>
                  </w14:solidFill>
                </w14:textFill>
              </w:rPr>
              <w:object>
                <v:shape id="_x0000_i1052" o:spt="75" type="#_x0000_t75" style="height:19pt;width:38pt;" o:ole="t" filled="f" o:preferrelative="t" stroked="f" coordsize="21600,21600">
                  <v:path/>
                  <v:fill on="f" focussize="0,0"/>
                  <v:stroke on="f"/>
                  <v:imagedata r:id="rId60" o:title=""/>
                  <o:lock v:ext="edit" aspectratio="t"/>
                  <w10:wrap type="none"/>
                  <w10:anchorlock/>
                </v:shape>
                <o:OLEObject Type="Embed" ProgID="Equation.KSEE3" ShapeID="_x0000_i1052" DrawAspect="Content" ObjectID="_1468075752" r:id="rId59">
                  <o:LockedField>false</o:LockedField>
                </o:OLEObject>
              </w:objec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靠近围护结构处室外</w:t>
            </w: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53" o:spt="75" type="#_x0000_t75" style="height:13.95pt;width:13.95pt;" o:ole="t" filled="f" o:preferrelative="t" stroked="f" coordsize="21600,21600">
                  <v:path/>
                  <v:fill on="f" focussize="0,0"/>
                  <v:stroke on="f"/>
                  <v:imagedata r:id="rId49" o:title=""/>
                  <o:lock v:ext="edit" aspectratio="t"/>
                  <w10:wrap type="none"/>
                  <w10:anchorlock/>
                </v:shape>
                <o:OLEObject Type="Embed" ProgID="Equation.KSEE3" ShapeID="_x0000_i1053" DrawAspect="Content" ObjectID="_1468075753" r:id="rId61">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个声源</w:t>
            </w: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54" o:spt="75" type="#_x0000_t75" style="height:13pt;width:6.95pt;" o:ole="t" filled="f" o:preferrelative="t" stroked="f" coordsize="21600,21600">
                  <v:path/>
                  <v:fill on="f" focussize="0,0"/>
                  <v:stroke on="f"/>
                  <v:imagedata r:id="rId43" o:title=""/>
                  <o:lock v:ext="edit" aspectratio="t"/>
                  <w10:wrap type="none"/>
                  <w10:anchorlock/>
                </v:shape>
                <o:OLEObject Type="Embed" ProgID="Equation.KSEE3" ShapeID="_x0000_i1054" DrawAspect="Content" ObjectID="_1468075754" r:id="rId62">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倍频带的叠加声压级，dB；</w:t>
            </w:r>
            <w:r>
              <w:rPr>
                <w:rFonts w:hint="default" w:ascii="Times New Roman" w:hAnsi="Times New Roman" w:eastAsia="宋体" w:cs="Times New Roman"/>
                <w:color w:val="000000" w:themeColor="text1"/>
                <w:position w:val="-14"/>
                <w:sz w:val="24"/>
                <w:highlight w:val="none"/>
                <w14:textFill>
                  <w14:solidFill>
                    <w14:schemeClr w14:val="tx1"/>
                  </w14:solidFill>
                </w14:textFill>
              </w:rPr>
              <w:object>
                <v:shape id="_x0000_i1055" o:spt="75" type="#_x0000_t75" style="height:19pt;width:36pt;" o:ole="t" filled="f" o:preferrelative="t" stroked="f" coordsize="21600,21600">
                  <v:path/>
                  <v:fill on="f" focussize="0,0"/>
                  <v:stroke on="f"/>
                  <v:imagedata r:id="rId64" o:title=""/>
                  <o:lock v:ext="edit" aspectratio="t"/>
                  <w10:wrap type="none"/>
                  <w10:anchorlock/>
                </v:shape>
                <o:OLEObject Type="Embed" ProgID="Equation.KSEE3" ShapeID="_x0000_i1055" DrawAspect="Content" ObjectID="_1468075755" r:id="rId63">
                  <o:LockedField>false</o:LockedField>
                </o:OLEObject>
              </w:objec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靠近围护结构处室内</w:t>
            </w: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56" o:spt="75" type="#_x0000_t75" style="height:13.95pt;width:13.95pt;" o:ole="t" filled="f" o:preferrelative="t" stroked="f" coordsize="21600,21600">
                  <v:path/>
                  <v:fill on="f" focussize="0,0"/>
                  <v:stroke on="f"/>
                  <v:imagedata r:id="rId49" o:title=""/>
                  <o:lock v:ext="edit" aspectratio="t"/>
                  <w10:wrap type="none"/>
                  <w10:anchorlock/>
                </v:shape>
                <o:OLEObject Type="Embed" ProgID="Equation.KSEE3" ShapeID="_x0000_i1056" DrawAspect="Content" ObjectID="_1468075756" r:id="rId65">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个声源</w:t>
            </w: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57" o:spt="75" type="#_x0000_t75" style="height:13pt;width:6.95pt;" o:ole="t" filled="f" o:preferrelative="t" stroked="f" coordsize="21600,21600">
                  <v:path/>
                  <v:fill on="f" focussize="0,0"/>
                  <v:stroke on="f"/>
                  <v:imagedata r:id="rId43" o:title=""/>
                  <o:lock v:ext="edit" aspectratio="t"/>
                  <w10:wrap type="none"/>
                  <w10:anchorlock/>
                </v:shape>
                <o:OLEObject Type="Embed" ProgID="Equation.KSEE3" ShapeID="_x0000_i1057" DrawAspect="Content" ObjectID="_1468075757" r:id="rId66">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倍频带的叠加声压级，dB；</w:t>
            </w:r>
          </w:p>
          <w:p w14:paraId="1DFE05FB">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position w:val="-12"/>
                <w:sz w:val="24"/>
                <w:highlight w:val="none"/>
                <w14:textFill>
                  <w14:solidFill>
                    <w14:schemeClr w14:val="tx1"/>
                  </w14:solidFill>
                </w14:textFill>
              </w:rPr>
              <w:object>
                <v:shape id="_x0000_i1058" o:spt="75" type="#_x0000_t75" style="height:18pt;width:18pt;" o:ole="t" filled="f" o:preferrelative="t" stroked="f" coordsize="21600,21600">
                  <v:path/>
                  <v:fill on="f" focussize="0,0"/>
                  <v:stroke on="f"/>
                  <v:imagedata r:id="rId68" o:title=""/>
                  <o:lock v:ext="edit" aspectratio="t"/>
                  <w10:wrap type="none"/>
                  <w10:anchorlock/>
                </v:shape>
                <o:OLEObject Type="Embed" ProgID="Equation.KSEE3" ShapeID="_x0000_i1058" DrawAspect="Content" ObjectID="_1468075758" r:id="rId67">
                  <o:LockedField>false</o:LockedField>
                </o:OLEObject>
              </w:objec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围护结构</w:t>
            </w: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59" o:spt="75" type="#_x0000_t75" style="height:13pt;width:6.95pt;" o:ole="t" filled="f" o:preferrelative="t" stroked="f" coordsize="21600,21600">
                  <v:path/>
                  <v:fill on="f" focussize="0,0"/>
                  <v:stroke on="f"/>
                  <v:imagedata r:id="rId43" o:title=""/>
                  <o:lock v:ext="edit" aspectratio="t"/>
                  <w10:wrap type="none"/>
                  <w10:anchorlock/>
                </v:shape>
                <o:OLEObject Type="Embed" ProgID="Equation.KSEE3" ShapeID="_x0000_i1059" DrawAspect="Content" ObjectID="_1468075759" r:id="rId69">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倍频带的隔声量，dB。</w:t>
            </w:r>
          </w:p>
          <w:p w14:paraId="0DAD872E">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然后按式（B.5）将室外声源的声压级和透过面积换算成等效的室外声源，计算出中心位置位于透声面积（</w:t>
            </w: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60" o:spt="75" type="#_x0000_t75" style="height:13.95pt;width:11pt;" o:ole="t" filled="f" o:preferrelative="t" stroked="f" coordsize="21600,21600">
                  <v:path/>
                  <v:fill on="f" focussize="0,0"/>
                  <v:stroke on="f"/>
                  <v:imagedata r:id="rId71" o:title=""/>
                  <o:lock v:ext="edit" aspectratio="t"/>
                  <w10:wrap type="none"/>
                  <w10:anchorlock/>
                </v:shape>
                <o:OLEObject Type="Embed" ProgID="Equation.KSEE3" ShapeID="_x0000_i1060" DrawAspect="Content" ObjectID="_1468075760" r:id="rId70">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）处的等效声源的倍频带声功率级。</w:t>
            </w:r>
          </w:p>
          <w:p w14:paraId="4EB42542">
            <w:pPr>
              <w:keepNext w:val="0"/>
              <w:keepLines w:val="0"/>
              <w:suppressLineNumbers w:val="0"/>
              <w:spacing w:before="0" w:beforeAutospacing="0" w:after="0" w:afterAutospacing="0" w:line="360" w:lineRule="auto"/>
              <w:ind w:left="0" w:right="0" w:firstLine="480" w:firstLineChars="200"/>
              <w:jc w:val="righ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position w:val="-14"/>
                <w:sz w:val="24"/>
                <w:highlight w:val="none"/>
                <w14:textFill>
                  <w14:solidFill>
                    <w14:schemeClr w14:val="tx1"/>
                  </w14:solidFill>
                </w14:textFill>
              </w:rPr>
              <w:object>
                <v:shape id="_x0000_i1061" o:spt="75" type="#_x0000_t75" style="height:19pt;width:101pt;" o:ole="t" filled="f" o:preferrelative="t" stroked="f" coordsize="21600,21600">
                  <v:path/>
                  <v:fill on="f" focussize="0,0"/>
                  <v:stroke on="f"/>
                  <v:imagedata r:id="rId73" o:title=""/>
                  <o:lock v:ext="edit" aspectratio="t"/>
                  <w10:wrap type="none"/>
                  <w10:anchorlock/>
                </v:shape>
                <o:OLEObject Type="Embed" ProgID="Equation.KSEE3" ShapeID="_x0000_i1061" DrawAspect="Content" ObjectID="_1468075761" r:id="rId72">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 xml:space="preserve">                    （B.5）</w:t>
            </w:r>
          </w:p>
          <w:p w14:paraId="23A5CF3F">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式中：</w:t>
            </w:r>
            <w:r>
              <w:rPr>
                <w:rFonts w:hint="default" w:ascii="Times New Roman" w:hAnsi="Times New Roman" w:eastAsia="宋体" w:cs="Times New Roman"/>
                <w:color w:val="000000" w:themeColor="text1"/>
                <w:position w:val="-12"/>
                <w:sz w:val="24"/>
                <w:highlight w:val="none"/>
                <w14:textFill>
                  <w14:solidFill>
                    <w14:schemeClr w14:val="tx1"/>
                  </w14:solidFill>
                </w14:textFill>
              </w:rPr>
              <w:object>
                <v:shape id="_x0000_i1062" o:spt="75" type="#_x0000_t75" style="height:18pt;width:15pt;" o:ole="t" filled="f" o:preferrelative="t" stroked="f" coordsize="21600,21600">
                  <v:path/>
                  <v:fill on="f" focussize="0,0"/>
                  <v:stroke on="f"/>
                  <v:imagedata r:id="rId75" o:title=""/>
                  <o:lock v:ext="edit" aspectratio="t"/>
                  <w10:wrap type="none"/>
                  <w10:anchorlock/>
                </v:shape>
                <o:OLEObject Type="Embed" ProgID="Equation.KSEE3" ShapeID="_x0000_i1062" DrawAspect="Content" ObjectID="_1468075762" r:id="rId74">
                  <o:LockedField>false</o:LockedField>
                </o:OLEObject>
              </w:objec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中心位置位于透声面积（</w:t>
            </w: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63" o:spt="75" type="#_x0000_t75" style="height:13.95pt;width:11pt;" o:ole="t" filled="f" o:preferrelative="t" stroked="f" coordsize="21600,21600">
                  <v:path/>
                  <v:fill on="f" focussize="0,0"/>
                  <v:stroke on="f"/>
                  <v:imagedata r:id="rId71" o:title=""/>
                  <o:lock v:ext="edit" aspectratio="t"/>
                  <w10:wrap type="none"/>
                  <w10:anchorlock/>
                </v:shape>
                <o:OLEObject Type="Embed" ProgID="Equation.KSEE3" ShapeID="_x0000_i1063" DrawAspect="Content" ObjectID="_1468075763" r:id="rId76">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）处的等效声源的倍频带声功率级，dB；</w:t>
            </w:r>
          </w:p>
          <w:p w14:paraId="31DE2619">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position w:val="-14"/>
                <w:sz w:val="24"/>
                <w:highlight w:val="none"/>
                <w14:textFill>
                  <w14:solidFill>
                    <w14:schemeClr w14:val="tx1"/>
                  </w14:solidFill>
                </w14:textFill>
              </w:rPr>
              <w:object>
                <v:shape id="_x0000_i1064" o:spt="75" type="#_x0000_t75" style="height:19pt;width:35pt;" o:ole="t" filled="f" o:preferrelative="t" stroked="f" coordsize="21600,21600">
                  <v:path/>
                  <v:fill on="f" focussize="0,0"/>
                  <v:stroke on="f"/>
                  <v:imagedata r:id="rId78" o:title=""/>
                  <o:lock v:ext="edit" aspectratio="t"/>
                  <w10:wrap type="none"/>
                  <w10:anchorlock/>
                </v:shape>
                <o:OLEObject Type="Embed" ProgID="Equation.KSEE3" ShapeID="_x0000_i1064" DrawAspect="Content" ObjectID="_1468075764" r:id="rId77">
                  <o:LockedField>false</o:LockedField>
                </o:OLEObject>
              </w:objec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靠近围护结构处室外声源的声压级，dB；</w:t>
            </w:r>
          </w:p>
          <w:p w14:paraId="7A62C721">
            <w:pPr>
              <w:keepNext w:val="0"/>
              <w:keepLines w:val="0"/>
              <w:suppressLineNumbers w:val="0"/>
              <w:spacing w:before="0" w:beforeAutospacing="0" w:after="0" w:afterAutospacing="0" w:line="360" w:lineRule="auto"/>
              <w:ind w:left="0" w:right="0" w:firstLine="1200" w:firstLineChars="5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65" o:spt="75" type="#_x0000_t75" style="height:13.95pt;width:11pt;" o:ole="t" filled="f" o:preferrelative="t" stroked="f" coordsize="21600,21600">
                  <v:path/>
                  <v:fill on="f" focussize="0,0"/>
                  <v:stroke on="f"/>
                  <v:imagedata r:id="rId71" o:title=""/>
                  <o:lock v:ext="edit" aspectratio="t"/>
                  <w10:wrap type="none"/>
                  <w10:anchorlock/>
                </v:shape>
                <o:OLEObject Type="Embed" ProgID="Equation.KSEE3" ShapeID="_x0000_i1065" DrawAspect="Content" ObjectID="_1468075765" r:id="rId79">
                  <o:LockedField>false</o:LockedField>
                </o:OLEObject>
              </w:objec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透声面积，</w:t>
            </w: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66" o:spt="75" type="#_x0000_t75" style="height:16pt;width:17pt;" o:ole="t" filled="f" o:preferrelative="t" stroked="f" coordsize="21600,21600">
                  <v:path/>
                  <v:fill on="f" focussize="0,0"/>
                  <v:stroke on="f"/>
                  <v:imagedata r:id="rId37" o:title=""/>
                  <o:lock v:ext="edit" aspectratio="t"/>
                  <w10:wrap type="none"/>
                  <w10:anchorlock/>
                </v:shape>
                <o:OLEObject Type="Embed" ProgID="Equation.KSEE3" ShapeID="_x0000_i1066" DrawAspect="Content" ObjectID="_1468075766" r:id="rId80">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w:t>
            </w:r>
          </w:p>
          <w:p w14:paraId="5B4B11D6">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然后按室外声源预测方法计算预测点处的A声级。</w:t>
            </w:r>
          </w:p>
          <w:p w14:paraId="5CDD6E55">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②附录A.3.1.3面声源的几何发散衰减</w:t>
            </w:r>
          </w:p>
          <w:p w14:paraId="4EB5E417">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一个大型机器设备的振动表面，车间透声的墙壁，均可以认为是面声源。如果已知面声源单位面积的声功率为W，各面积元噪声的位相是随机的，面声源可</w:t>
            </w:r>
            <w:r>
              <w:rPr>
                <w:rFonts w:hint="eastAsia" w:cs="Times New Roman"/>
                <w:color w:val="000000" w:themeColor="text1"/>
                <w:sz w:val="24"/>
                <w:highlight w:val="none"/>
                <w:lang w:eastAsia="zh-CN"/>
                <w14:textFill>
                  <w14:solidFill>
                    <w14:schemeClr w14:val="tx1"/>
                  </w14:solidFill>
                </w14:textFill>
              </w:rPr>
              <w:t>看作</w:t>
            </w:r>
            <w:r>
              <w:rPr>
                <w:rFonts w:hint="default" w:ascii="Times New Roman" w:hAnsi="Times New Roman" w:eastAsia="宋体" w:cs="Times New Roman"/>
                <w:color w:val="000000" w:themeColor="text1"/>
                <w:sz w:val="24"/>
                <w:highlight w:val="none"/>
                <w14:textFill>
                  <w14:solidFill>
                    <w14:schemeClr w14:val="tx1"/>
                  </w14:solidFill>
                </w14:textFill>
              </w:rPr>
              <w:t>由无数点声源连续分布组合而成，其合成声级可按能量叠加法求出。</w:t>
            </w:r>
          </w:p>
          <w:p w14:paraId="2DA1C6D5">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当预测点和面声源中心距离r处于以下条件时，可按下述方法近似计算：</w:t>
            </w:r>
          </w:p>
          <w:p w14:paraId="373053D8">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67" o:spt="75" type="#_x0000_t75" style="height:13.95pt;width:42pt;" o:ole="t" filled="f" o:preferrelative="t" stroked="f" coordsize="21600,21600">
                  <v:path/>
                  <v:fill on="f" focussize="0,0"/>
                  <v:stroke on="f"/>
                  <v:imagedata r:id="rId82" o:title=""/>
                  <o:lock v:ext="edit" aspectratio="t"/>
                  <w10:wrap type="none"/>
                  <w10:anchorlock/>
                </v:shape>
                <o:OLEObject Type="Embed" ProgID="Equation.KSEE3" ShapeID="_x0000_i1067" DrawAspect="Content" ObjectID="_1468075767" r:id="rId81">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时，几乎不衰减（</w:t>
            </w:r>
            <w:r>
              <w:rPr>
                <w:rFonts w:hint="default" w:ascii="Times New Roman" w:hAnsi="Times New Roman" w:eastAsia="宋体" w:cs="Times New Roman"/>
                <w:color w:val="000000" w:themeColor="text1"/>
                <w:position w:val="-12"/>
                <w:sz w:val="24"/>
                <w:highlight w:val="none"/>
                <w14:textFill>
                  <w14:solidFill>
                    <w14:schemeClr w14:val="tx1"/>
                  </w14:solidFill>
                </w14:textFill>
              </w:rPr>
              <w:object>
                <v:shape id="_x0000_i1068" o:spt="75" type="#_x0000_t75" style="height:18pt;width:39pt;" o:ole="t" filled="f" o:preferrelative="t" stroked="f" coordsize="21600,21600">
                  <v:path/>
                  <v:fill on="f" focussize="0,0"/>
                  <v:stroke on="f"/>
                  <v:imagedata r:id="rId84" o:title=""/>
                  <o:lock v:ext="edit" aspectratio="t"/>
                  <w10:wrap type="none"/>
                  <w10:anchorlock/>
                </v:shape>
                <o:OLEObject Type="Embed" ProgID="Equation.KSEE3" ShapeID="_x0000_i1068" DrawAspect="Content" ObjectID="_1468075768" r:id="rId83">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w:t>
            </w:r>
          </w:p>
          <w:p w14:paraId="46314E56">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69" o:spt="75" type="#_x0000_t75" style="height:13.95pt;width:73pt;" o:ole="t" filled="f" o:preferrelative="t" stroked="f" coordsize="21600,21600">
                  <v:path/>
                  <v:fill on="f" focussize="0,0"/>
                  <v:stroke on="f"/>
                  <v:imagedata r:id="rId86" o:title=""/>
                  <o:lock v:ext="edit" aspectratio="t"/>
                  <w10:wrap type="none"/>
                  <w10:anchorlock/>
                </v:shape>
                <o:OLEObject Type="Embed" ProgID="Equation.KSEE3" ShapeID="_x0000_i1069" DrawAspect="Content" ObjectID="_1468075769" r:id="rId85">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，距离加倍衰减3dB左右，类似线声源衰减特性</w:t>
            </w:r>
            <w:r>
              <w:rPr>
                <w:rFonts w:hint="default" w:ascii="Times New Roman" w:hAnsi="Times New Roman" w:eastAsia="宋体" w:cs="Times New Roman"/>
                <w:color w:val="000000" w:themeColor="text1"/>
                <w:position w:val="-12"/>
                <w:sz w:val="24"/>
                <w:highlight w:val="none"/>
                <w14:textFill>
                  <w14:solidFill>
                    <w14:schemeClr w14:val="tx1"/>
                  </w14:solidFill>
                </w14:textFill>
              </w:rPr>
              <w:object>
                <v:shape id="_x0000_i1070" o:spt="75" type="#_x0000_t75" style="height:18pt;width:85pt;" o:ole="t" filled="f" o:preferrelative="t" stroked="f" coordsize="21600,21600">
                  <v:path/>
                  <v:fill on="f" focussize="0,0"/>
                  <v:stroke on="f"/>
                  <v:imagedata r:id="rId88" o:title=""/>
                  <o:lock v:ext="edit" aspectratio="t"/>
                  <w10:wrap type="none"/>
                  <w10:anchorlock/>
                </v:shape>
                <o:OLEObject Type="Embed" ProgID="Equation.KSEE3" ShapeID="_x0000_i1070" DrawAspect="Content" ObjectID="_1468075770" r:id="rId87">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w:t>
            </w:r>
          </w:p>
          <w:p w14:paraId="4754978C">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71" o:spt="75" type="#_x0000_t75" style="height:13.95pt;width:41pt;" o:ole="t" filled="f" o:preferrelative="t" stroked="f" coordsize="21600,21600">
                  <v:path/>
                  <v:fill on="f" focussize="0,0"/>
                  <v:stroke on="f"/>
                  <v:imagedata r:id="rId90" o:title=""/>
                  <o:lock v:ext="edit" aspectratio="t"/>
                  <w10:wrap type="none"/>
                  <w10:anchorlock/>
                </v:shape>
                <o:OLEObject Type="Embed" ProgID="Equation.KSEE3" ShapeID="_x0000_i1071" DrawAspect="Content" ObjectID="_1468075771" r:id="rId89">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时，距离加倍衰减趋近于6dB，类似点声源衰减特性</w:t>
            </w:r>
            <w:r>
              <w:rPr>
                <w:rFonts w:hint="default" w:ascii="Times New Roman" w:hAnsi="Times New Roman" w:eastAsia="宋体" w:cs="Times New Roman"/>
                <w:color w:val="000000" w:themeColor="text1"/>
                <w:position w:val="-12"/>
                <w:sz w:val="24"/>
                <w:highlight w:val="none"/>
                <w14:textFill>
                  <w14:solidFill>
                    <w14:schemeClr w14:val="tx1"/>
                  </w14:solidFill>
                </w14:textFill>
              </w:rPr>
              <w:object>
                <v:shape id="_x0000_i1072" o:spt="75" type="#_x0000_t75" style="height:18pt;width:85.95pt;" o:ole="t" filled="f" o:preferrelative="t" stroked="f" coordsize="21600,21600">
                  <v:path/>
                  <v:fill on="f" focussize="0,0"/>
                  <v:stroke on="f"/>
                  <v:imagedata r:id="rId92" o:title=""/>
                  <o:lock v:ext="edit" aspectratio="t"/>
                  <w10:wrap type="none"/>
                  <w10:anchorlock/>
                </v:shape>
                <o:OLEObject Type="Embed" ProgID="Equation.KSEE3" ShapeID="_x0000_i1072" DrawAspect="Content" ObjectID="_1468075772" r:id="rId91">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。其中面声源的</w:t>
            </w:r>
            <w:r>
              <w:rPr>
                <w:rFonts w:hint="default" w:ascii="Times New Roman" w:hAnsi="Times New Roman" w:eastAsia="宋体" w:cs="Times New Roman"/>
                <w:color w:val="000000" w:themeColor="text1"/>
                <w:position w:val="-6"/>
                <w:sz w:val="24"/>
                <w:highlight w:val="none"/>
                <w14:textFill>
                  <w14:solidFill>
                    <w14:schemeClr w14:val="tx1"/>
                  </w14:solidFill>
                </w14:textFill>
              </w:rPr>
              <w:object>
                <v:shape id="_x0000_i1073" o:spt="75" type="#_x0000_t75" style="height:13.95pt;width:28pt;" o:ole="t" filled="f" o:preferrelative="t" stroked="f" coordsize="21600,21600">
                  <v:path/>
                  <v:fill on="f" focussize="0,0"/>
                  <v:stroke on="f"/>
                  <v:imagedata r:id="rId94" o:title=""/>
                  <o:lock v:ext="edit" aspectratio="t"/>
                  <w10:wrap type="none"/>
                  <w10:anchorlock/>
                </v:shape>
                <o:OLEObject Type="Embed" ProgID="Equation.KSEE3" ShapeID="_x0000_i1073" DrawAspect="Content" ObjectID="_1468075773" r:id="rId93">
                  <o:LockedField>false</o:LockedField>
                </o:OLEObject>
              </w:object>
            </w:r>
            <w:r>
              <w:rPr>
                <w:rFonts w:hint="default" w:ascii="Times New Roman" w:hAnsi="Times New Roman" w:eastAsia="宋体" w:cs="Times New Roman"/>
                <w:color w:val="000000" w:themeColor="text1"/>
                <w:sz w:val="24"/>
                <w:highlight w:val="none"/>
                <w14:textFill>
                  <w14:solidFill>
                    <w14:schemeClr w14:val="tx1"/>
                  </w14:solidFill>
                </w14:textFill>
              </w:rPr>
              <w:t>。</w:t>
            </w:r>
          </w:p>
          <w:p w14:paraId="34C6C005">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lang w:val="en-US"/>
                <w14:textFill>
                  <w14:solidFill>
                    <w14:schemeClr w14:val="tx1"/>
                  </w14:solidFill>
                </w14:textFill>
              </w:rPr>
            </w:pPr>
            <w:r>
              <w:rPr>
                <w:rFonts w:hint="default" w:ascii="Times New Roman" w:hAnsi="Times New Roman" w:eastAsia="宋体" w:cs="Times New Roman"/>
                <w:b w:val="0"/>
                <w:bCs w:val="0"/>
                <w:color w:val="000000" w:themeColor="text1"/>
                <w:sz w:val="24"/>
                <w:szCs w:val="24"/>
                <w:highlight w:val="none"/>
                <w14:textFill>
                  <w14:solidFill>
                    <w14:schemeClr w14:val="tx1"/>
                  </w14:solidFill>
                </w14:textFill>
              </w:rPr>
              <w:t>经预测，分析结果见表4-</w:t>
            </w:r>
            <w:r>
              <w:rPr>
                <w:rFonts w:hint="eastAsia" w:cs="Times New Roman"/>
                <w:b w:val="0"/>
                <w:bCs w:val="0"/>
                <w:color w:val="000000" w:themeColor="text1"/>
                <w:sz w:val="24"/>
                <w:szCs w:val="24"/>
                <w:highlight w:val="none"/>
                <w:lang w:val="en-US" w:eastAsia="zh-CN"/>
                <w14:textFill>
                  <w14:solidFill>
                    <w14:schemeClr w14:val="tx1"/>
                  </w14:solidFill>
                </w14:textFill>
              </w:rPr>
              <w:t>2</w:t>
            </w:r>
            <w:r>
              <w:rPr>
                <w:rFonts w:hint="default" w:ascii="Times New Roman" w:hAnsi="Times New Roman" w:eastAsia="宋体" w:cs="Times New Roman"/>
                <w:b w:val="0"/>
                <w:bCs w:val="0"/>
                <w:color w:val="000000" w:themeColor="text1"/>
                <w:sz w:val="24"/>
                <w:szCs w:val="24"/>
                <w:highlight w:val="none"/>
                <w:lang w:eastAsia="zh-CN"/>
                <w14:textFill>
                  <w14:solidFill>
                    <w14:schemeClr w14:val="tx1"/>
                  </w14:solidFill>
                </w14:textFill>
              </w:rPr>
              <w:t>。</w:t>
            </w:r>
          </w:p>
          <w:p w14:paraId="4786DB0A">
            <w:pPr>
              <w:pStyle w:val="40"/>
              <w:keepNext w:val="0"/>
              <w:keepLines w:val="0"/>
              <w:widowControl/>
              <w:suppressLineNumbers w:val="0"/>
              <w:snapToGrid w:val="0"/>
              <w:spacing w:beforeAutospacing="0" w:after="0" w:afterAutospacing="0" w:line="360" w:lineRule="auto"/>
              <w:ind w:left="0" w:firstLine="0" w:firstLineChars="0"/>
              <w:jc w:val="center"/>
              <w:rPr>
                <w:rFonts w:hint="default" w:ascii="Times New Roman" w:hAnsi="Times New Roman" w:eastAsia="宋体" w:cs="Times New Roman"/>
                <w:b/>
                <w:bCs/>
                <w:color w:val="000000" w:themeColor="text1"/>
                <w:sz w:val="21"/>
                <w:szCs w:val="24"/>
                <w:highlight w:val="none"/>
                <w14:textFill>
                  <w14:solidFill>
                    <w14:schemeClr w14:val="tx1"/>
                  </w14:solidFill>
                </w14:textFill>
              </w:rPr>
            </w:pPr>
            <w:r>
              <w:rPr>
                <w:rFonts w:hint="default" w:ascii="Times New Roman" w:hAnsi="Times New Roman" w:eastAsia="宋体" w:cs="Times New Roman"/>
                <w:b/>
                <w:bCs/>
                <w:color w:val="000000" w:themeColor="text1"/>
                <w:sz w:val="21"/>
                <w:szCs w:val="24"/>
                <w:highlight w:val="none"/>
                <w14:textFill>
                  <w14:solidFill>
                    <w14:schemeClr w14:val="tx1"/>
                  </w14:solidFill>
                </w14:textFill>
              </w:rPr>
              <w:t>表4-</w:t>
            </w:r>
            <w:r>
              <w:rPr>
                <w:rFonts w:hint="eastAsia" w:cs="Times New Roman"/>
                <w:b/>
                <w:bCs/>
                <w:color w:val="000000" w:themeColor="text1"/>
                <w:sz w:val="21"/>
                <w:szCs w:val="24"/>
                <w:highlight w:val="none"/>
                <w:lang w:val="en-US" w:eastAsia="zh-CN"/>
                <w14:textFill>
                  <w14:solidFill>
                    <w14:schemeClr w14:val="tx1"/>
                  </w14:solidFill>
                </w14:textFill>
              </w:rPr>
              <w:t>2</w:t>
            </w:r>
            <w:r>
              <w:rPr>
                <w:rFonts w:hint="default" w:ascii="Times New Roman" w:hAnsi="Times New Roman" w:eastAsia="宋体" w:cs="Times New Roman"/>
                <w:b/>
                <w:bCs/>
                <w:color w:val="000000" w:themeColor="text1"/>
                <w:sz w:val="21"/>
                <w:szCs w:val="24"/>
                <w:highlight w:val="none"/>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1"/>
                <w:szCs w:val="24"/>
                <w:highlight w:val="none"/>
                <w14:textFill>
                  <w14:solidFill>
                    <w14:schemeClr w14:val="tx1"/>
                  </w14:solidFill>
                </w14:textFill>
              </w:rPr>
              <w:t>工业企业噪声源强调查清单</w:t>
            </w:r>
            <w:r>
              <w:rPr>
                <w:rFonts w:hint="default" w:ascii="Times New Roman" w:hAnsi="Times New Roman" w:eastAsia="宋体" w:cs="Times New Roman"/>
                <w:b/>
                <w:bCs/>
                <w:color w:val="000000" w:themeColor="text1"/>
                <w:sz w:val="21"/>
                <w:szCs w:val="24"/>
                <w:highlight w:val="none"/>
                <w:lang w:eastAsia="zh-CN"/>
                <w14:textFill>
                  <w14:solidFill>
                    <w14:schemeClr w14:val="tx1"/>
                  </w14:solidFill>
                </w14:textFill>
              </w:rPr>
              <w:t>（室内声源）</w:t>
            </w:r>
          </w:p>
          <w:tbl>
            <w:tblPr>
              <w:tblStyle w:val="41"/>
              <w:tblW w:w="848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7"/>
              <w:gridCol w:w="417"/>
              <w:gridCol w:w="620"/>
              <w:gridCol w:w="794"/>
              <w:gridCol w:w="417"/>
              <w:gridCol w:w="272"/>
              <w:gridCol w:w="329"/>
              <w:gridCol w:w="283"/>
              <w:gridCol w:w="297"/>
              <w:gridCol w:w="397"/>
              <w:gridCol w:w="352"/>
              <w:gridCol w:w="431"/>
              <w:gridCol w:w="391"/>
              <w:gridCol w:w="417"/>
              <w:gridCol w:w="739"/>
              <w:gridCol w:w="301"/>
              <w:gridCol w:w="318"/>
              <w:gridCol w:w="431"/>
              <w:gridCol w:w="397"/>
              <w:gridCol w:w="469"/>
            </w:tblGrid>
            <w:tr w14:paraId="6D4E1F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7" w:type="dxa"/>
                  <w:vMerge w:val="restart"/>
                  <w:noWrap w:val="0"/>
                  <w:vAlign w:val="center"/>
                </w:tcPr>
                <w:p w14:paraId="61D4DA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bookmarkStart w:id="4" w:name="PT_6"/>
                  <w:r>
                    <w:rPr>
                      <w:rFonts w:hint="default" w:ascii="Times New Roman" w:hAnsi="Times New Roman" w:eastAsia="宋体" w:cs="Times New Roman"/>
                      <w:b/>
                      <w:bCs/>
                      <w:color w:val="000000" w:themeColor="text1"/>
                      <w:sz w:val="20"/>
                      <w:szCs w:val="20"/>
                      <w:highlight w:val="none"/>
                      <w14:textFill>
                        <w14:solidFill>
                          <w14:schemeClr w14:val="tx1"/>
                        </w14:solidFill>
                      </w14:textFill>
                    </w:rPr>
                    <w:t>序号</w:t>
                  </w:r>
                </w:p>
              </w:tc>
              <w:tc>
                <w:tcPr>
                  <w:tcW w:w="417" w:type="dxa"/>
                  <w:vMerge w:val="restart"/>
                  <w:noWrap w:val="0"/>
                  <w:vAlign w:val="center"/>
                </w:tcPr>
                <w:p w14:paraId="04372F0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建筑物名称</w:t>
                  </w:r>
                </w:p>
              </w:tc>
              <w:tc>
                <w:tcPr>
                  <w:tcW w:w="620" w:type="dxa"/>
                  <w:vMerge w:val="restart"/>
                  <w:noWrap w:val="0"/>
                  <w:vAlign w:val="center"/>
                </w:tcPr>
                <w:p w14:paraId="009DD05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声源名称</w:t>
                  </w:r>
                </w:p>
              </w:tc>
              <w:tc>
                <w:tcPr>
                  <w:tcW w:w="794" w:type="dxa"/>
                  <w:vMerge w:val="restart"/>
                  <w:noWrap w:val="0"/>
                  <w:vAlign w:val="center"/>
                </w:tcPr>
                <w:p w14:paraId="5DB7249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lang w:eastAsia="zh-CN"/>
                      <w14:textFill>
                        <w14:solidFill>
                          <w14:schemeClr w14:val="tx1"/>
                        </w14:solidFill>
                      </w14:textFill>
                    </w:rPr>
                    <w:t>单台声压级</w:t>
                  </w:r>
                  <w:r>
                    <w:rPr>
                      <w:rFonts w:hint="default" w:ascii="Times New Roman" w:hAnsi="Times New Roman" w:eastAsia="宋体" w:cs="Times New Roman"/>
                      <w:b/>
                      <w:bCs/>
                      <w:color w:val="000000" w:themeColor="text1"/>
                      <w:sz w:val="20"/>
                      <w:szCs w:val="20"/>
                      <w:highlight w:val="none"/>
                      <w14:textFill>
                        <w14:solidFill>
                          <w14:schemeClr w14:val="tx1"/>
                        </w14:solidFill>
                      </w14:textFill>
                    </w:rPr>
                    <w:t>/dB(A)</w:t>
                  </w:r>
                </w:p>
              </w:tc>
              <w:tc>
                <w:tcPr>
                  <w:tcW w:w="417" w:type="dxa"/>
                  <w:vMerge w:val="restart"/>
                  <w:noWrap w:val="0"/>
                  <w:vAlign w:val="center"/>
                </w:tcPr>
                <w:p w14:paraId="72BCC53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声源控制措施</w:t>
                  </w:r>
                </w:p>
              </w:tc>
              <w:tc>
                <w:tcPr>
                  <w:tcW w:w="1181" w:type="dxa"/>
                  <w:gridSpan w:val="4"/>
                  <w:noWrap w:val="0"/>
                  <w:vAlign w:val="center"/>
                </w:tcPr>
                <w:p w14:paraId="086E596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距室内边界距离/m</w:t>
                  </w:r>
                </w:p>
              </w:tc>
              <w:tc>
                <w:tcPr>
                  <w:tcW w:w="1571" w:type="dxa"/>
                  <w:gridSpan w:val="4"/>
                  <w:noWrap w:val="0"/>
                  <w:vAlign w:val="center"/>
                </w:tcPr>
                <w:p w14:paraId="45D283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室内边界声级/dB(A)</w:t>
                  </w:r>
                </w:p>
              </w:tc>
              <w:tc>
                <w:tcPr>
                  <w:tcW w:w="417" w:type="dxa"/>
                  <w:vMerge w:val="restart"/>
                  <w:noWrap w:val="0"/>
                  <w:vAlign w:val="center"/>
                </w:tcPr>
                <w:p w14:paraId="1AE7A3E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运行时段</w:t>
                  </w:r>
                </w:p>
              </w:tc>
              <w:tc>
                <w:tcPr>
                  <w:tcW w:w="739" w:type="dxa"/>
                  <w:vMerge w:val="restart"/>
                  <w:noWrap w:val="0"/>
                  <w:vAlign w:val="center"/>
                </w:tcPr>
                <w:p w14:paraId="5796017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建筑物插入损失 / dB(A)</w:t>
                  </w:r>
                  <w:bookmarkStart w:id="5" w:name="PT_10"/>
                  <w:bookmarkEnd w:id="5"/>
                </w:p>
              </w:tc>
              <w:tc>
                <w:tcPr>
                  <w:tcW w:w="1916" w:type="dxa"/>
                  <w:gridSpan w:val="5"/>
                  <w:noWrap w:val="0"/>
                  <w:vAlign w:val="center"/>
                </w:tcPr>
                <w:p w14:paraId="10B1D7A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建筑物外噪声声压级/dB(A)</w:t>
                  </w:r>
                </w:p>
              </w:tc>
            </w:tr>
            <w:tr w14:paraId="73E05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7" w:type="dxa"/>
                  <w:vMerge w:val="continue"/>
                  <w:noWrap w:val="0"/>
                  <w:tcMar>
                    <w:top w:w="0" w:type="dxa"/>
                    <w:left w:w="0" w:type="dxa"/>
                    <w:bottom w:w="0" w:type="dxa"/>
                    <w:right w:w="0" w:type="dxa"/>
                  </w:tcMar>
                  <w:vAlign w:val="center"/>
                </w:tcPr>
                <w:p w14:paraId="4E1AFF7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p>
              </w:tc>
              <w:tc>
                <w:tcPr>
                  <w:tcW w:w="417" w:type="dxa"/>
                  <w:vMerge w:val="continue"/>
                  <w:noWrap w:val="0"/>
                  <w:tcMar>
                    <w:top w:w="0" w:type="dxa"/>
                    <w:left w:w="0" w:type="dxa"/>
                    <w:bottom w:w="0" w:type="dxa"/>
                    <w:right w:w="0" w:type="dxa"/>
                  </w:tcMar>
                  <w:vAlign w:val="center"/>
                </w:tcPr>
                <w:p w14:paraId="4B9B3AA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p>
              </w:tc>
              <w:tc>
                <w:tcPr>
                  <w:tcW w:w="620" w:type="dxa"/>
                  <w:vMerge w:val="continue"/>
                  <w:noWrap w:val="0"/>
                  <w:tcMar>
                    <w:top w:w="0" w:type="dxa"/>
                    <w:left w:w="0" w:type="dxa"/>
                    <w:bottom w:w="0" w:type="dxa"/>
                    <w:right w:w="0" w:type="dxa"/>
                  </w:tcMar>
                  <w:vAlign w:val="center"/>
                </w:tcPr>
                <w:p w14:paraId="09DB5F3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p>
              </w:tc>
              <w:tc>
                <w:tcPr>
                  <w:tcW w:w="794" w:type="dxa"/>
                  <w:vMerge w:val="continue"/>
                  <w:noWrap w:val="0"/>
                  <w:tcMar>
                    <w:top w:w="0" w:type="dxa"/>
                    <w:left w:w="0" w:type="dxa"/>
                    <w:bottom w:w="0" w:type="dxa"/>
                    <w:right w:w="0" w:type="dxa"/>
                  </w:tcMar>
                  <w:vAlign w:val="center"/>
                </w:tcPr>
                <w:p w14:paraId="021B1B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p>
              </w:tc>
              <w:tc>
                <w:tcPr>
                  <w:tcW w:w="417" w:type="dxa"/>
                  <w:vMerge w:val="continue"/>
                  <w:noWrap w:val="0"/>
                  <w:tcMar>
                    <w:top w:w="0" w:type="dxa"/>
                    <w:left w:w="0" w:type="dxa"/>
                    <w:bottom w:w="0" w:type="dxa"/>
                    <w:right w:w="0" w:type="dxa"/>
                  </w:tcMar>
                  <w:vAlign w:val="center"/>
                </w:tcPr>
                <w:p w14:paraId="69A0D64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p>
              </w:tc>
              <w:tc>
                <w:tcPr>
                  <w:tcW w:w="272" w:type="dxa"/>
                  <w:noWrap w:val="0"/>
                  <w:tcMar>
                    <w:top w:w="0" w:type="dxa"/>
                    <w:left w:w="0" w:type="dxa"/>
                    <w:bottom w:w="0" w:type="dxa"/>
                    <w:right w:w="0" w:type="dxa"/>
                  </w:tcMar>
                  <w:vAlign w:val="center"/>
                </w:tcPr>
                <w:p w14:paraId="16B88B3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东</w:t>
                  </w:r>
                </w:p>
              </w:tc>
              <w:tc>
                <w:tcPr>
                  <w:tcW w:w="329" w:type="dxa"/>
                  <w:noWrap w:val="0"/>
                  <w:tcMar>
                    <w:top w:w="0" w:type="dxa"/>
                    <w:left w:w="0" w:type="dxa"/>
                    <w:bottom w:w="0" w:type="dxa"/>
                    <w:right w:w="0" w:type="dxa"/>
                  </w:tcMar>
                  <w:vAlign w:val="center"/>
                </w:tcPr>
                <w:p w14:paraId="0C58D82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南</w:t>
                  </w:r>
                </w:p>
              </w:tc>
              <w:tc>
                <w:tcPr>
                  <w:tcW w:w="283" w:type="dxa"/>
                  <w:noWrap w:val="0"/>
                  <w:tcMar>
                    <w:top w:w="0" w:type="dxa"/>
                    <w:left w:w="0" w:type="dxa"/>
                    <w:bottom w:w="0" w:type="dxa"/>
                    <w:right w:w="0" w:type="dxa"/>
                  </w:tcMar>
                  <w:vAlign w:val="center"/>
                </w:tcPr>
                <w:p w14:paraId="3C43A90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西</w:t>
                  </w:r>
                </w:p>
              </w:tc>
              <w:tc>
                <w:tcPr>
                  <w:tcW w:w="297" w:type="dxa"/>
                  <w:noWrap w:val="0"/>
                  <w:tcMar>
                    <w:top w:w="0" w:type="dxa"/>
                    <w:left w:w="0" w:type="dxa"/>
                    <w:bottom w:w="0" w:type="dxa"/>
                    <w:right w:w="0" w:type="dxa"/>
                  </w:tcMar>
                  <w:vAlign w:val="center"/>
                </w:tcPr>
                <w:p w14:paraId="22F2D62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北</w:t>
                  </w:r>
                </w:p>
              </w:tc>
              <w:tc>
                <w:tcPr>
                  <w:tcW w:w="397" w:type="dxa"/>
                  <w:noWrap w:val="0"/>
                  <w:tcMar>
                    <w:top w:w="0" w:type="dxa"/>
                    <w:left w:w="0" w:type="dxa"/>
                    <w:bottom w:w="0" w:type="dxa"/>
                    <w:right w:w="0" w:type="dxa"/>
                  </w:tcMar>
                  <w:vAlign w:val="center"/>
                </w:tcPr>
                <w:p w14:paraId="3AA759B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东</w:t>
                  </w:r>
                </w:p>
              </w:tc>
              <w:tc>
                <w:tcPr>
                  <w:tcW w:w="352" w:type="dxa"/>
                  <w:noWrap w:val="0"/>
                  <w:tcMar>
                    <w:top w:w="0" w:type="dxa"/>
                    <w:left w:w="0" w:type="dxa"/>
                    <w:bottom w:w="0" w:type="dxa"/>
                    <w:right w:w="0" w:type="dxa"/>
                  </w:tcMar>
                  <w:vAlign w:val="center"/>
                </w:tcPr>
                <w:p w14:paraId="63412C2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南</w:t>
                  </w:r>
                </w:p>
              </w:tc>
              <w:tc>
                <w:tcPr>
                  <w:tcW w:w="431" w:type="dxa"/>
                  <w:noWrap w:val="0"/>
                  <w:tcMar>
                    <w:top w:w="0" w:type="dxa"/>
                    <w:left w:w="0" w:type="dxa"/>
                    <w:bottom w:w="0" w:type="dxa"/>
                    <w:right w:w="0" w:type="dxa"/>
                  </w:tcMar>
                  <w:vAlign w:val="center"/>
                </w:tcPr>
                <w:p w14:paraId="64D53B2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西</w:t>
                  </w:r>
                </w:p>
              </w:tc>
              <w:tc>
                <w:tcPr>
                  <w:tcW w:w="391" w:type="dxa"/>
                  <w:noWrap w:val="0"/>
                  <w:tcMar>
                    <w:top w:w="0" w:type="dxa"/>
                    <w:left w:w="0" w:type="dxa"/>
                    <w:bottom w:w="0" w:type="dxa"/>
                    <w:right w:w="0" w:type="dxa"/>
                  </w:tcMar>
                  <w:vAlign w:val="center"/>
                </w:tcPr>
                <w:p w14:paraId="412B7A0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北</w:t>
                  </w:r>
                </w:p>
              </w:tc>
              <w:tc>
                <w:tcPr>
                  <w:tcW w:w="417" w:type="dxa"/>
                  <w:vMerge w:val="continue"/>
                  <w:noWrap w:val="0"/>
                  <w:tcMar>
                    <w:top w:w="0" w:type="dxa"/>
                    <w:left w:w="0" w:type="dxa"/>
                    <w:bottom w:w="0" w:type="dxa"/>
                    <w:right w:w="0" w:type="dxa"/>
                  </w:tcMar>
                  <w:vAlign w:val="center"/>
                </w:tcPr>
                <w:p w14:paraId="0FAB198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p>
              </w:tc>
              <w:tc>
                <w:tcPr>
                  <w:tcW w:w="739" w:type="dxa"/>
                  <w:vMerge w:val="continue"/>
                  <w:noWrap w:val="0"/>
                  <w:tcMar>
                    <w:top w:w="0" w:type="dxa"/>
                    <w:left w:w="0" w:type="dxa"/>
                    <w:bottom w:w="0" w:type="dxa"/>
                    <w:right w:w="0" w:type="dxa"/>
                  </w:tcMar>
                  <w:vAlign w:val="center"/>
                </w:tcPr>
                <w:p w14:paraId="0974876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p>
              </w:tc>
              <w:tc>
                <w:tcPr>
                  <w:tcW w:w="301" w:type="dxa"/>
                  <w:noWrap w:val="0"/>
                  <w:tcMar>
                    <w:top w:w="0" w:type="dxa"/>
                    <w:left w:w="0" w:type="dxa"/>
                    <w:bottom w:w="0" w:type="dxa"/>
                    <w:right w:w="0" w:type="dxa"/>
                  </w:tcMar>
                  <w:vAlign w:val="center"/>
                </w:tcPr>
                <w:p w14:paraId="09646D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东</w:t>
                  </w:r>
                </w:p>
              </w:tc>
              <w:tc>
                <w:tcPr>
                  <w:tcW w:w="318" w:type="dxa"/>
                  <w:noWrap w:val="0"/>
                  <w:tcMar>
                    <w:top w:w="0" w:type="dxa"/>
                    <w:left w:w="0" w:type="dxa"/>
                    <w:bottom w:w="0" w:type="dxa"/>
                    <w:right w:w="0" w:type="dxa"/>
                  </w:tcMar>
                  <w:vAlign w:val="center"/>
                </w:tcPr>
                <w:p w14:paraId="46BAE79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南</w:t>
                  </w:r>
                </w:p>
              </w:tc>
              <w:tc>
                <w:tcPr>
                  <w:tcW w:w="431" w:type="dxa"/>
                  <w:noWrap w:val="0"/>
                  <w:tcMar>
                    <w:top w:w="0" w:type="dxa"/>
                    <w:left w:w="0" w:type="dxa"/>
                    <w:bottom w:w="0" w:type="dxa"/>
                    <w:right w:w="0" w:type="dxa"/>
                  </w:tcMar>
                  <w:vAlign w:val="center"/>
                </w:tcPr>
                <w:p w14:paraId="2052934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西</w:t>
                  </w:r>
                </w:p>
              </w:tc>
              <w:tc>
                <w:tcPr>
                  <w:tcW w:w="397" w:type="dxa"/>
                  <w:noWrap w:val="0"/>
                  <w:tcMar>
                    <w:top w:w="0" w:type="dxa"/>
                    <w:left w:w="0" w:type="dxa"/>
                    <w:bottom w:w="0" w:type="dxa"/>
                    <w:right w:w="0" w:type="dxa"/>
                  </w:tcMar>
                  <w:vAlign w:val="center"/>
                </w:tcPr>
                <w:p w14:paraId="7D187C7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北</w:t>
                  </w:r>
                </w:p>
              </w:tc>
              <w:tc>
                <w:tcPr>
                  <w:tcW w:w="469" w:type="dxa"/>
                  <w:noWrap w:val="0"/>
                  <w:tcMar>
                    <w:top w:w="0" w:type="dxa"/>
                    <w:left w:w="0" w:type="dxa"/>
                    <w:bottom w:w="0" w:type="dxa"/>
                    <w:right w:w="0" w:type="dxa"/>
                  </w:tcMar>
                  <w:vAlign w:val="center"/>
                </w:tcPr>
                <w:p w14:paraId="447191E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 w:val="20"/>
                      <w:szCs w:val="20"/>
                      <w:highlight w:val="none"/>
                      <w14:textFill>
                        <w14:solidFill>
                          <w14:schemeClr w14:val="tx1"/>
                        </w14:solidFill>
                      </w14:textFill>
                    </w:rPr>
                  </w:pPr>
                  <w:r>
                    <w:rPr>
                      <w:rFonts w:hint="default" w:ascii="Times New Roman" w:hAnsi="Times New Roman" w:eastAsia="宋体" w:cs="Times New Roman"/>
                      <w:b/>
                      <w:bCs/>
                      <w:color w:val="000000" w:themeColor="text1"/>
                      <w:sz w:val="20"/>
                      <w:szCs w:val="20"/>
                      <w:highlight w:val="none"/>
                      <w14:textFill>
                        <w14:solidFill>
                          <w14:schemeClr w14:val="tx1"/>
                        </w14:solidFill>
                      </w14:textFill>
                    </w:rPr>
                    <w:t>建筑物外距离</w:t>
                  </w:r>
                </w:p>
              </w:tc>
            </w:tr>
            <w:tr w14:paraId="63E9B4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7" w:type="dxa"/>
                  <w:noWrap w:val="0"/>
                  <w:tcMar>
                    <w:top w:w="0" w:type="dxa"/>
                    <w:left w:w="0" w:type="dxa"/>
                    <w:bottom w:w="0" w:type="dxa"/>
                    <w:right w:w="0" w:type="dxa"/>
                  </w:tcMar>
                  <w:vAlign w:val="center"/>
                </w:tcPr>
                <w:p w14:paraId="36EAD4D2">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kern w:val="2"/>
                      <w:sz w:val="20"/>
                      <w:szCs w:val="20"/>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0"/>
                      <w:szCs w:val="20"/>
                      <w:highlight w:val="none"/>
                      <w:u w:val="none"/>
                      <w:lang w:val="en-US" w:eastAsia="zh-CN" w:bidi="ar"/>
                      <w14:textFill>
                        <w14:solidFill>
                          <w14:schemeClr w14:val="tx1"/>
                        </w14:solidFill>
                      </w14:textFill>
                    </w:rPr>
                    <w:t>1</w:t>
                  </w:r>
                </w:p>
              </w:tc>
              <w:tc>
                <w:tcPr>
                  <w:tcW w:w="417" w:type="dxa"/>
                  <w:vMerge w:val="restart"/>
                  <w:noWrap w:val="0"/>
                  <w:tcMar>
                    <w:top w:w="0" w:type="dxa"/>
                    <w:left w:w="0" w:type="dxa"/>
                    <w:bottom w:w="0" w:type="dxa"/>
                    <w:right w:w="0" w:type="dxa"/>
                  </w:tcMar>
                  <w:vAlign w:val="center"/>
                </w:tcPr>
                <w:p w14:paraId="34EE7A9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0"/>
                      <w:szCs w:val="20"/>
                      <w:highlight w:val="none"/>
                      <w:lang w:eastAsia="zh-CN"/>
                      <w14:textFill>
                        <w14:solidFill>
                          <w14:schemeClr w14:val="tx1"/>
                        </w14:solidFill>
                      </w14:textFill>
                    </w:rPr>
                  </w:pPr>
                  <w:r>
                    <w:rPr>
                      <w:rFonts w:hint="default" w:ascii="Times New Roman" w:hAnsi="Times New Roman" w:eastAsia="宋体" w:cs="Times New Roman"/>
                      <w:color w:val="000000" w:themeColor="text1"/>
                      <w:sz w:val="20"/>
                      <w:szCs w:val="20"/>
                      <w:highlight w:val="none"/>
                      <w:lang w:eastAsia="zh-CN"/>
                      <w14:textFill>
                        <w14:solidFill>
                          <w14:schemeClr w14:val="tx1"/>
                        </w14:solidFill>
                      </w14:textFill>
                    </w:rPr>
                    <w:t>生产车间</w:t>
                  </w:r>
                </w:p>
              </w:tc>
              <w:tc>
                <w:tcPr>
                  <w:tcW w:w="620" w:type="dxa"/>
                  <w:shd w:val="clear" w:color="auto" w:fill="auto"/>
                  <w:noWrap w:val="0"/>
                  <w:tcMar>
                    <w:top w:w="0" w:type="dxa"/>
                    <w:left w:w="0" w:type="dxa"/>
                    <w:bottom w:w="0" w:type="dxa"/>
                    <w:right w:w="0" w:type="dxa"/>
                  </w:tcMar>
                  <w:vAlign w:val="center"/>
                </w:tcPr>
                <w:p w14:paraId="08A41FAF">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auto"/>
                      <w:kern w:val="2"/>
                      <w:sz w:val="20"/>
                      <w:szCs w:val="20"/>
                      <w:highlight w:val="none"/>
                      <w:lang w:val="en-US" w:eastAsia="zh-CN" w:bidi="ar-SA"/>
                    </w:rPr>
                  </w:pPr>
                  <w:r>
                    <w:rPr>
                      <w:rFonts w:hint="eastAsia" w:ascii="Times New Roman" w:hAnsi="Times New Roman" w:eastAsia="宋体" w:cs="Times New Roman"/>
                      <w:color w:val="auto"/>
                      <w:kern w:val="2"/>
                      <w:sz w:val="20"/>
                      <w:szCs w:val="20"/>
                      <w:highlight w:val="none"/>
                      <w:lang w:val="en-US" w:eastAsia="zh-CN" w:bidi="ar-SA"/>
                    </w:rPr>
                    <w:t>皮带输送机</w:t>
                  </w:r>
                </w:p>
              </w:tc>
              <w:tc>
                <w:tcPr>
                  <w:tcW w:w="794" w:type="dxa"/>
                  <w:shd w:val="clear" w:color="auto" w:fill="auto"/>
                  <w:noWrap w:val="0"/>
                  <w:tcMar>
                    <w:top w:w="0" w:type="dxa"/>
                    <w:left w:w="0" w:type="dxa"/>
                    <w:bottom w:w="0" w:type="dxa"/>
                    <w:right w:w="0" w:type="dxa"/>
                  </w:tcMar>
                  <w:vAlign w:val="center"/>
                </w:tcPr>
                <w:p w14:paraId="161B98A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75</w:t>
                  </w:r>
                </w:p>
              </w:tc>
              <w:tc>
                <w:tcPr>
                  <w:tcW w:w="417" w:type="dxa"/>
                  <w:vMerge w:val="restart"/>
                  <w:noWrap w:val="0"/>
                  <w:tcMar>
                    <w:top w:w="0" w:type="dxa"/>
                    <w:left w:w="0" w:type="dxa"/>
                    <w:bottom w:w="0" w:type="dxa"/>
                    <w:right w:w="0" w:type="dxa"/>
                  </w:tcMar>
                  <w:vAlign w:val="center"/>
                </w:tcPr>
                <w:p w14:paraId="794218C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0"/>
                      <w:szCs w:val="20"/>
                      <w:highlight w:val="none"/>
                      <w14:textFill>
                        <w14:solidFill>
                          <w14:schemeClr w14:val="tx1"/>
                        </w14:solidFill>
                      </w14:textFill>
                    </w:rPr>
                  </w:pPr>
                  <w:r>
                    <w:rPr>
                      <w:rFonts w:hint="default" w:ascii="Times New Roman" w:hAnsi="Times New Roman" w:eastAsia="宋体" w:cs="Times New Roman"/>
                      <w:color w:val="000000" w:themeColor="text1"/>
                      <w:sz w:val="20"/>
                      <w:szCs w:val="20"/>
                      <w:highlight w:val="none"/>
                      <w14:textFill>
                        <w14:solidFill>
                          <w14:schemeClr w14:val="tx1"/>
                        </w14:solidFill>
                      </w14:textFill>
                    </w:rPr>
                    <w:t>基础减振、厂房隔声</w:t>
                  </w:r>
                </w:p>
              </w:tc>
              <w:tc>
                <w:tcPr>
                  <w:tcW w:w="272" w:type="dxa"/>
                  <w:shd w:val="clear" w:color="auto" w:fill="auto"/>
                  <w:noWrap w:val="0"/>
                  <w:tcMar>
                    <w:top w:w="0" w:type="dxa"/>
                    <w:left w:w="0" w:type="dxa"/>
                    <w:bottom w:w="0" w:type="dxa"/>
                    <w:right w:w="0" w:type="dxa"/>
                  </w:tcMar>
                  <w:vAlign w:val="center"/>
                </w:tcPr>
                <w:p w14:paraId="24B75A22">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2</w:t>
                  </w:r>
                </w:p>
              </w:tc>
              <w:tc>
                <w:tcPr>
                  <w:tcW w:w="329" w:type="dxa"/>
                  <w:shd w:val="clear" w:color="auto" w:fill="auto"/>
                  <w:noWrap w:val="0"/>
                  <w:tcMar>
                    <w:top w:w="0" w:type="dxa"/>
                    <w:left w:w="0" w:type="dxa"/>
                    <w:bottom w:w="0" w:type="dxa"/>
                    <w:right w:w="0" w:type="dxa"/>
                  </w:tcMar>
                  <w:vAlign w:val="center"/>
                </w:tcPr>
                <w:p w14:paraId="74DD3B30">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10</w:t>
                  </w:r>
                </w:p>
              </w:tc>
              <w:tc>
                <w:tcPr>
                  <w:tcW w:w="283" w:type="dxa"/>
                  <w:shd w:val="clear" w:color="auto" w:fill="auto"/>
                  <w:noWrap w:val="0"/>
                  <w:tcMar>
                    <w:top w:w="0" w:type="dxa"/>
                    <w:left w:w="0" w:type="dxa"/>
                    <w:bottom w:w="0" w:type="dxa"/>
                    <w:right w:w="0" w:type="dxa"/>
                  </w:tcMar>
                  <w:vAlign w:val="center"/>
                </w:tcPr>
                <w:p w14:paraId="5C0E9CC0">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78</w:t>
                  </w:r>
                </w:p>
              </w:tc>
              <w:tc>
                <w:tcPr>
                  <w:tcW w:w="297" w:type="dxa"/>
                  <w:shd w:val="clear" w:color="auto" w:fill="auto"/>
                  <w:noWrap w:val="0"/>
                  <w:tcMar>
                    <w:top w:w="0" w:type="dxa"/>
                    <w:left w:w="0" w:type="dxa"/>
                    <w:bottom w:w="0" w:type="dxa"/>
                    <w:right w:w="0" w:type="dxa"/>
                  </w:tcMar>
                  <w:vAlign w:val="center"/>
                </w:tcPr>
                <w:p w14:paraId="289E0B24">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40</w:t>
                  </w:r>
                </w:p>
              </w:tc>
              <w:tc>
                <w:tcPr>
                  <w:tcW w:w="397" w:type="dxa"/>
                  <w:noWrap w:val="0"/>
                  <w:tcMar>
                    <w:top w:w="0" w:type="dxa"/>
                    <w:left w:w="0" w:type="dxa"/>
                    <w:bottom w:w="0" w:type="dxa"/>
                    <w:right w:w="0" w:type="dxa"/>
                  </w:tcMar>
                  <w:vAlign w:val="center"/>
                </w:tcPr>
                <w:p w14:paraId="6791E69B">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66</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352" w:type="dxa"/>
                  <w:noWrap w:val="0"/>
                  <w:tcMar>
                    <w:top w:w="0" w:type="dxa"/>
                    <w:left w:w="0" w:type="dxa"/>
                    <w:bottom w:w="0" w:type="dxa"/>
                    <w:right w:w="0" w:type="dxa"/>
                  </w:tcMar>
                  <w:vAlign w:val="center"/>
                </w:tcPr>
                <w:p w14:paraId="585447F9">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55</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431" w:type="dxa"/>
                  <w:noWrap w:val="0"/>
                  <w:tcMar>
                    <w:top w:w="0" w:type="dxa"/>
                    <w:left w:w="0" w:type="dxa"/>
                    <w:bottom w:w="0" w:type="dxa"/>
                    <w:right w:w="0" w:type="dxa"/>
                  </w:tcMar>
                  <w:vAlign w:val="center"/>
                </w:tcPr>
                <w:p w14:paraId="582D3FDC">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37</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391" w:type="dxa"/>
                  <w:noWrap w:val="0"/>
                  <w:tcMar>
                    <w:top w:w="0" w:type="dxa"/>
                    <w:left w:w="0" w:type="dxa"/>
                    <w:bottom w:w="0" w:type="dxa"/>
                    <w:right w:w="0" w:type="dxa"/>
                  </w:tcMar>
                  <w:vAlign w:val="center"/>
                </w:tcPr>
                <w:p w14:paraId="285B3200">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43</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417" w:type="dxa"/>
                  <w:vMerge w:val="restart"/>
                  <w:noWrap w:val="0"/>
                  <w:tcMar>
                    <w:top w:w="0" w:type="dxa"/>
                    <w:left w:w="0" w:type="dxa"/>
                    <w:bottom w:w="0" w:type="dxa"/>
                    <w:right w:w="0" w:type="dxa"/>
                  </w:tcMar>
                  <w:vAlign w:val="center"/>
                </w:tcPr>
                <w:p w14:paraId="68A44903">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default" w:eastAsia="宋体" w:cs="Times New Roman"/>
                      <w:color w:val="000000" w:themeColor="text1"/>
                      <w:kern w:val="2"/>
                      <w:sz w:val="20"/>
                      <w:szCs w:val="20"/>
                      <w:highlight w:val="none"/>
                      <w:lang w:val="en-US" w:eastAsia="zh-CN" w:bidi="ar-SA"/>
                      <w14:textFill>
                        <w14:solidFill>
                          <w14:schemeClr w14:val="tx1"/>
                        </w14:solidFill>
                      </w14:textFill>
                    </w:rPr>
                    <w:t>昼夜</w:t>
                  </w:r>
                </w:p>
              </w:tc>
              <w:tc>
                <w:tcPr>
                  <w:tcW w:w="739" w:type="dxa"/>
                  <w:shd w:val="clear" w:color="auto" w:fill="auto"/>
                  <w:noWrap w:val="0"/>
                  <w:tcMar>
                    <w:top w:w="0" w:type="dxa"/>
                    <w:left w:w="0" w:type="dxa"/>
                    <w:bottom w:w="0" w:type="dxa"/>
                    <w:right w:w="0" w:type="dxa"/>
                  </w:tcMar>
                  <w:vAlign w:val="center"/>
                </w:tcPr>
                <w:p w14:paraId="6E742DAE">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default" w:eastAsia="宋体" w:cs="Times New Roman"/>
                      <w:color w:val="000000" w:themeColor="text1"/>
                      <w:kern w:val="2"/>
                      <w:sz w:val="20"/>
                      <w:szCs w:val="20"/>
                      <w:highlight w:val="none"/>
                      <w:lang w:val="en-US" w:eastAsia="zh-CN" w:bidi="ar-SA"/>
                      <w14:textFill>
                        <w14:solidFill>
                          <w14:schemeClr w14:val="tx1"/>
                        </w14:solidFill>
                      </w14:textFill>
                    </w:rPr>
                    <w:t>21</w:t>
                  </w:r>
                </w:p>
              </w:tc>
              <w:tc>
                <w:tcPr>
                  <w:tcW w:w="301" w:type="dxa"/>
                  <w:noWrap w:val="0"/>
                  <w:tcMar>
                    <w:top w:w="0" w:type="dxa"/>
                    <w:left w:w="0" w:type="dxa"/>
                    <w:bottom w:w="0" w:type="dxa"/>
                    <w:right w:w="0" w:type="dxa"/>
                  </w:tcMar>
                  <w:vAlign w:val="center"/>
                </w:tcPr>
                <w:p w14:paraId="4750B0E7">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45</w:t>
                  </w:r>
                </w:p>
              </w:tc>
              <w:tc>
                <w:tcPr>
                  <w:tcW w:w="318" w:type="dxa"/>
                  <w:noWrap w:val="0"/>
                  <w:tcMar>
                    <w:top w:w="0" w:type="dxa"/>
                    <w:left w:w="0" w:type="dxa"/>
                    <w:bottom w:w="0" w:type="dxa"/>
                    <w:right w:w="0" w:type="dxa"/>
                  </w:tcMar>
                  <w:vAlign w:val="center"/>
                </w:tcPr>
                <w:p w14:paraId="717E6F84">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34</w:t>
                  </w:r>
                </w:p>
              </w:tc>
              <w:tc>
                <w:tcPr>
                  <w:tcW w:w="431" w:type="dxa"/>
                  <w:noWrap w:val="0"/>
                  <w:tcMar>
                    <w:top w:w="0" w:type="dxa"/>
                    <w:left w:w="0" w:type="dxa"/>
                    <w:bottom w:w="0" w:type="dxa"/>
                    <w:right w:w="0" w:type="dxa"/>
                  </w:tcMar>
                  <w:vAlign w:val="center"/>
                </w:tcPr>
                <w:p w14:paraId="5521CD3B">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16</w:t>
                  </w:r>
                </w:p>
              </w:tc>
              <w:tc>
                <w:tcPr>
                  <w:tcW w:w="397" w:type="dxa"/>
                  <w:noWrap w:val="0"/>
                  <w:tcMar>
                    <w:top w:w="0" w:type="dxa"/>
                    <w:left w:w="0" w:type="dxa"/>
                    <w:bottom w:w="0" w:type="dxa"/>
                    <w:right w:w="0" w:type="dxa"/>
                  </w:tcMar>
                  <w:vAlign w:val="center"/>
                </w:tcPr>
                <w:p w14:paraId="43A85180">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22</w:t>
                  </w:r>
                </w:p>
              </w:tc>
              <w:tc>
                <w:tcPr>
                  <w:tcW w:w="469" w:type="dxa"/>
                  <w:noWrap w:val="0"/>
                  <w:tcMar>
                    <w:top w:w="0" w:type="dxa"/>
                    <w:left w:w="0" w:type="dxa"/>
                    <w:bottom w:w="0" w:type="dxa"/>
                    <w:right w:w="0" w:type="dxa"/>
                  </w:tcMar>
                  <w:vAlign w:val="center"/>
                </w:tcPr>
                <w:p w14:paraId="4B6155B1">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default" w:cs="Times New Roman"/>
                      <w:color w:val="000000" w:themeColor="text1"/>
                      <w:kern w:val="2"/>
                      <w:sz w:val="20"/>
                      <w:szCs w:val="20"/>
                      <w:highlight w:val="none"/>
                      <w:lang w:val="en-US" w:eastAsia="zh-CN" w:bidi="ar-SA"/>
                      <w14:textFill>
                        <w14:solidFill>
                          <w14:schemeClr w14:val="tx1"/>
                        </w14:solidFill>
                      </w14:textFill>
                    </w:rPr>
                    <w:t>1</w:t>
                  </w:r>
                </w:p>
              </w:tc>
            </w:tr>
            <w:tr w14:paraId="727467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7" w:type="dxa"/>
                  <w:noWrap w:val="0"/>
                  <w:tcMar>
                    <w:top w:w="0" w:type="dxa"/>
                    <w:left w:w="0" w:type="dxa"/>
                    <w:bottom w:w="0" w:type="dxa"/>
                    <w:right w:w="0" w:type="dxa"/>
                  </w:tcMar>
                  <w:vAlign w:val="center"/>
                </w:tcPr>
                <w:p w14:paraId="523186C1">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kern w:val="2"/>
                      <w:sz w:val="20"/>
                      <w:szCs w:val="20"/>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0"/>
                      <w:szCs w:val="20"/>
                      <w:highlight w:val="none"/>
                      <w:u w:val="none"/>
                      <w:lang w:val="en-US" w:eastAsia="zh-CN" w:bidi="ar"/>
                      <w14:textFill>
                        <w14:solidFill>
                          <w14:schemeClr w14:val="tx1"/>
                        </w14:solidFill>
                      </w14:textFill>
                    </w:rPr>
                    <w:t>2</w:t>
                  </w:r>
                </w:p>
              </w:tc>
              <w:tc>
                <w:tcPr>
                  <w:tcW w:w="417" w:type="dxa"/>
                  <w:vMerge w:val="continue"/>
                  <w:noWrap w:val="0"/>
                  <w:tcMar>
                    <w:top w:w="0" w:type="dxa"/>
                    <w:left w:w="0" w:type="dxa"/>
                    <w:bottom w:w="0" w:type="dxa"/>
                    <w:right w:w="0" w:type="dxa"/>
                  </w:tcMar>
                  <w:vAlign w:val="center"/>
                </w:tcPr>
                <w:p w14:paraId="7271A6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620" w:type="dxa"/>
                  <w:shd w:val="clear" w:color="auto" w:fill="auto"/>
                  <w:noWrap w:val="0"/>
                  <w:tcMar>
                    <w:top w:w="0" w:type="dxa"/>
                    <w:left w:w="0" w:type="dxa"/>
                    <w:bottom w:w="0" w:type="dxa"/>
                    <w:right w:w="0" w:type="dxa"/>
                  </w:tcMar>
                  <w:vAlign w:val="center"/>
                </w:tcPr>
                <w:p w14:paraId="524506C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highlight w:val="none"/>
                      <w:lang w:val="en-US" w:eastAsia="zh-CN" w:bidi="ar-SA"/>
                    </w:rPr>
                  </w:pPr>
                  <w:r>
                    <w:rPr>
                      <w:rFonts w:hint="eastAsia"/>
                      <w:color w:val="auto"/>
                      <w:sz w:val="20"/>
                      <w:szCs w:val="20"/>
                      <w:highlight w:val="none"/>
                    </w:rPr>
                    <w:t>皮带输送机</w:t>
                  </w:r>
                </w:p>
              </w:tc>
              <w:tc>
                <w:tcPr>
                  <w:tcW w:w="794" w:type="dxa"/>
                  <w:shd w:val="clear" w:color="auto" w:fill="auto"/>
                  <w:noWrap w:val="0"/>
                  <w:tcMar>
                    <w:top w:w="0" w:type="dxa"/>
                    <w:left w:w="0" w:type="dxa"/>
                    <w:bottom w:w="0" w:type="dxa"/>
                    <w:right w:w="0" w:type="dxa"/>
                  </w:tcMar>
                  <w:vAlign w:val="center"/>
                </w:tcPr>
                <w:p w14:paraId="7C92A71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75</w:t>
                  </w:r>
                </w:p>
              </w:tc>
              <w:tc>
                <w:tcPr>
                  <w:tcW w:w="417" w:type="dxa"/>
                  <w:vMerge w:val="continue"/>
                  <w:noWrap w:val="0"/>
                  <w:tcMar>
                    <w:top w:w="0" w:type="dxa"/>
                    <w:left w:w="0" w:type="dxa"/>
                    <w:bottom w:w="0" w:type="dxa"/>
                    <w:right w:w="0" w:type="dxa"/>
                  </w:tcMar>
                  <w:vAlign w:val="center"/>
                </w:tcPr>
                <w:p w14:paraId="6E46BB7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272" w:type="dxa"/>
                  <w:shd w:val="clear" w:color="auto" w:fill="auto"/>
                  <w:noWrap w:val="0"/>
                  <w:tcMar>
                    <w:top w:w="0" w:type="dxa"/>
                    <w:left w:w="0" w:type="dxa"/>
                    <w:bottom w:w="0" w:type="dxa"/>
                    <w:right w:w="0" w:type="dxa"/>
                  </w:tcMar>
                  <w:vAlign w:val="center"/>
                </w:tcPr>
                <w:p w14:paraId="6589E6C6">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2</w:t>
                  </w:r>
                </w:p>
              </w:tc>
              <w:tc>
                <w:tcPr>
                  <w:tcW w:w="329" w:type="dxa"/>
                  <w:shd w:val="clear" w:color="auto" w:fill="auto"/>
                  <w:noWrap w:val="0"/>
                  <w:tcMar>
                    <w:top w:w="0" w:type="dxa"/>
                    <w:left w:w="0" w:type="dxa"/>
                    <w:bottom w:w="0" w:type="dxa"/>
                    <w:right w:w="0" w:type="dxa"/>
                  </w:tcMar>
                  <w:vAlign w:val="center"/>
                </w:tcPr>
                <w:p w14:paraId="1896F857">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10</w:t>
                  </w:r>
                </w:p>
              </w:tc>
              <w:tc>
                <w:tcPr>
                  <w:tcW w:w="283" w:type="dxa"/>
                  <w:shd w:val="clear" w:color="auto" w:fill="auto"/>
                  <w:noWrap w:val="0"/>
                  <w:tcMar>
                    <w:top w:w="0" w:type="dxa"/>
                    <w:left w:w="0" w:type="dxa"/>
                    <w:bottom w:w="0" w:type="dxa"/>
                    <w:right w:w="0" w:type="dxa"/>
                  </w:tcMar>
                  <w:vAlign w:val="center"/>
                </w:tcPr>
                <w:p w14:paraId="72F72291">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78</w:t>
                  </w:r>
                </w:p>
              </w:tc>
              <w:tc>
                <w:tcPr>
                  <w:tcW w:w="297" w:type="dxa"/>
                  <w:shd w:val="clear" w:color="auto" w:fill="auto"/>
                  <w:noWrap w:val="0"/>
                  <w:tcMar>
                    <w:top w:w="0" w:type="dxa"/>
                    <w:left w:w="0" w:type="dxa"/>
                    <w:bottom w:w="0" w:type="dxa"/>
                    <w:right w:w="0" w:type="dxa"/>
                  </w:tcMar>
                  <w:vAlign w:val="center"/>
                </w:tcPr>
                <w:p w14:paraId="262AE292">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40</w:t>
                  </w:r>
                </w:p>
              </w:tc>
              <w:tc>
                <w:tcPr>
                  <w:tcW w:w="397" w:type="dxa"/>
                  <w:noWrap w:val="0"/>
                  <w:tcMar>
                    <w:top w:w="0" w:type="dxa"/>
                    <w:left w:w="0" w:type="dxa"/>
                    <w:bottom w:w="0" w:type="dxa"/>
                    <w:right w:w="0" w:type="dxa"/>
                  </w:tcMar>
                  <w:vAlign w:val="center"/>
                </w:tcPr>
                <w:p w14:paraId="76B3B8A5">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66</w:t>
                  </w:r>
                </w:p>
              </w:tc>
              <w:tc>
                <w:tcPr>
                  <w:tcW w:w="352" w:type="dxa"/>
                  <w:noWrap w:val="0"/>
                  <w:tcMar>
                    <w:top w:w="0" w:type="dxa"/>
                    <w:left w:w="0" w:type="dxa"/>
                    <w:bottom w:w="0" w:type="dxa"/>
                    <w:right w:w="0" w:type="dxa"/>
                  </w:tcMar>
                  <w:vAlign w:val="center"/>
                </w:tcPr>
                <w:p w14:paraId="64B07A96">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55</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431" w:type="dxa"/>
                  <w:noWrap w:val="0"/>
                  <w:tcMar>
                    <w:top w:w="0" w:type="dxa"/>
                    <w:left w:w="0" w:type="dxa"/>
                    <w:bottom w:w="0" w:type="dxa"/>
                    <w:right w:w="0" w:type="dxa"/>
                  </w:tcMar>
                  <w:vAlign w:val="center"/>
                </w:tcPr>
                <w:p w14:paraId="4AE8ABBE">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37</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391" w:type="dxa"/>
                  <w:noWrap w:val="0"/>
                  <w:tcMar>
                    <w:top w:w="0" w:type="dxa"/>
                    <w:left w:w="0" w:type="dxa"/>
                    <w:bottom w:w="0" w:type="dxa"/>
                    <w:right w:w="0" w:type="dxa"/>
                  </w:tcMar>
                  <w:vAlign w:val="center"/>
                </w:tcPr>
                <w:p w14:paraId="60EEEC62">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43</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417" w:type="dxa"/>
                  <w:vMerge w:val="continue"/>
                  <w:noWrap w:val="0"/>
                  <w:tcMar>
                    <w:top w:w="0" w:type="dxa"/>
                    <w:left w:w="0" w:type="dxa"/>
                    <w:bottom w:w="0" w:type="dxa"/>
                    <w:right w:w="0" w:type="dxa"/>
                  </w:tcMar>
                  <w:vAlign w:val="center"/>
                </w:tcPr>
                <w:p w14:paraId="639041F6">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p>
              </w:tc>
              <w:tc>
                <w:tcPr>
                  <w:tcW w:w="739" w:type="dxa"/>
                  <w:shd w:val="clear" w:color="auto" w:fill="auto"/>
                  <w:noWrap w:val="0"/>
                  <w:tcMar>
                    <w:top w:w="0" w:type="dxa"/>
                    <w:left w:w="0" w:type="dxa"/>
                    <w:bottom w:w="0" w:type="dxa"/>
                    <w:right w:w="0" w:type="dxa"/>
                  </w:tcMar>
                  <w:vAlign w:val="center"/>
                </w:tcPr>
                <w:p w14:paraId="4EA3FAD9">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default" w:eastAsia="宋体" w:cs="Times New Roman"/>
                      <w:color w:val="000000" w:themeColor="text1"/>
                      <w:kern w:val="2"/>
                      <w:sz w:val="20"/>
                      <w:szCs w:val="20"/>
                      <w:highlight w:val="none"/>
                      <w:lang w:val="en-US" w:eastAsia="zh-CN" w:bidi="ar-SA"/>
                      <w14:textFill>
                        <w14:solidFill>
                          <w14:schemeClr w14:val="tx1"/>
                        </w14:solidFill>
                      </w14:textFill>
                    </w:rPr>
                    <w:t>21</w:t>
                  </w:r>
                </w:p>
              </w:tc>
              <w:tc>
                <w:tcPr>
                  <w:tcW w:w="301" w:type="dxa"/>
                  <w:noWrap w:val="0"/>
                  <w:tcMar>
                    <w:top w:w="0" w:type="dxa"/>
                    <w:left w:w="0" w:type="dxa"/>
                    <w:bottom w:w="0" w:type="dxa"/>
                    <w:right w:w="0" w:type="dxa"/>
                  </w:tcMar>
                  <w:vAlign w:val="center"/>
                </w:tcPr>
                <w:p w14:paraId="607D9131">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45</w:t>
                  </w:r>
                </w:p>
              </w:tc>
              <w:tc>
                <w:tcPr>
                  <w:tcW w:w="318" w:type="dxa"/>
                  <w:noWrap w:val="0"/>
                  <w:tcMar>
                    <w:top w:w="0" w:type="dxa"/>
                    <w:left w:w="0" w:type="dxa"/>
                    <w:bottom w:w="0" w:type="dxa"/>
                    <w:right w:w="0" w:type="dxa"/>
                  </w:tcMar>
                  <w:vAlign w:val="center"/>
                </w:tcPr>
                <w:p w14:paraId="2875F3F3">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34</w:t>
                  </w:r>
                </w:p>
              </w:tc>
              <w:tc>
                <w:tcPr>
                  <w:tcW w:w="431" w:type="dxa"/>
                  <w:noWrap w:val="0"/>
                  <w:tcMar>
                    <w:top w:w="0" w:type="dxa"/>
                    <w:left w:w="0" w:type="dxa"/>
                    <w:bottom w:w="0" w:type="dxa"/>
                    <w:right w:w="0" w:type="dxa"/>
                  </w:tcMar>
                  <w:vAlign w:val="center"/>
                </w:tcPr>
                <w:p w14:paraId="000120F5">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16</w:t>
                  </w:r>
                </w:p>
              </w:tc>
              <w:tc>
                <w:tcPr>
                  <w:tcW w:w="397" w:type="dxa"/>
                  <w:noWrap w:val="0"/>
                  <w:tcMar>
                    <w:top w:w="0" w:type="dxa"/>
                    <w:left w:w="0" w:type="dxa"/>
                    <w:bottom w:w="0" w:type="dxa"/>
                    <w:right w:w="0" w:type="dxa"/>
                  </w:tcMar>
                  <w:vAlign w:val="center"/>
                </w:tcPr>
                <w:p w14:paraId="7CFDA7D5">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22</w:t>
                  </w:r>
                </w:p>
              </w:tc>
              <w:tc>
                <w:tcPr>
                  <w:tcW w:w="469" w:type="dxa"/>
                  <w:noWrap w:val="0"/>
                  <w:tcMar>
                    <w:top w:w="0" w:type="dxa"/>
                    <w:left w:w="0" w:type="dxa"/>
                    <w:bottom w:w="0" w:type="dxa"/>
                    <w:right w:w="0" w:type="dxa"/>
                  </w:tcMar>
                  <w:vAlign w:val="center"/>
                </w:tcPr>
                <w:p w14:paraId="21DA4751">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default" w:cs="Times New Roman"/>
                      <w:color w:val="000000" w:themeColor="text1"/>
                      <w:kern w:val="2"/>
                      <w:sz w:val="20"/>
                      <w:szCs w:val="20"/>
                      <w:highlight w:val="none"/>
                      <w:lang w:val="en-US" w:eastAsia="zh-CN" w:bidi="ar-SA"/>
                      <w14:textFill>
                        <w14:solidFill>
                          <w14:schemeClr w14:val="tx1"/>
                        </w14:solidFill>
                      </w14:textFill>
                    </w:rPr>
                    <w:t>1</w:t>
                  </w:r>
                </w:p>
              </w:tc>
            </w:tr>
            <w:tr w14:paraId="746BD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7" w:type="dxa"/>
                  <w:noWrap w:val="0"/>
                  <w:tcMar>
                    <w:top w:w="0" w:type="dxa"/>
                    <w:left w:w="0" w:type="dxa"/>
                    <w:bottom w:w="0" w:type="dxa"/>
                    <w:right w:w="0" w:type="dxa"/>
                  </w:tcMar>
                  <w:vAlign w:val="center"/>
                </w:tcPr>
                <w:p w14:paraId="25A928D4">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kern w:val="2"/>
                      <w:sz w:val="20"/>
                      <w:szCs w:val="20"/>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0"/>
                      <w:szCs w:val="20"/>
                      <w:highlight w:val="none"/>
                      <w:u w:val="none"/>
                      <w:lang w:val="en-US" w:eastAsia="zh-CN" w:bidi="ar"/>
                      <w14:textFill>
                        <w14:solidFill>
                          <w14:schemeClr w14:val="tx1"/>
                        </w14:solidFill>
                      </w14:textFill>
                    </w:rPr>
                    <w:t>3</w:t>
                  </w:r>
                </w:p>
              </w:tc>
              <w:tc>
                <w:tcPr>
                  <w:tcW w:w="417" w:type="dxa"/>
                  <w:vMerge w:val="continue"/>
                  <w:noWrap w:val="0"/>
                  <w:tcMar>
                    <w:top w:w="0" w:type="dxa"/>
                    <w:left w:w="0" w:type="dxa"/>
                    <w:bottom w:w="0" w:type="dxa"/>
                    <w:right w:w="0" w:type="dxa"/>
                  </w:tcMar>
                  <w:vAlign w:val="center"/>
                </w:tcPr>
                <w:p w14:paraId="0B5CE9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620" w:type="dxa"/>
                  <w:shd w:val="clear" w:color="auto" w:fill="auto"/>
                  <w:noWrap w:val="0"/>
                  <w:tcMar>
                    <w:top w:w="0" w:type="dxa"/>
                    <w:left w:w="0" w:type="dxa"/>
                    <w:bottom w:w="0" w:type="dxa"/>
                    <w:right w:w="0" w:type="dxa"/>
                  </w:tcMar>
                  <w:vAlign w:val="center"/>
                </w:tcPr>
                <w:p w14:paraId="3DDDE08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highlight w:val="none"/>
                      <w:lang w:val="en-US" w:eastAsia="zh-CN" w:bidi="ar-SA"/>
                    </w:rPr>
                  </w:pPr>
                  <w:r>
                    <w:rPr>
                      <w:rFonts w:hint="eastAsia" w:ascii="Times New Roman" w:hAnsi="Times New Roman" w:eastAsia="宋体" w:cs="Times New Roman"/>
                      <w:color w:val="auto"/>
                      <w:kern w:val="2"/>
                      <w:sz w:val="20"/>
                      <w:szCs w:val="20"/>
                      <w:highlight w:val="none"/>
                      <w:lang w:val="en-US" w:eastAsia="zh-CN" w:bidi="ar-SA"/>
                    </w:rPr>
                    <w:t>皮带输送机</w:t>
                  </w:r>
                </w:p>
              </w:tc>
              <w:tc>
                <w:tcPr>
                  <w:tcW w:w="794" w:type="dxa"/>
                  <w:shd w:val="clear" w:color="auto" w:fill="auto"/>
                  <w:noWrap w:val="0"/>
                  <w:tcMar>
                    <w:top w:w="0" w:type="dxa"/>
                    <w:left w:w="0" w:type="dxa"/>
                    <w:bottom w:w="0" w:type="dxa"/>
                    <w:right w:w="0" w:type="dxa"/>
                  </w:tcMar>
                  <w:vAlign w:val="center"/>
                </w:tcPr>
                <w:p w14:paraId="28AD861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75</w:t>
                  </w:r>
                </w:p>
              </w:tc>
              <w:tc>
                <w:tcPr>
                  <w:tcW w:w="417" w:type="dxa"/>
                  <w:vMerge w:val="continue"/>
                  <w:noWrap w:val="0"/>
                  <w:tcMar>
                    <w:top w:w="0" w:type="dxa"/>
                    <w:left w:w="0" w:type="dxa"/>
                    <w:bottom w:w="0" w:type="dxa"/>
                    <w:right w:w="0" w:type="dxa"/>
                  </w:tcMar>
                  <w:vAlign w:val="center"/>
                </w:tcPr>
                <w:p w14:paraId="504E5F1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272" w:type="dxa"/>
                  <w:shd w:val="clear" w:color="auto" w:fill="auto"/>
                  <w:noWrap w:val="0"/>
                  <w:tcMar>
                    <w:top w:w="0" w:type="dxa"/>
                    <w:left w:w="0" w:type="dxa"/>
                    <w:bottom w:w="0" w:type="dxa"/>
                    <w:right w:w="0" w:type="dxa"/>
                  </w:tcMar>
                  <w:vAlign w:val="center"/>
                </w:tcPr>
                <w:p w14:paraId="44D67503">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2</w:t>
                  </w:r>
                </w:p>
              </w:tc>
              <w:tc>
                <w:tcPr>
                  <w:tcW w:w="329" w:type="dxa"/>
                  <w:shd w:val="clear" w:color="auto" w:fill="auto"/>
                  <w:noWrap w:val="0"/>
                  <w:tcMar>
                    <w:top w:w="0" w:type="dxa"/>
                    <w:left w:w="0" w:type="dxa"/>
                    <w:bottom w:w="0" w:type="dxa"/>
                    <w:right w:w="0" w:type="dxa"/>
                  </w:tcMar>
                  <w:vAlign w:val="center"/>
                </w:tcPr>
                <w:p w14:paraId="726D4E5F">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10</w:t>
                  </w:r>
                </w:p>
              </w:tc>
              <w:tc>
                <w:tcPr>
                  <w:tcW w:w="283" w:type="dxa"/>
                  <w:shd w:val="clear" w:color="auto" w:fill="auto"/>
                  <w:noWrap w:val="0"/>
                  <w:tcMar>
                    <w:top w:w="0" w:type="dxa"/>
                    <w:left w:w="0" w:type="dxa"/>
                    <w:bottom w:w="0" w:type="dxa"/>
                    <w:right w:w="0" w:type="dxa"/>
                  </w:tcMar>
                  <w:vAlign w:val="center"/>
                </w:tcPr>
                <w:p w14:paraId="1624BA06">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78</w:t>
                  </w:r>
                </w:p>
              </w:tc>
              <w:tc>
                <w:tcPr>
                  <w:tcW w:w="297" w:type="dxa"/>
                  <w:shd w:val="clear" w:color="auto" w:fill="auto"/>
                  <w:noWrap w:val="0"/>
                  <w:tcMar>
                    <w:top w:w="0" w:type="dxa"/>
                    <w:left w:w="0" w:type="dxa"/>
                    <w:bottom w:w="0" w:type="dxa"/>
                    <w:right w:w="0" w:type="dxa"/>
                  </w:tcMar>
                  <w:vAlign w:val="center"/>
                </w:tcPr>
                <w:p w14:paraId="507E2EF7">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40</w:t>
                  </w:r>
                </w:p>
              </w:tc>
              <w:tc>
                <w:tcPr>
                  <w:tcW w:w="397" w:type="dxa"/>
                  <w:noWrap w:val="0"/>
                  <w:tcMar>
                    <w:top w:w="0" w:type="dxa"/>
                    <w:left w:w="0" w:type="dxa"/>
                    <w:bottom w:w="0" w:type="dxa"/>
                    <w:right w:w="0" w:type="dxa"/>
                  </w:tcMar>
                  <w:vAlign w:val="center"/>
                </w:tcPr>
                <w:p w14:paraId="5350A4B1">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66</w:t>
                  </w:r>
                </w:p>
              </w:tc>
              <w:tc>
                <w:tcPr>
                  <w:tcW w:w="352" w:type="dxa"/>
                  <w:noWrap w:val="0"/>
                  <w:tcMar>
                    <w:top w:w="0" w:type="dxa"/>
                    <w:left w:w="0" w:type="dxa"/>
                    <w:bottom w:w="0" w:type="dxa"/>
                    <w:right w:w="0" w:type="dxa"/>
                  </w:tcMar>
                  <w:vAlign w:val="center"/>
                </w:tcPr>
                <w:p w14:paraId="20A926D1">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55</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431" w:type="dxa"/>
                  <w:shd w:val="clear" w:color="auto" w:fill="auto"/>
                  <w:noWrap w:val="0"/>
                  <w:tcMar>
                    <w:top w:w="0" w:type="dxa"/>
                    <w:left w:w="0" w:type="dxa"/>
                    <w:bottom w:w="0" w:type="dxa"/>
                    <w:right w:w="0" w:type="dxa"/>
                  </w:tcMar>
                  <w:vAlign w:val="center"/>
                </w:tcPr>
                <w:p w14:paraId="32CF89F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37</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391" w:type="dxa"/>
                  <w:shd w:val="clear" w:color="auto" w:fill="auto"/>
                  <w:noWrap w:val="0"/>
                  <w:tcMar>
                    <w:top w:w="0" w:type="dxa"/>
                    <w:left w:w="0" w:type="dxa"/>
                    <w:bottom w:w="0" w:type="dxa"/>
                    <w:right w:w="0" w:type="dxa"/>
                  </w:tcMar>
                  <w:vAlign w:val="center"/>
                </w:tcPr>
                <w:p w14:paraId="495AC23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43</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417" w:type="dxa"/>
                  <w:vMerge w:val="continue"/>
                  <w:noWrap w:val="0"/>
                  <w:tcMar>
                    <w:top w:w="0" w:type="dxa"/>
                    <w:left w:w="0" w:type="dxa"/>
                    <w:bottom w:w="0" w:type="dxa"/>
                    <w:right w:w="0" w:type="dxa"/>
                  </w:tcMar>
                  <w:vAlign w:val="center"/>
                </w:tcPr>
                <w:p w14:paraId="64DCBF11">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p>
              </w:tc>
              <w:tc>
                <w:tcPr>
                  <w:tcW w:w="739" w:type="dxa"/>
                  <w:shd w:val="clear" w:color="auto" w:fill="auto"/>
                  <w:noWrap w:val="0"/>
                  <w:tcMar>
                    <w:top w:w="0" w:type="dxa"/>
                    <w:left w:w="0" w:type="dxa"/>
                    <w:bottom w:w="0" w:type="dxa"/>
                    <w:right w:w="0" w:type="dxa"/>
                  </w:tcMar>
                  <w:vAlign w:val="center"/>
                </w:tcPr>
                <w:p w14:paraId="6971C9E2">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default" w:eastAsia="宋体" w:cs="Times New Roman"/>
                      <w:color w:val="000000" w:themeColor="text1"/>
                      <w:kern w:val="2"/>
                      <w:sz w:val="20"/>
                      <w:szCs w:val="20"/>
                      <w:highlight w:val="none"/>
                      <w:lang w:val="en-US" w:eastAsia="zh-CN" w:bidi="ar-SA"/>
                      <w14:textFill>
                        <w14:solidFill>
                          <w14:schemeClr w14:val="tx1"/>
                        </w14:solidFill>
                      </w14:textFill>
                    </w:rPr>
                    <w:t>21</w:t>
                  </w:r>
                </w:p>
              </w:tc>
              <w:tc>
                <w:tcPr>
                  <w:tcW w:w="301" w:type="dxa"/>
                  <w:noWrap w:val="0"/>
                  <w:tcMar>
                    <w:top w:w="0" w:type="dxa"/>
                    <w:left w:w="0" w:type="dxa"/>
                    <w:bottom w:w="0" w:type="dxa"/>
                    <w:right w:w="0" w:type="dxa"/>
                  </w:tcMar>
                  <w:vAlign w:val="center"/>
                </w:tcPr>
                <w:p w14:paraId="294C8D68">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45</w:t>
                  </w:r>
                </w:p>
              </w:tc>
              <w:tc>
                <w:tcPr>
                  <w:tcW w:w="318" w:type="dxa"/>
                  <w:noWrap w:val="0"/>
                  <w:tcMar>
                    <w:top w:w="0" w:type="dxa"/>
                    <w:left w:w="0" w:type="dxa"/>
                    <w:bottom w:w="0" w:type="dxa"/>
                    <w:right w:w="0" w:type="dxa"/>
                  </w:tcMar>
                  <w:vAlign w:val="center"/>
                </w:tcPr>
                <w:p w14:paraId="3ECB9B34">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34</w:t>
                  </w:r>
                </w:p>
              </w:tc>
              <w:tc>
                <w:tcPr>
                  <w:tcW w:w="431" w:type="dxa"/>
                  <w:noWrap w:val="0"/>
                  <w:tcMar>
                    <w:top w:w="0" w:type="dxa"/>
                    <w:left w:w="0" w:type="dxa"/>
                    <w:bottom w:w="0" w:type="dxa"/>
                    <w:right w:w="0" w:type="dxa"/>
                  </w:tcMar>
                  <w:vAlign w:val="center"/>
                </w:tcPr>
                <w:p w14:paraId="533BEEF8">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16</w:t>
                  </w:r>
                </w:p>
              </w:tc>
              <w:tc>
                <w:tcPr>
                  <w:tcW w:w="397" w:type="dxa"/>
                  <w:noWrap w:val="0"/>
                  <w:tcMar>
                    <w:top w:w="0" w:type="dxa"/>
                    <w:left w:w="0" w:type="dxa"/>
                    <w:bottom w:w="0" w:type="dxa"/>
                    <w:right w:w="0" w:type="dxa"/>
                  </w:tcMar>
                  <w:vAlign w:val="center"/>
                </w:tcPr>
                <w:p w14:paraId="29625DBD">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22</w:t>
                  </w:r>
                </w:p>
              </w:tc>
              <w:tc>
                <w:tcPr>
                  <w:tcW w:w="469" w:type="dxa"/>
                  <w:noWrap w:val="0"/>
                  <w:tcMar>
                    <w:top w:w="0" w:type="dxa"/>
                    <w:left w:w="0" w:type="dxa"/>
                    <w:bottom w:w="0" w:type="dxa"/>
                    <w:right w:w="0" w:type="dxa"/>
                  </w:tcMar>
                  <w:vAlign w:val="center"/>
                </w:tcPr>
                <w:p w14:paraId="61877BE3">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default" w:cs="Times New Roman"/>
                      <w:color w:val="000000" w:themeColor="text1"/>
                      <w:kern w:val="2"/>
                      <w:sz w:val="20"/>
                      <w:szCs w:val="20"/>
                      <w:highlight w:val="none"/>
                      <w:lang w:val="en-US" w:eastAsia="zh-CN" w:bidi="ar-SA"/>
                      <w14:textFill>
                        <w14:solidFill>
                          <w14:schemeClr w14:val="tx1"/>
                        </w14:solidFill>
                      </w14:textFill>
                    </w:rPr>
                    <w:t>1</w:t>
                  </w:r>
                </w:p>
              </w:tc>
            </w:tr>
            <w:tr w14:paraId="1AA578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7" w:type="dxa"/>
                  <w:noWrap w:val="0"/>
                  <w:tcMar>
                    <w:top w:w="0" w:type="dxa"/>
                    <w:left w:w="0" w:type="dxa"/>
                    <w:bottom w:w="0" w:type="dxa"/>
                    <w:right w:w="0" w:type="dxa"/>
                  </w:tcMar>
                  <w:vAlign w:val="center"/>
                </w:tcPr>
                <w:p w14:paraId="45149E70">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kern w:val="2"/>
                      <w:sz w:val="20"/>
                      <w:szCs w:val="20"/>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0"/>
                      <w:szCs w:val="20"/>
                      <w:highlight w:val="none"/>
                      <w:u w:val="none"/>
                      <w:lang w:val="en-US" w:eastAsia="zh-CN" w:bidi="ar"/>
                      <w14:textFill>
                        <w14:solidFill>
                          <w14:schemeClr w14:val="tx1"/>
                        </w14:solidFill>
                      </w14:textFill>
                    </w:rPr>
                    <w:t>4</w:t>
                  </w:r>
                </w:p>
              </w:tc>
              <w:tc>
                <w:tcPr>
                  <w:tcW w:w="417" w:type="dxa"/>
                  <w:vMerge w:val="continue"/>
                  <w:noWrap w:val="0"/>
                  <w:tcMar>
                    <w:top w:w="0" w:type="dxa"/>
                    <w:left w:w="0" w:type="dxa"/>
                    <w:bottom w:w="0" w:type="dxa"/>
                    <w:right w:w="0" w:type="dxa"/>
                  </w:tcMar>
                  <w:vAlign w:val="center"/>
                </w:tcPr>
                <w:p w14:paraId="2229BD3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620" w:type="dxa"/>
                  <w:shd w:val="clear" w:color="auto" w:fill="auto"/>
                  <w:noWrap w:val="0"/>
                  <w:tcMar>
                    <w:top w:w="0" w:type="dxa"/>
                    <w:left w:w="0" w:type="dxa"/>
                    <w:bottom w:w="0" w:type="dxa"/>
                    <w:right w:w="0" w:type="dxa"/>
                  </w:tcMar>
                  <w:vAlign w:val="center"/>
                </w:tcPr>
                <w:p w14:paraId="07B35D1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highlight w:val="none"/>
                      <w:lang w:val="en-US" w:eastAsia="zh-CN" w:bidi="ar-SA"/>
                    </w:rPr>
                  </w:pPr>
                  <w:r>
                    <w:rPr>
                      <w:rFonts w:hint="eastAsia" w:ascii="Times New Roman" w:hAnsi="Times New Roman" w:eastAsia="宋体" w:cs="Times New Roman"/>
                      <w:color w:val="auto"/>
                      <w:kern w:val="2"/>
                      <w:sz w:val="20"/>
                      <w:szCs w:val="20"/>
                      <w:highlight w:val="none"/>
                      <w:lang w:val="en-US" w:eastAsia="zh-CN" w:bidi="ar-SA"/>
                    </w:rPr>
                    <w:t>皮带输送机</w:t>
                  </w:r>
                </w:p>
              </w:tc>
              <w:tc>
                <w:tcPr>
                  <w:tcW w:w="794" w:type="dxa"/>
                  <w:shd w:val="clear" w:color="auto" w:fill="auto"/>
                  <w:noWrap w:val="0"/>
                  <w:tcMar>
                    <w:top w:w="0" w:type="dxa"/>
                    <w:left w:w="0" w:type="dxa"/>
                    <w:bottom w:w="0" w:type="dxa"/>
                    <w:right w:w="0" w:type="dxa"/>
                  </w:tcMar>
                  <w:vAlign w:val="center"/>
                </w:tcPr>
                <w:p w14:paraId="3F59EA9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75</w:t>
                  </w:r>
                </w:p>
              </w:tc>
              <w:tc>
                <w:tcPr>
                  <w:tcW w:w="417" w:type="dxa"/>
                  <w:vMerge w:val="continue"/>
                  <w:noWrap w:val="0"/>
                  <w:tcMar>
                    <w:top w:w="0" w:type="dxa"/>
                    <w:left w:w="0" w:type="dxa"/>
                    <w:bottom w:w="0" w:type="dxa"/>
                    <w:right w:w="0" w:type="dxa"/>
                  </w:tcMar>
                  <w:vAlign w:val="center"/>
                </w:tcPr>
                <w:p w14:paraId="7D4CC26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272" w:type="dxa"/>
                  <w:shd w:val="clear" w:color="auto" w:fill="auto"/>
                  <w:noWrap w:val="0"/>
                  <w:tcMar>
                    <w:top w:w="0" w:type="dxa"/>
                    <w:left w:w="0" w:type="dxa"/>
                    <w:bottom w:w="0" w:type="dxa"/>
                    <w:right w:w="0" w:type="dxa"/>
                  </w:tcMar>
                  <w:vAlign w:val="center"/>
                </w:tcPr>
                <w:p w14:paraId="5568B932">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2</w:t>
                  </w:r>
                </w:p>
              </w:tc>
              <w:tc>
                <w:tcPr>
                  <w:tcW w:w="329" w:type="dxa"/>
                  <w:shd w:val="clear" w:color="auto" w:fill="auto"/>
                  <w:noWrap w:val="0"/>
                  <w:tcMar>
                    <w:top w:w="0" w:type="dxa"/>
                    <w:left w:w="0" w:type="dxa"/>
                    <w:bottom w:w="0" w:type="dxa"/>
                    <w:right w:w="0" w:type="dxa"/>
                  </w:tcMar>
                  <w:vAlign w:val="center"/>
                </w:tcPr>
                <w:p w14:paraId="630062D1">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10</w:t>
                  </w:r>
                </w:p>
              </w:tc>
              <w:tc>
                <w:tcPr>
                  <w:tcW w:w="283" w:type="dxa"/>
                  <w:shd w:val="clear" w:color="auto" w:fill="auto"/>
                  <w:noWrap w:val="0"/>
                  <w:tcMar>
                    <w:top w:w="0" w:type="dxa"/>
                    <w:left w:w="0" w:type="dxa"/>
                    <w:bottom w:w="0" w:type="dxa"/>
                    <w:right w:w="0" w:type="dxa"/>
                  </w:tcMar>
                  <w:vAlign w:val="center"/>
                </w:tcPr>
                <w:p w14:paraId="3B83A95C">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78</w:t>
                  </w:r>
                </w:p>
              </w:tc>
              <w:tc>
                <w:tcPr>
                  <w:tcW w:w="297" w:type="dxa"/>
                  <w:shd w:val="clear" w:color="auto" w:fill="auto"/>
                  <w:noWrap w:val="0"/>
                  <w:tcMar>
                    <w:top w:w="0" w:type="dxa"/>
                    <w:left w:w="0" w:type="dxa"/>
                    <w:bottom w:w="0" w:type="dxa"/>
                    <w:right w:w="0" w:type="dxa"/>
                  </w:tcMar>
                  <w:vAlign w:val="center"/>
                </w:tcPr>
                <w:p w14:paraId="222A0C2E">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40</w:t>
                  </w:r>
                </w:p>
              </w:tc>
              <w:tc>
                <w:tcPr>
                  <w:tcW w:w="397" w:type="dxa"/>
                  <w:noWrap w:val="0"/>
                  <w:tcMar>
                    <w:top w:w="0" w:type="dxa"/>
                    <w:left w:w="0" w:type="dxa"/>
                    <w:bottom w:w="0" w:type="dxa"/>
                    <w:right w:w="0" w:type="dxa"/>
                  </w:tcMar>
                  <w:vAlign w:val="center"/>
                </w:tcPr>
                <w:p w14:paraId="4599D0AE">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66</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352" w:type="dxa"/>
                  <w:noWrap w:val="0"/>
                  <w:tcMar>
                    <w:top w:w="0" w:type="dxa"/>
                    <w:left w:w="0" w:type="dxa"/>
                    <w:bottom w:w="0" w:type="dxa"/>
                    <w:right w:w="0" w:type="dxa"/>
                  </w:tcMar>
                  <w:vAlign w:val="center"/>
                </w:tcPr>
                <w:p w14:paraId="18255821">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55</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431" w:type="dxa"/>
                  <w:shd w:val="clear" w:color="auto" w:fill="auto"/>
                  <w:noWrap w:val="0"/>
                  <w:tcMar>
                    <w:top w:w="0" w:type="dxa"/>
                    <w:left w:w="0" w:type="dxa"/>
                    <w:bottom w:w="0" w:type="dxa"/>
                    <w:right w:w="0" w:type="dxa"/>
                  </w:tcMar>
                  <w:vAlign w:val="center"/>
                </w:tcPr>
                <w:p w14:paraId="4247772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37</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391" w:type="dxa"/>
                  <w:shd w:val="clear" w:color="auto" w:fill="auto"/>
                  <w:noWrap w:val="0"/>
                  <w:tcMar>
                    <w:top w:w="0" w:type="dxa"/>
                    <w:left w:w="0" w:type="dxa"/>
                    <w:bottom w:w="0" w:type="dxa"/>
                    <w:right w:w="0" w:type="dxa"/>
                  </w:tcMar>
                  <w:vAlign w:val="center"/>
                </w:tcPr>
                <w:p w14:paraId="671767D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43</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417" w:type="dxa"/>
                  <w:vMerge w:val="continue"/>
                  <w:noWrap w:val="0"/>
                  <w:tcMar>
                    <w:top w:w="0" w:type="dxa"/>
                    <w:left w:w="0" w:type="dxa"/>
                    <w:bottom w:w="0" w:type="dxa"/>
                    <w:right w:w="0" w:type="dxa"/>
                  </w:tcMar>
                  <w:vAlign w:val="center"/>
                </w:tcPr>
                <w:p w14:paraId="3B41D267">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p>
              </w:tc>
              <w:tc>
                <w:tcPr>
                  <w:tcW w:w="739" w:type="dxa"/>
                  <w:shd w:val="clear" w:color="auto" w:fill="auto"/>
                  <w:noWrap w:val="0"/>
                  <w:tcMar>
                    <w:top w:w="0" w:type="dxa"/>
                    <w:left w:w="0" w:type="dxa"/>
                    <w:bottom w:w="0" w:type="dxa"/>
                    <w:right w:w="0" w:type="dxa"/>
                  </w:tcMar>
                  <w:vAlign w:val="center"/>
                </w:tcPr>
                <w:p w14:paraId="17AF6D32">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default" w:eastAsia="宋体" w:cs="Times New Roman"/>
                      <w:color w:val="000000" w:themeColor="text1"/>
                      <w:kern w:val="2"/>
                      <w:sz w:val="20"/>
                      <w:szCs w:val="20"/>
                      <w:highlight w:val="none"/>
                      <w:lang w:val="en-US" w:eastAsia="zh-CN" w:bidi="ar-SA"/>
                      <w14:textFill>
                        <w14:solidFill>
                          <w14:schemeClr w14:val="tx1"/>
                        </w14:solidFill>
                      </w14:textFill>
                    </w:rPr>
                    <w:t>21</w:t>
                  </w:r>
                </w:p>
              </w:tc>
              <w:tc>
                <w:tcPr>
                  <w:tcW w:w="301" w:type="dxa"/>
                  <w:noWrap w:val="0"/>
                  <w:tcMar>
                    <w:top w:w="0" w:type="dxa"/>
                    <w:left w:w="0" w:type="dxa"/>
                    <w:bottom w:w="0" w:type="dxa"/>
                    <w:right w:w="0" w:type="dxa"/>
                  </w:tcMar>
                  <w:vAlign w:val="center"/>
                </w:tcPr>
                <w:p w14:paraId="41BE6573">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45</w:t>
                  </w:r>
                </w:p>
              </w:tc>
              <w:tc>
                <w:tcPr>
                  <w:tcW w:w="318" w:type="dxa"/>
                  <w:noWrap w:val="0"/>
                  <w:tcMar>
                    <w:top w:w="0" w:type="dxa"/>
                    <w:left w:w="0" w:type="dxa"/>
                    <w:bottom w:w="0" w:type="dxa"/>
                    <w:right w:w="0" w:type="dxa"/>
                  </w:tcMar>
                  <w:vAlign w:val="center"/>
                </w:tcPr>
                <w:p w14:paraId="35B56F03">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34</w:t>
                  </w:r>
                </w:p>
              </w:tc>
              <w:tc>
                <w:tcPr>
                  <w:tcW w:w="431" w:type="dxa"/>
                  <w:noWrap w:val="0"/>
                  <w:tcMar>
                    <w:top w:w="0" w:type="dxa"/>
                    <w:left w:w="0" w:type="dxa"/>
                    <w:bottom w:w="0" w:type="dxa"/>
                    <w:right w:w="0" w:type="dxa"/>
                  </w:tcMar>
                  <w:vAlign w:val="center"/>
                </w:tcPr>
                <w:p w14:paraId="07FA4DE3">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16</w:t>
                  </w:r>
                </w:p>
              </w:tc>
              <w:tc>
                <w:tcPr>
                  <w:tcW w:w="397" w:type="dxa"/>
                  <w:noWrap w:val="0"/>
                  <w:tcMar>
                    <w:top w:w="0" w:type="dxa"/>
                    <w:left w:w="0" w:type="dxa"/>
                    <w:bottom w:w="0" w:type="dxa"/>
                    <w:right w:w="0" w:type="dxa"/>
                  </w:tcMar>
                  <w:vAlign w:val="center"/>
                </w:tcPr>
                <w:p w14:paraId="7B634F94">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22</w:t>
                  </w:r>
                </w:p>
              </w:tc>
              <w:tc>
                <w:tcPr>
                  <w:tcW w:w="469" w:type="dxa"/>
                  <w:noWrap w:val="0"/>
                  <w:tcMar>
                    <w:top w:w="0" w:type="dxa"/>
                    <w:left w:w="0" w:type="dxa"/>
                    <w:bottom w:w="0" w:type="dxa"/>
                    <w:right w:w="0" w:type="dxa"/>
                  </w:tcMar>
                  <w:vAlign w:val="center"/>
                </w:tcPr>
                <w:p w14:paraId="268F7307">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default" w:cs="Times New Roman"/>
                      <w:color w:val="000000" w:themeColor="text1"/>
                      <w:kern w:val="2"/>
                      <w:sz w:val="20"/>
                      <w:szCs w:val="20"/>
                      <w:highlight w:val="none"/>
                      <w:lang w:val="en-US" w:eastAsia="zh-CN" w:bidi="ar-SA"/>
                      <w14:textFill>
                        <w14:solidFill>
                          <w14:schemeClr w14:val="tx1"/>
                        </w14:solidFill>
                      </w14:textFill>
                    </w:rPr>
                    <w:t>1</w:t>
                  </w:r>
                </w:p>
              </w:tc>
            </w:tr>
            <w:tr w14:paraId="5C955D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417" w:type="dxa"/>
                  <w:noWrap w:val="0"/>
                  <w:tcMar>
                    <w:top w:w="0" w:type="dxa"/>
                    <w:left w:w="0" w:type="dxa"/>
                    <w:bottom w:w="0" w:type="dxa"/>
                    <w:right w:w="0" w:type="dxa"/>
                  </w:tcMar>
                  <w:vAlign w:val="center"/>
                </w:tcPr>
                <w:p w14:paraId="0AFBFA47">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kern w:val="2"/>
                      <w:sz w:val="20"/>
                      <w:szCs w:val="20"/>
                      <w:highlight w:val="none"/>
                      <w:lang w:val="en-US" w:eastAsia="zh-CN" w:bidi="ar-SA"/>
                      <w14:textFill>
                        <w14:solidFill>
                          <w14:schemeClr w14:val="tx1"/>
                        </w14:solidFill>
                      </w14:textFill>
                    </w:rPr>
                  </w:pPr>
                  <w:r>
                    <w:rPr>
                      <w:rFonts w:hint="default" w:ascii="Times New Roman" w:hAnsi="Times New Roman" w:eastAsia="宋体" w:cs="Times New Roman"/>
                      <w:i w:val="0"/>
                      <w:iCs w:val="0"/>
                      <w:color w:val="000000" w:themeColor="text1"/>
                      <w:kern w:val="0"/>
                      <w:sz w:val="20"/>
                      <w:szCs w:val="20"/>
                      <w:highlight w:val="none"/>
                      <w:u w:val="none"/>
                      <w:lang w:val="en-US" w:eastAsia="zh-CN" w:bidi="ar"/>
                      <w14:textFill>
                        <w14:solidFill>
                          <w14:schemeClr w14:val="tx1"/>
                        </w14:solidFill>
                      </w14:textFill>
                    </w:rPr>
                    <w:t>5</w:t>
                  </w:r>
                </w:p>
              </w:tc>
              <w:tc>
                <w:tcPr>
                  <w:tcW w:w="417" w:type="dxa"/>
                  <w:vMerge w:val="continue"/>
                  <w:noWrap w:val="0"/>
                  <w:tcMar>
                    <w:top w:w="0" w:type="dxa"/>
                    <w:left w:w="0" w:type="dxa"/>
                    <w:bottom w:w="0" w:type="dxa"/>
                    <w:right w:w="0" w:type="dxa"/>
                  </w:tcMar>
                  <w:vAlign w:val="center"/>
                </w:tcPr>
                <w:p w14:paraId="1D3525E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620" w:type="dxa"/>
                  <w:shd w:val="clear" w:color="auto" w:fill="auto"/>
                  <w:noWrap w:val="0"/>
                  <w:tcMar>
                    <w:top w:w="0" w:type="dxa"/>
                    <w:left w:w="0" w:type="dxa"/>
                    <w:bottom w:w="0" w:type="dxa"/>
                    <w:right w:w="0" w:type="dxa"/>
                  </w:tcMar>
                  <w:vAlign w:val="center"/>
                </w:tcPr>
                <w:p w14:paraId="167C644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auto"/>
                      <w:kern w:val="2"/>
                      <w:sz w:val="20"/>
                      <w:szCs w:val="20"/>
                      <w:highlight w:val="none"/>
                      <w:lang w:val="en-US" w:eastAsia="zh-CN" w:bidi="ar-SA"/>
                    </w:rPr>
                  </w:pPr>
                  <w:r>
                    <w:rPr>
                      <w:rFonts w:hint="eastAsia" w:ascii="Times New Roman" w:hAnsi="Times New Roman" w:eastAsia="宋体" w:cs="Times New Roman"/>
                      <w:color w:val="auto"/>
                      <w:kern w:val="2"/>
                      <w:sz w:val="20"/>
                      <w:szCs w:val="20"/>
                      <w:highlight w:val="none"/>
                      <w:lang w:val="en-US" w:eastAsia="zh-CN" w:bidi="ar-SA"/>
                    </w:rPr>
                    <w:t>提升机</w:t>
                  </w:r>
                </w:p>
              </w:tc>
              <w:tc>
                <w:tcPr>
                  <w:tcW w:w="794" w:type="dxa"/>
                  <w:shd w:val="clear" w:color="auto" w:fill="auto"/>
                  <w:noWrap w:val="0"/>
                  <w:tcMar>
                    <w:top w:w="0" w:type="dxa"/>
                    <w:left w:w="0" w:type="dxa"/>
                    <w:bottom w:w="0" w:type="dxa"/>
                    <w:right w:w="0" w:type="dxa"/>
                  </w:tcMar>
                  <w:vAlign w:val="center"/>
                </w:tcPr>
                <w:p w14:paraId="3D0B844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70</w:t>
                  </w:r>
                </w:p>
              </w:tc>
              <w:tc>
                <w:tcPr>
                  <w:tcW w:w="417" w:type="dxa"/>
                  <w:vMerge w:val="continue"/>
                  <w:noWrap w:val="0"/>
                  <w:tcMar>
                    <w:top w:w="0" w:type="dxa"/>
                    <w:left w:w="0" w:type="dxa"/>
                    <w:bottom w:w="0" w:type="dxa"/>
                    <w:right w:w="0" w:type="dxa"/>
                  </w:tcMar>
                  <w:vAlign w:val="center"/>
                </w:tcPr>
                <w:p w14:paraId="75185F0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 w:val="20"/>
                      <w:szCs w:val="20"/>
                      <w:highlight w:val="none"/>
                      <w14:textFill>
                        <w14:solidFill>
                          <w14:schemeClr w14:val="tx1"/>
                        </w14:solidFill>
                      </w14:textFill>
                    </w:rPr>
                  </w:pPr>
                </w:p>
              </w:tc>
              <w:tc>
                <w:tcPr>
                  <w:tcW w:w="272" w:type="dxa"/>
                  <w:shd w:val="clear" w:color="auto" w:fill="auto"/>
                  <w:noWrap w:val="0"/>
                  <w:tcMar>
                    <w:top w:w="0" w:type="dxa"/>
                    <w:left w:w="0" w:type="dxa"/>
                    <w:bottom w:w="0" w:type="dxa"/>
                    <w:right w:w="0" w:type="dxa"/>
                  </w:tcMar>
                  <w:vAlign w:val="center"/>
                </w:tcPr>
                <w:p w14:paraId="3A1029FE">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1</w:t>
                  </w:r>
                </w:p>
              </w:tc>
              <w:tc>
                <w:tcPr>
                  <w:tcW w:w="329" w:type="dxa"/>
                  <w:shd w:val="clear" w:color="auto" w:fill="auto"/>
                  <w:noWrap w:val="0"/>
                  <w:tcMar>
                    <w:top w:w="0" w:type="dxa"/>
                    <w:left w:w="0" w:type="dxa"/>
                    <w:bottom w:w="0" w:type="dxa"/>
                    <w:right w:w="0" w:type="dxa"/>
                  </w:tcMar>
                  <w:vAlign w:val="center"/>
                </w:tcPr>
                <w:p w14:paraId="480C0F0A">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13</w:t>
                  </w:r>
                </w:p>
              </w:tc>
              <w:tc>
                <w:tcPr>
                  <w:tcW w:w="283" w:type="dxa"/>
                  <w:shd w:val="clear" w:color="auto" w:fill="auto"/>
                  <w:noWrap w:val="0"/>
                  <w:tcMar>
                    <w:top w:w="0" w:type="dxa"/>
                    <w:left w:w="0" w:type="dxa"/>
                    <w:bottom w:w="0" w:type="dxa"/>
                    <w:right w:w="0" w:type="dxa"/>
                  </w:tcMar>
                  <w:vAlign w:val="center"/>
                </w:tcPr>
                <w:p w14:paraId="39E8862B">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79</w:t>
                  </w:r>
                </w:p>
              </w:tc>
              <w:tc>
                <w:tcPr>
                  <w:tcW w:w="297" w:type="dxa"/>
                  <w:shd w:val="clear" w:color="auto" w:fill="auto"/>
                  <w:noWrap w:val="0"/>
                  <w:tcMar>
                    <w:top w:w="0" w:type="dxa"/>
                    <w:left w:w="0" w:type="dxa"/>
                    <w:bottom w:w="0" w:type="dxa"/>
                    <w:right w:w="0" w:type="dxa"/>
                  </w:tcMar>
                  <w:vAlign w:val="center"/>
                </w:tcPr>
                <w:p w14:paraId="45DE8300">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64</w:t>
                  </w:r>
                </w:p>
              </w:tc>
              <w:tc>
                <w:tcPr>
                  <w:tcW w:w="397" w:type="dxa"/>
                  <w:noWrap w:val="0"/>
                  <w:tcMar>
                    <w:top w:w="0" w:type="dxa"/>
                    <w:left w:w="0" w:type="dxa"/>
                    <w:bottom w:w="0" w:type="dxa"/>
                    <w:right w:w="0" w:type="dxa"/>
                  </w:tcMar>
                  <w:vAlign w:val="center"/>
                </w:tcPr>
                <w:p w14:paraId="05B07A88">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64</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352" w:type="dxa"/>
                  <w:noWrap w:val="0"/>
                  <w:tcMar>
                    <w:top w:w="0" w:type="dxa"/>
                    <w:left w:w="0" w:type="dxa"/>
                    <w:bottom w:w="0" w:type="dxa"/>
                    <w:right w:w="0" w:type="dxa"/>
                  </w:tcMar>
                  <w:vAlign w:val="center"/>
                </w:tcPr>
                <w:p w14:paraId="208097A3">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51</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431" w:type="dxa"/>
                  <w:noWrap w:val="0"/>
                  <w:tcMar>
                    <w:top w:w="0" w:type="dxa"/>
                    <w:left w:w="0" w:type="dxa"/>
                    <w:bottom w:w="0" w:type="dxa"/>
                    <w:right w:w="0" w:type="dxa"/>
                  </w:tcMar>
                  <w:vAlign w:val="center"/>
                </w:tcPr>
                <w:p w14:paraId="2A9CC221">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32</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391" w:type="dxa"/>
                  <w:noWrap w:val="0"/>
                  <w:tcMar>
                    <w:top w:w="0" w:type="dxa"/>
                    <w:left w:w="0" w:type="dxa"/>
                    <w:bottom w:w="0" w:type="dxa"/>
                    <w:right w:w="0" w:type="dxa"/>
                  </w:tcMar>
                  <w:vAlign w:val="center"/>
                </w:tcPr>
                <w:p w14:paraId="6980F1FE">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38</w:t>
                  </w:r>
                  <w:r>
                    <w:rPr>
                      <w:rFonts w:hint="eastAsia" w:eastAsia="宋体" w:cs="Times New Roman"/>
                      <w:color w:val="000000" w:themeColor="text1"/>
                      <w:kern w:val="2"/>
                      <w:sz w:val="20"/>
                      <w:szCs w:val="20"/>
                      <w:highlight w:val="none"/>
                      <w:lang w:val="en-US" w:eastAsia="zh-CN" w:bidi="ar-SA"/>
                      <w14:textFill>
                        <w14:solidFill>
                          <w14:schemeClr w14:val="tx1"/>
                        </w14:solidFill>
                      </w14:textFill>
                    </w:rPr>
                    <w:t xml:space="preserve"> </w:t>
                  </w:r>
                </w:p>
              </w:tc>
              <w:tc>
                <w:tcPr>
                  <w:tcW w:w="417" w:type="dxa"/>
                  <w:vMerge w:val="continue"/>
                  <w:noWrap w:val="0"/>
                  <w:tcMar>
                    <w:top w:w="0" w:type="dxa"/>
                    <w:left w:w="0" w:type="dxa"/>
                    <w:bottom w:w="0" w:type="dxa"/>
                    <w:right w:w="0" w:type="dxa"/>
                  </w:tcMar>
                  <w:vAlign w:val="center"/>
                </w:tcPr>
                <w:p w14:paraId="172AB465">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p>
              </w:tc>
              <w:tc>
                <w:tcPr>
                  <w:tcW w:w="739" w:type="dxa"/>
                  <w:shd w:val="clear" w:color="auto" w:fill="auto"/>
                  <w:noWrap w:val="0"/>
                  <w:tcMar>
                    <w:top w:w="0" w:type="dxa"/>
                    <w:left w:w="0" w:type="dxa"/>
                    <w:bottom w:w="0" w:type="dxa"/>
                    <w:right w:w="0" w:type="dxa"/>
                  </w:tcMar>
                  <w:vAlign w:val="center"/>
                </w:tcPr>
                <w:p w14:paraId="2D44DF7D">
                  <w:pPr>
                    <w:keepNext w:val="0"/>
                    <w:keepLines w:val="0"/>
                    <w:suppressLineNumbers w:val="0"/>
                    <w:spacing w:before="0" w:beforeAutospacing="0" w:after="0" w:afterAutospacing="0"/>
                    <w:ind w:left="0" w:right="0"/>
                    <w:jc w:val="center"/>
                    <w:rPr>
                      <w:rFonts w:hint="default" w:eastAsia="宋体" w:cs="Times New Roman"/>
                      <w:color w:val="000000" w:themeColor="text1"/>
                      <w:kern w:val="2"/>
                      <w:sz w:val="20"/>
                      <w:szCs w:val="20"/>
                      <w:highlight w:val="none"/>
                      <w:lang w:val="en-US" w:eastAsia="zh-CN" w:bidi="ar-SA"/>
                      <w14:textFill>
                        <w14:solidFill>
                          <w14:schemeClr w14:val="tx1"/>
                        </w14:solidFill>
                      </w14:textFill>
                    </w:rPr>
                  </w:pPr>
                  <w:r>
                    <w:rPr>
                      <w:rFonts w:hint="default" w:eastAsia="宋体" w:cs="Times New Roman"/>
                      <w:color w:val="000000" w:themeColor="text1"/>
                      <w:kern w:val="2"/>
                      <w:sz w:val="20"/>
                      <w:szCs w:val="20"/>
                      <w:highlight w:val="none"/>
                      <w:lang w:val="en-US" w:eastAsia="zh-CN" w:bidi="ar-SA"/>
                      <w14:textFill>
                        <w14:solidFill>
                          <w14:schemeClr w14:val="tx1"/>
                        </w14:solidFill>
                      </w14:textFill>
                    </w:rPr>
                    <w:t>21</w:t>
                  </w:r>
                </w:p>
              </w:tc>
              <w:tc>
                <w:tcPr>
                  <w:tcW w:w="301" w:type="dxa"/>
                  <w:noWrap w:val="0"/>
                  <w:tcMar>
                    <w:top w:w="0" w:type="dxa"/>
                    <w:left w:w="0" w:type="dxa"/>
                    <w:bottom w:w="0" w:type="dxa"/>
                    <w:right w:w="0" w:type="dxa"/>
                  </w:tcMar>
                  <w:vAlign w:val="center"/>
                </w:tcPr>
                <w:p w14:paraId="401407C1">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43</w:t>
                  </w:r>
                </w:p>
              </w:tc>
              <w:tc>
                <w:tcPr>
                  <w:tcW w:w="318" w:type="dxa"/>
                  <w:noWrap w:val="0"/>
                  <w:tcMar>
                    <w:top w:w="0" w:type="dxa"/>
                    <w:left w:w="0" w:type="dxa"/>
                    <w:bottom w:w="0" w:type="dxa"/>
                    <w:right w:w="0" w:type="dxa"/>
                  </w:tcMar>
                  <w:vAlign w:val="center"/>
                </w:tcPr>
                <w:p w14:paraId="0CDBD5CB">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30</w:t>
                  </w:r>
                </w:p>
              </w:tc>
              <w:tc>
                <w:tcPr>
                  <w:tcW w:w="431" w:type="dxa"/>
                  <w:noWrap w:val="0"/>
                  <w:tcMar>
                    <w:top w:w="0" w:type="dxa"/>
                    <w:left w:w="0" w:type="dxa"/>
                    <w:bottom w:w="0" w:type="dxa"/>
                    <w:right w:w="0" w:type="dxa"/>
                  </w:tcMar>
                  <w:vAlign w:val="center"/>
                </w:tcPr>
                <w:p w14:paraId="4EB3572F">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11</w:t>
                  </w:r>
                </w:p>
              </w:tc>
              <w:tc>
                <w:tcPr>
                  <w:tcW w:w="397" w:type="dxa"/>
                  <w:noWrap w:val="0"/>
                  <w:tcMar>
                    <w:top w:w="0" w:type="dxa"/>
                    <w:left w:w="0" w:type="dxa"/>
                    <w:bottom w:w="0" w:type="dxa"/>
                    <w:right w:w="0" w:type="dxa"/>
                  </w:tcMar>
                  <w:vAlign w:val="center"/>
                </w:tcPr>
                <w:p w14:paraId="1B9EC367">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eastAsia" w:cs="Times New Roman"/>
                      <w:color w:val="000000" w:themeColor="text1"/>
                      <w:kern w:val="2"/>
                      <w:sz w:val="20"/>
                      <w:szCs w:val="20"/>
                      <w:highlight w:val="none"/>
                      <w:lang w:val="en-US" w:eastAsia="zh-CN" w:bidi="ar-SA"/>
                      <w14:textFill>
                        <w14:solidFill>
                          <w14:schemeClr w14:val="tx1"/>
                        </w14:solidFill>
                      </w14:textFill>
                    </w:rPr>
                    <w:t>17</w:t>
                  </w:r>
                </w:p>
              </w:tc>
              <w:tc>
                <w:tcPr>
                  <w:tcW w:w="469" w:type="dxa"/>
                  <w:noWrap w:val="0"/>
                  <w:tcMar>
                    <w:top w:w="0" w:type="dxa"/>
                    <w:left w:w="0" w:type="dxa"/>
                    <w:bottom w:w="0" w:type="dxa"/>
                    <w:right w:w="0" w:type="dxa"/>
                  </w:tcMar>
                  <w:vAlign w:val="center"/>
                </w:tcPr>
                <w:p w14:paraId="34BAF28C">
                  <w:pPr>
                    <w:keepNext w:val="0"/>
                    <w:keepLines w:val="0"/>
                    <w:suppressLineNumbers w:val="0"/>
                    <w:spacing w:before="0" w:beforeAutospacing="0" w:after="0" w:afterAutospacing="0"/>
                    <w:ind w:left="0" w:right="0"/>
                    <w:jc w:val="center"/>
                    <w:rPr>
                      <w:rFonts w:hint="default" w:cs="Times New Roman"/>
                      <w:color w:val="000000" w:themeColor="text1"/>
                      <w:kern w:val="2"/>
                      <w:sz w:val="20"/>
                      <w:szCs w:val="20"/>
                      <w:highlight w:val="none"/>
                      <w:lang w:val="en-US" w:eastAsia="zh-CN" w:bidi="ar-SA"/>
                      <w14:textFill>
                        <w14:solidFill>
                          <w14:schemeClr w14:val="tx1"/>
                        </w14:solidFill>
                      </w14:textFill>
                    </w:rPr>
                  </w:pPr>
                  <w:r>
                    <w:rPr>
                      <w:rFonts w:hint="default" w:cs="Times New Roman"/>
                      <w:color w:val="000000" w:themeColor="text1"/>
                      <w:kern w:val="2"/>
                      <w:sz w:val="20"/>
                      <w:szCs w:val="20"/>
                      <w:highlight w:val="none"/>
                      <w:lang w:val="en-US" w:eastAsia="zh-CN" w:bidi="ar-SA"/>
                      <w14:textFill>
                        <w14:solidFill>
                          <w14:schemeClr w14:val="tx1"/>
                        </w14:solidFill>
                      </w14:textFill>
                    </w:rPr>
                    <w:t>1</w:t>
                  </w:r>
                </w:p>
              </w:tc>
            </w:tr>
            <w:bookmarkEnd w:id="4"/>
          </w:tbl>
          <w:p w14:paraId="2E16BFDD">
            <w:pPr>
              <w:keepNext w:val="0"/>
              <w:keepLines w:val="0"/>
              <w:suppressLineNumbers w:val="0"/>
              <w:spacing w:before="120" w:beforeLines="50" w:beforeAutospacing="0" w:after="0" w:afterAutospacing="0" w:line="360" w:lineRule="auto"/>
              <w:ind w:left="0" w:right="0" w:firstLine="480" w:firstLineChars="200"/>
              <w:rPr>
                <w:rFonts w:hint="default" w:ascii="Times New Roman" w:hAnsi="Times New Roman" w:eastAsia="宋体" w:cs="Times New Roman"/>
                <w:b w:val="0"/>
                <w:bCs/>
                <w:snapToGrid w:val="0"/>
                <w:color w:val="000000" w:themeColor="text1"/>
                <w:kern w:val="0"/>
                <w:sz w:val="24"/>
                <w:highlight w:val="none"/>
                <w:lang w:eastAsia="zh-CN"/>
                <w14:textFill>
                  <w14:solidFill>
                    <w14:schemeClr w14:val="tx1"/>
                  </w14:solidFill>
                </w14:textFill>
              </w:rPr>
            </w:pPr>
            <w:r>
              <w:rPr>
                <w:rFonts w:hint="default" w:ascii="Times New Roman" w:hAnsi="Times New Roman" w:eastAsia="宋体" w:cs="Times New Roman"/>
                <w:b w:val="0"/>
                <w:bCs/>
                <w:snapToGrid w:val="0"/>
                <w:color w:val="000000" w:themeColor="text1"/>
                <w:kern w:val="0"/>
                <w:sz w:val="24"/>
                <w:highlight w:val="none"/>
                <w:lang w:eastAsia="zh-CN"/>
                <w14:textFill>
                  <w14:solidFill>
                    <w14:schemeClr w14:val="tx1"/>
                  </w14:solidFill>
                </w14:textFill>
              </w:rPr>
              <w:t>（</w:t>
            </w:r>
            <w:r>
              <w:rPr>
                <w:rFonts w:hint="default" w:ascii="Times New Roman" w:hAnsi="Times New Roman" w:eastAsia="宋体" w:cs="Times New Roman"/>
                <w:b w:val="0"/>
                <w:bCs/>
                <w:snapToGrid w:val="0"/>
                <w:color w:val="000000" w:themeColor="text1"/>
                <w:kern w:val="0"/>
                <w:sz w:val="24"/>
                <w:highlight w:val="none"/>
                <w:lang w:val="en-US" w:eastAsia="zh-CN"/>
                <w14:textFill>
                  <w14:solidFill>
                    <w14:schemeClr w14:val="tx1"/>
                  </w14:solidFill>
                </w14:textFill>
              </w:rPr>
              <w:t>2</w:t>
            </w:r>
            <w:r>
              <w:rPr>
                <w:rFonts w:hint="default" w:ascii="Times New Roman" w:hAnsi="Times New Roman" w:eastAsia="宋体" w:cs="Times New Roman"/>
                <w:b w:val="0"/>
                <w:bCs/>
                <w:snapToGrid w:val="0"/>
                <w:color w:val="000000" w:themeColor="text1"/>
                <w:kern w:val="0"/>
                <w:sz w:val="24"/>
                <w:highlight w:val="none"/>
                <w:lang w:eastAsia="zh-CN"/>
                <w14:textFill>
                  <w14:solidFill>
                    <w14:schemeClr w14:val="tx1"/>
                  </w14:solidFill>
                </w14:textFill>
              </w:rPr>
              <w:t>）室外声源</w:t>
            </w:r>
          </w:p>
          <w:p w14:paraId="6E6BF0F2">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b/>
                <w:snapToGrid w:val="0"/>
                <w:color w:val="000000" w:themeColor="text1"/>
                <w:kern w:val="0"/>
                <w:sz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szCs w:val="32"/>
                <w:highlight w:val="none"/>
                <w14:textFill>
                  <w14:solidFill>
                    <w14:schemeClr w14:val="tx1"/>
                  </w14:solidFill>
                </w14:textFill>
              </w:rPr>
              <w:t>采用导则推荐的</w:t>
            </w:r>
            <w:r>
              <w:rPr>
                <w:rFonts w:hint="default" w:ascii="Times New Roman" w:hAnsi="Times New Roman" w:eastAsia="宋体" w:cs="Times New Roman"/>
                <w:color w:val="000000" w:themeColor="text1"/>
                <w:sz w:val="24"/>
                <w:szCs w:val="32"/>
                <w:highlight w:val="none"/>
                <w:lang w:eastAsia="zh-CN"/>
                <w14:textFill>
                  <w14:solidFill>
                    <w14:schemeClr w14:val="tx1"/>
                  </w14:solidFill>
                </w14:textFill>
              </w:rPr>
              <w:t>无指向</w:t>
            </w:r>
            <w:r>
              <w:rPr>
                <w:rFonts w:hint="default" w:ascii="Times New Roman" w:hAnsi="Times New Roman" w:eastAsia="宋体" w:cs="Times New Roman"/>
                <w:color w:val="000000" w:themeColor="text1"/>
                <w:sz w:val="24"/>
                <w:szCs w:val="32"/>
                <w:highlight w:val="none"/>
                <w14:textFill>
                  <w14:solidFill>
                    <w14:schemeClr w14:val="tx1"/>
                  </w14:solidFill>
                </w14:textFill>
              </w:rPr>
              <w:t>点声源衰减模式预测厂界噪声排放情况。</w:t>
            </w:r>
          </w:p>
          <w:p w14:paraId="480D4C18">
            <w:pPr>
              <w:pStyle w:val="147"/>
              <w:keepNext w:val="0"/>
              <w:keepLines w:val="0"/>
              <w:suppressLineNumbers w:val="0"/>
              <w:spacing w:before="0" w:beforeAutospacing="0" w:after="0" w:afterAutospacing="0" w:line="360" w:lineRule="auto"/>
              <w:ind w:left="0" w:right="0" w:firstLine="0" w:firstLineChars="0"/>
              <w:jc w:val="center"/>
              <w:rPr>
                <w:rFonts w:hint="default" w:ascii="Times New Roman" w:hAnsi="Times New Roman" w:eastAsia="宋体" w:cs="Times New Roman"/>
                <w:color w:val="000000" w:themeColor="text1"/>
                <w:sz w:val="24"/>
                <w:szCs w:val="24"/>
                <w:highlight w:val="none"/>
                <w14:textFill>
                  <w14:solidFill>
                    <w14:schemeClr w14:val="tx1"/>
                  </w14:solidFill>
                </w14:textFill>
              </w:rPr>
            </w:pPr>
            <m:oMathPara>
              <m:oMath>
                <m:sSub>
                  <m:sSubPr>
                    <m:ctrlPr>
                      <w:rPr>
                        <w:rFonts w:hint="default" w:ascii="Cambria Math" w:hAnsi="Cambria Math" w:eastAsia="宋体" w:cs="Times New Roman"/>
                        <w:i/>
                        <w:color w:val="000000" w:themeColor="text1"/>
                        <w:highlight w:val="none"/>
                        <w14:textFill>
                          <w14:solidFill>
                            <w14:schemeClr w14:val="tx1"/>
                          </w14:solidFill>
                        </w14:textFill>
                      </w:rPr>
                    </m:ctrlPr>
                  </m:sSubPr>
                  <m:e>
                    <m:r>
                      <m:rPr>
                        <m:nor/>
                      </m:rPr>
                      <w:rPr>
                        <w:rFonts w:hint="default" w:ascii="Cambria Math" w:hAnsi="Cambria Math" w:eastAsia="宋体" w:cs="Times New Roman"/>
                        <w:i/>
                        <w:iCs/>
                        <w:color w:val="000000" w:themeColor="text1"/>
                        <w:highlight w:val="none"/>
                        <w14:textFill>
                          <w14:solidFill>
                            <w14:schemeClr w14:val="tx1"/>
                          </w14:solidFill>
                        </w14:textFill>
                      </w:rPr>
                      <m:t>L</m:t>
                    </m:r>
                    <m:ctrlPr>
                      <w:rPr>
                        <w:rFonts w:hint="default" w:ascii="Cambria Math" w:hAnsi="Cambria Math" w:eastAsia="宋体" w:cs="Times New Roman"/>
                        <w:i/>
                        <w:color w:val="000000" w:themeColor="text1"/>
                        <w:highlight w:val="none"/>
                        <w14:textFill>
                          <w14:solidFill>
                            <w14:schemeClr w14:val="tx1"/>
                          </w14:solidFill>
                        </w14:textFill>
                      </w:rPr>
                    </m:ctrlPr>
                  </m:e>
                  <m:sub>
                    <m:r>
                      <m:rPr>
                        <m:nor/>
                        <m:sty m:val="p"/>
                      </m:rPr>
                      <w:rPr>
                        <w:rFonts w:hint="default" w:ascii="Cambria Math" w:hAnsi="Cambria Math" w:eastAsia="宋体" w:cs="Times New Roman"/>
                        <w:b w:val="0"/>
                        <w:i w:val="0"/>
                        <w:color w:val="000000" w:themeColor="text1"/>
                        <w:highlight w:val="none"/>
                        <w14:textFill>
                          <w14:solidFill>
                            <w14:schemeClr w14:val="tx1"/>
                          </w14:solidFill>
                        </w14:textFill>
                      </w:rPr>
                      <m:t>A</m:t>
                    </m:r>
                    <m:ctrlPr>
                      <w:rPr>
                        <w:rFonts w:hint="default" w:ascii="Cambria Math" w:hAnsi="Cambria Math" w:eastAsia="宋体" w:cs="Times New Roman"/>
                        <w:i/>
                        <w:color w:val="000000" w:themeColor="text1"/>
                        <w:highlight w:val="none"/>
                        <w14:textFill>
                          <w14:solidFill>
                            <w14:schemeClr w14:val="tx1"/>
                          </w14:solidFill>
                        </w14:textFill>
                      </w:rPr>
                    </m:ctrlPr>
                  </m:sub>
                </m:sSub>
                <m:d>
                  <m:dPr>
                    <m:ctrlPr>
                      <w:rPr>
                        <w:rFonts w:hint="default" w:ascii="Cambria Math" w:hAnsi="Cambria Math" w:eastAsia="宋体" w:cs="Times New Roman"/>
                        <w:i/>
                        <w:color w:val="000000" w:themeColor="text1"/>
                        <w:highlight w:val="none"/>
                        <w14:textFill>
                          <w14:solidFill>
                            <w14:schemeClr w14:val="tx1"/>
                          </w14:solidFill>
                        </w14:textFill>
                      </w:rPr>
                    </m:ctrlPr>
                  </m:dPr>
                  <m:e>
                    <m:r>
                      <m:rPr>
                        <m:nor/>
                        <m:sty m:val="p"/>
                      </m:rPr>
                      <w:rPr>
                        <w:rFonts w:hint="default" w:ascii="Cambria Math" w:hAnsi="Cambria Math" w:eastAsia="宋体" w:cs="Times New Roman"/>
                        <w:b w:val="0"/>
                        <w:i w:val="0"/>
                        <w:color w:val="000000" w:themeColor="text1"/>
                        <w:highlight w:val="none"/>
                        <w14:textFill>
                          <w14:solidFill>
                            <w14:schemeClr w14:val="tx1"/>
                          </w14:solidFill>
                        </w14:textFill>
                      </w:rPr>
                      <m:t>r</m:t>
                    </m:r>
                    <m:ctrlPr>
                      <w:rPr>
                        <w:rFonts w:hint="default" w:ascii="Cambria Math" w:hAnsi="Cambria Math" w:eastAsia="宋体" w:cs="Times New Roman"/>
                        <w:i/>
                        <w:color w:val="000000" w:themeColor="text1"/>
                        <w:highlight w:val="none"/>
                        <w14:textFill>
                          <w14:solidFill>
                            <w14:schemeClr w14:val="tx1"/>
                          </w14:solidFill>
                        </w14:textFill>
                      </w:rPr>
                    </m:ctrlPr>
                  </m:e>
                </m:d>
                <m:r>
                  <m:rPr>
                    <m:nor/>
                    <m:sty m:val="p"/>
                  </m:rPr>
                  <w:rPr>
                    <w:rFonts w:hint="default" w:ascii="Cambria Math" w:hAnsi="Cambria Math" w:eastAsia="宋体" w:cs="Times New Roman"/>
                    <w:b w:val="0"/>
                    <w:i w:val="0"/>
                    <w:color w:val="000000" w:themeColor="text1"/>
                    <w:highlight w:val="none"/>
                    <w14:textFill>
                      <w14:solidFill>
                        <w14:schemeClr w14:val="tx1"/>
                      </w14:solidFill>
                    </w14:textFill>
                  </w:rPr>
                  <m:t>=</m:t>
                </m:r>
                <m:sSub>
                  <m:sSubPr>
                    <m:ctrlPr>
                      <w:rPr>
                        <w:rFonts w:hint="default" w:ascii="Cambria Math" w:hAnsi="Cambria Math" w:eastAsia="宋体" w:cs="Times New Roman"/>
                        <w:i/>
                        <w:color w:val="000000" w:themeColor="text1"/>
                        <w:highlight w:val="none"/>
                        <w14:textFill>
                          <w14:solidFill>
                            <w14:schemeClr w14:val="tx1"/>
                          </w14:solidFill>
                        </w14:textFill>
                      </w:rPr>
                    </m:ctrlPr>
                  </m:sSubPr>
                  <m:e>
                    <m:r>
                      <m:rPr>
                        <m:nor/>
                      </m:rPr>
                      <w:rPr>
                        <w:rFonts w:hint="default" w:ascii="Cambria Math" w:hAnsi="Cambria Math" w:eastAsia="宋体" w:cs="Times New Roman"/>
                        <w:i/>
                        <w:iCs/>
                        <w:color w:val="000000" w:themeColor="text1"/>
                        <w:highlight w:val="none"/>
                        <w14:textFill>
                          <w14:solidFill>
                            <w14:schemeClr w14:val="tx1"/>
                          </w14:solidFill>
                        </w14:textFill>
                      </w:rPr>
                      <m:t>L</m:t>
                    </m:r>
                    <m:ctrlPr>
                      <w:rPr>
                        <w:rFonts w:hint="default" w:ascii="Cambria Math" w:hAnsi="Cambria Math" w:eastAsia="宋体" w:cs="Times New Roman"/>
                        <w:i/>
                        <w:color w:val="000000" w:themeColor="text1"/>
                        <w:highlight w:val="none"/>
                        <w14:textFill>
                          <w14:solidFill>
                            <w14:schemeClr w14:val="tx1"/>
                          </w14:solidFill>
                        </w14:textFill>
                      </w:rPr>
                    </m:ctrlPr>
                  </m:e>
                  <m:sub>
                    <m:r>
                      <m:rPr>
                        <m:nor/>
                        <m:sty m:val="p"/>
                      </m:rPr>
                      <w:rPr>
                        <w:rFonts w:hint="default" w:ascii="Cambria Math" w:hAnsi="Cambria Math" w:eastAsia="宋体" w:cs="Times New Roman"/>
                        <w:b w:val="0"/>
                        <w:i w:val="0"/>
                        <w:color w:val="000000" w:themeColor="text1"/>
                        <w:highlight w:val="none"/>
                        <w14:textFill>
                          <w14:solidFill>
                            <w14:schemeClr w14:val="tx1"/>
                          </w14:solidFill>
                        </w14:textFill>
                      </w:rPr>
                      <m:t>A</m:t>
                    </m:r>
                    <m:ctrlPr>
                      <w:rPr>
                        <w:rFonts w:hint="default" w:ascii="Cambria Math" w:hAnsi="Cambria Math" w:eastAsia="宋体" w:cs="Times New Roman"/>
                        <w:i/>
                        <w:color w:val="000000" w:themeColor="text1"/>
                        <w:highlight w:val="none"/>
                        <w14:textFill>
                          <w14:solidFill>
                            <w14:schemeClr w14:val="tx1"/>
                          </w14:solidFill>
                        </w14:textFill>
                      </w:rPr>
                    </m:ctrlPr>
                  </m:sub>
                </m:sSub>
                <m:d>
                  <m:dPr>
                    <m:ctrlPr>
                      <w:rPr>
                        <w:rFonts w:hint="default" w:ascii="Cambria Math" w:hAnsi="Cambria Math" w:eastAsia="宋体" w:cs="Times New Roman"/>
                        <w:i/>
                        <w:color w:val="000000" w:themeColor="text1"/>
                        <w:highlight w:val="none"/>
                        <w14:textFill>
                          <w14:solidFill>
                            <w14:schemeClr w14:val="tx1"/>
                          </w14:solidFill>
                        </w14:textFill>
                      </w:rPr>
                    </m:ctrlPr>
                  </m:dPr>
                  <m:e>
                    <m:sSub>
                      <m:sSubPr>
                        <m:ctrlPr>
                          <w:rPr>
                            <w:rFonts w:hint="default" w:ascii="Cambria Math" w:hAnsi="Cambria Math" w:eastAsia="宋体" w:cs="Times New Roman"/>
                            <w:i/>
                            <w:color w:val="000000" w:themeColor="text1"/>
                            <w:highlight w:val="none"/>
                            <w14:textFill>
                              <w14:solidFill>
                                <w14:schemeClr w14:val="tx1"/>
                              </w14:solidFill>
                            </w14:textFill>
                          </w:rPr>
                        </m:ctrlPr>
                      </m:sSubPr>
                      <m:e>
                        <m:r>
                          <m:rPr>
                            <m:nor/>
                            <m:sty m:val="p"/>
                          </m:rPr>
                          <w:rPr>
                            <w:rFonts w:hint="default" w:ascii="Cambria Math" w:hAnsi="Cambria Math" w:eastAsia="宋体" w:cs="Times New Roman"/>
                            <w:b w:val="0"/>
                            <w:i w:val="0"/>
                            <w:color w:val="000000" w:themeColor="text1"/>
                            <w:highlight w:val="none"/>
                            <w14:textFill>
                              <w14:solidFill>
                                <w14:schemeClr w14:val="tx1"/>
                              </w14:solidFill>
                            </w14:textFill>
                          </w:rPr>
                          <m:t>r</m:t>
                        </m:r>
                        <m:ctrlPr>
                          <w:rPr>
                            <w:rFonts w:hint="default" w:ascii="Cambria Math" w:hAnsi="Cambria Math" w:eastAsia="宋体" w:cs="Times New Roman"/>
                            <w:i/>
                            <w:color w:val="000000" w:themeColor="text1"/>
                            <w:highlight w:val="none"/>
                            <w14:textFill>
                              <w14:solidFill>
                                <w14:schemeClr w14:val="tx1"/>
                              </w14:solidFill>
                            </w14:textFill>
                          </w:rPr>
                        </m:ctrlPr>
                      </m:e>
                      <m:sub>
                        <m:r>
                          <m:rPr>
                            <m:nor/>
                            <m:sty m:val="p"/>
                          </m:rPr>
                          <w:rPr>
                            <w:rFonts w:hint="default" w:ascii="Cambria Math" w:hAnsi="Cambria Math" w:eastAsia="宋体" w:cs="Times New Roman"/>
                            <w:b w:val="0"/>
                            <w:i w:val="0"/>
                            <w:color w:val="000000" w:themeColor="text1"/>
                            <w:highlight w:val="none"/>
                            <w14:textFill>
                              <w14:solidFill>
                                <w14:schemeClr w14:val="tx1"/>
                              </w14:solidFill>
                            </w14:textFill>
                          </w:rPr>
                          <m:t>0</m:t>
                        </m:r>
                        <m:ctrlPr>
                          <w:rPr>
                            <w:rFonts w:hint="default" w:ascii="Cambria Math" w:hAnsi="Cambria Math" w:eastAsia="宋体" w:cs="Times New Roman"/>
                            <w:i/>
                            <w:color w:val="000000" w:themeColor="text1"/>
                            <w:highlight w:val="none"/>
                            <w14:textFill>
                              <w14:solidFill>
                                <w14:schemeClr w14:val="tx1"/>
                              </w14:solidFill>
                            </w14:textFill>
                          </w:rPr>
                        </m:ctrlPr>
                      </m:sub>
                    </m:sSub>
                    <m:ctrlPr>
                      <w:rPr>
                        <w:rFonts w:hint="default" w:ascii="Cambria Math" w:hAnsi="Cambria Math" w:eastAsia="宋体" w:cs="Times New Roman"/>
                        <w:i/>
                        <w:color w:val="000000" w:themeColor="text1"/>
                        <w:highlight w:val="none"/>
                        <w14:textFill>
                          <w14:solidFill>
                            <w14:schemeClr w14:val="tx1"/>
                          </w14:solidFill>
                        </w14:textFill>
                      </w:rPr>
                    </m:ctrlPr>
                  </m:e>
                </m:d>
                <m:r>
                  <m:rPr>
                    <m:nor/>
                    <m:sty m:val="p"/>
                  </m:rPr>
                  <w:rPr>
                    <w:rFonts w:hint="default" w:ascii="Cambria Math" w:hAnsi="Cambria Math" w:eastAsia="宋体" w:cs="Times New Roman"/>
                    <w:b w:val="0"/>
                    <w:i w:val="0"/>
                    <w:color w:val="000000" w:themeColor="text1"/>
                    <w:highlight w:val="none"/>
                    <w14:textFill>
                      <w14:solidFill>
                        <w14:schemeClr w14:val="tx1"/>
                      </w14:solidFill>
                    </w14:textFill>
                  </w:rPr>
                  <m:t>-20</m:t>
                </m:r>
                <m:func>
                  <m:funcPr>
                    <m:ctrlPr>
                      <w:rPr>
                        <w:rFonts w:hint="default" w:ascii="Cambria Math" w:hAnsi="Cambria Math" w:eastAsia="宋体" w:cs="Times New Roman"/>
                        <w:i/>
                        <w:color w:val="000000" w:themeColor="text1"/>
                        <w:highlight w:val="none"/>
                        <w14:textFill>
                          <w14:solidFill>
                            <w14:schemeClr w14:val="tx1"/>
                          </w14:solidFill>
                        </w14:textFill>
                      </w:rPr>
                    </m:ctrlPr>
                  </m:funcPr>
                  <m:fName>
                    <m:r>
                      <m:rPr>
                        <m:nor/>
                        <m:sty m:val="p"/>
                      </m:rPr>
                      <w:rPr>
                        <w:rFonts w:hint="default" w:ascii="Cambria Math" w:hAnsi="Cambria Math" w:eastAsia="宋体" w:cs="Times New Roman"/>
                        <w:b w:val="0"/>
                        <w:i w:val="0"/>
                        <w:color w:val="000000" w:themeColor="text1"/>
                        <w:highlight w:val="none"/>
                        <w14:textFill>
                          <w14:solidFill>
                            <w14:schemeClr w14:val="tx1"/>
                          </w14:solidFill>
                        </w14:textFill>
                      </w:rPr>
                      <m:t>log</m:t>
                    </m:r>
                    <m:ctrlPr>
                      <w:rPr>
                        <w:rFonts w:hint="default" w:ascii="Cambria Math" w:hAnsi="Cambria Math" w:eastAsia="宋体" w:cs="Times New Roman"/>
                        <w:i/>
                        <w:color w:val="000000" w:themeColor="text1"/>
                        <w:highlight w:val="none"/>
                        <w14:textFill>
                          <w14:solidFill>
                            <w14:schemeClr w14:val="tx1"/>
                          </w14:solidFill>
                        </w14:textFill>
                      </w:rPr>
                    </m:ctrlPr>
                  </m:fName>
                  <m:e>
                    <m:f>
                      <m:fPr>
                        <m:ctrlPr>
                          <w:rPr>
                            <w:rFonts w:hint="default" w:ascii="Cambria Math" w:hAnsi="Cambria Math" w:eastAsia="宋体" w:cs="Times New Roman"/>
                            <w:i/>
                            <w:color w:val="000000" w:themeColor="text1"/>
                            <w:highlight w:val="none"/>
                            <w14:textFill>
                              <w14:solidFill>
                                <w14:schemeClr w14:val="tx1"/>
                              </w14:solidFill>
                            </w14:textFill>
                          </w:rPr>
                        </m:ctrlPr>
                      </m:fPr>
                      <m:num>
                        <m:r>
                          <m:rPr/>
                          <w:rPr>
                            <w:rFonts w:hint="default" w:ascii="Cambria Math" w:hAnsi="Cambria Math" w:eastAsia="宋体" w:cs="Times New Roman"/>
                            <w:color w:val="000000" w:themeColor="text1"/>
                            <w:highlight w:val="none"/>
                            <w14:textFill>
                              <w14:solidFill>
                                <w14:schemeClr w14:val="tx1"/>
                              </w14:solidFill>
                            </w14:textFill>
                          </w:rPr>
                          <m:t>r</m:t>
                        </m:r>
                        <m:ctrlPr>
                          <w:rPr>
                            <w:rFonts w:hint="default" w:ascii="Cambria Math" w:hAnsi="Cambria Math" w:eastAsia="宋体" w:cs="Times New Roman"/>
                            <w:i/>
                            <w:color w:val="000000" w:themeColor="text1"/>
                            <w:highlight w:val="none"/>
                            <w14:textFill>
                              <w14:solidFill>
                                <w14:schemeClr w14:val="tx1"/>
                              </w14:solidFill>
                            </w14:textFill>
                          </w:rPr>
                        </m:ctrlPr>
                      </m:num>
                      <m:den>
                        <m:sSub>
                          <m:sSubPr>
                            <m:ctrlPr>
                              <w:rPr>
                                <w:rFonts w:hint="default" w:ascii="Cambria Math" w:hAnsi="Cambria Math" w:eastAsia="宋体" w:cs="Times New Roman"/>
                                <w:i/>
                                <w:color w:val="000000" w:themeColor="text1"/>
                                <w:highlight w:val="none"/>
                                <w14:textFill>
                                  <w14:solidFill>
                                    <w14:schemeClr w14:val="tx1"/>
                                  </w14:solidFill>
                                </w14:textFill>
                              </w:rPr>
                            </m:ctrlPr>
                          </m:sSubPr>
                          <m:e>
                            <m:r>
                              <m:rPr/>
                              <w:rPr>
                                <w:rFonts w:hint="default" w:ascii="Cambria Math" w:hAnsi="Cambria Math" w:eastAsia="宋体" w:cs="Times New Roman"/>
                                <w:color w:val="000000" w:themeColor="text1"/>
                                <w:highlight w:val="none"/>
                                <w14:textFill>
                                  <w14:solidFill>
                                    <w14:schemeClr w14:val="tx1"/>
                                  </w14:solidFill>
                                </w14:textFill>
                              </w:rPr>
                              <m:t>r</m:t>
                            </m:r>
                            <m:ctrlPr>
                              <w:rPr>
                                <w:rFonts w:hint="default" w:ascii="Cambria Math" w:hAnsi="Cambria Math" w:eastAsia="宋体" w:cs="Times New Roman"/>
                                <w:i/>
                                <w:color w:val="000000" w:themeColor="text1"/>
                                <w:highlight w:val="none"/>
                                <w14:textFill>
                                  <w14:solidFill>
                                    <w14:schemeClr w14:val="tx1"/>
                                  </w14:solidFill>
                                </w14:textFill>
                              </w:rPr>
                            </m:ctrlPr>
                          </m:e>
                          <m:sub>
                            <m:r>
                              <m:rPr/>
                              <w:rPr>
                                <w:rFonts w:hint="default" w:ascii="Cambria Math" w:hAnsi="Cambria Math" w:eastAsia="宋体" w:cs="Times New Roman"/>
                                <w:color w:val="000000" w:themeColor="text1"/>
                                <w:highlight w:val="none"/>
                                <w14:textFill>
                                  <w14:solidFill>
                                    <w14:schemeClr w14:val="tx1"/>
                                  </w14:solidFill>
                                </w14:textFill>
                              </w:rPr>
                              <m:t>0</m:t>
                            </m:r>
                            <m:ctrlPr>
                              <w:rPr>
                                <w:rFonts w:hint="default" w:ascii="Cambria Math" w:hAnsi="Cambria Math" w:eastAsia="宋体" w:cs="Times New Roman"/>
                                <w:i/>
                                <w:color w:val="000000" w:themeColor="text1"/>
                                <w:highlight w:val="none"/>
                                <w14:textFill>
                                  <w14:solidFill>
                                    <w14:schemeClr w14:val="tx1"/>
                                  </w14:solidFill>
                                </w14:textFill>
                              </w:rPr>
                            </m:ctrlPr>
                          </m:sub>
                        </m:sSub>
                        <m:ctrlPr>
                          <w:rPr>
                            <w:rFonts w:hint="default" w:ascii="Cambria Math" w:hAnsi="Cambria Math" w:eastAsia="宋体" w:cs="Times New Roman"/>
                            <w:i/>
                            <w:color w:val="000000" w:themeColor="text1"/>
                            <w:highlight w:val="none"/>
                            <w14:textFill>
                              <w14:solidFill>
                                <w14:schemeClr w14:val="tx1"/>
                              </w14:solidFill>
                            </w14:textFill>
                          </w:rPr>
                        </m:ctrlPr>
                      </m:den>
                    </m:f>
                    <m:ctrlPr>
                      <w:rPr>
                        <w:rFonts w:hint="default" w:ascii="Cambria Math" w:hAnsi="Cambria Math" w:eastAsia="宋体" w:cs="Times New Roman"/>
                        <w:i/>
                        <w:color w:val="000000" w:themeColor="text1"/>
                        <w:highlight w:val="none"/>
                        <w14:textFill>
                          <w14:solidFill>
                            <w14:schemeClr w14:val="tx1"/>
                          </w14:solidFill>
                        </w14:textFill>
                      </w:rPr>
                    </m:ctrlPr>
                  </m:e>
                </m:func>
                <m:r>
                  <m:rPr>
                    <m:nor/>
                    <m:sty m:val="p"/>
                  </m:rPr>
                  <w:rPr>
                    <w:rFonts w:hint="default" w:ascii="Cambria Math" w:hAnsi="Cambria Math" w:eastAsia="宋体" w:cs="Times New Roman"/>
                    <w:b w:val="0"/>
                    <w:i w:val="0"/>
                    <w:color w:val="000000" w:themeColor="text1"/>
                    <w:highlight w:val="none"/>
                    <w14:textFill>
                      <w14:solidFill>
                        <w14:schemeClr w14:val="tx1"/>
                      </w14:solidFill>
                    </w14:textFill>
                  </w:rPr>
                  <m:t>-∆</m:t>
                </m:r>
                <m:r>
                  <m:rPr>
                    <m:nor/>
                  </m:rPr>
                  <w:rPr>
                    <w:rFonts w:hint="default" w:ascii="Cambria Math" w:hAnsi="Cambria Math" w:eastAsia="宋体" w:cs="Times New Roman"/>
                    <w:i/>
                    <w:iCs/>
                    <w:color w:val="000000" w:themeColor="text1"/>
                    <w:highlight w:val="none"/>
                    <w14:textFill>
                      <w14:solidFill>
                        <w14:schemeClr w14:val="tx1"/>
                      </w14:solidFill>
                    </w14:textFill>
                  </w:rPr>
                  <m:t>L</m:t>
                </m:r>
              </m:oMath>
            </m:oMathPara>
          </w:p>
          <w:p w14:paraId="20C4A3C9">
            <w:pPr>
              <w:pStyle w:val="147"/>
              <w:keepNext w:val="0"/>
              <w:keepLines w:val="0"/>
              <w:suppressLineNumbers w:val="0"/>
              <w:spacing w:before="0" w:beforeAutospacing="0" w:after="0" w:afterAutospacing="0" w:line="360" w:lineRule="auto"/>
              <w:ind w:left="0" w:right="0" w:firstLine="420"/>
              <w:rPr>
                <w:rFonts w:hint="default" w:ascii="Times New Roman" w:hAnsi="Times New Roman" w:eastAsia="宋体" w:cs="Times New Roman"/>
                <w:color w:val="000000" w:themeColor="text1"/>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14:textFill>
                  <w14:solidFill>
                    <w14:schemeClr w14:val="tx1"/>
                  </w14:solidFill>
                </w14:textFill>
              </w:rPr>
              <w:t>式中：</w:t>
            </w:r>
            <m:oMath>
              <m:sSub>
                <m:sSubPr>
                  <m:ctrlPr>
                    <w:rPr>
                      <w:rFonts w:hint="default" w:ascii="Cambria Math" w:hAnsi="Cambria Math" w:eastAsia="宋体" w:cs="Times New Roman"/>
                      <w:i/>
                      <w:color w:val="000000" w:themeColor="text1"/>
                      <w:highlight w:val="none"/>
                      <w14:textFill>
                        <w14:solidFill>
                          <w14:schemeClr w14:val="tx1"/>
                        </w14:solidFill>
                      </w14:textFill>
                    </w:rPr>
                  </m:ctrlPr>
                </m:sSubPr>
                <m:e>
                  <m:r>
                    <m:rPr/>
                    <w:rPr>
                      <w:rFonts w:hint="default" w:ascii="Cambria Math" w:hAnsi="Cambria Math" w:eastAsia="宋体" w:cs="Times New Roman"/>
                      <w:color w:val="000000" w:themeColor="text1"/>
                      <w:highlight w:val="none"/>
                      <w14:textFill>
                        <w14:solidFill>
                          <w14:schemeClr w14:val="tx1"/>
                        </w14:solidFill>
                      </w14:textFill>
                    </w:rPr>
                    <m:t>L</m:t>
                  </m:r>
                  <m:ctrlPr>
                    <w:rPr>
                      <w:rFonts w:hint="default" w:ascii="Cambria Math" w:hAnsi="Cambria Math" w:eastAsia="宋体" w:cs="Times New Roman"/>
                      <w:i/>
                      <w:color w:val="000000" w:themeColor="text1"/>
                      <w:highlight w:val="none"/>
                      <w14:textFill>
                        <w14:solidFill>
                          <w14:schemeClr w14:val="tx1"/>
                        </w14:solidFill>
                      </w14:textFill>
                    </w:rPr>
                  </m:ctrlPr>
                </m:e>
                <m:sub>
                  <m:r>
                    <m:rPr/>
                    <w:rPr>
                      <w:rFonts w:hint="default" w:ascii="Cambria Math" w:hAnsi="Cambria Math" w:eastAsia="宋体" w:cs="Times New Roman"/>
                      <w:color w:val="000000" w:themeColor="text1"/>
                      <w:highlight w:val="none"/>
                      <w14:textFill>
                        <w14:solidFill>
                          <w14:schemeClr w14:val="tx1"/>
                        </w14:solidFill>
                      </w14:textFill>
                    </w:rPr>
                    <m:t>A</m:t>
                  </m:r>
                  <m:ctrlPr>
                    <w:rPr>
                      <w:rFonts w:hint="default" w:ascii="Cambria Math" w:hAnsi="Cambria Math" w:eastAsia="宋体" w:cs="Times New Roman"/>
                      <w:i/>
                      <w:color w:val="000000" w:themeColor="text1"/>
                      <w:highlight w:val="none"/>
                      <w14:textFill>
                        <w14:solidFill>
                          <w14:schemeClr w14:val="tx1"/>
                        </w14:solidFill>
                      </w14:textFill>
                    </w:rPr>
                  </m:ctrlPr>
                </m:sub>
              </m:sSub>
              <m:d>
                <m:dPr>
                  <m:ctrlPr>
                    <w:rPr>
                      <w:rFonts w:hint="default" w:ascii="Cambria Math" w:hAnsi="Cambria Math" w:eastAsia="宋体" w:cs="Times New Roman"/>
                      <w:i/>
                      <w:color w:val="000000" w:themeColor="text1"/>
                      <w:highlight w:val="none"/>
                      <w14:textFill>
                        <w14:solidFill>
                          <w14:schemeClr w14:val="tx1"/>
                        </w14:solidFill>
                      </w14:textFill>
                    </w:rPr>
                  </m:ctrlPr>
                </m:dPr>
                <m:e>
                  <m:r>
                    <m:rPr/>
                    <w:rPr>
                      <w:rFonts w:hint="default" w:ascii="Cambria Math" w:hAnsi="Cambria Math" w:eastAsia="宋体" w:cs="Times New Roman"/>
                      <w:color w:val="000000" w:themeColor="text1"/>
                      <w:highlight w:val="none"/>
                      <w14:textFill>
                        <w14:solidFill>
                          <w14:schemeClr w14:val="tx1"/>
                        </w14:solidFill>
                      </w14:textFill>
                    </w:rPr>
                    <m:t>r</m:t>
                  </m:r>
                  <m:ctrlPr>
                    <w:rPr>
                      <w:rFonts w:hint="default" w:ascii="Cambria Math" w:hAnsi="Cambria Math" w:eastAsia="宋体" w:cs="Times New Roman"/>
                      <w:i/>
                      <w:color w:val="000000" w:themeColor="text1"/>
                      <w:highlight w:val="none"/>
                      <w14:textFill>
                        <w14:solidFill>
                          <w14:schemeClr w14:val="tx1"/>
                        </w14:solidFill>
                      </w14:textFill>
                    </w:rPr>
                  </m:ctrlPr>
                </m:e>
              </m:d>
            </m:oMath>
            <w:r>
              <w:rPr>
                <w:rFonts w:hint="default" w:ascii="Times New Roman" w:hAnsi="Times New Roman" w:eastAsia="宋体" w:cs="Times New Roman"/>
                <w:color w:val="000000" w:themeColor="text1"/>
                <w:sz w:val="24"/>
                <w:szCs w:val="24"/>
                <w:highlight w:val="none"/>
                <w14:textFill>
                  <w14:solidFill>
                    <w14:schemeClr w14:val="tx1"/>
                  </w14:solidFill>
                </w14:textFill>
              </w:rPr>
              <w:t>——距声源r处的施工噪声预测值，dB(A)；</w:t>
            </w:r>
          </w:p>
          <w:p w14:paraId="45532AB6">
            <w:pPr>
              <w:pStyle w:val="147"/>
              <w:keepNext w:val="0"/>
              <w:keepLines w:val="0"/>
              <w:suppressLineNumbers w:val="0"/>
              <w:spacing w:before="0" w:beforeAutospacing="0" w:after="0" w:afterAutospacing="0" w:line="360" w:lineRule="auto"/>
              <w:ind w:left="0" w:right="0" w:firstLine="1100" w:firstLineChars="500"/>
              <w:rPr>
                <w:rFonts w:hint="default" w:ascii="Times New Roman" w:hAnsi="Times New Roman" w:eastAsia="宋体" w:cs="Times New Roman"/>
                <w:color w:val="000000" w:themeColor="text1"/>
                <w:sz w:val="24"/>
                <w:szCs w:val="24"/>
                <w:highlight w:val="none"/>
                <w14:textFill>
                  <w14:solidFill>
                    <w14:schemeClr w14:val="tx1"/>
                  </w14:solidFill>
                </w14:textFill>
              </w:rPr>
            </w:pPr>
            <m:oMath>
              <m:sSub>
                <m:sSubPr>
                  <m:ctrlPr>
                    <w:rPr>
                      <w:rFonts w:hint="default" w:ascii="Cambria Math" w:hAnsi="Cambria Math" w:eastAsia="宋体" w:cs="Times New Roman"/>
                      <w:i/>
                      <w:color w:val="000000" w:themeColor="text1"/>
                      <w:highlight w:val="none"/>
                      <w14:textFill>
                        <w14:solidFill>
                          <w14:schemeClr w14:val="tx1"/>
                        </w14:solidFill>
                      </w14:textFill>
                    </w:rPr>
                  </m:ctrlPr>
                </m:sSubPr>
                <m:e>
                  <m:r>
                    <m:rPr/>
                    <w:rPr>
                      <w:rFonts w:hint="default" w:ascii="Cambria Math" w:hAnsi="Cambria Math" w:eastAsia="宋体" w:cs="Times New Roman"/>
                      <w:color w:val="000000" w:themeColor="text1"/>
                      <w:highlight w:val="none"/>
                      <w14:textFill>
                        <w14:solidFill>
                          <w14:schemeClr w14:val="tx1"/>
                        </w14:solidFill>
                      </w14:textFill>
                    </w:rPr>
                    <m:t>L</m:t>
                  </m:r>
                  <m:ctrlPr>
                    <w:rPr>
                      <w:rFonts w:hint="default" w:ascii="Cambria Math" w:hAnsi="Cambria Math" w:eastAsia="宋体" w:cs="Times New Roman"/>
                      <w:i/>
                      <w:color w:val="000000" w:themeColor="text1"/>
                      <w:highlight w:val="none"/>
                      <w14:textFill>
                        <w14:solidFill>
                          <w14:schemeClr w14:val="tx1"/>
                        </w14:solidFill>
                      </w14:textFill>
                    </w:rPr>
                  </m:ctrlPr>
                </m:e>
                <m:sub>
                  <m:r>
                    <m:rPr/>
                    <w:rPr>
                      <w:rFonts w:hint="default" w:ascii="Cambria Math" w:hAnsi="Cambria Math" w:eastAsia="宋体" w:cs="Times New Roman"/>
                      <w:color w:val="000000" w:themeColor="text1"/>
                      <w:highlight w:val="none"/>
                      <w14:textFill>
                        <w14:solidFill>
                          <w14:schemeClr w14:val="tx1"/>
                        </w14:solidFill>
                      </w14:textFill>
                    </w:rPr>
                    <m:t>A</m:t>
                  </m:r>
                  <m:ctrlPr>
                    <w:rPr>
                      <w:rFonts w:hint="default" w:ascii="Cambria Math" w:hAnsi="Cambria Math" w:eastAsia="宋体" w:cs="Times New Roman"/>
                      <w:i/>
                      <w:color w:val="000000" w:themeColor="text1"/>
                      <w:highlight w:val="none"/>
                      <w14:textFill>
                        <w14:solidFill>
                          <w14:schemeClr w14:val="tx1"/>
                        </w14:solidFill>
                      </w14:textFill>
                    </w:rPr>
                  </m:ctrlPr>
                </m:sub>
              </m:sSub>
              <m:d>
                <m:dPr>
                  <m:ctrlPr>
                    <w:rPr>
                      <w:rFonts w:hint="default" w:ascii="Cambria Math" w:hAnsi="Cambria Math" w:eastAsia="宋体" w:cs="Times New Roman"/>
                      <w:i/>
                      <w:color w:val="000000" w:themeColor="text1"/>
                      <w:highlight w:val="none"/>
                      <w14:textFill>
                        <w14:solidFill>
                          <w14:schemeClr w14:val="tx1"/>
                        </w14:solidFill>
                      </w14:textFill>
                    </w:rPr>
                  </m:ctrlPr>
                </m:dPr>
                <m:e>
                  <m:sSub>
                    <m:sSubPr>
                      <m:ctrlPr>
                        <w:rPr>
                          <w:rFonts w:hint="default" w:ascii="Cambria Math" w:hAnsi="Cambria Math" w:eastAsia="宋体" w:cs="Times New Roman"/>
                          <w:i/>
                          <w:color w:val="000000" w:themeColor="text1"/>
                          <w:highlight w:val="none"/>
                          <w14:textFill>
                            <w14:solidFill>
                              <w14:schemeClr w14:val="tx1"/>
                            </w14:solidFill>
                          </w14:textFill>
                        </w:rPr>
                      </m:ctrlPr>
                    </m:sSubPr>
                    <m:e>
                      <m:r>
                        <m:rPr/>
                        <w:rPr>
                          <w:rFonts w:hint="default" w:ascii="Cambria Math" w:hAnsi="Cambria Math" w:eastAsia="宋体" w:cs="Times New Roman"/>
                          <w:color w:val="000000" w:themeColor="text1"/>
                          <w:highlight w:val="none"/>
                          <w14:textFill>
                            <w14:solidFill>
                              <w14:schemeClr w14:val="tx1"/>
                            </w14:solidFill>
                          </w14:textFill>
                        </w:rPr>
                        <m:t>r</m:t>
                      </m:r>
                      <m:ctrlPr>
                        <w:rPr>
                          <w:rFonts w:hint="default" w:ascii="Cambria Math" w:hAnsi="Cambria Math" w:eastAsia="宋体" w:cs="Times New Roman"/>
                          <w:i/>
                          <w:color w:val="000000" w:themeColor="text1"/>
                          <w:highlight w:val="none"/>
                          <w14:textFill>
                            <w14:solidFill>
                              <w14:schemeClr w14:val="tx1"/>
                            </w14:solidFill>
                          </w14:textFill>
                        </w:rPr>
                      </m:ctrlPr>
                    </m:e>
                    <m:sub>
                      <m:r>
                        <m:rPr/>
                        <w:rPr>
                          <w:rFonts w:hint="default" w:ascii="Cambria Math" w:hAnsi="Cambria Math" w:eastAsia="宋体" w:cs="Times New Roman"/>
                          <w:color w:val="000000" w:themeColor="text1"/>
                          <w:highlight w:val="none"/>
                          <w14:textFill>
                            <w14:solidFill>
                              <w14:schemeClr w14:val="tx1"/>
                            </w14:solidFill>
                          </w14:textFill>
                        </w:rPr>
                        <m:t>0</m:t>
                      </m:r>
                      <m:ctrlPr>
                        <w:rPr>
                          <w:rFonts w:hint="default" w:ascii="Cambria Math" w:hAnsi="Cambria Math" w:eastAsia="宋体" w:cs="Times New Roman"/>
                          <w:i/>
                          <w:color w:val="000000" w:themeColor="text1"/>
                          <w:highlight w:val="none"/>
                          <w14:textFill>
                            <w14:solidFill>
                              <w14:schemeClr w14:val="tx1"/>
                            </w14:solidFill>
                          </w14:textFill>
                        </w:rPr>
                      </m:ctrlPr>
                    </m:sub>
                  </m:sSub>
                  <m:ctrlPr>
                    <w:rPr>
                      <w:rFonts w:hint="default" w:ascii="Cambria Math" w:hAnsi="Cambria Math" w:eastAsia="宋体" w:cs="Times New Roman"/>
                      <w:i/>
                      <w:color w:val="000000" w:themeColor="text1"/>
                      <w:highlight w:val="none"/>
                      <w14:textFill>
                        <w14:solidFill>
                          <w14:schemeClr w14:val="tx1"/>
                        </w14:solidFill>
                      </w14:textFill>
                    </w:rPr>
                  </m:ctrlPr>
                </m:e>
              </m:d>
            </m:oMath>
            <w:r>
              <w:rPr>
                <w:rFonts w:hint="default" w:ascii="Times New Roman" w:hAnsi="Times New Roman" w:eastAsia="宋体" w:cs="Times New Roman"/>
                <w:color w:val="000000" w:themeColor="text1"/>
                <w:sz w:val="24"/>
                <w:szCs w:val="24"/>
                <w:highlight w:val="none"/>
                <w14:textFill>
                  <w14:solidFill>
                    <w14:schemeClr w14:val="tx1"/>
                  </w14:solidFill>
                </w14:textFill>
              </w:rPr>
              <w:t>——距声源</w:t>
            </w:r>
            <m:oMath>
              <m:sSub>
                <m:sSubPr>
                  <m:ctrlPr>
                    <w:rPr>
                      <w:rFonts w:hint="default" w:ascii="Cambria Math" w:hAnsi="Cambria Math" w:eastAsia="宋体" w:cs="Times New Roman"/>
                      <w:i/>
                      <w:color w:val="000000" w:themeColor="text1"/>
                      <w:highlight w:val="none"/>
                      <w14:textFill>
                        <w14:solidFill>
                          <w14:schemeClr w14:val="tx1"/>
                        </w14:solidFill>
                      </w14:textFill>
                    </w:rPr>
                  </m:ctrlPr>
                </m:sSubPr>
                <m:e>
                  <m:r>
                    <m:rPr/>
                    <w:rPr>
                      <w:rFonts w:hint="default" w:ascii="Cambria Math" w:hAnsi="Cambria Math" w:eastAsia="宋体" w:cs="Times New Roman"/>
                      <w:color w:val="000000" w:themeColor="text1"/>
                      <w:highlight w:val="none"/>
                      <w14:textFill>
                        <w14:solidFill>
                          <w14:schemeClr w14:val="tx1"/>
                        </w14:solidFill>
                      </w14:textFill>
                    </w:rPr>
                    <m:t>r</m:t>
                  </m:r>
                  <m:ctrlPr>
                    <w:rPr>
                      <w:rFonts w:hint="default" w:ascii="Cambria Math" w:hAnsi="Cambria Math" w:eastAsia="宋体" w:cs="Times New Roman"/>
                      <w:i/>
                      <w:color w:val="000000" w:themeColor="text1"/>
                      <w:highlight w:val="none"/>
                      <w14:textFill>
                        <w14:solidFill>
                          <w14:schemeClr w14:val="tx1"/>
                        </w14:solidFill>
                      </w14:textFill>
                    </w:rPr>
                  </m:ctrlPr>
                </m:e>
                <m:sub>
                  <m:r>
                    <m:rPr/>
                    <w:rPr>
                      <w:rFonts w:hint="default" w:ascii="Cambria Math" w:hAnsi="Cambria Math" w:eastAsia="宋体" w:cs="Times New Roman"/>
                      <w:color w:val="000000" w:themeColor="text1"/>
                      <w:highlight w:val="none"/>
                      <w14:textFill>
                        <w14:solidFill>
                          <w14:schemeClr w14:val="tx1"/>
                        </w14:solidFill>
                      </w14:textFill>
                    </w:rPr>
                    <m:t>0</m:t>
                  </m:r>
                  <m:ctrlPr>
                    <w:rPr>
                      <w:rFonts w:hint="default" w:ascii="Cambria Math" w:hAnsi="Cambria Math" w:eastAsia="宋体" w:cs="Times New Roman"/>
                      <w:i/>
                      <w:color w:val="000000" w:themeColor="text1"/>
                      <w:highlight w:val="none"/>
                      <w14:textFill>
                        <w14:solidFill>
                          <w14:schemeClr w14:val="tx1"/>
                        </w14:solidFill>
                      </w14:textFill>
                    </w:rPr>
                  </m:ctrlPr>
                </m:sub>
              </m:sSub>
            </m:oMath>
            <w:r>
              <w:rPr>
                <w:rFonts w:hint="default" w:ascii="Times New Roman" w:hAnsi="Times New Roman" w:eastAsia="宋体" w:cs="Times New Roman"/>
                <w:color w:val="000000" w:themeColor="text1"/>
                <w:sz w:val="24"/>
                <w:szCs w:val="24"/>
                <w:highlight w:val="none"/>
                <w14:textFill>
                  <w14:solidFill>
                    <w14:schemeClr w14:val="tx1"/>
                  </w14:solidFill>
                </w14:textFill>
              </w:rPr>
              <w:t>处的噪声参考值，dB(A)；</w:t>
            </w:r>
          </w:p>
          <w:p w14:paraId="1D8804C0">
            <w:pPr>
              <w:keepNext w:val="0"/>
              <w:keepLines w:val="0"/>
              <w:suppressLineNumbers w:val="0"/>
              <w:spacing w:before="120" w:beforeLines="50" w:beforeAutospacing="0" w:after="0" w:afterAutospacing="0" w:line="360" w:lineRule="auto"/>
              <w:ind w:left="0" w:right="0" w:firstLine="422" w:firstLineChars="200"/>
              <w:jc w:val="center"/>
              <w:rPr>
                <w:rFonts w:hint="default" w:ascii="Times New Roman" w:hAnsi="Times New Roman" w:eastAsia="宋体" w:cs="Times New Roman"/>
                <w:b/>
                <w:snapToGrid w:val="0"/>
                <w:color w:val="000000" w:themeColor="text1"/>
                <w:kern w:val="0"/>
                <w:sz w:val="21"/>
                <w:szCs w:val="21"/>
                <w:highlight w:val="none"/>
                <w:lang w:val="en-US" w:eastAsia="zh-CN"/>
                <w14:textFill>
                  <w14:solidFill>
                    <w14:schemeClr w14:val="tx1"/>
                  </w14:solidFill>
                </w14:textFill>
              </w:rPr>
            </w:pPr>
            <w:r>
              <w:rPr>
                <w:rFonts w:hint="default" w:ascii="Times New Roman" w:hAnsi="Times New Roman" w:eastAsia="宋体" w:cs="Times New Roman"/>
                <w:b/>
                <w:snapToGrid w:val="0"/>
                <w:color w:val="000000" w:themeColor="text1"/>
                <w:kern w:val="0"/>
                <w:sz w:val="21"/>
                <w:szCs w:val="21"/>
                <w:highlight w:val="none"/>
                <w:lang w:eastAsia="zh-CN"/>
                <w14:textFill>
                  <w14:solidFill>
                    <w14:schemeClr w14:val="tx1"/>
                  </w14:solidFill>
                </w14:textFill>
              </w:rPr>
              <w:t>表</w:t>
            </w:r>
            <w:r>
              <w:rPr>
                <w:rFonts w:hint="default" w:ascii="Times New Roman" w:hAnsi="Times New Roman" w:eastAsia="宋体" w:cs="Times New Roman"/>
                <w:b/>
                <w:snapToGrid w:val="0"/>
                <w:color w:val="000000" w:themeColor="text1"/>
                <w:kern w:val="0"/>
                <w:sz w:val="21"/>
                <w:szCs w:val="21"/>
                <w:highlight w:val="none"/>
                <w:lang w:val="en-US" w:eastAsia="zh-CN"/>
                <w14:textFill>
                  <w14:solidFill>
                    <w14:schemeClr w14:val="tx1"/>
                  </w14:solidFill>
                </w14:textFill>
              </w:rPr>
              <w:t>4-</w:t>
            </w:r>
            <w:r>
              <w:rPr>
                <w:rFonts w:hint="eastAsia" w:cs="Times New Roman"/>
                <w:b/>
                <w:snapToGrid w:val="0"/>
                <w:color w:val="000000" w:themeColor="text1"/>
                <w:kern w:val="0"/>
                <w:sz w:val="21"/>
                <w:szCs w:val="21"/>
                <w:highlight w:val="none"/>
                <w:lang w:val="en-US" w:eastAsia="zh-CN"/>
                <w14:textFill>
                  <w14:solidFill>
                    <w14:schemeClr w14:val="tx1"/>
                  </w14:solidFill>
                </w14:textFill>
              </w:rPr>
              <w:t>3</w:t>
            </w:r>
            <w:r>
              <w:rPr>
                <w:rFonts w:hint="default" w:ascii="Times New Roman" w:hAnsi="Times New Roman" w:eastAsia="宋体" w:cs="Times New Roman"/>
                <w:b/>
                <w:snapToGrid w:val="0"/>
                <w:color w:val="000000" w:themeColor="text1"/>
                <w:kern w:val="0"/>
                <w:sz w:val="21"/>
                <w:szCs w:val="21"/>
                <w:highlight w:val="none"/>
                <w:lang w:val="en-US" w:eastAsia="zh-CN"/>
                <w14:textFill>
                  <w14:solidFill>
                    <w14:schemeClr w14:val="tx1"/>
                  </w14:solidFill>
                </w14:textFill>
              </w:rPr>
              <w:t xml:space="preserve">  </w:t>
            </w:r>
            <w:r>
              <w:rPr>
                <w:rFonts w:hint="default" w:ascii="Times New Roman" w:hAnsi="Times New Roman" w:eastAsia="宋体" w:cs="Times New Roman"/>
                <w:b/>
                <w:bCs/>
                <w:color w:val="000000" w:themeColor="text1"/>
                <w:sz w:val="21"/>
                <w:szCs w:val="21"/>
                <w:highlight w:val="none"/>
                <w14:textFill>
                  <w14:solidFill>
                    <w14:schemeClr w14:val="tx1"/>
                  </w14:solidFill>
                </w14:textFill>
              </w:rPr>
              <w:t>工业企业噪声源强调查清单（</w:t>
            </w:r>
            <w:r>
              <w:rPr>
                <w:rFonts w:hint="default" w:ascii="Times New Roman" w:hAnsi="Times New Roman" w:eastAsia="宋体" w:cs="Times New Roman"/>
                <w:b/>
                <w:bCs/>
                <w:color w:val="000000" w:themeColor="text1"/>
                <w:sz w:val="21"/>
                <w:szCs w:val="21"/>
                <w:highlight w:val="none"/>
                <w:lang w:eastAsia="zh-CN"/>
                <w14:textFill>
                  <w14:solidFill>
                    <w14:schemeClr w14:val="tx1"/>
                  </w14:solidFill>
                </w14:textFill>
              </w:rPr>
              <w:t>室外</w:t>
            </w:r>
            <w:r>
              <w:rPr>
                <w:rFonts w:hint="default" w:ascii="Times New Roman" w:hAnsi="Times New Roman" w:eastAsia="宋体" w:cs="Times New Roman"/>
                <w:b/>
                <w:bCs/>
                <w:color w:val="000000" w:themeColor="text1"/>
                <w:sz w:val="21"/>
                <w:szCs w:val="21"/>
                <w:highlight w:val="none"/>
                <w14:textFill>
                  <w14:solidFill>
                    <w14:schemeClr w14:val="tx1"/>
                  </w14:solidFill>
                </w14:textFill>
              </w:rPr>
              <w:t>声源）</w:t>
            </w:r>
          </w:p>
          <w:tbl>
            <w:tblPr>
              <w:tblStyle w:val="41"/>
              <w:tblW w:w="84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4"/>
              <w:gridCol w:w="1116"/>
              <w:gridCol w:w="835"/>
              <w:gridCol w:w="801"/>
              <w:gridCol w:w="818"/>
              <w:gridCol w:w="921"/>
              <w:gridCol w:w="1598"/>
              <w:gridCol w:w="916"/>
              <w:gridCol w:w="705"/>
            </w:tblGrid>
            <w:tr w14:paraId="36DBF3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Merge w:val="restart"/>
                  <w:noWrap w:val="0"/>
                  <w:vAlign w:val="center"/>
                </w:tcPr>
                <w:p w14:paraId="1A4CA9C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序号</w:t>
                  </w:r>
                </w:p>
              </w:tc>
              <w:tc>
                <w:tcPr>
                  <w:tcW w:w="1116" w:type="dxa"/>
                  <w:vMerge w:val="restart"/>
                  <w:noWrap w:val="0"/>
                  <w:vAlign w:val="center"/>
                </w:tcPr>
                <w:p w14:paraId="253DD0A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声源名称</w:t>
                  </w:r>
                </w:p>
              </w:tc>
              <w:tc>
                <w:tcPr>
                  <w:tcW w:w="835" w:type="dxa"/>
                  <w:vMerge w:val="restart"/>
                  <w:noWrap w:val="0"/>
                  <w:vAlign w:val="center"/>
                </w:tcPr>
                <w:p w14:paraId="2E91AD9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olor w:val="000000" w:themeColor="text1"/>
                      <w:szCs w:val="21"/>
                      <w:highlight w:val="none"/>
                      <w:lang w:eastAsia="zh-CN"/>
                      <w14:textFill>
                        <w14:solidFill>
                          <w14:schemeClr w14:val="tx1"/>
                        </w14:solidFill>
                      </w14:textFill>
                    </w:rPr>
                    <w:t>型号</w:t>
                  </w:r>
                </w:p>
              </w:tc>
              <w:tc>
                <w:tcPr>
                  <w:tcW w:w="2540" w:type="dxa"/>
                  <w:gridSpan w:val="3"/>
                  <w:noWrap w:val="0"/>
                  <w:vAlign w:val="center"/>
                </w:tcPr>
                <w:p w14:paraId="4219267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lang w:eastAsia="zh-CN"/>
                      <w14:textFill>
                        <w14:solidFill>
                          <w14:schemeClr w14:val="tx1"/>
                        </w14:solidFill>
                      </w14:textFill>
                    </w:rPr>
                  </w:pPr>
                  <w:r>
                    <w:rPr>
                      <w:rFonts w:hint="default" w:ascii="Times New Roman" w:hAnsi="Times New Roman" w:eastAsia="宋体" w:cs="Times New Roman"/>
                      <w:b/>
                      <w:bCs/>
                      <w:color w:val="000000" w:themeColor="text1"/>
                      <w:szCs w:val="21"/>
                      <w:highlight w:val="none"/>
                      <w:lang w:eastAsia="zh-CN"/>
                      <w14:textFill>
                        <w14:solidFill>
                          <w14:schemeClr w14:val="tx1"/>
                        </w14:solidFill>
                      </w14:textFill>
                    </w:rPr>
                    <w:t>空间相对位置</w:t>
                  </w:r>
                </w:p>
              </w:tc>
              <w:tc>
                <w:tcPr>
                  <w:tcW w:w="1598" w:type="dxa"/>
                  <w:noWrap w:val="0"/>
                  <w:vAlign w:val="center"/>
                </w:tcPr>
                <w:p w14:paraId="50B8C95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Cs w:val="21"/>
                      <w:highlight w:val="none"/>
                      <w:lang w:val="en-US" w:eastAsia="zh-CN"/>
                      <w14:textFill>
                        <w14:solidFill>
                          <w14:schemeClr w14:val="tx1"/>
                        </w14:solidFill>
                      </w14:textFill>
                    </w:rPr>
                    <w:t>声源源强</w:t>
                  </w:r>
                </w:p>
              </w:tc>
              <w:tc>
                <w:tcPr>
                  <w:tcW w:w="916" w:type="dxa"/>
                  <w:vMerge w:val="restart"/>
                  <w:noWrap w:val="0"/>
                  <w:vAlign w:val="center"/>
                </w:tcPr>
                <w:p w14:paraId="19B7A2A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声源控制措施</w:t>
                  </w:r>
                </w:p>
              </w:tc>
              <w:tc>
                <w:tcPr>
                  <w:tcW w:w="705" w:type="dxa"/>
                  <w:vMerge w:val="restart"/>
                  <w:noWrap w:val="0"/>
                  <w:vAlign w:val="center"/>
                </w:tcPr>
                <w:p w14:paraId="5C8E5937">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运行时段</w:t>
                  </w:r>
                </w:p>
              </w:tc>
            </w:tr>
            <w:tr w14:paraId="1253C9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vMerge w:val="continue"/>
                  <w:noWrap w:val="0"/>
                  <w:tcMar>
                    <w:top w:w="0" w:type="dxa"/>
                    <w:left w:w="0" w:type="dxa"/>
                    <w:bottom w:w="0" w:type="dxa"/>
                    <w:right w:w="0" w:type="dxa"/>
                  </w:tcMar>
                  <w:vAlign w:val="center"/>
                </w:tcPr>
                <w:p w14:paraId="0019E57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p>
              </w:tc>
              <w:tc>
                <w:tcPr>
                  <w:tcW w:w="1116" w:type="dxa"/>
                  <w:vMerge w:val="continue"/>
                  <w:noWrap w:val="0"/>
                  <w:tcMar>
                    <w:top w:w="0" w:type="dxa"/>
                    <w:left w:w="0" w:type="dxa"/>
                    <w:bottom w:w="0" w:type="dxa"/>
                    <w:right w:w="0" w:type="dxa"/>
                  </w:tcMar>
                  <w:vAlign w:val="center"/>
                </w:tcPr>
                <w:p w14:paraId="461E8216">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p>
              </w:tc>
              <w:tc>
                <w:tcPr>
                  <w:tcW w:w="835" w:type="dxa"/>
                  <w:vMerge w:val="continue"/>
                  <w:noWrap w:val="0"/>
                  <w:tcMar>
                    <w:top w:w="0" w:type="dxa"/>
                    <w:left w:w="0" w:type="dxa"/>
                    <w:bottom w:w="0" w:type="dxa"/>
                    <w:right w:w="0" w:type="dxa"/>
                  </w:tcMar>
                  <w:vAlign w:val="center"/>
                </w:tcPr>
                <w:p w14:paraId="333E5CC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p>
              </w:tc>
              <w:tc>
                <w:tcPr>
                  <w:tcW w:w="801" w:type="dxa"/>
                  <w:noWrap w:val="0"/>
                  <w:tcMar>
                    <w:top w:w="0" w:type="dxa"/>
                    <w:left w:w="0" w:type="dxa"/>
                    <w:bottom w:w="0" w:type="dxa"/>
                    <w:right w:w="0" w:type="dxa"/>
                  </w:tcMar>
                  <w:vAlign w:val="center"/>
                </w:tcPr>
                <w:p w14:paraId="0DE5962A">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Cs w:val="21"/>
                      <w:highlight w:val="none"/>
                      <w:lang w:val="en-US" w:eastAsia="zh-CN"/>
                      <w14:textFill>
                        <w14:solidFill>
                          <w14:schemeClr w14:val="tx1"/>
                        </w14:solidFill>
                      </w14:textFill>
                    </w:rPr>
                    <w:t>X</w:t>
                  </w:r>
                </w:p>
              </w:tc>
              <w:tc>
                <w:tcPr>
                  <w:tcW w:w="818" w:type="dxa"/>
                  <w:noWrap w:val="0"/>
                  <w:tcMar>
                    <w:top w:w="0" w:type="dxa"/>
                    <w:left w:w="0" w:type="dxa"/>
                    <w:bottom w:w="0" w:type="dxa"/>
                    <w:right w:w="0" w:type="dxa"/>
                  </w:tcMar>
                  <w:vAlign w:val="center"/>
                </w:tcPr>
                <w:p w14:paraId="4BCCE4AE">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Cs w:val="21"/>
                      <w:highlight w:val="none"/>
                      <w:lang w:val="en-US" w:eastAsia="zh-CN"/>
                      <w14:textFill>
                        <w14:solidFill>
                          <w14:schemeClr w14:val="tx1"/>
                        </w14:solidFill>
                      </w14:textFill>
                    </w:rPr>
                    <w:t>Y</w:t>
                  </w:r>
                </w:p>
              </w:tc>
              <w:tc>
                <w:tcPr>
                  <w:tcW w:w="921" w:type="dxa"/>
                  <w:noWrap w:val="0"/>
                  <w:tcMar>
                    <w:top w:w="0" w:type="dxa"/>
                    <w:left w:w="0" w:type="dxa"/>
                    <w:bottom w:w="0" w:type="dxa"/>
                    <w:right w:w="0" w:type="dxa"/>
                  </w:tcMar>
                  <w:vAlign w:val="center"/>
                </w:tcPr>
                <w:p w14:paraId="532FBC9D">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Cs w:val="21"/>
                      <w:highlight w:val="none"/>
                      <w:lang w:val="en-US" w:eastAsia="zh-CN"/>
                      <w14:textFill>
                        <w14:solidFill>
                          <w14:schemeClr w14:val="tx1"/>
                        </w14:solidFill>
                      </w14:textFill>
                    </w:rPr>
                    <w:t>Z</w:t>
                  </w:r>
                </w:p>
              </w:tc>
              <w:tc>
                <w:tcPr>
                  <w:tcW w:w="1598" w:type="dxa"/>
                  <w:noWrap w:val="0"/>
                  <w:tcMar>
                    <w:top w:w="0" w:type="dxa"/>
                    <w:left w:w="0" w:type="dxa"/>
                    <w:bottom w:w="0" w:type="dxa"/>
                    <w:right w:w="0" w:type="dxa"/>
                  </w:tcMar>
                  <w:vAlign w:val="center"/>
                </w:tcPr>
                <w:p w14:paraId="20E18B1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lang w:val="en-US" w:eastAsia="zh-CN"/>
                      <w14:textFill>
                        <w14:solidFill>
                          <w14:schemeClr w14:val="tx1"/>
                        </w14:solidFill>
                      </w14:textFill>
                    </w:rPr>
                    <w:t>声功率级</w:t>
                  </w:r>
                  <w:r>
                    <w:rPr>
                      <w:rFonts w:hint="default" w:ascii="Times New Roman" w:hAnsi="Times New Roman" w:eastAsia="宋体" w:cs="Times New Roman"/>
                      <w:b/>
                      <w:bCs/>
                      <w:color w:val="000000" w:themeColor="text1"/>
                      <w:szCs w:val="21"/>
                      <w:highlight w:val="none"/>
                      <w14:textFill>
                        <w14:solidFill>
                          <w14:schemeClr w14:val="tx1"/>
                        </w14:solidFill>
                      </w14:textFill>
                    </w:rPr>
                    <w:t>/dB(A)</w:t>
                  </w:r>
                </w:p>
              </w:tc>
              <w:tc>
                <w:tcPr>
                  <w:tcW w:w="916" w:type="dxa"/>
                  <w:vMerge w:val="continue"/>
                  <w:noWrap w:val="0"/>
                  <w:tcMar>
                    <w:top w:w="0" w:type="dxa"/>
                    <w:left w:w="0" w:type="dxa"/>
                    <w:bottom w:w="0" w:type="dxa"/>
                    <w:right w:w="0" w:type="dxa"/>
                  </w:tcMar>
                  <w:vAlign w:val="center"/>
                </w:tcPr>
                <w:p w14:paraId="2B6F187F">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p>
              </w:tc>
              <w:tc>
                <w:tcPr>
                  <w:tcW w:w="705" w:type="dxa"/>
                  <w:vMerge w:val="continue"/>
                  <w:noWrap w:val="0"/>
                  <w:tcMar>
                    <w:top w:w="0" w:type="dxa"/>
                    <w:left w:w="0" w:type="dxa"/>
                    <w:bottom w:w="0" w:type="dxa"/>
                    <w:right w:w="0" w:type="dxa"/>
                  </w:tcMar>
                  <w:vAlign w:val="center"/>
                </w:tcPr>
                <w:p w14:paraId="2010E963">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p>
              </w:tc>
            </w:tr>
            <w:tr w14:paraId="695B00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shd w:val="clear" w:color="auto" w:fill="auto"/>
                  <w:noWrap w:val="0"/>
                  <w:tcMar>
                    <w:top w:w="0" w:type="dxa"/>
                    <w:left w:w="0" w:type="dxa"/>
                    <w:bottom w:w="0" w:type="dxa"/>
                    <w:right w:w="0" w:type="dxa"/>
                  </w:tcMar>
                  <w:vAlign w:val="center"/>
                </w:tcPr>
                <w:p w14:paraId="0DEA6A85">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t>1</w:t>
                  </w:r>
                </w:p>
              </w:tc>
              <w:tc>
                <w:tcPr>
                  <w:tcW w:w="1116" w:type="dxa"/>
                  <w:shd w:val="clear" w:color="auto" w:fill="auto"/>
                  <w:noWrap w:val="0"/>
                  <w:tcMar>
                    <w:top w:w="0" w:type="dxa"/>
                    <w:left w:w="0" w:type="dxa"/>
                    <w:bottom w:w="0" w:type="dxa"/>
                    <w:right w:w="0" w:type="dxa"/>
                  </w:tcMar>
                  <w:vAlign w:val="center"/>
                </w:tcPr>
                <w:p w14:paraId="7AA392D3">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t>热再生滚筒</w:t>
                  </w:r>
                </w:p>
              </w:tc>
              <w:tc>
                <w:tcPr>
                  <w:tcW w:w="835" w:type="dxa"/>
                  <w:shd w:val="clear" w:color="auto" w:fill="auto"/>
                  <w:noWrap w:val="0"/>
                  <w:tcMar>
                    <w:top w:w="0" w:type="dxa"/>
                    <w:left w:w="0" w:type="dxa"/>
                    <w:bottom w:w="0" w:type="dxa"/>
                    <w:right w:w="0" w:type="dxa"/>
                  </w:tcMar>
                  <w:vAlign w:val="center"/>
                </w:tcPr>
                <w:p w14:paraId="6CC47B04">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t>/</w:t>
                  </w:r>
                </w:p>
              </w:tc>
              <w:tc>
                <w:tcPr>
                  <w:tcW w:w="801" w:type="dxa"/>
                  <w:noWrap w:val="0"/>
                  <w:tcMar>
                    <w:top w:w="0" w:type="dxa"/>
                    <w:left w:w="0" w:type="dxa"/>
                    <w:bottom w:w="0" w:type="dxa"/>
                    <w:right w:w="0" w:type="dxa"/>
                  </w:tcMar>
                  <w:vAlign w:val="center"/>
                </w:tcPr>
                <w:p w14:paraId="546C193A">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100</w:t>
                  </w:r>
                </w:p>
              </w:tc>
              <w:tc>
                <w:tcPr>
                  <w:tcW w:w="818" w:type="dxa"/>
                  <w:noWrap w:val="0"/>
                  <w:tcMar>
                    <w:top w:w="0" w:type="dxa"/>
                    <w:left w:w="0" w:type="dxa"/>
                    <w:bottom w:w="0" w:type="dxa"/>
                    <w:right w:w="0" w:type="dxa"/>
                  </w:tcMar>
                  <w:vAlign w:val="center"/>
                </w:tcPr>
                <w:p w14:paraId="35FFAFCD">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19</w:t>
                  </w:r>
                </w:p>
              </w:tc>
              <w:tc>
                <w:tcPr>
                  <w:tcW w:w="921" w:type="dxa"/>
                  <w:noWrap w:val="0"/>
                  <w:tcMar>
                    <w:top w:w="0" w:type="dxa"/>
                    <w:left w:w="0" w:type="dxa"/>
                    <w:bottom w:w="0" w:type="dxa"/>
                    <w:right w:w="0" w:type="dxa"/>
                  </w:tcMar>
                  <w:vAlign w:val="center"/>
                </w:tcPr>
                <w:p w14:paraId="35D26F2B">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1</w:t>
                  </w:r>
                </w:p>
              </w:tc>
              <w:tc>
                <w:tcPr>
                  <w:tcW w:w="1598" w:type="dxa"/>
                  <w:shd w:val="clear" w:color="auto" w:fill="auto"/>
                  <w:noWrap w:val="0"/>
                  <w:tcMar>
                    <w:top w:w="0" w:type="dxa"/>
                    <w:left w:w="0" w:type="dxa"/>
                    <w:bottom w:w="0" w:type="dxa"/>
                    <w:right w:w="0" w:type="dxa"/>
                  </w:tcMar>
                  <w:vAlign w:val="center"/>
                </w:tcPr>
                <w:p w14:paraId="7762A8BA">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ascii="Times New Roman" w:hAnsi="Times New Roman" w:eastAsia="宋体"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75</w:t>
                  </w:r>
                </w:p>
              </w:tc>
              <w:tc>
                <w:tcPr>
                  <w:tcW w:w="916" w:type="dxa"/>
                  <w:shd w:val="clear" w:color="auto" w:fill="auto"/>
                  <w:noWrap w:val="0"/>
                  <w:tcMar>
                    <w:top w:w="0" w:type="dxa"/>
                    <w:left w:w="0" w:type="dxa"/>
                    <w:bottom w:w="0" w:type="dxa"/>
                    <w:right w:w="0" w:type="dxa"/>
                  </w:tcMar>
                  <w:vAlign w:val="center"/>
                </w:tcPr>
                <w:p w14:paraId="036D773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highlight w:val="none"/>
                      <w:lang w:eastAsia="zh-CN"/>
                      <w14:textFill>
                        <w14:solidFill>
                          <w14:schemeClr w14:val="tx1"/>
                        </w14:solidFill>
                      </w14:textFill>
                    </w:rPr>
                    <w:t>基础减震</w:t>
                  </w:r>
                </w:p>
              </w:tc>
              <w:tc>
                <w:tcPr>
                  <w:tcW w:w="705" w:type="dxa"/>
                  <w:shd w:val="clear" w:color="auto" w:fill="auto"/>
                  <w:noWrap w:val="0"/>
                  <w:tcMar>
                    <w:top w:w="0" w:type="dxa"/>
                    <w:left w:w="0" w:type="dxa"/>
                    <w:bottom w:w="0" w:type="dxa"/>
                    <w:right w:w="0" w:type="dxa"/>
                  </w:tcMar>
                  <w:vAlign w:val="center"/>
                </w:tcPr>
                <w:p w14:paraId="1BAE2DBD">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昼夜</w:t>
                  </w:r>
                </w:p>
              </w:tc>
            </w:tr>
            <w:tr w14:paraId="04377D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shd w:val="clear" w:color="auto" w:fill="auto"/>
                  <w:noWrap w:val="0"/>
                  <w:tcMar>
                    <w:top w:w="0" w:type="dxa"/>
                    <w:left w:w="0" w:type="dxa"/>
                    <w:bottom w:w="0" w:type="dxa"/>
                    <w:right w:w="0" w:type="dxa"/>
                  </w:tcMar>
                  <w:vAlign w:val="center"/>
                </w:tcPr>
                <w:p w14:paraId="407BFDB8">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t>2</w:t>
                  </w:r>
                </w:p>
              </w:tc>
              <w:tc>
                <w:tcPr>
                  <w:tcW w:w="1116" w:type="dxa"/>
                  <w:shd w:val="clear" w:color="auto" w:fill="auto"/>
                  <w:noWrap w:val="0"/>
                  <w:tcMar>
                    <w:top w:w="0" w:type="dxa"/>
                    <w:left w:w="0" w:type="dxa"/>
                    <w:bottom w:w="0" w:type="dxa"/>
                    <w:right w:w="0" w:type="dxa"/>
                  </w:tcMar>
                  <w:vAlign w:val="center"/>
                </w:tcPr>
                <w:p w14:paraId="695AED3C">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t>原生料滚筒</w:t>
                  </w:r>
                </w:p>
              </w:tc>
              <w:tc>
                <w:tcPr>
                  <w:tcW w:w="835" w:type="dxa"/>
                  <w:shd w:val="clear" w:color="auto" w:fill="auto"/>
                  <w:noWrap w:val="0"/>
                  <w:tcMar>
                    <w:top w:w="0" w:type="dxa"/>
                    <w:left w:w="0" w:type="dxa"/>
                    <w:bottom w:w="0" w:type="dxa"/>
                    <w:right w:w="0" w:type="dxa"/>
                  </w:tcMar>
                  <w:vAlign w:val="center"/>
                </w:tcPr>
                <w:p w14:paraId="3CF66961">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t>/</w:t>
                  </w:r>
                </w:p>
              </w:tc>
              <w:tc>
                <w:tcPr>
                  <w:tcW w:w="801" w:type="dxa"/>
                  <w:noWrap w:val="0"/>
                  <w:tcMar>
                    <w:top w:w="0" w:type="dxa"/>
                    <w:left w:w="0" w:type="dxa"/>
                    <w:bottom w:w="0" w:type="dxa"/>
                    <w:right w:w="0" w:type="dxa"/>
                  </w:tcMar>
                  <w:vAlign w:val="center"/>
                </w:tcPr>
                <w:p w14:paraId="657F00D5">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102</w:t>
                  </w:r>
                </w:p>
              </w:tc>
              <w:tc>
                <w:tcPr>
                  <w:tcW w:w="818" w:type="dxa"/>
                  <w:noWrap w:val="0"/>
                  <w:tcMar>
                    <w:top w:w="0" w:type="dxa"/>
                    <w:left w:w="0" w:type="dxa"/>
                    <w:bottom w:w="0" w:type="dxa"/>
                    <w:right w:w="0" w:type="dxa"/>
                  </w:tcMar>
                  <w:vAlign w:val="center"/>
                </w:tcPr>
                <w:p w14:paraId="5A2D874D">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19</w:t>
                  </w:r>
                </w:p>
              </w:tc>
              <w:tc>
                <w:tcPr>
                  <w:tcW w:w="921" w:type="dxa"/>
                  <w:noWrap w:val="0"/>
                  <w:tcMar>
                    <w:top w:w="0" w:type="dxa"/>
                    <w:left w:w="0" w:type="dxa"/>
                    <w:bottom w:w="0" w:type="dxa"/>
                    <w:right w:w="0" w:type="dxa"/>
                  </w:tcMar>
                  <w:vAlign w:val="center"/>
                </w:tcPr>
                <w:p w14:paraId="6A8CC2A6">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1</w:t>
                  </w:r>
                </w:p>
              </w:tc>
              <w:tc>
                <w:tcPr>
                  <w:tcW w:w="1598" w:type="dxa"/>
                  <w:shd w:val="clear" w:color="auto" w:fill="auto"/>
                  <w:noWrap w:val="0"/>
                  <w:tcMar>
                    <w:top w:w="0" w:type="dxa"/>
                    <w:left w:w="0" w:type="dxa"/>
                    <w:bottom w:w="0" w:type="dxa"/>
                    <w:right w:w="0" w:type="dxa"/>
                  </w:tcMar>
                  <w:vAlign w:val="center"/>
                </w:tcPr>
                <w:p w14:paraId="041A0179">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ascii="Times New Roman" w:hAnsi="Times New Roman" w:eastAsia="宋体"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75</w:t>
                  </w:r>
                </w:p>
              </w:tc>
              <w:tc>
                <w:tcPr>
                  <w:tcW w:w="916" w:type="dxa"/>
                  <w:shd w:val="clear" w:color="auto" w:fill="auto"/>
                  <w:noWrap w:val="0"/>
                  <w:tcMar>
                    <w:top w:w="0" w:type="dxa"/>
                    <w:left w:w="0" w:type="dxa"/>
                    <w:bottom w:w="0" w:type="dxa"/>
                    <w:right w:w="0" w:type="dxa"/>
                  </w:tcMar>
                  <w:vAlign w:val="center"/>
                </w:tcPr>
                <w:p w14:paraId="29BF901B">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highlight w:val="none"/>
                      <w:lang w:eastAsia="zh-CN"/>
                      <w14:textFill>
                        <w14:solidFill>
                          <w14:schemeClr w14:val="tx1"/>
                        </w14:solidFill>
                      </w14:textFill>
                    </w:rPr>
                    <w:t>基础减震</w:t>
                  </w:r>
                </w:p>
              </w:tc>
              <w:tc>
                <w:tcPr>
                  <w:tcW w:w="705" w:type="dxa"/>
                  <w:shd w:val="clear" w:color="auto" w:fill="auto"/>
                  <w:noWrap w:val="0"/>
                  <w:tcMar>
                    <w:top w:w="0" w:type="dxa"/>
                    <w:left w:w="0" w:type="dxa"/>
                    <w:bottom w:w="0" w:type="dxa"/>
                    <w:right w:w="0" w:type="dxa"/>
                  </w:tcMar>
                  <w:vAlign w:val="center"/>
                </w:tcPr>
                <w:p w14:paraId="0FF59FD3">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昼夜</w:t>
                  </w:r>
                </w:p>
              </w:tc>
            </w:tr>
            <w:tr w14:paraId="6CFF25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shd w:val="clear" w:color="auto" w:fill="auto"/>
                  <w:noWrap w:val="0"/>
                  <w:tcMar>
                    <w:top w:w="0" w:type="dxa"/>
                    <w:left w:w="0" w:type="dxa"/>
                    <w:bottom w:w="0" w:type="dxa"/>
                    <w:right w:w="0" w:type="dxa"/>
                  </w:tcMar>
                  <w:vAlign w:val="center"/>
                </w:tcPr>
                <w:p w14:paraId="23063243">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t>3</w:t>
                  </w:r>
                </w:p>
              </w:tc>
              <w:tc>
                <w:tcPr>
                  <w:tcW w:w="1116" w:type="dxa"/>
                  <w:shd w:val="clear" w:color="auto" w:fill="auto"/>
                  <w:noWrap w:val="0"/>
                  <w:tcMar>
                    <w:top w:w="0" w:type="dxa"/>
                    <w:left w:w="0" w:type="dxa"/>
                    <w:bottom w:w="0" w:type="dxa"/>
                    <w:right w:w="0" w:type="dxa"/>
                  </w:tcMar>
                  <w:vAlign w:val="center"/>
                </w:tcPr>
                <w:p w14:paraId="74F72DDE">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搅拌锅</w:t>
                  </w:r>
                </w:p>
              </w:tc>
              <w:tc>
                <w:tcPr>
                  <w:tcW w:w="835" w:type="dxa"/>
                  <w:shd w:val="clear" w:color="auto" w:fill="auto"/>
                  <w:noWrap w:val="0"/>
                  <w:tcMar>
                    <w:top w:w="0" w:type="dxa"/>
                    <w:left w:w="0" w:type="dxa"/>
                    <w:bottom w:w="0" w:type="dxa"/>
                    <w:right w:w="0" w:type="dxa"/>
                  </w:tcMar>
                  <w:vAlign w:val="center"/>
                </w:tcPr>
                <w:p w14:paraId="69FDACFB">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t>/</w:t>
                  </w:r>
                </w:p>
              </w:tc>
              <w:tc>
                <w:tcPr>
                  <w:tcW w:w="801" w:type="dxa"/>
                  <w:noWrap w:val="0"/>
                  <w:tcMar>
                    <w:top w:w="0" w:type="dxa"/>
                    <w:left w:w="0" w:type="dxa"/>
                    <w:bottom w:w="0" w:type="dxa"/>
                    <w:right w:w="0" w:type="dxa"/>
                  </w:tcMar>
                  <w:vAlign w:val="center"/>
                </w:tcPr>
                <w:p w14:paraId="3D995569">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105</w:t>
                  </w:r>
                </w:p>
              </w:tc>
              <w:tc>
                <w:tcPr>
                  <w:tcW w:w="818" w:type="dxa"/>
                  <w:noWrap w:val="0"/>
                  <w:tcMar>
                    <w:top w:w="0" w:type="dxa"/>
                    <w:left w:w="0" w:type="dxa"/>
                    <w:bottom w:w="0" w:type="dxa"/>
                    <w:right w:w="0" w:type="dxa"/>
                  </w:tcMar>
                  <w:vAlign w:val="center"/>
                </w:tcPr>
                <w:p w14:paraId="1DA4240D">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15</w:t>
                  </w:r>
                </w:p>
              </w:tc>
              <w:tc>
                <w:tcPr>
                  <w:tcW w:w="921" w:type="dxa"/>
                  <w:noWrap w:val="0"/>
                  <w:tcMar>
                    <w:top w:w="0" w:type="dxa"/>
                    <w:left w:w="0" w:type="dxa"/>
                    <w:bottom w:w="0" w:type="dxa"/>
                    <w:right w:w="0" w:type="dxa"/>
                  </w:tcMar>
                  <w:vAlign w:val="center"/>
                </w:tcPr>
                <w:p w14:paraId="715BD551">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15</w:t>
                  </w:r>
                </w:p>
              </w:tc>
              <w:tc>
                <w:tcPr>
                  <w:tcW w:w="1598" w:type="dxa"/>
                  <w:noWrap w:val="0"/>
                  <w:tcMar>
                    <w:top w:w="0" w:type="dxa"/>
                    <w:left w:w="0" w:type="dxa"/>
                    <w:bottom w:w="0" w:type="dxa"/>
                    <w:right w:w="0" w:type="dxa"/>
                  </w:tcMar>
                  <w:vAlign w:val="center"/>
                </w:tcPr>
                <w:p w14:paraId="4B30436D">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70</w:t>
                  </w:r>
                </w:p>
              </w:tc>
              <w:tc>
                <w:tcPr>
                  <w:tcW w:w="916" w:type="dxa"/>
                  <w:shd w:val="clear" w:color="auto" w:fill="auto"/>
                  <w:noWrap w:val="0"/>
                  <w:tcMar>
                    <w:top w:w="0" w:type="dxa"/>
                    <w:left w:w="0" w:type="dxa"/>
                    <w:bottom w:w="0" w:type="dxa"/>
                    <w:right w:w="0" w:type="dxa"/>
                  </w:tcMar>
                  <w:vAlign w:val="center"/>
                </w:tcPr>
                <w:p w14:paraId="08309392">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highlight w:val="none"/>
                      <w:lang w:eastAsia="zh-CN"/>
                      <w14:textFill>
                        <w14:solidFill>
                          <w14:schemeClr w14:val="tx1"/>
                        </w14:solidFill>
                      </w14:textFill>
                    </w:rPr>
                    <w:t>基础减震</w:t>
                  </w:r>
                </w:p>
              </w:tc>
              <w:tc>
                <w:tcPr>
                  <w:tcW w:w="705" w:type="dxa"/>
                  <w:shd w:val="clear" w:color="auto" w:fill="auto"/>
                  <w:noWrap w:val="0"/>
                  <w:tcMar>
                    <w:top w:w="0" w:type="dxa"/>
                    <w:left w:w="0" w:type="dxa"/>
                    <w:bottom w:w="0" w:type="dxa"/>
                    <w:right w:w="0" w:type="dxa"/>
                  </w:tcMar>
                  <w:vAlign w:val="center"/>
                </w:tcPr>
                <w:p w14:paraId="1A57BA8B">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昼夜</w:t>
                  </w:r>
                </w:p>
              </w:tc>
            </w:tr>
            <w:tr w14:paraId="2C7307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noWrap w:val="0"/>
                  <w:tcMar>
                    <w:top w:w="0" w:type="dxa"/>
                    <w:left w:w="0" w:type="dxa"/>
                    <w:bottom w:w="0" w:type="dxa"/>
                    <w:right w:w="0" w:type="dxa"/>
                  </w:tcMar>
                  <w:vAlign w:val="center"/>
                </w:tcPr>
                <w:p w14:paraId="43B4CE77">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4</w:t>
                  </w:r>
                </w:p>
              </w:tc>
              <w:tc>
                <w:tcPr>
                  <w:tcW w:w="1116" w:type="dxa"/>
                  <w:shd w:val="clear" w:color="auto" w:fill="auto"/>
                  <w:noWrap w:val="0"/>
                  <w:tcMar>
                    <w:top w:w="0" w:type="dxa"/>
                    <w:left w:w="0" w:type="dxa"/>
                    <w:bottom w:w="0" w:type="dxa"/>
                    <w:right w:w="0" w:type="dxa"/>
                  </w:tcMar>
                  <w:vAlign w:val="center"/>
                </w:tcPr>
                <w:p w14:paraId="79FBAC1C">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导热油炉</w:t>
                  </w:r>
                </w:p>
              </w:tc>
              <w:tc>
                <w:tcPr>
                  <w:tcW w:w="835" w:type="dxa"/>
                  <w:shd w:val="clear" w:color="auto" w:fill="auto"/>
                  <w:noWrap w:val="0"/>
                  <w:tcMar>
                    <w:top w:w="0" w:type="dxa"/>
                    <w:left w:w="0" w:type="dxa"/>
                    <w:bottom w:w="0" w:type="dxa"/>
                    <w:right w:w="0" w:type="dxa"/>
                  </w:tcMar>
                  <w:vAlign w:val="center"/>
                </w:tcPr>
                <w:p w14:paraId="45D42AC6">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t>/</w:t>
                  </w:r>
                </w:p>
              </w:tc>
              <w:tc>
                <w:tcPr>
                  <w:tcW w:w="801" w:type="dxa"/>
                  <w:noWrap w:val="0"/>
                  <w:tcMar>
                    <w:top w:w="0" w:type="dxa"/>
                    <w:left w:w="0" w:type="dxa"/>
                    <w:bottom w:w="0" w:type="dxa"/>
                    <w:right w:w="0" w:type="dxa"/>
                  </w:tcMar>
                  <w:vAlign w:val="center"/>
                </w:tcPr>
                <w:p w14:paraId="0413F787">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102</w:t>
                  </w:r>
                </w:p>
              </w:tc>
              <w:tc>
                <w:tcPr>
                  <w:tcW w:w="818" w:type="dxa"/>
                  <w:noWrap w:val="0"/>
                  <w:tcMar>
                    <w:top w:w="0" w:type="dxa"/>
                    <w:left w:w="0" w:type="dxa"/>
                    <w:bottom w:w="0" w:type="dxa"/>
                    <w:right w:w="0" w:type="dxa"/>
                  </w:tcMar>
                  <w:vAlign w:val="center"/>
                </w:tcPr>
                <w:p w14:paraId="24C7D7D7">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18</w:t>
                  </w:r>
                </w:p>
              </w:tc>
              <w:tc>
                <w:tcPr>
                  <w:tcW w:w="921" w:type="dxa"/>
                  <w:noWrap w:val="0"/>
                  <w:tcMar>
                    <w:top w:w="0" w:type="dxa"/>
                    <w:left w:w="0" w:type="dxa"/>
                    <w:bottom w:w="0" w:type="dxa"/>
                    <w:right w:w="0" w:type="dxa"/>
                  </w:tcMar>
                  <w:vAlign w:val="center"/>
                </w:tcPr>
                <w:p w14:paraId="7CA6B037">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1</w:t>
                  </w:r>
                </w:p>
              </w:tc>
              <w:tc>
                <w:tcPr>
                  <w:tcW w:w="1598" w:type="dxa"/>
                  <w:noWrap w:val="0"/>
                  <w:tcMar>
                    <w:top w:w="0" w:type="dxa"/>
                    <w:left w:w="0" w:type="dxa"/>
                    <w:bottom w:w="0" w:type="dxa"/>
                    <w:right w:w="0" w:type="dxa"/>
                  </w:tcMar>
                  <w:vAlign w:val="center"/>
                </w:tcPr>
                <w:p w14:paraId="083D995B">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65</w:t>
                  </w:r>
                </w:p>
              </w:tc>
              <w:tc>
                <w:tcPr>
                  <w:tcW w:w="916" w:type="dxa"/>
                  <w:shd w:val="clear" w:color="auto" w:fill="auto"/>
                  <w:noWrap w:val="0"/>
                  <w:tcMar>
                    <w:top w:w="0" w:type="dxa"/>
                    <w:left w:w="0" w:type="dxa"/>
                    <w:bottom w:w="0" w:type="dxa"/>
                    <w:right w:w="0" w:type="dxa"/>
                  </w:tcMar>
                  <w:vAlign w:val="center"/>
                </w:tcPr>
                <w:p w14:paraId="123053A5">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highlight w:val="none"/>
                      <w:lang w:eastAsia="zh-CN"/>
                      <w14:textFill>
                        <w14:solidFill>
                          <w14:schemeClr w14:val="tx1"/>
                        </w14:solidFill>
                      </w14:textFill>
                    </w:rPr>
                    <w:t>基础减震</w:t>
                  </w:r>
                </w:p>
              </w:tc>
              <w:tc>
                <w:tcPr>
                  <w:tcW w:w="705" w:type="dxa"/>
                  <w:shd w:val="clear" w:color="auto" w:fill="auto"/>
                  <w:noWrap w:val="0"/>
                  <w:tcMar>
                    <w:top w:w="0" w:type="dxa"/>
                    <w:left w:w="0" w:type="dxa"/>
                    <w:bottom w:w="0" w:type="dxa"/>
                    <w:right w:w="0" w:type="dxa"/>
                  </w:tcMar>
                  <w:vAlign w:val="center"/>
                </w:tcPr>
                <w:p w14:paraId="1BBAB48B">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昼夜</w:t>
                  </w:r>
                </w:p>
              </w:tc>
            </w:tr>
            <w:tr w14:paraId="098810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noWrap w:val="0"/>
                  <w:tcMar>
                    <w:top w:w="0" w:type="dxa"/>
                    <w:left w:w="0" w:type="dxa"/>
                    <w:bottom w:w="0" w:type="dxa"/>
                    <w:right w:w="0" w:type="dxa"/>
                  </w:tcMar>
                  <w:vAlign w:val="center"/>
                </w:tcPr>
                <w:p w14:paraId="5EE32C8E">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5</w:t>
                  </w:r>
                </w:p>
              </w:tc>
              <w:tc>
                <w:tcPr>
                  <w:tcW w:w="1116" w:type="dxa"/>
                  <w:shd w:val="clear" w:color="auto" w:fill="auto"/>
                  <w:noWrap w:val="0"/>
                  <w:tcMar>
                    <w:top w:w="0" w:type="dxa"/>
                    <w:left w:w="0" w:type="dxa"/>
                    <w:bottom w:w="0" w:type="dxa"/>
                    <w:right w:w="0" w:type="dxa"/>
                  </w:tcMar>
                  <w:vAlign w:val="center"/>
                </w:tcPr>
                <w:p w14:paraId="6BF445D1">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粉料提升机</w:t>
                  </w:r>
                </w:p>
              </w:tc>
              <w:tc>
                <w:tcPr>
                  <w:tcW w:w="835" w:type="dxa"/>
                  <w:shd w:val="clear" w:color="auto" w:fill="auto"/>
                  <w:noWrap w:val="0"/>
                  <w:tcMar>
                    <w:top w:w="0" w:type="dxa"/>
                    <w:left w:w="0" w:type="dxa"/>
                    <w:bottom w:w="0" w:type="dxa"/>
                    <w:right w:w="0" w:type="dxa"/>
                  </w:tcMar>
                  <w:vAlign w:val="center"/>
                </w:tcPr>
                <w:p w14:paraId="4E18E55A">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t>/</w:t>
                  </w:r>
                </w:p>
              </w:tc>
              <w:tc>
                <w:tcPr>
                  <w:tcW w:w="801" w:type="dxa"/>
                  <w:noWrap w:val="0"/>
                  <w:tcMar>
                    <w:top w:w="0" w:type="dxa"/>
                    <w:left w:w="0" w:type="dxa"/>
                    <w:bottom w:w="0" w:type="dxa"/>
                    <w:right w:w="0" w:type="dxa"/>
                  </w:tcMar>
                  <w:vAlign w:val="center"/>
                </w:tcPr>
                <w:p w14:paraId="4E108AE1">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105</w:t>
                  </w:r>
                </w:p>
              </w:tc>
              <w:tc>
                <w:tcPr>
                  <w:tcW w:w="818" w:type="dxa"/>
                  <w:noWrap w:val="0"/>
                  <w:tcMar>
                    <w:top w:w="0" w:type="dxa"/>
                    <w:left w:w="0" w:type="dxa"/>
                    <w:bottom w:w="0" w:type="dxa"/>
                    <w:right w:w="0" w:type="dxa"/>
                  </w:tcMar>
                  <w:vAlign w:val="center"/>
                </w:tcPr>
                <w:p w14:paraId="0A8AC849">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16</w:t>
                  </w:r>
                </w:p>
              </w:tc>
              <w:tc>
                <w:tcPr>
                  <w:tcW w:w="921" w:type="dxa"/>
                  <w:noWrap w:val="0"/>
                  <w:tcMar>
                    <w:top w:w="0" w:type="dxa"/>
                    <w:left w:w="0" w:type="dxa"/>
                    <w:bottom w:w="0" w:type="dxa"/>
                    <w:right w:w="0" w:type="dxa"/>
                  </w:tcMar>
                  <w:vAlign w:val="center"/>
                </w:tcPr>
                <w:p w14:paraId="652E91FA">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1</w:t>
                  </w:r>
                </w:p>
              </w:tc>
              <w:tc>
                <w:tcPr>
                  <w:tcW w:w="1598" w:type="dxa"/>
                  <w:noWrap w:val="0"/>
                  <w:tcMar>
                    <w:top w:w="0" w:type="dxa"/>
                    <w:left w:w="0" w:type="dxa"/>
                    <w:bottom w:w="0" w:type="dxa"/>
                    <w:right w:w="0" w:type="dxa"/>
                  </w:tcMar>
                  <w:vAlign w:val="center"/>
                </w:tcPr>
                <w:p w14:paraId="5575A97E">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70</w:t>
                  </w:r>
                </w:p>
              </w:tc>
              <w:tc>
                <w:tcPr>
                  <w:tcW w:w="916" w:type="dxa"/>
                  <w:shd w:val="clear" w:color="auto" w:fill="auto"/>
                  <w:noWrap w:val="0"/>
                  <w:tcMar>
                    <w:top w:w="0" w:type="dxa"/>
                    <w:left w:w="0" w:type="dxa"/>
                    <w:bottom w:w="0" w:type="dxa"/>
                    <w:right w:w="0" w:type="dxa"/>
                  </w:tcMar>
                  <w:vAlign w:val="center"/>
                </w:tcPr>
                <w:p w14:paraId="1043493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highlight w:val="none"/>
                      <w:lang w:eastAsia="zh-CN"/>
                      <w14:textFill>
                        <w14:solidFill>
                          <w14:schemeClr w14:val="tx1"/>
                        </w14:solidFill>
                      </w14:textFill>
                    </w:rPr>
                    <w:t>基础减震</w:t>
                  </w:r>
                </w:p>
              </w:tc>
              <w:tc>
                <w:tcPr>
                  <w:tcW w:w="705" w:type="dxa"/>
                  <w:shd w:val="clear" w:color="auto" w:fill="auto"/>
                  <w:noWrap w:val="0"/>
                  <w:tcMar>
                    <w:top w:w="0" w:type="dxa"/>
                    <w:left w:w="0" w:type="dxa"/>
                    <w:bottom w:w="0" w:type="dxa"/>
                    <w:right w:w="0" w:type="dxa"/>
                  </w:tcMar>
                  <w:vAlign w:val="center"/>
                </w:tcPr>
                <w:p w14:paraId="2BB436C2">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昼夜</w:t>
                  </w:r>
                </w:p>
              </w:tc>
            </w:tr>
            <w:tr w14:paraId="0FC918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noWrap w:val="0"/>
                  <w:tcMar>
                    <w:top w:w="0" w:type="dxa"/>
                    <w:left w:w="0" w:type="dxa"/>
                    <w:bottom w:w="0" w:type="dxa"/>
                    <w:right w:w="0" w:type="dxa"/>
                  </w:tcMar>
                  <w:vAlign w:val="center"/>
                </w:tcPr>
                <w:p w14:paraId="422D26FD">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6</w:t>
                  </w:r>
                </w:p>
              </w:tc>
              <w:tc>
                <w:tcPr>
                  <w:tcW w:w="1116" w:type="dxa"/>
                  <w:shd w:val="clear" w:color="auto" w:fill="auto"/>
                  <w:noWrap w:val="0"/>
                  <w:tcMar>
                    <w:top w:w="0" w:type="dxa"/>
                    <w:left w:w="0" w:type="dxa"/>
                    <w:bottom w:w="0" w:type="dxa"/>
                    <w:right w:w="0" w:type="dxa"/>
                  </w:tcMar>
                  <w:vAlign w:val="center"/>
                </w:tcPr>
                <w:p w14:paraId="354A7E4A">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废气处理设施</w:t>
                  </w:r>
                  <w:r>
                    <w:rPr>
                      <w:rFonts w:hint="default" w:ascii="Times New Roman" w:hAnsi="Times New Roman" w:eastAsia="宋体" w:cs="Times New Roman"/>
                      <w:b w:val="0"/>
                      <w:bCs w:val="0"/>
                      <w:color w:val="000000" w:themeColor="text1"/>
                      <w:kern w:val="2"/>
                      <w:sz w:val="21"/>
                      <w:szCs w:val="21"/>
                      <w:highlight w:val="none"/>
                      <w:u w:val="none"/>
                      <w:lang w:val="en-US" w:eastAsia="zh-CN" w:bidi="ar-SA"/>
                      <w14:textFill>
                        <w14:solidFill>
                          <w14:schemeClr w14:val="tx1"/>
                        </w14:solidFill>
                      </w14:textFill>
                    </w:rPr>
                    <w:t>风机</w:t>
                  </w: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1</w:t>
                  </w:r>
                </w:p>
              </w:tc>
              <w:tc>
                <w:tcPr>
                  <w:tcW w:w="835" w:type="dxa"/>
                  <w:shd w:val="clear" w:color="auto" w:fill="auto"/>
                  <w:noWrap w:val="0"/>
                  <w:tcMar>
                    <w:top w:w="0" w:type="dxa"/>
                    <w:left w:w="0" w:type="dxa"/>
                    <w:bottom w:w="0" w:type="dxa"/>
                    <w:right w:w="0" w:type="dxa"/>
                  </w:tcMar>
                  <w:vAlign w:val="center"/>
                </w:tcPr>
                <w:p w14:paraId="1359EEFF">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u w:val="none"/>
                      <w:lang w:val="en-US" w:eastAsia="zh-CN"/>
                      <w14:textFill>
                        <w14:solidFill>
                          <w14:schemeClr w14:val="tx1"/>
                        </w14:solidFill>
                      </w14:textFill>
                    </w:rPr>
                    <w:t>/</w:t>
                  </w:r>
                </w:p>
              </w:tc>
              <w:tc>
                <w:tcPr>
                  <w:tcW w:w="801" w:type="dxa"/>
                  <w:shd w:val="clear" w:color="auto" w:fill="auto"/>
                  <w:noWrap w:val="0"/>
                  <w:tcMar>
                    <w:top w:w="0" w:type="dxa"/>
                    <w:left w:w="0" w:type="dxa"/>
                    <w:bottom w:w="0" w:type="dxa"/>
                    <w:right w:w="0" w:type="dxa"/>
                  </w:tcMar>
                  <w:vAlign w:val="center"/>
                </w:tcPr>
                <w:p w14:paraId="4E96E09F">
                  <w:pPr>
                    <w:pStyle w:val="6"/>
                    <w:keepNext/>
                    <w:keepLines/>
                    <w:pageBreakBefore w:val="0"/>
                    <w:widowControl w:val="0"/>
                    <w:suppressLineNumbers w:val="0"/>
                    <w:tabs>
                      <w:tab w:val="left" w:pos="397"/>
                    </w:tabs>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t>100</w:t>
                  </w:r>
                </w:p>
              </w:tc>
              <w:tc>
                <w:tcPr>
                  <w:tcW w:w="818" w:type="dxa"/>
                  <w:shd w:val="clear" w:color="auto" w:fill="auto"/>
                  <w:noWrap w:val="0"/>
                  <w:tcMar>
                    <w:top w:w="0" w:type="dxa"/>
                    <w:left w:w="0" w:type="dxa"/>
                    <w:bottom w:w="0" w:type="dxa"/>
                    <w:right w:w="0" w:type="dxa"/>
                  </w:tcMar>
                  <w:vAlign w:val="center"/>
                </w:tcPr>
                <w:p w14:paraId="3FC8FBEC">
                  <w:pPr>
                    <w:pStyle w:val="6"/>
                    <w:keepNext/>
                    <w:keepLines/>
                    <w:pageBreakBefore w:val="0"/>
                    <w:widowControl w:val="0"/>
                    <w:suppressLineNumbers w:val="0"/>
                    <w:tabs>
                      <w:tab w:val="left" w:pos="397"/>
                    </w:tabs>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t>14</w:t>
                  </w:r>
                </w:p>
              </w:tc>
              <w:tc>
                <w:tcPr>
                  <w:tcW w:w="921" w:type="dxa"/>
                  <w:shd w:val="clear" w:color="auto" w:fill="auto"/>
                  <w:noWrap w:val="0"/>
                  <w:tcMar>
                    <w:top w:w="0" w:type="dxa"/>
                    <w:left w:w="0" w:type="dxa"/>
                    <w:bottom w:w="0" w:type="dxa"/>
                    <w:right w:w="0" w:type="dxa"/>
                  </w:tcMar>
                  <w:vAlign w:val="center"/>
                </w:tcPr>
                <w:p w14:paraId="3C1B84E1">
                  <w:pPr>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t>1</w:t>
                  </w:r>
                </w:p>
              </w:tc>
              <w:tc>
                <w:tcPr>
                  <w:tcW w:w="1598" w:type="dxa"/>
                  <w:shd w:val="clear" w:color="auto" w:fill="auto"/>
                  <w:noWrap w:val="0"/>
                  <w:tcMar>
                    <w:top w:w="0" w:type="dxa"/>
                    <w:left w:w="0" w:type="dxa"/>
                    <w:bottom w:w="0" w:type="dxa"/>
                    <w:right w:w="0" w:type="dxa"/>
                  </w:tcMar>
                  <w:vAlign w:val="center"/>
                </w:tcPr>
                <w:p w14:paraId="7427E580">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ascii="Times New Roman" w:hAnsi="Times New Roman" w:eastAsia="宋体"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highlight w:val="none"/>
                      <w:u w:val="none"/>
                      <w:lang w:val="en-US" w:eastAsia="zh-CN" w:bidi="ar-SA"/>
                      <w14:textFill>
                        <w14:solidFill>
                          <w14:schemeClr w14:val="tx1"/>
                        </w14:solidFill>
                      </w14:textFill>
                    </w:rPr>
                    <w:t>80</w:t>
                  </w:r>
                </w:p>
              </w:tc>
              <w:tc>
                <w:tcPr>
                  <w:tcW w:w="916" w:type="dxa"/>
                  <w:shd w:val="clear" w:color="auto" w:fill="auto"/>
                  <w:noWrap w:val="0"/>
                  <w:tcMar>
                    <w:top w:w="0" w:type="dxa"/>
                    <w:left w:w="0" w:type="dxa"/>
                    <w:bottom w:w="0" w:type="dxa"/>
                    <w:right w:w="0" w:type="dxa"/>
                  </w:tcMar>
                  <w:vAlign w:val="center"/>
                </w:tcPr>
                <w:p w14:paraId="5D4FCA94">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highlight w:val="none"/>
                      <w:lang w:eastAsia="zh-CN"/>
                      <w14:textFill>
                        <w14:solidFill>
                          <w14:schemeClr w14:val="tx1"/>
                        </w14:solidFill>
                      </w14:textFill>
                    </w:rPr>
                    <w:t>基础减震</w:t>
                  </w:r>
                </w:p>
              </w:tc>
              <w:tc>
                <w:tcPr>
                  <w:tcW w:w="705" w:type="dxa"/>
                  <w:shd w:val="clear" w:color="auto" w:fill="auto"/>
                  <w:noWrap w:val="0"/>
                  <w:tcMar>
                    <w:top w:w="0" w:type="dxa"/>
                    <w:left w:w="0" w:type="dxa"/>
                    <w:bottom w:w="0" w:type="dxa"/>
                    <w:right w:w="0" w:type="dxa"/>
                  </w:tcMar>
                  <w:vAlign w:val="center"/>
                </w:tcPr>
                <w:p w14:paraId="4DCEE63D">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昼夜</w:t>
                  </w:r>
                </w:p>
              </w:tc>
            </w:tr>
            <w:tr w14:paraId="4A10DC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704" w:type="dxa"/>
                  <w:noWrap w:val="0"/>
                  <w:tcMar>
                    <w:top w:w="0" w:type="dxa"/>
                    <w:left w:w="0" w:type="dxa"/>
                    <w:bottom w:w="0" w:type="dxa"/>
                    <w:right w:w="0" w:type="dxa"/>
                  </w:tcMar>
                  <w:vAlign w:val="center"/>
                </w:tcPr>
                <w:p w14:paraId="34C607A3">
                  <w:pPr>
                    <w:keepNext w:val="0"/>
                    <w:keepLines w:val="0"/>
                    <w:pageBreakBefore w:val="0"/>
                    <w:widowControl/>
                    <w:suppressLineNumbers w:val="0"/>
                    <w:kinsoku/>
                    <w:wordWrap/>
                    <w:overflowPunct/>
                    <w:topLinePunct w:val="0"/>
                    <w:autoSpaceDE/>
                    <w:autoSpaceDN/>
                    <w:bidi w:val="0"/>
                    <w:spacing w:before="0" w:beforeAutospacing="0" w:after="0" w:afterAutospacing="0" w:line="240" w:lineRule="auto"/>
                    <w:ind w:left="0" w:right="0"/>
                    <w:jc w:val="center"/>
                    <w:textAlignment w:val="center"/>
                    <w:rPr>
                      <w:rFonts w:hint="default" w:ascii="Times New Roman" w:hAnsi="Times New Roman" w:eastAsia="宋体" w:cs="Times New Roman"/>
                      <w:i w:val="0"/>
                      <w:iCs w:val="0"/>
                      <w:color w:val="000000" w:themeColor="text1"/>
                      <w:kern w:val="0"/>
                      <w:sz w:val="21"/>
                      <w:szCs w:val="21"/>
                      <w:highlight w:val="none"/>
                      <w:u w:val="none"/>
                      <w:lang w:val="en-US" w:eastAsia="zh-CN" w:bidi="ar"/>
                      <w14:textFill>
                        <w14:solidFill>
                          <w14:schemeClr w14:val="tx1"/>
                        </w14:solidFill>
                      </w14:textFill>
                    </w:rPr>
                  </w:pPr>
                  <w:r>
                    <w:rPr>
                      <w:rFonts w:hint="eastAsia" w:cs="Times New Roman"/>
                      <w:i w:val="0"/>
                      <w:iCs w:val="0"/>
                      <w:color w:val="000000" w:themeColor="text1"/>
                      <w:kern w:val="0"/>
                      <w:sz w:val="21"/>
                      <w:szCs w:val="21"/>
                      <w:highlight w:val="none"/>
                      <w:u w:val="none"/>
                      <w:lang w:val="en-US" w:eastAsia="zh-CN" w:bidi="ar"/>
                      <w14:textFill>
                        <w14:solidFill>
                          <w14:schemeClr w14:val="tx1"/>
                        </w14:solidFill>
                      </w14:textFill>
                    </w:rPr>
                    <w:t>7</w:t>
                  </w:r>
                </w:p>
              </w:tc>
              <w:tc>
                <w:tcPr>
                  <w:tcW w:w="1116" w:type="dxa"/>
                  <w:shd w:val="clear" w:color="auto" w:fill="auto"/>
                  <w:noWrap w:val="0"/>
                  <w:tcMar>
                    <w:top w:w="0" w:type="dxa"/>
                    <w:left w:w="0" w:type="dxa"/>
                    <w:bottom w:w="0" w:type="dxa"/>
                    <w:right w:w="0" w:type="dxa"/>
                  </w:tcMar>
                  <w:vAlign w:val="center"/>
                </w:tcPr>
                <w:p w14:paraId="1B75929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b w:val="0"/>
                      <w:bCs w:val="0"/>
                      <w:color w:val="000000" w:themeColor="text1"/>
                      <w:kern w:val="2"/>
                      <w:sz w:val="21"/>
                      <w:szCs w:val="21"/>
                      <w:highlight w:val="none"/>
                      <w:u w:val="none"/>
                      <w:lang w:val="en-US" w:eastAsia="zh-CN" w:bidi="ar-SA"/>
                      <w14:textFill>
                        <w14:solidFill>
                          <w14:schemeClr w14:val="tx1"/>
                        </w14:solidFill>
                      </w14:textFill>
                    </w:rPr>
                    <w:t>废气处理设施</w:t>
                  </w:r>
                  <w:r>
                    <w:rPr>
                      <w:rFonts w:hint="default" w:ascii="Times New Roman" w:hAnsi="Times New Roman" w:eastAsia="宋体" w:cs="Times New Roman"/>
                      <w:b w:val="0"/>
                      <w:bCs w:val="0"/>
                      <w:color w:val="000000" w:themeColor="text1"/>
                      <w:kern w:val="2"/>
                      <w:sz w:val="21"/>
                      <w:szCs w:val="21"/>
                      <w:highlight w:val="none"/>
                      <w:u w:val="none"/>
                      <w:lang w:val="en-US" w:eastAsia="zh-CN" w:bidi="ar-SA"/>
                      <w14:textFill>
                        <w14:solidFill>
                          <w14:schemeClr w14:val="tx1"/>
                        </w14:solidFill>
                      </w14:textFill>
                    </w:rPr>
                    <w:t>风机</w:t>
                  </w:r>
                  <w:r>
                    <w:rPr>
                      <w:rFonts w:hint="eastAsia" w:eastAsia="宋体" w:cs="Times New Roman"/>
                      <w:b w:val="0"/>
                      <w:bCs w:val="0"/>
                      <w:color w:val="000000" w:themeColor="text1"/>
                      <w:kern w:val="2"/>
                      <w:sz w:val="21"/>
                      <w:szCs w:val="21"/>
                      <w:highlight w:val="none"/>
                      <w:u w:val="none"/>
                      <w:lang w:val="en-US" w:eastAsia="zh-CN" w:bidi="ar-SA"/>
                      <w14:textFill>
                        <w14:solidFill>
                          <w14:schemeClr w14:val="tx1"/>
                        </w14:solidFill>
                      </w14:textFill>
                    </w:rPr>
                    <w:t>2</w:t>
                  </w:r>
                </w:p>
              </w:tc>
              <w:tc>
                <w:tcPr>
                  <w:tcW w:w="835" w:type="dxa"/>
                  <w:shd w:val="clear" w:color="auto" w:fill="auto"/>
                  <w:noWrap w:val="0"/>
                  <w:tcMar>
                    <w:top w:w="0" w:type="dxa"/>
                    <w:left w:w="0" w:type="dxa"/>
                    <w:bottom w:w="0" w:type="dxa"/>
                    <w:right w:w="0" w:type="dxa"/>
                  </w:tcMar>
                  <w:vAlign w:val="center"/>
                </w:tcPr>
                <w:p w14:paraId="00248AA8">
                  <w:pPr>
                    <w:keepNext w:val="0"/>
                    <w:keepLines w:val="0"/>
                    <w:suppressLineNumbers w:val="0"/>
                    <w:spacing w:before="0" w:beforeAutospacing="0" w:after="0" w:afterAutospacing="0"/>
                    <w:ind w:left="0" w:right="0"/>
                    <w:jc w:val="center"/>
                    <w:rPr>
                      <w:rFonts w:hint="default" w:ascii="Times New Roman" w:hAnsi="Times New Roman" w:eastAsia="宋体" w:cs="Times New Roman"/>
                      <w:b w:val="0"/>
                      <w:bCs w:val="0"/>
                      <w:color w:val="000000" w:themeColor="text1"/>
                      <w:sz w:val="21"/>
                      <w:szCs w:val="21"/>
                      <w:highlight w:val="none"/>
                      <w:u w:val="none"/>
                      <w:lang w:val="en-US" w:eastAsia="zh-CN"/>
                      <w14:textFill>
                        <w14:solidFill>
                          <w14:schemeClr w14:val="tx1"/>
                        </w14:solidFill>
                      </w14:textFill>
                    </w:rPr>
                  </w:pPr>
                  <w:r>
                    <w:rPr>
                      <w:rFonts w:hint="default" w:ascii="Times New Roman" w:hAnsi="Times New Roman" w:eastAsia="宋体" w:cs="Times New Roman"/>
                      <w:b w:val="0"/>
                      <w:bCs w:val="0"/>
                      <w:color w:val="000000" w:themeColor="text1"/>
                      <w:sz w:val="21"/>
                      <w:szCs w:val="21"/>
                      <w:highlight w:val="none"/>
                      <w:u w:val="none"/>
                      <w:lang w:val="en-US" w:eastAsia="zh-CN"/>
                      <w14:textFill>
                        <w14:solidFill>
                          <w14:schemeClr w14:val="tx1"/>
                        </w14:solidFill>
                      </w14:textFill>
                    </w:rPr>
                    <w:t>/</w:t>
                  </w:r>
                </w:p>
              </w:tc>
              <w:tc>
                <w:tcPr>
                  <w:tcW w:w="801" w:type="dxa"/>
                  <w:shd w:val="clear" w:color="auto" w:fill="auto"/>
                  <w:noWrap w:val="0"/>
                  <w:tcMar>
                    <w:top w:w="0" w:type="dxa"/>
                    <w:left w:w="0" w:type="dxa"/>
                    <w:bottom w:w="0" w:type="dxa"/>
                    <w:right w:w="0" w:type="dxa"/>
                  </w:tcMar>
                  <w:vAlign w:val="center"/>
                </w:tcPr>
                <w:p w14:paraId="2426C2A9">
                  <w:pPr>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cs="Times New Roman"/>
                      <w:b w:val="0"/>
                      <w:bCs/>
                      <w:color w:val="000000" w:themeColor="text1"/>
                      <w:kern w:val="2"/>
                      <w:sz w:val="21"/>
                      <w:szCs w:val="21"/>
                      <w:highlight w:val="none"/>
                      <w:vertAlign w:val="baseline"/>
                      <w:lang w:val="en-US" w:eastAsia="zh-CN" w:bidi="ar-SA"/>
                      <w14:textFill>
                        <w14:solidFill>
                          <w14:schemeClr w14:val="tx1"/>
                        </w14:solidFill>
                      </w14:textFill>
                    </w:rPr>
                    <w:t>105</w:t>
                  </w:r>
                </w:p>
              </w:tc>
              <w:tc>
                <w:tcPr>
                  <w:tcW w:w="818" w:type="dxa"/>
                  <w:shd w:val="clear" w:color="auto" w:fill="auto"/>
                  <w:noWrap w:val="0"/>
                  <w:tcMar>
                    <w:top w:w="0" w:type="dxa"/>
                    <w:left w:w="0" w:type="dxa"/>
                    <w:bottom w:w="0" w:type="dxa"/>
                    <w:right w:w="0" w:type="dxa"/>
                  </w:tcMar>
                  <w:vAlign w:val="center"/>
                </w:tcPr>
                <w:p w14:paraId="505632DD">
                  <w:pPr>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eastAsia" w:cs="Times New Roman"/>
                      <w:b w:val="0"/>
                      <w:bCs/>
                      <w:color w:val="000000" w:themeColor="text1"/>
                      <w:kern w:val="2"/>
                      <w:sz w:val="21"/>
                      <w:szCs w:val="21"/>
                      <w:highlight w:val="none"/>
                      <w:vertAlign w:val="baseline"/>
                      <w:lang w:val="en-US" w:eastAsia="zh-CN" w:bidi="ar-SA"/>
                      <w14:textFill>
                        <w14:solidFill>
                          <w14:schemeClr w14:val="tx1"/>
                        </w14:solidFill>
                      </w14:textFill>
                    </w:rPr>
                    <w:t>17</w:t>
                  </w:r>
                </w:p>
              </w:tc>
              <w:tc>
                <w:tcPr>
                  <w:tcW w:w="921" w:type="dxa"/>
                  <w:shd w:val="clear" w:color="auto" w:fill="auto"/>
                  <w:noWrap w:val="0"/>
                  <w:tcMar>
                    <w:top w:w="0" w:type="dxa"/>
                    <w:left w:w="0" w:type="dxa"/>
                    <w:bottom w:w="0" w:type="dxa"/>
                    <w:right w:w="0" w:type="dxa"/>
                  </w:tcMar>
                  <w:vAlign w:val="center"/>
                </w:tcPr>
                <w:p w14:paraId="4E85E337">
                  <w:pPr>
                    <w:keepNext/>
                    <w:keepLines/>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leftChars="0" w:right="0" w:firstLine="0" w:firstLineChars="0"/>
                    <w:jc w:val="center"/>
                    <w:textAlignment w:val="auto"/>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vertAlign w:val="baseline"/>
                      <w:lang w:val="en-US" w:eastAsia="zh-CN" w:bidi="ar-SA"/>
                      <w14:textFill>
                        <w14:solidFill>
                          <w14:schemeClr w14:val="tx1"/>
                        </w14:solidFill>
                      </w14:textFill>
                    </w:rPr>
                    <w:t>1</w:t>
                  </w:r>
                </w:p>
              </w:tc>
              <w:tc>
                <w:tcPr>
                  <w:tcW w:w="1598" w:type="dxa"/>
                  <w:shd w:val="clear" w:color="auto" w:fill="auto"/>
                  <w:noWrap w:val="0"/>
                  <w:tcMar>
                    <w:top w:w="0" w:type="dxa"/>
                    <w:left w:w="0" w:type="dxa"/>
                    <w:bottom w:w="0" w:type="dxa"/>
                    <w:right w:w="0" w:type="dxa"/>
                  </w:tcMar>
                  <w:vAlign w:val="center"/>
                </w:tcPr>
                <w:p w14:paraId="1B9CC64D">
                  <w:pPr>
                    <w:pStyle w:val="173"/>
                    <w:keepNext w:val="0"/>
                    <w:keepLines w:val="0"/>
                    <w:pageBreakBefore w:val="0"/>
                    <w:widowControl w:val="0"/>
                    <w:suppressLineNumbers w:val="0"/>
                    <w:kinsoku/>
                    <w:wordWrap/>
                    <w:overflowPunct/>
                    <w:topLinePunct w:val="0"/>
                    <w:autoSpaceDE/>
                    <w:autoSpaceDN/>
                    <w:bidi w:val="0"/>
                    <w:adjustRightInd/>
                    <w:snapToGrid/>
                    <w:spacing w:before="0" w:beforeLines="0" w:beforeAutospacing="0" w:after="0" w:afterLines="0" w:afterAutospacing="0" w:line="240" w:lineRule="auto"/>
                    <w:ind w:left="0" w:leftChars="0" w:right="0" w:firstLine="0" w:firstLineChars="0"/>
                    <w:textAlignment w:val="auto"/>
                    <w:rPr>
                      <w:rFonts w:hint="default" w:ascii="Times New Roman" w:hAnsi="Times New Roman" w:eastAsia="宋体" w:cs="Times New Roman"/>
                      <w:b w:val="0"/>
                      <w:bCs w:val="0"/>
                      <w:color w:val="000000" w:themeColor="text1"/>
                      <w:kern w:val="2"/>
                      <w:sz w:val="21"/>
                      <w:szCs w:val="21"/>
                      <w:highlight w:val="none"/>
                      <w:u w:val="none"/>
                      <w:lang w:val="en-US" w:eastAsia="zh-CN" w:bidi="ar-SA"/>
                      <w14:textFill>
                        <w14:solidFill>
                          <w14:schemeClr w14:val="tx1"/>
                        </w14:solidFill>
                      </w14:textFill>
                    </w:rPr>
                  </w:pPr>
                  <w:r>
                    <w:rPr>
                      <w:rFonts w:hint="default" w:ascii="Times New Roman" w:hAnsi="Times New Roman" w:eastAsia="宋体" w:cs="Times New Roman"/>
                      <w:b w:val="0"/>
                      <w:bCs w:val="0"/>
                      <w:color w:val="000000" w:themeColor="text1"/>
                      <w:kern w:val="2"/>
                      <w:sz w:val="21"/>
                      <w:szCs w:val="21"/>
                      <w:highlight w:val="none"/>
                      <w:u w:val="none"/>
                      <w:lang w:val="en-US" w:eastAsia="zh-CN" w:bidi="ar-SA"/>
                      <w14:textFill>
                        <w14:solidFill>
                          <w14:schemeClr w14:val="tx1"/>
                        </w14:solidFill>
                      </w14:textFill>
                    </w:rPr>
                    <w:t>80</w:t>
                  </w:r>
                </w:p>
              </w:tc>
              <w:tc>
                <w:tcPr>
                  <w:tcW w:w="916" w:type="dxa"/>
                  <w:noWrap w:val="0"/>
                  <w:tcMar>
                    <w:top w:w="0" w:type="dxa"/>
                    <w:left w:w="0" w:type="dxa"/>
                    <w:bottom w:w="0" w:type="dxa"/>
                    <w:right w:w="0" w:type="dxa"/>
                  </w:tcMar>
                  <w:vAlign w:val="center"/>
                </w:tcPr>
                <w:p w14:paraId="0248EFDC">
                  <w:pPr>
                    <w:keepNext w:val="0"/>
                    <w:keepLines w:val="0"/>
                    <w:pageBreakBefore w:val="0"/>
                    <w:suppressLineNumbers w:val="0"/>
                    <w:kinsoku/>
                    <w:wordWrap/>
                    <w:overflowPunct/>
                    <w:topLinePunct w:val="0"/>
                    <w:autoSpaceDE/>
                    <w:autoSpaceDN/>
                    <w:bidi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eastAsia="宋体" w:cs="Times New Roman"/>
                      <w:color w:val="000000" w:themeColor="text1"/>
                      <w:highlight w:val="none"/>
                      <w:lang w:eastAsia="zh-CN"/>
                      <w14:textFill>
                        <w14:solidFill>
                          <w14:schemeClr w14:val="tx1"/>
                        </w14:solidFill>
                      </w14:textFill>
                    </w:rPr>
                    <w:t>基础减震</w:t>
                  </w:r>
                </w:p>
              </w:tc>
              <w:tc>
                <w:tcPr>
                  <w:tcW w:w="705" w:type="dxa"/>
                  <w:noWrap w:val="0"/>
                  <w:tcMar>
                    <w:top w:w="0" w:type="dxa"/>
                    <w:left w:w="0" w:type="dxa"/>
                    <w:bottom w:w="0" w:type="dxa"/>
                    <w:right w:w="0" w:type="dxa"/>
                  </w:tcMar>
                  <w:vAlign w:val="center"/>
                </w:tcPr>
                <w:p w14:paraId="55091F89">
                  <w:pPr>
                    <w:keepNext w:val="0"/>
                    <w:keepLines w:val="0"/>
                    <w:pageBreakBefore w:val="0"/>
                    <w:widowControl/>
                    <w:suppressLineNumbers w:val="0"/>
                    <w:kinsoku/>
                    <w:wordWrap/>
                    <w:overflowPunct/>
                    <w:topLinePunct w:val="0"/>
                    <w:autoSpaceDE/>
                    <w:autoSpaceDN/>
                    <w:bidi w:val="0"/>
                    <w:spacing w:before="0" w:beforeAutospacing="0" w:after="0" w:afterAutospacing="0"/>
                    <w:ind w:left="0" w:right="0"/>
                    <w:jc w:val="center"/>
                    <w:textAlignment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昼夜</w:t>
                  </w:r>
                </w:p>
              </w:tc>
            </w:tr>
          </w:tbl>
          <w:p w14:paraId="3B776130">
            <w:pPr>
              <w:keepNext w:val="0"/>
              <w:keepLines w:val="0"/>
              <w:suppressLineNumbers w:val="0"/>
              <w:spacing w:before="0" w:beforeAutospacing="0" w:after="0" w:afterAutospacing="0" w:line="360" w:lineRule="auto"/>
              <w:ind w:left="0" w:right="0" w:firstLine="480" w:firstLineChars="200"/>
              <w:rPr>
                <w:rFonts w:hint="eastAsia" w:cs="Times New Roman"/>
                <w:color w:val="000000" w:themeColor="text1"/>
                <w:sz w:val="24"/>
                <w:highlight w:val="none"/>
                <w:lang w:val="en-US" w:eastAsia="zh-CN"/>
                <w14:textFill>
                  <w14:solidFill>
                    <w14:schemeClr w14:val="tx1"/>
                  </w14:solidFill>
                </w14:textFill>
              </w:rPr>
            </w:pPr>
            <w:r>
              <w:rPr>
                <w:rFonts w:hint="eastAsia" w:cs="Times New Roman"/>
                <w:color w:val="000000" w:themeColor="text1"/>
                <w:sz w:val="24"/>
                <w:highlight w:val="none"/>
                <w:lang w:val="en-US" w:eastAsia="zh-CN"/>
                <w14:textFill>
                  <w14:solidFill>
                    <w14:schemeClr w14:val="tx1"/>
                  </w14:solidFill>
                </w14:textFill>
              </w:rPr>
              <w:t>注：以厂房西南角为原点。</w:t>
            </w:r>
          </w:p>
          <w:p w14:paraId="5F1DF0D1">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根据以上公式预测，噪声预测结果见表4-</w:t>
            </w:r>
            <w:r>
              <w:rPr>
                <w:rFonts w:hint="eastAsia" w:cs="Times New Roman"/>
                <w:color w:val="000000" w:themeColor="text1"/>
                <w:sz w:val="24"/>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4"/>
                <w:highlight w:val="none"/>
                <w14:textFill>
                  <w14:solidFill>
                    <w14:schemeClr w14:val="tx1"/>
                  </w14:solidFill>
                </w14:textFill>
              </w:rPr>
              <w:t>。</w:t>
            </w:r>
          </w:p>
          <w:p w14:paraId="57969621">
            <w:pPr>
              <w:pStyle w:val="115"/>
              <w:keepNext w:val="0"/>
              <w:keepLines w:val="0"/>
              <w:suppressLineNumbers w:val="0"/>
              <w:spacing w:before="0" w:beforeAutospacing="0" w:after="0" w:afterAutospacing="0" w:line="360" w:lineRule="auto"/>
              <w:ind w:left="0" w:right="0" w:firstLine="0"/>
              <w:rPr>
                <w:rFonts w:hint="default" w:ascii="Times New Roman" w:hAnsi="Times New Roman" w:eastAsia="宋体" w:cs="Times New Roman"/>
                <w:color w:val="000000" w:themeColor="text1"/>
                <w:sz w:val="21"/>
                <w:szCs w:val="18"/>
                <w:highlight w:val="none"/>
                <w14:textFill>
                  <w14:solidFill>
                    <w14:schemeClr w14:val="tx1"/>
                  </w14:solidFill>
                </w14:textFill>
              </w:rPr>
            </w:pPr>
            <w:r>
              <w:rPr>
                <w:rFonts w:hint="default" w:ascii="Times New Roman" w:hAnsi="Times New Roman" w:eastAsia="宋体" w:cs="Times New Roman"/>
                <w:color w:val="000000" w:themeColor="text1"/>
                <w:sz w:val="21"/>
                <w:szCs w:val="18"/>
                <w:highlight w:val="none"/>
                <w14:textFill>
                  <w14:solidFill>
                    <w14:schemeClr w14:val="tx1"/>
                  </w14:solidFill>
                </w14:textFill>
              </w:rPr>
              <w:t>表4-</w:t>
            </w:r>
            <w:r>
              <w:rPr>
                <w:rFonts w:hint="eastAsia" w:ascii="Times New Roman" w:hAnsi="Times New Roman" w:cs="Times New Roman"/>
                <w:color w:val="000000" w:themeColor="text1"/>
                <w:sz w:val="21"/>
                <w:szCs w:val="18"/>
                <w:highlight w:val="none"/>
                <w:lang w:val="en-US" w:eastAsia="zh-CN"/>
                <w14:textFill>
                  <w14:solidFill>
                    <w14:schemeClr w14:val="tx1"/>
                  </w14:solidFill>
                </w14:textFill>
              </w:rPr>
              <w:t>4</w:t>
            </w:r>
            <w:r>
              <w:rPr>
                <w:rFonts w:hint="default" w:ascii="Times New Roman" w:hAnsi="Times New Roman" w:eastAsia="宋体" w:cs="Times New Roman"/>
                <w:color w:val="000000" w:themeColor="text1"/>
                <w:sz w:val="21"/>
                <w:szCs w:val="18"/>
                <w:highlight w:val="none"/>
                <w14:textFill>
                  <w14:solidFill>
                    <w14:schemeClr w14:val="tx1"/>
                  </w14:solidFill>
                </w14:textFill>
              </w:rPr>
              <w:t xml:space="preserve">   本项目厂界噪声影响预测结果     单位：dB（A）</w:t>
            </w:r>
          </w:p>
          <w:tbl>
            <w:tblPr>
              <w:tblStyle w:val="41"/>
              <w:tblW w:w="840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6"/>
              <w:gridCol w:w="1121"/>
              <w:gridCol w:w="1133"/>
              <w:gridCol w:w="985"/>
              <w:gridCol w:w="1067"/>
              <w:gridCol w:w="1484"/>
              <w:gridCol w:w="1285"/>
            </w:tblGrid>
            <w:tr w14:paraId="53711F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26" w:type="dxa"/>
                  <w:vMerge w:val="restart"/>
                  <w:tcBorders>
                    <w:tl2br w:val="nil"/>
                    <w:tr2bl w:val="nil"/>
                  </w:tcBorders>
                  <w:vAlign w:val="center"/>
                </w:tcPr>
                <w:p w14:paraId="4709344F">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预测点位置</w:t>
                  </w:r>
                </w:p>
              </w:tc>
              <w:tc>
                <w:tcPr>
                  <w:tcW w:w="2254" w:type="dxa"/>
                  <w:gridSpan w:val="2"/>
                  <w:tcBorders>
                    <w:tl2br w:val="nil"/>
                    <w:tr2bl w:val="nil"/>
                  </w:tcBorders>
                  <w:vAlign w:val="center"/>
                </w:tcPr>
                <w:p w14:paraId="65113173">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贡献值</w:t>
                  </w:r>
                </w:p>
              </w:tc>
              <w:tc>
                <w:tcPr>
                  <w:tcW w:w="2052" w:type="dxa"/>
                  <w:gridSpan w:val="2"/>
                  <w:tcBorders>
                    <w:tl2br w:val="nil"/>
                    <w:tr2bl w:val="nil"/>
                  </w:tcBorders>
                  <w:vAlign w:val="center"/>
                </w:tcPr>
                <w:p w14:paraId="2DD713A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标准值</w:t>
                  </w:r>
                </w:p>
              </w:tc>
              <w:tc>
                <w:tcPr>
                  <w:tcW w:w="2769" w:type="dxa"/>
                  <w:gridSpan w:val="2"/>
                  <w:tcBorders>
                    <w:tl2br w:val="nil"/>
                    <w:tr2bl w:val="nil"/>
                  </w:tcBorders>
                  <w:vAlign w:val="center"/>
                </w:tcPr>
                <w:p w14:paraId="3E39A70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是否达标</w:t>
                  </w:r>
                </w:p>
              </w:tc>
            </w:tr>
            <w:tr w14:paraId="6CDB7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26" w:type="dxa"/>
                  <w:vMerge w:val="continue"/>
                  <w:tcBorders>
                    <w:tl2br w:val="nil"/>
                    <w:tr2bl w:val="nil"/>
                  </w:tcBorders>
                  <w:vAlign w:val="center"/>
                </w:tcPr>
                <w:p w14:paraId="7695EC59">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p>
              </w:tc>
              <w:tc>
                <w:tcPr>
                  <w:tcW w:w="1121" w:type="dxa"/>
                  <w:tcBorders>
                    <w:tl2br w:val="nil"/>
                    <w:tr2bl w:val="nil"/>
                  </w:tcBorders>
                  <w:vAlign w:val="center"/>
                </w:tcPr>
                <w:p w14:paraId="3B73846B">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昼间</w:t>
                  </w:r>
                </w:p>
              </w:tc>
              <w:tc>
                <w:tcPr>
                  <w:tcW w:w="1133" w:type="dxa"/>
                  <w:tcBorders>
                    <w:tl2br w:val="nil"/>
                    <w:tr2bl w:val="nil"/>
                  </w:tcBorders>
                  <w:vAlign w:val="center"/>
                </w:tcPr>
                <w:p w14:paraId="1DB1D80E">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夜间</w:t>
                  </w:r>
                </w:p>
              </w:tc>
              <w:tc>
                <w:tcPr>
                  <w:tcW w:w="985" w:type="dxa"/>
                  <w:tcBorders>
                    <w:tl2br w:val="nil"/>
                    <w:tr2bl w:val="nil"/>
                  </w:tcBorders>
                  <w:vAlign w:val="center"/>
                </w:tcPr>
                <w:p w14:paraId="76564C7E">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昼间</w:t>
                  </w:r>
                </w:p>
              </w:tc>
              <w:tc>
                <w:tcPr>
                  <w:tcW w:w="1067" w:type="dxa"/>
                  <w:tcBorders>
                    <w:tl2br w:val="nil"/>
                    <w:tr2bl w:val="nil"/>
                  </w:tcBorders>
                  <w:vAlign w:val="center"/>
                </w:tcPr>
                <w:p w14:paraId="54E12EF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夜间</w:t>
                  </w:r>
                </w:p>
              </w:tc>
              <w:tc>
                <w:tcPr>
                  <w:tcW w:w="1484" w:type="dxa"/>
                  <w:tcBorders>
                    <w:tl2br w:val="nil"/>
                    <w:tr2bl w:val="nil"/>
                  </w:tcBorders>
                  <w:vAlign w:val="center"/>
                </w:tcPr>
                <w:p w14:paraId="69CF2EFD">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昼间</w:t>
                  </w:r>
                </w:p>
              </w:tc>
              <w:tc>
                <w:tcPr>
                  <w:tcW w:w="1285" w:type="dxa"/>
                  <w:tcBorders>
                    <w:tl2br w:val="nil"/>
                    <w:tr2bl w:val="nil"/>
                  </w:tcBorders>
                  <w:vAlign w:val="center"/>
                </w:tcPr>
                <w:p w14:paraId="71D97269">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夜间</w:t>
                  </w:r>
                </w:p>
              </w:tc>
            </w:tr>
            <w:tr w14:paraId="387C411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26" w:type="dxa"/>
                  <w:tcBorders>
                    <w:tl2br w:val="nil"/>
                    <w:tr2bl w:val="nil"/>
                  </w:tcBorders>
                  <w:vAlign w:val="center"/>
                </w:tcPr>
                <w:p w14:paraId="6AE80F3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1#东厂界</w:t>
                  </w:r>
                </w:p>
              </w:tc>
              <w:tc>
                <w:tcPr>
                  <w:tcW w:w="1121" w:type="dxa"/>
                  <w:tcBorders>
                    <w:tl2br w:val="nil"/>
                    <w:tr2bl w:val="nil"/>
                  </w:tcBorders>
                  <w:shd w:val="clear" w:color="auto" w:fill="auto"/>
                  <w:vAlign w:val="center"/>
                </w:tcPr>
                <w:p w14:paraId="1C11E7D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46</w:t>
                  </w:r>
                </w:p>
              </w:tc>
              <w:tc>
                <w:tcPr>
                  <w:tcW w:w="1133" w:type="dxa"/>
                  <w:tcBorders>
                    <w:tl2br w:val="nil"/>
                    <w:tr2bl w:val="nil"/>
                  </w:tcBorders>
                  <w:shd w:val="clear" w:color="auto" w:fill="auto"/>
                  <w:vAlign w:val="center"/>
                </w:tcPr>
                <w:p w14:paraId="4DF1D80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46</w:t>
                  </w:r>
                </w:p>
              </w:tc>
              <w:tc>
                <w:tcPr>
                  <w:tcW w:w="985" w:type="dxa"/>
                  <w:vMerge w:val="restart"/>
                  <w:tcBorders>
                    <w:tl2br w:val="nil"/>
                    <w:tr2bl w:val="nil"/>
                  </w:tcBorders>
                  <w:vAlign w:val="center"/>
                </w:tcPr>
                <w:p w14:paraId="076A207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65</w:t>
                  </w:r>
                </w:p>
              </w:tc>
              <w:tc>
                <w:tcPr>
                  <w:tcW w:w="1067" w:type="dxa"/>
                  <w:vMerge w:val="restart"/>
                  <w:tcBorders>
                    <w:tl2br w:val="nil"/>
                    <w:tr2bl w:val="nil"/>
                  </w:tcBorders>
                  <w:vAlign w:val="center"/>
                </w:tcPr>
                <w:p w14:paraId="5D7E48C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cs="Times New Roman"/>
                      <w:color w:val="000000" w:themeColor="text1"/>
                      <w:szCs w:val="21"/>
                      <w:highlight w:val="none"/>
                      <w:lang w:val="en-US" w:eastAsia="zh-CN"/>
                      <w14:textFill>
                        <w14:solidFill>
                          <w14:schemeClr w14:val="tx1"/>
                        </w14:solidFill>
                      </w14:textFill>
                    </w:rPr>
                    <w:t>5</w:t>
                  </w:r>
                  <w:r>
                    <w:rPr>
                      <w:rFonts w:hint="eastAsia" w:cs="Times New Roman"/>
                      <w:color w:val="000000" w:themeColor="text1"/>
                      <w:szCs w:val="21"/>
                      <w:highlight w:val="none"/>
                      <w:lang w:val="en-US" w:eastAsia="zh-CN"/>
                      <w14:textFill>
                        <w14:solidFill>
                          <w14:schemeClr w14:val="tx1"/>
                        </w14:solidFill>
                      </w14:textFill>
                    </w:rPr>
                    <w:t>5</w:t>
                  </w:r>
                </w:p>
              </w:tc>
              <w:tc>
                <w:tcPr>
                  <w:tcW w:w="1484" w:type="dxa"/>
                  <w:tcBorders>
                    <w:tl2br w:val="nil"/>
                    <w:tr2bl w:val="nil"/>
                  </w:tcBorders>
                  <w:vAlign w:val="center"/>
                </w:tcPr>
                <w:p w14:paraId="35C1485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达标</w:t>
                  </w:r>
                </w:p>
              </w:tc>
              <w:tc>
                <w:tcPr>
                  <w:tcW w:w="1285" w:type="dxa"/>
                  <w:tcBorders>
                    <w:tl2br w:val="nil"/>
                    <w:tr2bl w:val="nil"/>
                  </w:tcBorders>
                  <w:vAlign w:val="center"/>
                </w:tcPr>
                <w:p w14:paraId="5C211E3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达标</w:t>
                  </w:r>
                </w:p>
              </w:tc>
            </w:tr>
            <w:tr w14:paraId="5206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2" w:hRule="atLeast"/>
                <w:jc w:val="center"/>
              </w:trPr>
              <w:tc>
                <w:tcPr>
                  <w:tcW w:w="1326" w:type="dxa"/>
                  <w:tcBorders>
                    <w:tl2br w:val="nil"/>
                    <w:tr2bl w:val="nil"/>
                  </w:tcBorders>
                  <w:vAlign w:val="center"/>
                </w:tcPr>
                <w:p w14:paraId="1FB3EEB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2#南厂界</w:t>
                  </w:r>
                </w:p>
              </w:tc>
              <w:tc>
                <w:tcPr>
                  <w:tcW w:w="1121" w:type="dxa"/>
                  <w:tcBorders>
                    <w:tl2br w:val="nil"/>
                    <w:tr2bl w:val="nil"/>
                  </w:tcBorders>
                  <w:shd w:val="clear" w:color="auto" w:fill="auto"/>
                  <w:vAlign w:val="center"/>
                </w:tcPr>
                <w:p w14:paraId="62AF406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48</w:t>
                  </w:r>
                </w:p>
              </w:tc>
              <w:tc>
                <w:tcPr>
                  <w:tcW w:w="1133" w:type="dxa"/>
                  <w:tcBorders>
                    <w:tl2br w:val="nil"/>
                    <w:tr2bl w:val="nil"/>
                  </w:tcBorders>
                  <w:shd w:val="clear" w:color="auto" w:fill="auto"/>
                  <w:vAlign w:val="center"/>
                </w:tcPr>
                <w:p w14:paraId="7C9745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48</w:t>
                  </w:r>
                </w:p>
              </w:tc>
              <w:tc>
                <w:tcPr>
                  <w:tcW w:w="985" w:type="dxa"/>
                  <w:vMerge w:val="continue"/>
                  <w:tcBorders>
                    <w:tl2br w:val="nil"/>
                    <w:tr2bl w:val="nil"/>
                  </w:tcBorders>
                  <w:vAlign w:val="center"/>
                </w:tcPr>
                <w:p w14:paraId="0DD95A2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1067" w:type="dxa"/>
                  <w:vMerge w:val="continue"/>
                  <w:tcBorders>
                    <w:tl2br w:val="nil"/>
                    <w:tr2bl w:val="nil"/>
                  </w:tcBorders>
                  <w:vAlign w:val="center"/>
                </w:tcPr>
                <w:p w14:paraId="3D5359E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1484" w:type="dxa"/>
                  <w:tcBorders>
                    <w:tl2br w:val="nil"/>
                    <w:tr2bl w:val="nil"/>
                  </w:tcBorders>
                  <w:vAlign w:val="center"/>
                </w:tcPr>
                <w:p w14:paraId="5F92763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达标</w:t>
                  </w:r>
                </w:p>
              </w:tc>
              <w:tc>
                <w:tcPr>
                  <w:tcW w:w="1285" w:type="dxa"/>
                  <w:tcBorders>
                    <w:tl2br w:val="nil"/>
                    <w:tr2bl w:val="nil"/>
                  </w:tcBorders>
                  <w:vAlign w:val="center"/>
                </w:tcPr>
                <w:p w14:paraId="2EEBF2C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达标</w:t>
                  </w:r>
                </w:p>
              </w:tc>
            </w:tr>
            <w:tr w14:paraId="3F0741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26" w:type="dxa"/>
                  <w:tcBorders>
                    <w:tl2br w:val="nil"/>
                    <w:tr2bl w:val="nil"/>
                  </w:tcBorders>
                  <w:vAlign w:val="center"/>
                </w:tcPr>
                <w:p w14:paraId="76C3CF1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3#西厂界</w:t>
                  </w:r>
                </w:p>
              </w:tc>
              <w:tc>
                <w:tcPr>
                  <w:tcW w:w="1121" w:type="dxa"/>
                  <w:tcBorders>
                    <w:tl2br w:val="nil"/>
                    <w:tr2bl w:val="nil"/>
                  </w:tcBorders>
                  <w:shd w:val="clear" w:color="auto" w:fill="auto"/>
                  <w:vAlign w:val="center"/>
                </w:tcPr>
                <w:p w14:paraId="3DAA113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29</w:t>
                  </w:r>
                </w:p>
              </w:tc>
              <w:tc>
                <w:tcPr>
                  <w:tcW w:w="1133" w:type="dxa"/>
                  <w:tcBorders>
                    <w:tl2br w:val="nil"/>
                    <w:tr2bl w:val="nil"/>
                  </w:tcBorders>
                  <w:shd w:val="clear" w:color="auto" w:fill="auto"/>
                  <w:vAlign w:val="center"/>
                </w:tcPr>
                <w:p w14:paraId="2843942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29</w:t>
                  </w:r>
                </w:p>
              </w:tc>
              <w:tc>
                <w:tcPr>
                  <w:tcW w:w="985" w:type="dxa"/>
                  <w:vMerge w:val="continue"/>
                  <w:tcBorders>
                    <w:tl2br w:val="nil"/>
                    <w:tr2bl w:val="nil"/>
                  </w:tcBorders>
                  <w:vAlign w:val="center"/>
                </w:tcPr>
                <w:p w14:paraId="1C82FFD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1067" w:type="dxa"/>
                  <w:vMerge w:val="continue"/>
                  <w:tcBorders>
                    <w:tl2br w:val="nil"/>
                    <w:tr2bl w:val="nil"/>
                  </w:tcBorders>
                  <w:vAlign w:val="center"/>
                </w:tcPr>
                <w:p w14:paraId="034EC0D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1484" w:type="dxa"/>
                  <w:tcBorders>
                    <w:tl2br w:val="nil"/>
                    <w:tr2bl w:val="nil"/>
                  </w:tcBorders>
                  <w:vAlign w:val="center"/>
                </w:tcPr>
                <w:p w14:paraId="4628ECD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达标</w:t>
                  </w:r>
                </w:p>
              </w:tc>
              <w:tc>
                <w:tcPr>
                  <w:tcW w:w="1285" w:type="dxa"/>
                  <w:tcBorders>
                    <w:tl2br w:val="nil"/>
                    <w:tr2bl w:val="nil"/>
                  </w:tcBorders>
                  <w:vAlign w:val="center"/>
                </w:tcPr>
                <w:p w14:paraId="79DCCD8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达标</w:t>
                  </w:r>
                </w:p>
              </w:tc>
            </w:tr>
            <w:tr w14:paraId="0DF08A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326" w:type="dxa"/>
                  <w:tcBorders>
                    <w:tl2br w:val="nil"/>
                    <w:tr2bl w:val="nil"/>
                  </w:tcBorders>
                  <w:vAlign w:val="center"/>
                </w:tcPr>
                <w:p w14:paraId="51BB8BE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4#北厂界</w:t>
                  </w:r>
                </w:p>
              </w:tc>
              <w:tc>
                <w:tcPr>
                  <w:tcW w:w="1121" w:type="dxa"/>
                  <w:tcBorders>
                    <w:tl2br w:val="nil"/>
                    <w:tr2bl w:val="nil"/>
                  </w:tcBorders>
                  <w:shd w:val="clear" w:color="auto" w:fill="auto"/>
                  <w:vAlign w:val="center"/>
                </w:tcPr>
                <w:p w14:paraId="00616DA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30</w:t>
                  </w:r>
                </w:p>
              </w:tc>
              <w:tc>
                <w:tcPr>
                  <w:tcW w:w="1133" w:type="dxa"/>
                  <w:tcBorders>
                    <w:tl2br w:val="nil"/>
                    <w:tr2bl w:val="nil"/>
                  </w:tcBorders>
                  <w:shd w:val="clear" w:color="auto" w:fill="auto"/>
                  <w:vAlign w:val="center"/>
                </w:tcPr>
                <w:p w14:paraId="1E1785B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30</w:t>
                  </w:r>
                </w:p>
              </w:tc>
              <w:tc>
                <w:tcPr>
                  <w:tcW w:w="985" w:type="dxa"/>
                  <w:vMerge w:val="continue"/>
                  <w:tcBorders>
                    <w:tl2br w:val="nil"/>
                    <w:tr2bl w:val="nil"/>
                  </w:tcBorders>
                  <w:vAlign w:val="center"/>
                </w:tcPr>
                <w:p w14:paraId="77DE260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1067" w:type="dxa"/>
                  <w:vMerge w:val="continue"/>
                  <w:tcBorders>
                    <w:tl2br w:val="nil"/>
                    <w:tr2bl w:val="nil"/>
                  </w:tcBorders>
                  <w:vAlign w:val="center"/>
                </w:tcPr>
                <w:p w14:paraId="7DC3381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1484" w:type="dxa"/>
                  <w:tcBorders>
                    <w:tl2br w:val="nil"/>
                    <w:tr2bl w:val="nil"/>
                  </w:tcBorders>
                  <w:vAlign w:val="center"/>
                </w:tcPr>
                <w:p w14:paraId="6D77D0D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达标</w:t>
                  </w:r>
                </w:p>
              </w:tc>
              <w:tc>
                <w:tcPr>
                  <w:tcW w:w="1285" w:type="dxa"/>
                  <w:tcBorders>
                    <w:tl2br w:val="nil"/>
                    <w:tr2bl w:val="nil"/>
                  </w:tcBorders>
                  <w:vAlign w:val="center"/>
                </w:tcPr>
                <w:p w14:paraId="2D8BBC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达标</w:t>
                  </w:r>
                </w:p>
              </w:tc>
            </w:tr>
          </w:tbl>
          <w:p w14:paraId="7A3965A7">
            <w:pPr>
              <w:keepNext w:val="0"/>
              <w:keepLines w:val="0"/>
              <w:widowControl/>
              <w:suppressLineNumbers w:val="0"/>
              <w:spacing w:before="0" w:beforeAutospacing="0" w:after="0" w:afterAutospacing="0" w:line="360" w:lineRule="auto"/>
              <w:ind w:left="0" w:right="0" w:firstLine="420" w:firstLineChars="175"/>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由上表预测结果，项目设备噪声经合理布局、选用低噪声设备、减振、封闭车间隔噪后，经距离衰减，厂界四周环境噪声昼夜间均符合《工业企业厂界环境噪声排放标准》（GB12348</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2008）</w:t>
            </w:r>
            <w:r>
              <w:rPr>
                <w:rFonts w:hint="eastAsia" w:cs="Times New Roman"/>
                <w:color w:val="000000" w:themeColor="text1"/>
                <w:sz w:val="24"/>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 w:val="24"/>
                <w:highlight w:val="none"/>
                <w14:textFill>
                  <w14:solidFill>
                    <w14:schemeClr w14:val="tx1"/>
                  </w14:solidFill>
                </w14:textFill>
              </w:rPr>
              <w:t>类相关标准。</w:t>
            </w:r>
          </w:p>
          <w:p w14:paraId="0FA66B24">
            <w:pPr>
              <w:pStyle w:val="147"/>
              <w:keepNext w:val="0"/>
              <w:keepLines w:val="0"/>
              <w:suppressLineNumbers w:val="0"/>
              <w:spacing w:before="0" w:beforeAutospacing="0" w:after="0" w:afterAutospacing="0" w:line="360" w:lineRule="auto"/>
              <w:ind w:left="0" w:right="0" w:firstLine="420"/>
              <w:rPr>
                <w:rFonts w:hint="default" w:ascii="Times New Roman" w:hAnsi="Times New Roman" w:eastAsia="宋体" w:cs="Times New Roman"/>
                <w:color w:val="000000"/>
                <w:sz w:val="24"/>
                <w:szCs w:val="32"/>
                <w:highlight w:val="none"/>
              </w:rPr>
            </w:pPr>
            <w:r>
              <w:rPr>
                <w:rFonts w:hint="default" w:ascii="Times New Roman" w:hAnsi="Times New Roman" w:eastAsia="宋体" w:cs="Times New Roman"/>
                <w:color w:val="000000"/>
                <w:sz w:val="24"/>
                <w:szCs w:val="32"/>
                <w:highlight w:val="none"/>
              </w:rPr>
              <w:t>（4）噪声监测计划</w:t>
            </w:r>
          </w:p>
          <w:p w14:paraId="61F93DFA">
            <w:pPr>
              <w:pStyle w:val="147"/>
              <w:keepNext w:val="0"/>
              <w:keepLines w:val="0"/>
              <w:suppressLineNumbers w:val="0"/>
              <w:spacing w:before="0" w:beforeAutospacing="0" w:after="0" w:afterAutospacing="0" w:line="360" w:lineRule="auto"/>
              <w:ind w:left="0" w:right="0" w:firstLine="420"/>
              <w:rPr>
                <w:rFonts w:hint="default" w:ascii="Times New Roman" w:hAnsi="Times New Roman" w:eastAsia="宋体" w:cs="Times New Roman"/>
                <w:color w:val="000000"/>
                <w:sz w:val="24"/>
                <w:szCs w:val="32"/>
                <w:highlight w:val="none"/>
                <w:lang w:eastAsia="zh-CN"/>
              </w:rPr>
            </w:pPr>
            <w:r>
              <w:rPr>
                <w:rFonts w:hint="eastAsia" w:ascii="Times New Roman" w:hAnsi="Times New Roman" w:eastAsia="宋体" w:cs="Times New Roman"/>
                <w:color w:val="000000"/>
                <w:sz w:val="24"/>
                <w:highlight w:val="none"/>
                <w:lang w:val="en-US" w:eastAsia="zh-CN"/>
              </w:rPr>
              <w:t>本次环评参照</w:t>
            </w:r>
            <w:r>
              <w:rPr>
                <w:rFonts w:hint="default" w:ascii="Times New Roman" w:hAnsi="Times New Roman" w:eastAsia="宋体" w:cs="Times New Roman"/>
                <w:color w:val="000000"/>
                <w:sz w:val="24"/>
                <w:szCs w:val="32"/>
                <w:highlight w:val="none"/>
                <w:lang w:val="en-US" w:eastAsia="zh-CN"/>
              </w:rPr>
              <w:t>《排污单位自行监测技术指南  总则》（HJ 819-2017）</w:t>
            </w:r>
            <w:r>
              <w:rPr>
                <w:rFonts w:hint="eastAsia" w:cs="Times New Roman"/>
                <w:color w:val="000000"/>
                <w:sz w:val="24"/>
                <w:szCs w:val="32"/>
                <w:highlight w:val="none"/>
                <w:lang w:val="en-US" w:eastAsia="zh-CN"/>
              </w:rPr>
              <w:t>制定</w:t>
            </w:r>
            <w:r>
              <w:rPr>
                <w:rFonts w:hint="default" w:ascii="Times New Roman" w:hAnsi="Times New Roman" w:eastAsia="宋体" w:cs="Times New Roman"/>
                <w:color w:val="000000"/>
                <w:sz w:val="24"/>
                <w:szCs w:val="32"/>
                <w:highlight w:val="none"/>
              </w:rPr>
              <w:t>运营期噪声监测计划</w:t>
            </w:r>
            <w:r>
              <w:rPr>
                <w:rFonts w:hint="eastAsia" w:cs="Times New Roman"/>
                <w:color w:val="000000"/>
                <w:sz w:val="24"/>
                <w:szCs w:val="32"/>
                <w:highlight w:val="none"/>
                <w:lang w:eastAsia="zh-CN"/>
              </w:rPr>
              <w:t>，</w:t>
            </w:r>
            <w:r>
              <w:rPr>
                <w:rFonts w:hint="default" w:ascii="Times New Roman" w:hAnsi="Times New Roman" w:eastAsia="宋体" w:cs="Times New Roman"/>
                <w:color w:val="000000"/>
                <w:sz w:val="24"/>
                <w:szCs w:val="32"/>
                <w:highlight w:val="none"/>
              </w:rPr>
              <w:t>监测计划见下表</w:t>
            </w:r>
            <w:r>
              <w:rPr>
                <w:rFonts w:hint="default" w:ascii="Times New Roman" w:hAnsi="Times New Roman" w:eastAsia="宋体" w:cs="Times New Roman"/>
                <w:color w:val="000000"/>
                <w:sz w:val="24"/>
                <w:szCs w:val="32"/>
                <w:highlight w:val="none"/>
                <w:lang w:eastAsia="zh-CN"/>
              </w:rPr>
              <w:t>：</w:t>
            </w:r>
          </w:p>
          <w:p w14:paraId="64D9EC36">
            <w:pPr>
              <w:pStyle w:val="115"/>
              <w:keepNext w:val="0"/>
              <w:keepLines w:val="0"/>
              <w:suppressLineNumbers w:val="0"/>
              <w:spacing w:before="0" w:beforeAutospacing="0" w:after="0" w:afterAutospacing="0" w:line="360" w:lineRule="auto"/>
              <w:ind w:left="0" w:right="0" w:firstLine="0"/>
              <w:rPr>
                <w:rFonts w:hint="default" w:ascii="Times New Roman" w:hAnsi="Times New Roman" w:eastAsia="宋体" w:cs="Times New Roman"/>
                <w:color w:val="000000" w:themeColor="text1"/>
                <w:sz w:val="21"/>
                <w:szCs w:val="18"/>
                <w:highlight w:val="none"/>
                <w14:textFill>
                  <w14:solidFill>
                    <w14:schemeClr w14:val="tx1"/>
                  </w14:solidFill>
                </w14:textFill>
              </w:rPr>
            </w:pPr>
            <w:r>
              <w:rPr>
                <w:rFonts w:hint="default" w:ascii="Times New Roman" w:hAnsi="Times New Roman" w:eastAsia="宋体" w:cs="Times New Roman"/>
                <w:color w:val="000000" w:themeColor="text1"/>
                <w:sz w:val="21"/>
                <w:szCs w:val="18"/>
                <w:highlight w:val="none"/>
                <w14:textFill>
                  <w14:solidFill>
                    <w14:schemeClr w14:val="tx1"/>
                  </w14:solidFill>
                </w14:textFill>
              </w:rPr>
              <w:t xml:space="preserve">表 </w:t>
            </w:r>
            <w:r>
              <w:rPr>
                <w:rFonts w:hint="default" w:ascii="Times New Roman" w:hAnsi="Times New Roman" w:eastAsia="宋体" w:cs="Times New Roman"/>
                <w:color w:val="000000" w:themeColor="text1"/>
                <w:sz w:val="21"/>
                <w:szCs w:val="18"/>
                <w:highlight w:val="none"/>
                <w:lang w:val="en-US" w:eastAsia="zh-CN"/>
                <w14:textFill>
                  <w14:solidFill>
                    <w14:schemeClr w14:val="tx1"/>
                  </w14:solidFill>
                </w14:textFill>
              </w:rPr>
              <w:t>4-</w:t>
            </w:r>
            <w:r>
              <w:rPr>
                <w:rFonts w:hint="eastAsia" w:ascii="Times New Roman" w:hAnsi="Times New Roman" w:eastAsia="宋体" w:cs="Times New Roman"/>
                <w:color w:val="000000" w:themeColor="text1"/>
                <w:sz w:val="21"/>
                <w:szCs w:val="18"/>
                <w:highlight w:val="none"/>
                <w:lang w:val="en-US" w:eastAsia="zh-CN"/>
                <w14:textFill>
                  <w14:solidFill>
                    <w14:schemeClr w14:val="tx1"/>
                  </w14:solidFill>
                </w14:textFill>
              </w:rPr>
              <w:t>5</w:t>
            </w:r>
            <w:r>
              <w:rPr>
                <w:rFonts w:hint="default" w:ascii="Times New Roman" w:hAnsi="Times New Roman" w:eastAsia="宋体" w:cs="Times New Roman"/>
                <w:color w:val="000000" w:themeColor="text1"/>
                <w:sz w:val="21"/>
                <w:szCs w:val="18"/>
                <w:highlight w:val="none"/>
                <w:lang w:val="en-US" w:eastAsia="zh-CN"/>
                <w14:textFill>
                  <w14:solidFill>
                    <w14:schemeClr w14:val="tx1"/>
                  </w14:solidFill>
                </w14:textFill>
              </w:rPr>
              <w:t xml:space="preserve">  </w:t>
            </w:r>
            <w:r>
              <w:rPr>
                <w:rFonts w:hint="default" w:ascii="Times New Roman" w:hAnsi="Times New Roman" w:eastAsia="宋体" w:cs="Times New Roman"/>
                <w:color w:val="000000" w:themeColor="text1"/>
                <w:sz w:val="21"/>
                <w:szCs w:val="18"/>
                <w:highlight w:val="none"/>
                <w14:textFill>
                  <w14:solidFill>
                    <w14:schemeClr w14:val="tx1"/>
                  </w14:solidFill>
                </w14:textFill>
              </w:rPr>
              <w:t>噪声监测计划</w:t>
            </w:r>
          </w:p>
          <w:tbl>
            <w:tblPr>
              <w:tblStyle w:val="41"/>
              <w:tblW w:w="845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0"/>
              <w:gridCol w:w="2490"/>
              <w:gridCol w:w="2977"/>
              <w:gridCol w:w="1837"/>
            </w:tblGrid>
            <w:tr w14:paraId="55B9E3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50" w:type="dxa"/>
                  <w:tcBorders>
                    <w:tl2br w:val="nil"/>
                    <w:tr2bl w:val="nil"/>
                  </w:tcBorders>
                  <w:noWrap/>
                  <w:vAlign w:val="center"/>
                </w:tcPr>
                <w:p w14:paraId="73A07F32">
                  <w:pPr>
                    <w:pStyle w:val="16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highlight w:val="none"/>
                    </w:rPr>
                  </w:pPr>
                  <w:r>
                    <w:rPr>
                      <w:rFonts w:hint="default" w:ascii="Times New Roman" w:hAnsi="Times New Roman" w:eastAsia="宋体" w:cs="Times New Roman"/>
                      <w:b/>
                      <w:bCs/>
                      <w:color w:val="000000"/>
                      <w:highlight w:val="none"/>
                    </w:rPr>
                    <w:t>项目</w:t>
                  </w:r>
                </w:p>
              </w:tc>
              <w:tc>
                <w:tcPr>
                  <w:tcW w:w="2490" w:type="dxa"/>
                  <w:tcBorders>
                    <w:tl2br w:val="nil"/>
                    <w:tr2bl w:val="nil"/>
                  </w:tcBorders>
                  <w:noWrap/>
                  <w:vAlign w:val="center"/>
                </w:tcPr>
                <w:p w14:paraId="5568A2B4">
                  <w:pPr>
                    <w:pStyle w:val="16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highlight w:val="none"/>
                    </w:rPr>
                  </w:pPr>
                  <w:r>
                    <w:rPr>
                      <w:rFonts w:hint="default" w:ascii="Times New Roman" w:hAnsi="Times New Roman" w:eastAsia="宋体" w:cs="Times New Roman"/>
                      <w:b/>
                      <w:bCs/>
                      <w:color w:val="000000"/>
                      <w:highlight w:val="none"/>
                    </w:rPr>
                    <w:t>监测位置</w:t>
                  </w:r>
                </w:p>
              </w:tc>
              <w:tc>
                <w:tcPr>
                  <w:tcW w:w="2977" w:type="dxa"/>
                  <w:tcBorders>
                    <w:tl2br w:val="nil"/>
                    <w:tr2bl w:val="nil"/>
                  </w:tcBorders>
                  <w:noWrap/>
                  <w:vAlign w:val="center"/>
                </w:tcPr>
                <w:p w14:paraId="3BABD052">
                  <w:pPr>
                    <w:pStyle w:val="16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highlight w:val="none"/>
                    </w:rPr>
                  </w:pPr>
                  <w:r>
                    <w:rPr>
                      <w:rFonts w:hint="default" w:ascii="Times New Roman" w:hAnsi="Times New Roman" w:eastAsia="宋体" w:cs="Times New Roman"/>
                      <w:b/>
                      <w:bCs/>
                      <w:color w:val="000000"/>
                      <w:highlight w:val="none"/>
                    </w:rPr>
                    <w:t>监测因子</w:t>
                  </w:r>
                </w:p>
              </w:tc>
              <w:tc>
                <w:tcPr>
                  <w:tcW w:w="1837" w:type="dxa"/>
                  <w:tcBorders>
                    <w:tl2br w:val="nil"/>
                    <w:tr2bl w:val="nil"/>
                  </w:tcBorders>
                  <w:noWrap/>
                  <w:vAlign w:val="center"/>
                </w:tcPr>
                <w:p w14:paraId="57AADCD2">
                  <w:pPr>
                    <w:pStyle w:val="16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b/>
                      <w:bCs/>
                      <w:color w:val="000000"/>
                      <w:highlight w:val="none"/>
                    </w:rPr>
                  </w:pPr>
                  <w:r>
                    <w:rPr>
                      <w:rFonts w:hint="default" w:ascii="Times New Roman" w:hAnsi="Times New Roman" w:eastAsia="宋体" w:cs="Times New Roman"/>
                      <w:b/>
                      <w:bCs/>
                      <w:color w:val="000000"/>
                      <w:highlight w:val="none"/>
                    </w:rPr>
                    <w:t>监测频次</w:t>
                  </w:r>
                </w:p>
              </w:tc>
            </w:tr>
            <w:tr w14:paraId="0BE39B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150" w:type="dxa"/>
                  <w:tcBorders>
                    <w:tl2br w:val="nil"/>
                    <w:tr2bl w:val="nil"/>
                  </w:tcBorders>
                  <w:noWrap/>
                  <w:vAlign w:val="center"/>
                </w:tcPr>
                <w:p w14:paraId="1A702974">
                  <w:pPr>
                    <w:pStyle w:val="16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highlight w:val="none"/>
                    </w:rPr>
                  </w:pPr>
                  <w:r>
                    <w:rPr>
                      <w:rFonts w:hint="default" w:ascii="Times New Roman" w:hAnsi="Times New Roman" w:eastAsia="宋体" w:cs="Times New Roman"/>
                      <w:color w:val="000000"/>
                      <w:highlight w:val="none"/>
                    </w:rPr>
                    <w:t>噪声</w:t>
                  </w:r>
                </w:p>
              </w:tc>
              <w:tc>
                <w:tcPr>
                  <w:tcW w:w="2490" w:type="dxa"/>
                  <w:tcBorders>
                    <w:tl2br w:val="nil"/>
                    <w:tr2bl w:val="nil"/>
                  </w:tcBorders>
                  <w:noWrap/>
                  <w:vAlign w:val="center"/>
                </w:tcPr>
                <w:p w14:paraId="10C5F8BE">
                  <w:pPr>
                    <w:pStyle w:val="16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eastAsia" w:ascii="Times New Roman" w:hAnsi="Times New Roman" w:eastAsia="宋体" w:cs="Times New Roman"/>
                      <w:color w:val="000000"/>
                      <w:highlight w:val="none"/>
                      <w:lang w:eastAsia="zh-CN"/>
                    </w:rPr>
                  </w:pPr>
                  <w:r>
                    <w:rPr>
                      <w:rFonts w:hint="default" w:ascii="Times New Roman" w:hAnsi="Times New Roman" w:eastAsia="宋体" w:cs="Times New Roman"/>
                      <w:color w:val="000000"/>
                      <w:highlight w:val="none"/>
                    </w:rPr>
                    <w:t>厂界</w:t>
                  </w:r>
                </w:p>
              </w:tc>
              <w:tc>
                <w:tcPr>
                  <w:tcW w:w="2977" w:type="dxa"/>
                  <w:tcBorders>
                    <w:tl2br w:val="nil"/>
                    <w:tr2bl w:val="nil"/>
                  </w:tcBorders>
                  <w:noWrap/>
                  <w:vAlign w:val="center"/>
                </w:tcPr>
                <w:p w14:paraId="07C25072">
                  <w:pPr>
                    <w:pStyle w:val="16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highlight w:val="none"/>
                    </w:rPr>
                  </w:pPr>
                  <w:r>
                    <w:rPr>
                      <w:rFonts w:hint="default" w:ascii="Times New Roman" w:hAnsi="Times New Roman" w:eastAsia="宋体" w:cs="Times New Roman"/>
                      <w:color w:val="000000"/>
                      <w:highlight w:val="none"/>
                    </w:rPr>
                    <w:t>Leq（A）</w:t>
                  </w:r>
                </w:p>
              </w:tc>
              <w:tc>
                <w:tcPr>
                  <w:tcW w:w="1837" w:type="dxa"/>
                  <w:tcBorders>
                    <w:tl2br w:val="nil"/>
                    <w:tr2bl w:val="nil"/>
                  </w:tcBorders>
                  <w:noWrap/>
                  <w:vAlign w:val="center"/>
                </w:tcPr>
                <w:p w14:paraId="21212F72">
                  <w:pPr>
                    <w:pStyle w:val="16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color w:val="000000"/>
                      <w:highlight w:val="none"/>
                    </w:rPr>
                  </w:pPr>
                  <w:r>
                    <w:rPr>
                      <w:rFonts w:hint="default" w:ascii="Times New Roman" w:hAnsi="Times New Roman" w:eastAsia="宋体" w:cs="Times New Roman"/>
                      <w:color w:val="000000"/>
                      <w:highlight w:val="none"/>
                    </w:rPr>
                    <w:t>1次/季度</w:t>
                  </w:r>
                </w:p>
              </w:tc>
            </w:tr>
          </w:tbl>
          <w:p w14:paraId="43291593">
            <w:pPr>
              <w:keepNext w:val="0"/>
              <w:keepLines w:val="0"/>
              <w:suppressLineNumbers w:val="0"/>
              <w:adjustRightInd w:val="0"/>
              <w:snapToGrid w:val="0"/>
              <w:spacing w:before="0" w:beforeAutospacing="0" w:after="0" w:afterAutospacing="0" w:line="480" w:lineRule="exact"/>
              <w:ind w:left="0" w:right="0"/>
              <w:jc w:val="left"/>
              <w:rPr>
                <w:rFonts w:hint="default"/>
                <w:b/>
                <w:bCs/>
                <w:color w:val="000000" w:themeColor="text1"/>
                <w:sz w:val="24"/>
                <w:szCs w:val="24"/>
                <w:highlight w:val="none"/>
                <w14:textFill>
                  <w14:solidFill>
                    <w14:schemeClr w14:val="tx1"/>
                  </w14:solidFill>
                </w14:textFill>
              </w:rPr>
            </w:pPr>
            <w:r>
              <w:rPr>
                <w:rFonts w:hint="eastAsia"/>
                <w:b/>
                <w:bCs/>
                <w:color w:val="000000" w:themeColor="text1"/>
                <w:sz w:val="24"/>
                <w:szCs w:val="24"/>
                <w:highlight w:val="none"/>
                <w:lang w:val="en-US" w:eastAsia="zh-CN"/>
                <w14:textFill>
                  <w14:solidFill>
                    <w14:schemeClr w14:val="tx1"/>
                  </w14:solidFill>
                </w14:textFill>
              </w:rPr>
              <w:t>4.8</w:t>
            </w:r>
            <w:r>
              <w:rPr>
                <w:rFonts w:hint="eastAsia" w:cs="宋体"/>
                <w:b/>
                <w:bCs/>
                <w:color w:val="000000" w:themeColor="text1"/>
                <w:sz w:val="24"/>
                <w:szCs w:val="24"/>
                <w:highlight w:val="none"/>
                <w14:textFill>
                  <w14:solidFill>
                    <w14:schemeClr w14:val="tx1"/>
                  </w14:solidFill>
                </w14:textFill>
              </w:rPr>
              <w:t>固体废物</w:t>
            </w:r>
          </w:p>
          <w:p w14:paraId="6C403FB4">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（1）生活垃圾</w:t>
            </w:r>
          </w:p>
          <w:p w14:paraId="1D2DB22D">
            <w:pPr>
              <w:keepNext w:val="0"/>
              <w:keepLines w:val="0"/>
              <w:suppressLineNumbers w:val="0"/>
              <w:adjustRightInd w:val="0"/>
              <w:snapToGrid w:val="0"/>
              <w:spacing w:before="0" w:beforeAutospacing="0" w:after="0" w:afterAutospacing="0" w:line="360" w:lineRule="auto"/>
              <w:ind w:left="0" w:right="0" w:firstLine="371" w:firstLineChars="176"/>
              <w:rPr>
                <w:rFonts w:hint="default" w:ascii="Times New Roman" w:hAnsi="Times New Roman" w:eastAsia="宋体" w:cs="Times New Roman"/>
                <w:snapToGrid w:val="0"/>
                <w:color w:val="000000" w:themeColor="text1"/>
                <w:kern w:val="0"/>
                <w:sz w:val="24"/>
                <w:highlight w:val="none"/>
                <w14:textFill>
                  <w14:solidFill>
                    <w14:schemeClr w14:val="tx1"/>
                  </w14:solidFill>
                </w14:textFill>
              </w:rPr>
            </w:pPr>
            <w:r>
              <w:rPr>
                <w:rFonts w:hint="eastAsia" w:cs="Times New Roman"/>
                <w:b/>
                <w:bCs/>
                <w:color w:val="000000" w:themeColor="text1"/>
                <w:highlight w:val="none"/>
                <w:lang w:val="en-US" w:eastAsia="zh-CN"/>
                <w14:textFill>
                  <w14:solidFill>
                    <w14:schemeClr w14:val="tx1"/>
                  </w14:solidFill>
                </w14:textFill>
              </w:rPr>
              <w:t xml:space="preserve"> </w:t>
            </w:r>
            <w:r>
              <w:rPr>
                <w:rFonts w:hint="default" w:ascii="Times New Roman" w:hAnsi="Times New Roman" w:eastAsia="宋体" w:cs="Times New Roman"/>
                <w:snapToGrid w:val="0"/>
                <w:color w:val="000000" w:themeColor="text1"/>
                <w:kern w:val="0"/>
                <w:sz w:val="24"/>
                <w:highlight w:val="none"/>
                <w14:textFill>
                  <w14:solidFill>
                    <w14:schemeClr w14:val="tx1"/>
                  </w14:solidFill>
                </w14:textFill>
              </w:rPr>
              <w:t>本项目生产区劳动定员</w:t>
            </w:r>
            <w:r>
              <w:rPr>
                <w:rFonts w:hint="eastAsia" w:cs="Times New Roman"/>
                <w:snapToGrid w:val="0"/>
                <w:color w:val="000000" w:themeColor="text1"/>
                <w:kern w:val="0"/>
                <w:sz w:val="24"/>
                <w:highlight w:val="none"/>
                <w:lang w:val="en-US" w:eastAsia="zh-CN"/>
                <w14:textFill>
                  <w14:solidFill>
                    <w14:schemeClr w14:val="tx1"/>
                  </w14:solidFill>
                </w14:textFill>
              </w:rPr>
              <w:t>24</w:t>
            </w:r>
            <w:r>
              <w:rPr>
                <w:rFonts w:hint="default" w:ascii="Times New Roman" w:hAnsi="Times New Roman" w:eastAsia="宋体" w:cs="Times New Roman"/>
                <w:snapToGrid w:val="0"/>
                <w:color w:val="000000" w:themeColor="text1"/>
                <w:kern w:val="0"/>
                <w:sz w:val="24"/>
                <w:highlight w:val="none"/>
                <w14:textFill>
                  <w14:solidFill>
                    <w14:schemeClr w14:val="tx1"/>
                  </w14:solidFill>
                </w14:textFill>
              </w:rPr>
              <w:t>人，生活垃圾按每人每天产生0.5kg计算，产生量为</w:t>
            </w:r>
            <w:r>
              <w:rPr>
                <w:rFonts w:hint="eastAsia" w:cs="Times New Roman"/>
                <w:snapToGrid w:val="0"/>
                <w:color w:val="000000" w:themeColor="text1"/>
                <w:kern w:val="0"/>
                <w:sz w:val="24"/>
                <w:highlight w:val="none"/>
                <w:lang w:val="en-US" w:eastAsia="zh-CN"/>
                <w14:textFill>
                  <w14:solidFill>
                    <w14:schemeClr w14:val="tx1"/>
                  </w14:solidFill>
                </w14:textFill>
              </w:rPr>
              <w:t>12</w:t>
            </w:r>
            <w:r>
              <w:rPr>
                <w:rFonts w:hint="default" w:ascii="Times New Roman" w:hAnsi="Times New Roman" w:eastAsia="宋体" w:cs="Times New Roman"/>
                <w:snapToGrid w:val="0"/>
                <w:color w:val="000000" w:themeColor="text1"/>
                <w:kern w:val="0"/>
                <w:sz w:val="24"/>
                <w:highlight w:val="none"/>
                <w14:textFill>
                  <w14:solidFill>
                    <w14:schemeClr w14:val="tx1"/>
                  </w14:solidFill>
                </w14:textFill>
              </w:rPr>
              <w:t>kg/d（</w:t>
            </w:r>
            <w:r>
              <w:rPr>
                <w:rFonts w:hint="eastAsia" w:cs="Times New Roman"/>
                <w:snapToGrid w:val="0"/>
                <w:color w:val="000000" w:themeColor="text1"/>
                <w:kern w:val="0"/>
                <w:sz w:val="24"/>
                <w:highlight w:val="none"/>
                <w:lang w:val="en-US" w:eastAsia="zh-CN"/>
                <w14:textFill>
                  <w14:solidFill>
                    <w14:schemeClr w14:val="tx1"/>
                  </w14:solidFill>
                </w14:textFill>
              </w:rPr>
              <w:t>3.6</w:t>
            </w:r>
            <w:r>
              <w:rPr>
                <w:rFonts w:hint="default" w:ascii="Times New Roman" w:hAnsi="Times New Roman" w:eastAsia="宋体" w:cs="Times New Roman"/>
                <w:snapToGrid w:val="0"/>
                <w:color w:val="000000" w:themeColor="text1"/>
                <w:kern w:val="0"/>
                <w:sz w:val="24"/>
                <w:highlight w:val="none"/>
                <w14:textFill>
                  <w14:solidFill>
                    <w14:schemeClr w14:val="tx1"/>
                  </w14:solidFill>
                </w14:textFill>
              </w:rPr>
              <w:t>t/a），由环卫部门统一清运。</w:t>
            </w:r>
          </w:p>
          <w:p w14:paraId="3C876BB1">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（2）一般工业固体废物</w:t>
            </w:r>
          </w:p>
          <w:p w14:paraId="4C81C098">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eastAsia" w:cs="Times New Roman"/>
                <w:snapToGrid w:val="0"/>
                <w:color w:val="000000" w:themeColor="text1"/>
                <w:kern w:val="0"/>
                <w:sz w:val="24"/>
                <w:highlight w:val="none"/>
                <w:lang w:val="en-US" w:eastAsia="zh-CN"/>
                <w14:textFill>
                  <w14:solidFill>
                    <w14:schemeClr w14:val="tx1"/>
                  </w14:solidFill>
                </w14:textFill>
              </w:rPr>
              <w:t>主要为除尘器收集灰，</w:t>
            </w:r>
            <w:r>
              <w:rPr>
                <w:rFonts w:hint="default" w:ascii="Times New Roman" w:hAnsi="Times New Roman" w:eastAsia="宋体" w:cs="Times New Roman"/>
                <w:b w:val="0"/>
                <w:bCs/>
                <w:color w:val="auto"/>
                <w:kern w:val="2"/>
                <w:sz w:val="24"/>
                <w:szCs w:val="24"/>
                <w:highlight w:val="none"/>
                <w:lang w:val="en-US" w:eastAsia="zh-CN" w:bidi="ar-SA"/>
              </w:rPr>
              <w:t>根据</w:t>
            </w:r>
            <w:r>
              <w:rPr>
                <w:rFonts w:hint="eastAsia" w:ascii="Times New Roman" w:hAnsi="Times New Roman" w:eastAsia="宋体" w:cs="Times New Roman"/>
                <w:b w:val="0"/>
                <w:bCs/>
                <w:color w:val="auto"/>
                <w:kern w:val="2"/>
                <w:sz w:val="24"/>
                <w:szCs w:val="24"/>
                <w:highlight w:val="none"/>
                <w:lang w:val="en-US" w:eastAsia="zh-CN" w:bidi="ar-SA"/>
              </w:rPr>
              <w:t>前文分析内容</w:t>
            </w:r>
            <w:r>
              <w:rPr>
                <w:rFonts w:hint="default" w:ascii="Times New Roman" w:hAnsi="Times New Roman" w:eastAsia="宋体" w:cs="Times New Roman"/>
                <w:b w:val="0"/>
                <w:bCs/>
                <w:color w:val="auto"/>
                <w:kern w:val="2"/>
                <w:sz w:val="24"/>
                <w:szCs w:val="24"/>
                <w:highlight w:val="none"/>
                <w:lang w:val="en-US" w:eastAsia="zh-CN" w:bidi="ar-SA"/>
              </w:rPr>
              <w:t>，除尘器收集的粉尘量约为</w:t>
            </w:r>
            <w:r>
              <w:rPr>
                <w:rFonts w:hint="eastAsia" w:cs="Times New Roman"/>
                <w:b w:val="0"/>
                <w:bCs/>
                <w:color w:val="auto"/>
                <w:kern w:val="2"/>
                <w:sz w:val="24"/>
                <w:szCs w:val="24"/>
                <w:highlight w:val="none"/>
                <w:lang w:val="en-US" w:eastAsia="zh-CN" w:bidi="ar-SA"/>
              </w:rPr>
              <w:t>209.72</w:t>
            </w:r>
            <w:r>
              <w:rPr>
                <w:rFonts w:hint="default" w:ascii="Times New Roman" w:hAnsi="Times New Roman" w:eastAsia="宋体" w:cs="Times New Roman"/>
                <w:b w:val="0"/>
                <w:bCs/>
                <w:color w:val="auto"/>
                <w:kern w:val="2"/>
                <w:sz w:val="24"/>
                <w:szCs w:val="24"/>
                <w:highlight w:val="none"/>
                <w:lang w:val="en-US" w:eastAsia="zh-CN" w:bidi="ar-SA"/>
              </w:rPr>
              <w:t>t/a。</w:t>
            </w:r>
            <w:r>
              <w:rPr>
                <w:rFonts w:hint="eastAsia" w:cs="Times New Roman"/>
                <w:b w:val="0"/>
                <w:bCs/>
                <w:color w:val="auto"/>
                <w:kern w:val="2"/>
                <w:sz w:val="24"/>
                <w:szCs w:val="24"/>
                <w:highlight w:val="none"/>
                <w:lang w:val="en-US" w:eastAsia="zh-CN" w:bidi="ar-SA"/>
              </w:rPr>
              <w:t>利用密闭提升机直接回用于生产。</w:t>
            </w:r>
          </w:p>
          <w:p w14:paraId="227278FC">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（3）危险废物</w:t>
            </w:r>
          </w:p>
          <w:p w14:paraId="3F480323">
            <w:pPr>
              <w:pStyle w:val="159"/>
              <w:keepNext w:val="0"/>
              <w:keepLines w:val="0"/>
              <w:suppressLineNumbers w:val="0"/>
              <w:spacing w:before="0" w:beforeAutospacing="0" w:after="0" w:afterAutospacing="0"/>
              <w:ind w:left="0" w:right="0" w:firstLine="480"/>
              <w:rPr>
                <w:rFonts w:hint="default" w:ascii="Times New Roman" w:hAnsi="Times New Roman" w:cs="Times New Roman"/>
                <w:color w:val="000000"/>
                <w:highlight w:val="none"/>
                <w:lang w:eastAsia="zh-CN"/>
              </w:rPr>
            </w:pPr>
            <w:r>
              <w:rPr>
                <w:rFonts w:hint="default" w:ascii="Times New Roman" w:hAnsi="Times New Roman" w:cs="Times New Roman"/>
                <w:color w:val="000000"/>
                <w:highlight w:val="none"/>
                <w:lang w:eastAsia="zh-CN"/>
              </w:rPr>
              <w:t>①废机油</w:t>
            </w:r>
          </w:p>
          <w:p w14:paraId="23EBCACE">
            <w:pPr>
              <w:pStyle w:val="159"/>
              <w:keepNext w:val="0"/>
              <w:keepLines w:val="0"/>
              <w:suppressLineNumbers w:val="0"/>
              <w:spacing w:before="0" w:beforeAutospacing="0" w:after="0" w:afterAutospacing="0"/>
              <w:ind w:left="0" w:right="0" w:firstLine="480"/>
              <w:rPr>
                <w:rFonts w:hint="default" w:ascii="Times New Roman" w:hAnsi="Times New Roman" w:eastAsia="宋体" w:cs="Times New Roman"/>
                <w:color w:val="000000"/>
                <w:highlight w:val="none"/>
                <w:lang w:eastAsia="zh-CN"/>
              </w:rPr>
            </w:pPr>
            <w:r>
              <w:rPr>
                <w:rFonts w:hint="default" w:ascii="Times New Roman" w:hAnsi="Times New Roman" w:cs="Times New Roman"/>
                <w:color w:val="000000"/>
                <w:highlight w:val="none"/>
                <w:lang w:eastAsia="zh-CN"/>
              </w:rPr>
              <w:t>项目</w:t>
            </w:r>
            <w:r>
              <w:rPr>
                <w:rFonts w:hint="default" w:ascii="Times New Roman" w:hAnsi="Times New Roman" w:cs="Times New Roman"/>
                <w:color w:val="000000"/>
                <w:highlight w:val="none"/>
              </w:rPr>
              <w:t>废机油产生量为</w:t>
            </w:r>
            <w:r>
              <w:rPr>
                <w:rFonts w:hint="default" w:ascii="Times New Roman" w:hAnsi="Times New Roman" w:cs="Times New Roman"/>
                <w:color w:val="000000"/>
                <w:highlight w:val="none"/>
                <w:lang w:val="en-US" w:eastAsia="zh-CN"/>
              </w:rPr>
              <w:t>0.01t</w:t>
            </w:r>
            <w:r>
              <w:rPr>
                <w:rFonts w:hint="default" w:ascii="Times New Roman" w:hAnsi="Times New Roman" w:cs="Times New Roman"/>
                <w:color w:val="000000"/>
                <w:highlight w:val="none"/>
              </w:rPr>
              <w:t>/a。危险废物由专用容器收集，暂存在厂区</w:t>
            </w:r>
            <w:r>
              <w:rPr>
                <w:rFonts w:hint="default" w:ascii="Times New Roman" w:hAnsi="Times New Roman" w:cs="Times New Roman"/>
                <w:color w:val="000000"/>
                <w:highlight w:val="none"/>
                <w:lang w:eastAsia="zh-CN"/>
              </w:rPr>
              <w:t>危废贮存库</w:t>
            </w:r>
            <w:r>
              <w:rPr>
                <w:rFonts w:hint="default" w:ascii="Times New Roman" w:hAnsi="Times New Roman" w:cs="Times New Roman"/>
                <w:color w:val="000000"/>
                <w:highlight w:val="none"/>
              </w:rPr>
              <w:t>内，定期由有资质单位处置。</w:t>
            </w:r>
          </w:p>
          <w:p w14:paraId="2DD5B932">
            <w:pPr>
              <w:pStyle w:val="159"/>
              <w:keepNext w:val="0"/>
              <w:keepLines w:val="0"/>
              <w:suppressLineNumbers w:val="0"/>
              <w:spacing w:before="0" w:beforeAutospacing="0" w:after="0" w:afterAutospacing="0"/>
              <w:ind w:left="0" w:right="0" w:firstLine="480"/>
              <w:rPr>
                <w:rFonts w:hint="default" w:ascii="Times New Roman" w:hAnsi="Times New Roman" w:cs="Times New Roman"/>
                <w:color w:val="000000"/>
                <w:highlight w:val="none"/>
                <w:lang w:eastAsia="zh-CN"/>
              </w:rPr>
            </w:pPr>
            <w:r>
              <w:rPr>
                <w:rFonts w:hint="default" w:ascii="Times New Roman" w:hAnsi="Times New Roman" w:cs="Times New Roman"/>
                <w:color w:val="000000"/>
                <w:highlight w:val="none"/>
              </w:rPr>
              <w:t>②</w:t>
            </w:r>
            <w:r>
              <w:rPr>
                <w:rFonts w:hint="default" w:ascii="Times New Roman" w:hAnsi="Times New Roman" w:cs="Times New Roman"/>
                <w:color w:val="000000"/>
                <w:highlight w:val="none"/>
                <w:lang w:eastAsia="zh-CN"/>
              </w:rPr>
              <w:t>废机油桶</w:t>
            </w:r>
          </w:p>
          <w:p w14:paraId="61F1D97A">
            <w:pPr>
              <w:pStyle w:val="159"/>
              <w:keepNext w:val="0"/>
              <w:keepLines w:val="0"/>
              <w:suppressLineNumbers w:val="0"/>
              <w:spacing w:before="0" w:beforeAutospacing="0" w:after="0" w:afterAutospacing="0"/>
              <w:ind w:left="0" w:right="0" w:firstLine="480"/>
              <w:rPr>
                <w:rFonts w:hint="default" w:ascii="Times New Roman" w:hAnsi="Times New Roman" w:cs="Times New Roman"/>
                <w:color w:val="000000"/>
                <w:highlight w:val="none"/>
              </w:rPr>
            </w:pPr>
            <w:r>
              <w:rPr>
                <w:rFonts w:hint="default" w:ascii="Times New Roman" w:hAnsi="Times New Roman" w:cs="Times New Roman"/>
                <w:color w:val="000000"/>
                <w:highlight w:val="none"/>
                <w:lang w:eastAsia="zh-CN"/>
              </w:rPr>
              <w:t>项目</w:t>
            </w:r>
            <w:r>
              <w:rPr>
                <w:rFonts w:hint="eastAsia" w:cs="Times New Roman"/>
                <w:color w:val="000000"/>
                <w:highlight w:val="none"/>
                <w:lang w:val="en-US" w:eastAsia="zh-CN"/>
              </w:rPr>
              <w:t>每</w:t>
            </w:r>
            <w:r>
              <w:rPr>
                <w:rFonts w:hint="default" w:ascii="Times New Roman" w:hAnsi="Times New Roman" w:cs="Times New Roman"/>
                <w:color w:val="000000"/>
                <w:highlight w:val="none"/>
                <w:lang w:val="en-US" w:eastAsia="zh-CN"/>
              </w:rPr>
              <w:t>年</w:t>
            </w:r>
            <w:r>
              <w:rPr>
                <w:rFonts w:hint="default" w:ascii="Times New Roman" w:hAnsi="Times New Roman" w:cs="Times New Roman"/>
                <w:color w:val="000000"/>
                <w:highlight w:val="none"/>
              </w:rPr>
              <w:t>产生</w:t>
            </w:r>
            <w:r>
              <w:rPr>
                <w:rFonts w:hint="eastAsia" w:cs="Times New Roman"/>
                <w:color w:val="000000"/>
                <w:highlight w:val="none"/>
                <w:lang w:val="en-US" w:eastAsia="zh-CN"/>
              </w:rPr>
              <w:t>废油桶</w:t>
            </w:r>
            <w:r>
              <w:rPr>
                <w:rFonts w:hint="default" w:ascii="Times New Roman" w:hAnsi="Times New Roman" w:cs="Times New Roman"/>
                <w:color w:val="000000"/>
                <w:highlight w:val="none"/>
              </w:rPr>
              <w:t>量</w:t>
            </w:r>
            <w:r>
              <w:rPr>
                <w:rFonts w:hint="eastAsia" w:cs="Times New Roman"/>
                <w:color w:val="000000"/>
                <w:highlight w:val="none"/>
                <w:lang w:val="en-US" w:eastAsia="zh-CN"/>
              </w:rPr>
              <w:t>约</w:t>
            </w:r>
            <w:r>
              <w:rPr>
                <w:rFonts w:hint="default" w:ascii="Times New Roman" w:hAnsi="Times New Roman" w:cs="Times New Roman"/>
                <w:color w:val="000000"/>
                <w:highlight w:val="none"/>
              </w:rPr>
              <w:t>为0.</w:t>
            </w:r>
            <w:r>
              <w:rPr>
                <w:rFonts w:hint="default" w:ascii="Times New Roman" w:hAnsi="Times New Roman" w:cs="Times New Roman"/>
                <w:color w:val="000000"/>
                <w:highlight w:val="none"/>
                <w:lang w:val="en-US" w:eastAsia="zh-CN"/>
              </w:rPr>
              <w:t>001</w:t>
            </w:r>
            <w:r>
              <w:rPr>
                <w:rFonts w:hint="default" w:ascii="Times New Roman" w:hAnsi="Times New Roman" w:cs="Times New Roman"/>
                <w:color w:val="000000"/>
                <w:highlight w:val="none"/>
              </w:rPr>
              <w:t>t/a。危险废物由专用容器收集，暂存在厂区</w:t>
            </w:r>
            <w:r>
              <w:rPr>
                <w:rFonts w:hint="default" w:ascii="Times New Roman" w:hAnsi="Times New Roman" w:cs="Times New Roman"/>
                <w:color w:val="000000"/>
                <w:highlight w:val="none"/>
                <w:lang w:eastAsia="zh-CN"/>
              </w:rPr>
              <w:t>危废贮存库</w:t>
            </w:r>
            <w:r>
              <w:rPr>
                <w:rFonts w:hint="default" w:ascii="Times New Roman" w:hAnsi="Times New Roman" w:cs="Times New Roman"/>
                <w:color w:val="000000"/>
                <w:highlight w:val="none"/>
              </w:rPr>
              <w:t>内，定期由有资质单位处置。</w:t>
            </w:r>
          </w:p>
          <w:p w14:paraId="280454B1">
            <w:pPr>
              <w:pStyle w:val="159"/>
              <w:keepNext w:val="0"/>
              <w:keepLines w:val="0"/>
              <w:suppressLineNumbers w:val="0"/>
              <w:spacing w:before="0" w:beforeAutospacing="0" w:after="0" w:afterAutospacing="0"/>
              <w:ind w:left="0" w:right="0" w:firstLine="480"/>
              <w:rPr>
                <w:rFonts w:hint="default" w:ascii="Times New Roman" w:hAnsi="Times New Roman" w:eastAsia="宋体" w:cs="Times New Roman"/>
                <w:color w:val="000000"/>
                <w:highlight w:val="none"/>
                <w:lang w:eastAsia="zh-CN"/>
              </w:rPr>
            </w:pPr>
            <w:r>
              <w:rPr>
                <w:rFonts w:hint="default" w:ascii="Times New Roman" w:hAnsi="Times New Roman" w:cs="Times New Roman"/>
                <w:color w:val="000000"/>
                <w:highlight w:val="none"/>
                <w:lang w:eastAsia="zh-CN"/>
              </w:rPr>
              <w:t>③废抹布及手套</w:t>
            </w:r>
          </w:p>
          <w:p w14:paraId="6283C591">
            <w:pPr>
              <w:pStyle w:val="159"/>
              <w:keepNext w:val="0"/>
              <w:keepLines w:val="0"/>
              <w:suppressLineNumbers w:val="0"/>
              <w:spacing w:before="0" w:beforeAutospacing="0" w:after="0" w:afterAutospacing="0"/>
              <w:ind w:left="0" w:right="0" w:firstLine="480"/>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color w:val="000000"/>
                <w:highlight w:val="none"/>
                <w:lang w:eastAsia="zh-CN"/>
              </w:rPr>
              <w:t>废抹布及手套</w:t>
            </w:r>
            <w:r>
              <w:rPr>
                <w:rFonts w:hint="default"/>
                <w:color w:val="000000"/>
                <w:highlight w:val="none"/>
              </w:rPr>
              <w:t>产生量为0.0</w:t>
            </w:r>
            <w:r>
              <w:rPr>
                <w:rFonts w:hint="eastAsia"/>
                <w:color w:val="000000"/>
                <w:highlight w:val="none"/>
                <w:lang w:val="en-US" w:eastAsia="zh-CN"/>
              </w:rPr>
              <w:t>01</w:t>
            </w:r>
            <w:r>
              <w:rPr>
                <w:rFonts w:hint="default"/>
                <w:color w:val="000000"/>
                <w:highlight w:val="none"/>
              </w:rPr>
              <w:t>t/a，危险废物由专用容器收集，暂存在厂区</w:t>
            </w:r>
            <w:r>
              <w:rPr>
                <w:rFonts w:hint="eastAsia"/>
                <w:color w:val="000000"/>
                <w:highlight w:val="none"/>
                <w:lang w:eastAsia="zh-CN"/>
              </w:rPr>
              <w:t>危废贮存库</w:t>
            </w:r>
            <w:r>
              <w:rPr>
                <w:rFonts w:hint="default"/>
                <w:color w:val="000000"/>
                <w:highlight w:val="none"/>
              </w:rPr>
              <w:t>内，定期由</w:t>
            </w:r>
            <w:r>
              <w:rPr>
                <w:rFonts w:hint="eastAsia"/>
                <w:color w:val="000000"/>
                <w:highlight w:val="none"/>
              </w:rPr>
              <w:t>有资质</w:t>
            </w:r>
            <w:r>
              <w:rPr>
                <w:rFonts w:hint="default"/>
                <w:color w:val="000000"/>
                <w:highlight w:val="none"/>
              </w:rPr>
              <w:t>单位处置。</w:t>
            </w:r>
          </w:p>
          <w:p w14:paraId="1DE78BF1">
            <w:pPr>
              <w:keepNext w:val="0"/>
              <w:keepLines w:val="0"/>
              <w:suppressLineNumbers w:val="0"/>
              <w:spacing w:before="0" w:beforeAutospacing="0" w:after="0" w:afterAutospacing="0" w:line="360" w:lineRule="auto"/>
              <w:ind w:left="0" w:right="0" w:firstLine="480" w:firstLineChars="200"/>
              <w:jc w:val="left"/>
              <w:rPr>
                <w:rFonts w:hint="eastAsia" w:ascii="宋体" w:hAnsi="宋体" w:eastAsia="宋体" w:cs="宋体"/>
                <w:color w:val="000000" w:themeColor="text1"/>
                <w:sz w:val="24"/>
                <w:highlight w:val="none"/>
                <w:lang w:val="en-US" w:eastAsia="zh-CN"/>
                <w14:textFill>
                  <w14:solidFill>
                    <w14:schemeClr w14:val="tx1"/>
                  </w14:solidFill>
                </w14:textFill>
              </w:rPr>
            </w:pPr>
            <w:r>
              <w:rPr>
                <w:rFonts w:hint="eastAsia" w:ascii="宋体" w:hAnsi="宋体" w:eastAsia="宋体" w:cs="宋体"/>
                <w:color w:val="000000" w:themeColor="text1"/>
                <w:sz w:val="24"/>
                <w:highlight w:val="none"/>
                <w14:textFill>
                  <w14:solidFill>
                    <w14:schemeClr w14:val="tx1"/>
                  </w14:solidFill>
                </w14:textFill>
              </w:rPr>
              <w:t>④</w:t>
            </w:r>
            <w:r>
              <w:rPr>
                <w:rFonts w:hint="eastAsia" w:ascii="宋体" w:hAnsi="宋体" w:cs="宋体"/>
                <w:color w:val="000000" w:themeColor="text1"/>
                <w:sz w:val="24"/>
                <w:highlight w:val="none"/>
                <w:lang w:val="en-US" w:eastAsia="zh-CN"/>
                <w14:textFill>
                  <w14:solidFill>
                    <w14:schemeClr w14:val="tx1"/>
                  </w14:solidFill>
                </w14:textFill>
              </w:rPr>
              <w:t>废焦油</w:t>
            </w:r>
          </w:p>
          <w:p w14:paraId="54AC00C0">
            <w:pPr>
              <w:keepNext w:val="0"/>
              <w:keepLines w:val="0"/>
              <w:suppressLineNumbers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本项目的有机废气处理过程会产生废</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焦油</w:t>
            </w:r>
            <w:r>
              <w:rPr>
                <w:rFonts w:hint="default" w:ascii="Times New Roman" w:hAnsi="Times New Roman" w:eastAsia="宋体" w:cs="Times New Roman"/>
                <w:color w:val="000000" w:themeColor="text1"/>
                <w:sz w:val="24"/>
                <w:highlight w:val="none"/>
                <w14:textFill>
                  <w14:solidFill>
                    <w14:schemeClr w14:val="tx1"/>
                  </w14:solidFill>
                </w14:textFill>
              </w:rPr>
              <w:t>，</w:t>
            </w:r>
            <w:r>
              <w:rPr>
                <w:rFonts w:hint="eastAsia" w:ascii="Times New Roman" w:hAnsi="Times New Roman" w:eastAsia="宋体" w:cs="Times New Roman"/>
                <w:color w:val="000000" w:themeColor="text1"/>
                <w:sz w:val="24"/>
                <w:highlight w:val="none"/>
                <w:lang w:val="en-US" w:eastAsia="zh-CN"/>
                <w14:textFill>
                  <w14:solidFill>
                    <w14:schemeClr w14:val="tx1"/>
                  </w14:solidFill>
                </w14:textFill>
              </w:rPr>
              <w:t>根据同行业类别，年产生废焦油约14.5t/a，委托资源处置单位进行无害化处置。</w:t>
            </w:r>
          </w:p>
          <w:p w14:paraId="7B324358">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eastAsia" w:ascii="Times New Roman" w:hAnsi="Times New Roman" w:eastAsia="宋体" w:cs="Times New Roman"/>
                <w:color w:val="000000" w:themeColor="text1"/>
                <w:sz w:val="24"/>
                <w:highlight w:val="none"/>
                <w14:textFill>
                  <w14:solidFill>
                    <w14:schemeClr w14:val="tx1"/>
                  </w14:solidFill>
                </w14:textFill>
              </w:rPr>
              <w:t>⑤</w:t>
            </w:r>
            <w:r>
              <w:rPr>
                <w:rFonts w:hint="default" w:ascii="Times New Roman" w:hAnsi="Times New Roman" w:eastAsia="宋体" w:cs="Times New Roman"/>
                <w:color w:val="000000" w:themeColor="text1"/>
                <w:sz w:val="24"/>
                <w:highlight w:val="none"/>
                <w14:textFill>
                  <w14:solidFill>
                    <w14:schemeClr w14:val="tx1"/>
                  </w14:solidFill>
                </w14:textFill>
              </w:rPr>
              <w:t>废活性炭：</w:t>
            </w:r>
          </w:p>
          <w:p w14:paraId="2A934D9D">
            <w:pPr>
              <w:keepNext w:val="0"/>
              <w:keepLines w:val="0"/>
              <w:pageBreakBefore w:val="0"/>
              <w:widowControl w:val="0"/>
              <w:suppressLineNumbers w:val="0"/>
              <w:kinsoku/>
              <w:wordWrap/>
              <w:overflowPunct/>
              <w:topLinePunct w:val="0"/>
              <w:autoSpaceDE w:val="0"/>
              <w:autoSpaceDN w:val="0"/>
              <w:bidi w:val="0"/>
              <w:adjustRightInd w:val="0"/>
              <w:snapToGrid w:val="0"/>
              <w:spacing w:before="0" w:beforeAutospacing="0" w:after="0" w:afterAutospacing="0" w:line="360" w:lineRule="auto"/>
              <w:ind w:left="0" w:right="0" w:firstLine="480" w:firstLineChars="200"/>
              <w:jc w:val="left"/>
              <w:rPr>
                <w:rFonts w:hint="eastAsia" w:ascii="Times New Roman" w:hAnsi="Times New Roman" w:eastAsia="宋体" w:cs="Times New Roman"/>
                <w:color w:val="000000" w:themeColor="text1"/>
                <w:sz w:val="24"/>
                <w:highlight w:val="none"/>
                <w:lang w:eastAsia="zh-CN"/>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本项目的有机废气处理过程会产生废活性炭，</w:t>
            </w:r>
            <w:r>
              <w:rPr>
                <w:rFonts w:hint="default" w:ascii="Times New Roman" w:hAnsi="Times New Roman" w:cs="Times New Roman"/>
                <w:color w:val="000000"/>
                <w:sz w:val="24"/>
                <w:szCs w:val="24"/>
                <w:highlight w:val="none"/>
              </w:rPr>
              <w:t>根据《国家危险废物名录》（</w:t>
            </w:r>
            <w:r>
              <w:rPr>
                <w:rFonts w:hint="default" w:ascii="Times New Roman" w:hAnsi="Times New Roman" w:cs="Times New Roman"/>
                <w:color w:val="000000"/>
                <w:sz w:val="24"/>
                <w:highlight w:val="none"/>
                <w:lang w:val="en-US" w:eastAsia="zh-CN"/>
              </w:rPr>
              <w:t>202</w:t>
            </w:r>
            <w:r>
              <w:rPr>
                <w:rFonts w:hint="eastAsia" w:cs="Times New Roman"/>
                <w:color w:val="000000"/>
                <w:sz w:val="24"/>
                <w:highlight w:val="none"/>
                <w:lang w:val="en-US" w:eastAsia="zh-CN"/>
              </w:rPr>
              <w:t>5</w:t>
            </w:r>
            <w:r>
              <w:rPr>
                <w:rFonts w:hint="default" w:ascii="Times New Roman" w:hAnsi="Times New Roman" w:cs="Times New Roman"/>
                <w:color w:val="000000"/>
                <w:sz w:val="24"/>
                <w:highlight w:val="none"/>
                <w:lang w:val="en-US" w:eastAsia="zh-CN"/>
              </w:rPr>
              <w:t>年版</w:t>
            </w:r>
            <w:r>
              <w:rPr>
                <w:rFonts w:hint="default" w:ascii="Times New Roman" w:hAnsi="Times New Roman" w:cs="Times New Roman"/>
                <w:color w:val="000000"/>
                <w:sz w:val="24"/>
                <w:szCs w:val="24"/>
                <w:highlight w:val="none"/>
              </w:rPr>
              <w:t>），</w:t>
            </w:r>
            <w:r>
              <w:rPr>
                <w:rFonts w:hint="default" w:ascii="Times New Roman" w:hAnsi="Times New Roman" w:cs="Times New Roman"/>
                <w:color w:val="000000"/>
                <w:sz w:val="24"/>
                <w:szCs w:val="24"/>
                <w:highlight w:val="none"/>
                <w:lang w:eastAsia="zh-CN"/>
              </w:rPr>
              <w:t>废活性炭</w:t>
            </w:r>
            <w:r>
              <w:rPr>
                <w:rFonts w:hint="default" w:ascii="Times New Roman" w:hAnsi="Times New Roman" w:cs="Times New Roman"/>
                <w:color w:val="000000"/>
                <w:sz w:val="24"/>
                <w:szCs w:val="24"/>
                <w:highlight w:val="none"/>
              </w:rPr>
              <w:t>属于HW49其他废物</w:t>
            </w:r>
            <w:r>
              <w:rPr>
                <w:rFonts w:hint="default" w:ascii="Times New Roman" w:hAnsi="Times New Roman" w:cs="Times New Roman"/>
                <w:color w:val="000000"/>
                <w:sz w:val="24"/>
                <w:szCs w:val="24"/>
                <w:highlight w:val="none"/>
                <w:lang w:eastAsia="zh-CN"/>
              </w:rPr>
              <w:t>，废物代码</w:t>
            </w:r>
            <w:r>
              <w:rPr>
                <w:rFonts w:hint="default" w:ascii="Times New Roman" w:hAnsi="Times New Roman" w:cs="Times New Roman"/>
                <w:color w:val="000000"/>
                <w:sz w:val="24"/>
                <w:szCs w:val="24"/>
                <w:highlight w:val="none"/>
                <w:lang w:val="en-US" w:eastAsia="zh-CN"/>
              </w:rPr>
              <w:t>900-03</w:t>
            </w:r>
            <w:r>
              <w:rPr>
                <w:rFonts w:hint="eastAsia" w:cs="Times New Roman"/>
                <w:color w:val="000000"/>
                <w:sz w:val="24"/>
                <w:szCs w:val="24"/>
                <w:highlight w:val="none"/>
                <w:lang w:val="en-US" w:eastAsia="zh-CN"/>
              </w:rPr>
              <w:t>9</w:t>
            </w:r>
            <w:r>
              <w:rPr>
                <w:rFonts w:hint="default" w:ascii="Times New Roman" w:hAnsi="Times New Roman" w:cs="Times New Roman"/>
                <w:color w:val="000000"/>
                <w:sz w:val="24"/>
                <w:szCs w:val="24"/>
                <w:highlight w:val="none"/>
                <w:lang w:val="en-US" w:eastAsia="zh-CN"/>
              </w:rPr>
              <w:t>-49</w:t>
            </w:r>
            <w:r>
              <w:rPr>
                <w:rFonts w:hint="eastAsia" w:cs="Times New Roman"/>
                <w:color w:val="000000"/>
                <w:sz w:val="24"/>
                <w:szCs w:val="24"/>
                <w:highlight w:val="none"/>
                <w:lang w:val="en-US" w:eastAsia="zh-CN"/>
              </w:rPr>
              <w:t>，</w:t>
            </w:r>
            <w:r>
              <w:rPr>
                <w:rFonts w:hint="default" w:ascii="Times New Roman" w:hAnsi="Times New Roman" w:eastAsia="宋体" w:cs="Times New Roman"/>
                <w:color w:val="000000" w:themeColor="text1"/>
                <w:sz w:val="24"/>
                <w:szCs w:val="24"/>
                <w:highlight w:val="none"/>
                <w14:textFill>
                  <w14:solidFill>
                    <w14:schemeClr w14:val="tx1"/>
                  </w14:solidFill>
                </w14:textFill>
              </w:rPr>
              <w:t>危险废物由专用容器收集，暂存在厂区</w:t>
            </w:r>
            <w:r>
              <w:rPr>
                <w:rFonts w:hint="default" w:ascii="Times New Roman" w:hAnsi="Times New Roman" w:eastAsia="宋体" w:cs="Times New Roman"/>
                <w:color w:val="000000" w:themeColor="text1"/>
                <w:sz w:val="24"/>
                <w:szCs w:val="24"/>
                <w:highlight w:val="none"/>
                <w:lang w:eastAsia="zh-CN"/>
                <w14:textFill>
                  <w14:solidFill>
                    <w14:schemeClr w14:val="tx1"/>
                  </w14:solidFill>
                </w14:textFill>
              </w:rPr>
              <w:t>危险废物贮存</w:t>
            </w:r>
            <w:r>
              <w:rPr>
                <w:rFonts w:hint="eastAsia" w:cs="Times New Roman"/>
                <w:color w:val="000000" w:themeColor="text1"/>
                <w:sz w:val="24"/>
                <w:szCs w:val="24"/>
                <w:highlight w:val="none"/>
                <w:lang w:val="en-US" w:eastAsia="zh-CN"/>
                <w14:textFill>
                  <w14:solidFill>
                    <w14:schemeClr w14:val="tx1"/>
                  </w14:solidFill>
                </w14:textFill>
              </w:rPr>
              <w:t>库</w:t>
            </w:r>
            <w:r>
              <w:rPr>
                <w:rFonts w:hint="default" w:ascii="Times New Roman" w:hAnsi="Times New Roman" w:eastAsia="宋体" w:cs="Times New Roman"/>
                <w:color w:val="000000" w:themeColor="text1"/>
                <w:sz w:val="24"/>
                <w:szCs w:val="24"/>
                <w:highlight w:val="none"/>
                <w14:textFill>
                  <w14:solidFill>
                    <w14:schemeClr w14:val="tx1"/>
                  </w14:solidFill>
                </w14:textFill>
              </w:rPr>
              <w:t>内，定期由有资质单位处置。</w:t>
            </w:r>
            <w:r>
              <w:rPr>
                <w:rFonts w:hint="default"/>
                <w:color w:val="000000"/>
                <w:sz w:val="24"/>
              </w:rPr>
              <w:t>活性炭吸附能力按照250kg/t-活性炭计算，</w:t>
            </w:r>
            <w:r>
              <w:rPr>
                <w:rFonts w:hint="eastAsia"/>
                <w:color w:val="000000"/>
                <w:sz w:val="24"/>
              </w:rPr>
              <w:t>因此废活性炭产生量约为</w:t>
            </w:r>
            <w:r>
              <w:rPr>
                <w:rFonts w:hint="eastAsia"/>
                <w:color w:val="000000"/>
                <w:sz w:val="24"/>
                <w:lang w:val="en-US" w:eastAsia="zh-CN"/>
              </w:rPr>
              <w:t>40t</w:t>
            </w:r>
            <w:r>
              <w:rPr>
                <w:rFonts w:hint="eastAsia"/>
                <w:color w:val="000000"/>
                <w:sz w:val="24"/>
              </w:rPr>
              <w:t>/a</w:t>
            </w:r>
            <w:r>
              <w:rPr>
                <w:rFonts w:hint="eastAsia"/>
                <w:color w:val="000000"/>
                <w:sz w:val="24"/>
                <w:lang w:eastAsia="zh-CN"/>
              </w:rPr>
              <w:t>。</w:t>
            </w:r>
          </w:p>
          <w:p w14:paraId="6A11DCE7">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本项目固废产生及处置情况如下：</w:t>
            </w:r>
          </w:p>
          <w:p w14:paraId="53BF8840">
            <w:pPr>
              <w:pStyle w:val="115"/>
              <w:keepNext w:val="0"/>
              <w:keepLines w:val="0"/>
              <w:suppressLineNumbers w:val="0"/>
              <w:spacing w:before="0" w:beforeAutospacing="0" w:after="0" w:afterAutospacing="0" w:line="360" w:lineRule="auto"/>
              <w:ind w:left="0" w:right="0" w:firstLine="0"/>
              <w:rPr>
                <w:rFonts w:hint="default" w:ascii="Times New Roman" w:hAnsi="Times New Roman" w:eastAsia="宋体" w:cs="Times New Roman"/>
                <w:color w:val="000000" w:themeColor="text1"/>
                <w:sz w:val="21"/>
                <w:szCs w:val="18"/>
                <w:highlight w:val="none"/>
                <w14:textFill>
                  <w14:solidFill>
                    <w14:schemeClr w14:val="tx1"/>
                  </w14:solidFill>
                </w14:textFill>
              </w:rPr>
            </w:pPr>
            <w:r>
              <w:rPr>
                <w:rFonts w:hint="default" w:ascii="Times New Roman" w:hAnsi="Times New Roman" w:eastAsia="宋体" w:cs="Times New Roman"/>
                <w:color w:val="000000" w:themeColor="text1"/>
                <w:sz w:val="21"/>
                <w:szCs w:val="18"/>
                <w:highlight w:val="none"/>
                <w14:textFill>
                  <w14:solidFill>
                    <w14:schemeClr w14:val="tx1"/>
                  </w14:solidFill>
                </w14:textFill>
              </w:rPr>
              <w:t>表4-</w:t>
            </w:r>
            <w:r>
              <w:rPr>
                <w:rFonts w:hint="eastAsia" w:ascii="Times New Roman" w:hAnsi="Times New Roman" w:cs="Times New Roman"/>
                <w:color w:val="000000" w:themeColor="text1"/>
                <w:sz w:val="21"/>
                <w:szCs w:val="18"/>
                <w:highlight w:val="none"/>
                <w:lang w:val="en-US" w:eastAsia="zh-CN"/>
                <w14:textFill>
                  <w14:solidFill>
                    <w14:schemeClr w14:val="tx1"/>
                  </w14:solidFill>
                </w14:textFill>
              </w:rPr>
              <w:t>6</w:t>
            </w:r>
            <w:r>
              <w:rPr>
                <w:rFonts w:hint="default" w:ascii="Times New Roman" w:hAnsi="Times New Roman" w:eastAsia="宋体" w:cs="Times New Roman"/>
                <w:color w:val="000000" w:themeColor="text1"/>
                <w:sz w:val="21"/>
                <w:szCs w:val="18"/>
                <w:highlight w:val="none"/>
                <w14:textFill>
                  <w14:solidFill>
                    <w14:schemeClr w14:val="tx1"/>
                  </w14:solidFill>
                </w14:textFill>
              </w:rPr>
              <w:t xml:space="preserve">   本项目固体废物产生及处置情况一览表</w:t>
            </w:r>
          </w:p>
          <w:tbl>
            <w:tblPr>
              <w:tblStyle w:val="41"/>
              <w:tblW w:w="845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09"/>
              <w:gridCol w:w="991"/>
              <w:gridCol w:w="618"/>
              <w:gridCol w:w="1826"/>
              <w:gridCol w:w="1288"/>
              <w:gridCol w:w="1295"/>
              <w:gridCol w:w="2028"/>
            </w:tblGrid>
            <w:tr w14:paraId="06FF7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4" w:hRule="atLeast"/>
                <w:tblHeader/>
                <w:jc w:val="center"/>
              </w:trPr>
              <w:tc>
                <w:tcPr>
                  <w:tcW w:w="409" w:type="dxa"/>
                  <w:tcBorders>
                    <w:tl2br w:val="nil"/>
                    <w:tr2bl w:val="nil"/>
                  </w:tcBorders>
                  <w:tcMar>
                    <w:left w:w="28" w:type="dxa"/>
                    <w:right w:w="28" w:type="dxa"/>
                  </w:tcMar>
                  <w:vAlign w:val="center"/>
                </w:tcPr>
                <w:p w14:paraId="796E832D">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编号</w:t>
                  </w:r>
                </w:p>
              </w:tc>
              <w:tc>
                <w:tcPr>
                  <w:tcW w:w="991" w:type="dxa"/>
                  <w:tcBorders>
                    <w:tl2br w:val="nil"/>
                    <w:tr2bl w:val="nil"/>
                  </w:tcBorders>
                  <w:tcMar>
                    <w:left w:w="28" w:type="dxa"/>
                    <w:right w:w="28" w:type="dxa"/>
                  </w:tcMar>
                  <w:vAlign w:val="center"/>
                </w:tcPr>
                <w:p w14:paraId="2710E929">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废物</w:t>
                  </w:r>
                </w:p>
                <w:p w14:paraId="60DFDBA6">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名称</w:t>
                  </w:r>
                </w:p>
              </w:tc>
              <w:tc>
                <w:tcPr>
                  <w:tcW w:w="2444" w:type="dxa"/>
                  <w:gridSpan w:val="2"/>
                  <w:tcBorders>
                    <w:tl2br w:val="nil"/>
                    <w:tr2bl w:val="nil"/>
                  </w:tcBorders>
                  <w:tcMar>
                    <w:left w:w="28" w:type="dxa"/>
                    <w:right w:w="28" w:type="dxa"/>
                  </w:tcMar>
                  <w:vAlign w:val="center"/>
                </w:tcPr>
                <w:p w14:paraId="49151228">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废物类别</w:t>
                  </w:r>
                </w:p>
              </w:tc>
              <w:tc>
                <w:tcPr>
                  <w:tcW w:w="1288" w:type="dxa"/>
                  <w:tcBorders>
                    <w:tl2br w:val="nil"/>
                    <w:tr2bl w:val="nil"/>
                  </w:tcBorders>
                  <w:tcMar>
                    <w:left w:w="28" w:type="dxa"/>
                    <w:right w:w="28" w:type="dxa"/>
                  </w:tcMar>
                  <w:vAlign w:val="center"/>
                </w:tcPr>
                <w:p w14:paraId="667149F5">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来源</w:t>
                  </w:r>
                </w:p>
              </w:tc>
              <w:tc>
                <w:tcPr>
                  <w:tcW w:w="1295" w:type="dxa"/>
                  <w:tcBorders>
                    <w:tl2br w:val="nil"/>
                    <w:tr2bl w:val="nil"/>
                  </w:tcBorders>
                  <w:vAlign w:val="center"/>
                </w:tcPr>
                <w:p w14:paraId="1434DB12">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产生量（t/a）</w:t>
                  </w:r>
                </w:p>
              </w:tc>
              <w:tc>
                <w:tcPr>
                  <w:tcW w:w="2028" w:type="dxa"/>
                  <w:tcBorders>
                    <w:tl2br w:val="nil"/>
                    <w:tr2bl w:val="nil"/>
                  </w:tcBorders>
                  <w:tcMar>
                    <w:left w:w="28" w:type="dxa"/>
                    <w:right w:w="28" w:type="dxa"/>
                  </w:tcMar>
                  <w:vAlign w:val="center"/>
                </w:tcPr>
                <w:p w14:paraId="66C049F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处置措施</w:t>
                  </w:r>
                </w:p>
              </w:tc>
            </w:tr>
            <w:tr w14:paraId="2E1C1C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09" w:type="dxa"/>
                  <w:tcBorders>
                    <w:tl2br w:val="nil"/>
                    <w:tr2bl w:val="nil"/>
                  </w:tcBorders>
                  <w:tcMar>
                    <w:left w:w="28" w:type="dxa"/>
                    <w:right w:w="28" w:type="dxa"/>
                  </w:tcMar>
                  <w:vAlign w:val="center"/>
                </w:tcPr>
                <w:p w14:paraId="718E381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1</w:t>
                  </w:r>
                </w:p>
              </w:tc>
              <w:tc>
                <w:tcPr>
                  <w:tcW w:w="991" w:type="dxa"/>
                  <w:tcBorders>
                    <w:tl2br w:val="nil"/>
                    <w:tr2bl w:val="nil"/>
                  </w:tcBorders>
                  <w:tcMar>
                    <w:left w:w="28" w:type="dxa"/>
                    <w:right w:w="28" w:type="dxa"/>
                  </w:tcMar>
                  <w:vAlign w:val="center"/>
                </w:tcPr>
                <w:p w14:paraId="28F5BB5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生活垃圾</w:t>
                  </w:r>
                </w:p>
              </w:tc>
              <w:tc>
                <w:tcPr>
                  <w:tcW w:w="2444" w:type="dxa"/>
                  <w:gridSpan w:val="2"/>
                  <w:tcBorders>
                    <w:tl2br w:val="nil"/>
                    <w:tr2bl w:val="nil"/>
                  </w:tcBorders>
                  <w:tcMar>
                    <w:left w:w="28" w:type="dxa"/>
                    <w:right w:w="28" w:type="dxa"/>
                  </w:tcMar>
                  <w:vAlign w:val="center"/>
                </w:tcPr>
                <w:p w14:paraId="00BB3D2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生活垃圾</w:t>
                  </w:r>
                </w:p>
              </w:tc>
              <w:tc>
                <w:tcPr>
                  <w:tcW w:w="1288" w:type="dxa"/>
                  <w:tcBorders>
                    <w:tl2br w:val="nil"/>
                    <w:tr2bl w:val="nil"/>
                  </w:tcBorders>
                  <w:tcMar>
                    <w:left w:w="28" w:type="dxa"/>
                    <w:right w:w="28" w:type="dxa"/>
                  </w:tcMar>
                  <w:vAlign w:val="center"/>
                </w:tcPr>
                <w:p w14:paraId="4732BDD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职工日常工作</w:t>
                  </w:r>
                </w:p>
              </w:tc>
              <w:tc>
                <w:tcPr>
                  <w:tcW w:w="1295" w:type="dxa"/>
                  <w:tcBorders>
                    <w:tl2br w:val="nil"/>
                    <w:tr2bl w:val="nil"/>
                  </w:tcBorders>
                  <w:vAlign w:val="center"/>
                </w:tcPr>
                <w:p w14:paraId="2555592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3.6</w:t>
                  </w:r>
                </w:p>
              </w:tc>
              <w:tc>
                <w:tcPr>
                  <w:tcW w:w="2028" w:type="dxa"/>
                  <w:tcBorders>
                    <w:tl2br w:val="nil"/>
                    <w:tr2bl w:val="nil"/>
                  </w:tcBorders>
                  <w:tcMar>
                    <w:left w:w="28" w:type="dxa"/>
                    <w:right w:w="28" w:type="dxa"/>
                  </w:tcMar>
                  <w:vAlign w:val="center"/>
                </w:tcPr>
                <w:p w14:paraId="4111B56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垃圾桶收集，由环卫部门运往垃圾填埋场处置</w:t>
                  </w:r>
                </w:p>
              </w:tc>
            </w:tr>
            <w:tr w14:paraId="47AD9D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09" w:type="dxa"/>
                  <w:tcBorders>
                    <w:tl2br w:val="nil"/>
                    <w:tr2bl w:val="nil"/>
                  </w:tcBorders>
                  <w:tcMar>
                    <w:left w:w="28" w:type="dxa"/>
                    <w:right w:w="28" w:type="dxa"/>
                  </w:tcMar>
                  <w:vAlign w:val="center"/>
                </w:tcPr>
                <w:p w14:paraId="0641E63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2</w:t>
                  </w:r>
                </w:p>
              </w:tc>
              <w:tc>
                <w:tcPr>
                  <w:tcW w:w="991" w:type="dxa"/>
                  <w:tcBorders>
                    <w:tl2br w:val="nil"/>
                    <w:tr2bl w:val="nil"/>
                  </w:tcBorders>
                  <w:tcMar>
                    <w:left w:w="28" w:type="dxa"/>
                    <w:right w:w="28" w:type="dxa"/>
                  </w:tcMar>
                  <w:vAlign w:val="center"/>
                </w:tcPr>
                <w:p w14:paraId="0687783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除尘灰</w:t>
                  </w:r>
                </w:p>
              </w:tc>
              <w:tc>
                <w:tcPr>
                  <w:tcW w:w="618" w:type="dxa"/>
                  <w:vMerge w:val="restart"/>
                  <w:tcBorders>
                    <w:tl2br w:val="nil"/>
                    <w:tr2bl w:val="nil"/>
                  </w:tcBorders>
                  <w:tcMar>
                    <w:left w:w="28" w:type="dxa"/>
                    <w:right w:w="28" w:type="dxa"/>
                  </w:tcMar>
                  <w:vAlign w:val="center"/>
                </w:tcPr>
                <w:p w14:paraId="75BC56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一般固废</w:t>
                  </w:r>
                </w:p>
              </w:tc>
              <w:tc>
                <w:tcPr>
                  <w:tcW w:w="1826" w:type="dxa"/>
                  <w:tcBorders>
                    <w:tl2br w:val="nil"/>
                    <w:tr2bl w:val="nil"/>
                  </w:tcBorders>
                  <w:tcMar>
                    <w:left w:w="28" w:type="dxa"/>
                    <w:right w:w="28" w:type="dxa"/>
                  </w:tcMar>
                  <w:vAlign w:val="center"/>
                </w:tcPr>
                <w:p w14:paraId="2D2C014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900-099-S59</w:t>
                  </w:r>
                </w:p>
              </w:tc>
              <w:tc>
                <w:tcPr>
                  <w:tcW w:w="1288" w:type="dxa"/>
                  <w:tcBorders>
                    <w:tl2br w:val="nil"/>
                    <w:tr2bl w:val="nil"/>
                  </w:tcBorders>
                  <w:shd w:val="clear" w:color="auto" w:fill="auto"/>
                  <w:tcMar>
                    <w:left w:w="28" w:type="dxa"/>
                    <w:right w:w="28" w:type="dxa"/>
                  </w:tcMar>
                  <w:vAlign w:val="center"/>
                </w:tcPr>
                <w:p w14:paraId="4182CE6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kern w:val="2"/>
                      <w:sz w:val="21"/>
                      <w:szCs w:val="24"/>
                      <w:highlight w:val="none"/>
                      <w:lang w:val="en-US" w:eastAsia="zh-CN" w:bidi="ar-SA"/>
                      <w14:textFill>
                        <w14:solidFill>
                          <w14:schemeClr w14:val="tx1"/>
                        </w14:solidFill>
                      </w14:textFill>
                    </w:rPr>
                    <w:t>废气处理设施</w:t>
                  </w:r>
                </w:p>
              </w:tc>
              <w:tc>
                <w:tcPr>
                  <w:tcW w:w="1295" w:type="dxa"/>
                  <w:tcBorders>
                    <w:tl2br w:val="nil"/>
                    <w:tr2bl w:val="nil"/>
                  </w:tcBorders>
                  <w:shd w:val="clear" w:color="auto" w:fill="auto"/>
                  <w:vAlign w:val="center"/>
                </w:tcPr>
                <w:p w14:paraId="558B458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kern w:val="2"/>
                      <w:sz w:val="21"/>
                      <w:szCs w:val="24"/>
                      <w:highlight w:val="none"/>
                      <w:lang w:val="en-US" w:eastAsia="zh-CN" w:bidi="ar-SA"/>
                      <w14:textFill>
                        <w14:solidFill>
                          <w14:schemeClr w14:val="tx1"/>
                        </w14:solidFill>
                      </w14:textFill>
                    </w:rPr>
                    <w:t>209.72</w:t>
                  </w:r>
                </w:p>
              </w:tc>
              <w:tc>
                <w:tcPr>
                  <w:tcW w:w="2028" w:type="dxa"/>
                  <w:tcBorders>
                    <w:tl2br w:val="nil"/>
                    <w:tr2bl w:val="nil"/>
                  </w:tcBorders>
                  <w:tcMar>
                    <w:left w:w="28" w:type="dxa"/>
                    <w:right w:w="28" w:type="dxa"/>
                  </w:tcMar>
                  <w:vAlign w:val="center"/>
                </w:tcPr>
                <w:p w14:paraId="0FF2C13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回用于生产</w:t>
                  </w:r>
                </w:p>
              </w:tc>
            </w:tr>
            <w:tr w14:paraId="122E13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09" w:type="dxa"/>
                  <w:tcBorders>
                    <w:tl2br w:val="nil"/>
                    <w:tr2bl w:val="nil"/>
                  </w:tcBorders>
                  <w:tcMar>
                    <w:left w:w="28" w:type="dxa"/>
                    <w:right w:w="28" w:type="dxa"/>
                  </w:tcMar>
                  <w:vAlign w:val="center"/>
                </w:tcPr>
                <w:p w14:paraId="364BC81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3</w:t>
                  </w:r>
                </w:p>
              </w:tc>
              <w:tc>
                <w:tcPr>
                  <w:tcW w:w="991" w:type="dxa"/>
                  <w:tcBorders>
                    <w:tl2br w:val="nil"/>
                    <w:tr2bl w:val="nil"/>
                  </w:tcBorders>
                  <w:shd w:val="clear" w:color="auto" w:fill="auto"/>
                  <w:tcMar>
                    <w:left w:w="28" w:type="dxa"/>
                    <w:right w:w="28" w:type="dxa"/>
                  </w:tcMar>
                  <w:vAlign w:val="center"/>
                </w:tcPr>
                <w:p w14:paraId="24FC0C4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废焦油</w:t>
                  </w:r>
                </w:p>
              </w:tc>
              <w:tc>
                <w:tcPr>
                  <w:tcW w:w="618" w:type="dxa"/>
                  <w:vMerge w:val="continue"/>
                  <w:tcBorders>
                    <w:tl2br w:val="nil"/>
                    <w:tr2bl w:val="nil"/>
                  </w:tcBorders>
                  <w:shd w:val="clear" w:color="auto" w:fill="auto"/>
                  <w:tcMar>
                    <w:left w:w="28" w:type="dxa"/>
                    <w:right w:w="28" w:type="dxa"/>
                  </w:tcMar>
                  <w:vAlign w:val="center"/>
                </w:tcPr>
                <w:p w14:paraId="074FC3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p>
              </w:tc>
              <w:tc>
                <w:tcPr>
                  <w:tcW w:w="1826" w:type="dxa"/>
                  <w:tcBorders>
                    <w:tl2br w:val="nil"/>
                    <w:tr2bl w:val="nil"/>
                  </w:tcBorders>
                  <w:shd w:val="clear" w:color="auto" w:fill="auto"/>
                  <w:tcMar>
                    <w:left w:w="28" w:type="dxa"/>
                    <w:right w:w="28" w:type="dxa"/>
                  </w:tcMar>
                  <w:vAlign w:val="center"/>
                </w:tcPr>
                <w:p w14:paraId="2314AC1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900-099-S59</w:t>
                  </w:r>
                </w:p>
              </w:tc>
              <w:tc>
                <w:tcPr>
                  <w:tcW w:w="1288" w:type="dxa"/>
                  <w:tcBorders>
                    <w:tl2br w:val="nil"/>
                    <w:tr2bl w:val="nil"/>
                  </w:tcBorders>
                  <w:shd w:val="clear" w:color="auto" w:fill="auto"/>
                  <w:tcMar>
                    <w:left w:w="28" w:type="dxa"/>
                    <w:right w:w="28" w:type="dxa"/>
                  </w:tcMar>
                  <w:vAlign w:val="center"/>
                </w:tcPr>
                <w:p w14:paraId="79F8970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kern w:val="2"/>
                      <w:sz w:val="21"/>
                      <w:szCs w:val="24"/>
                      <w:highlight w:val="none"/>
                      <w:lang w:val="en-US" w:eastAsia="zh-CN" w:bidi="ar-SA"/>
                      <w14:textFill>
                        <w14:solidFill>
                          <w14:schemeClr w14:val="tx1"/>
                        </w14:solidFill>
                      </w14:textFill>
                    </w:rPr>
                    <w:t>废气处理设施</w:t>
                  </w:r>
                </w:p>
              </w:tc>
              <w:tc>
                <w:tcPr>
                  <w:tcW w:w="1295" w:type="dxa"/>
                  <w:tcBorders>
                    <w:tl2br w:val="nil"/>
                    <w:tr2bl w:val="nil"/>
                  </w:tcBorders>
                  <w:shd w:val="clear" w:color="auto" w:fill="auto"/>
                  <w:vAlign w:val="center"/>
                </w:tcPr>
                <w:p w14:paraId="4E2F08D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14.5</w:t>
                  </w:r>
                </w:p>
              </w:tc>
              <w:tc>
                <w:tcPr>
                  <w:tcW w:w="2028" w:type="dxa"/>
                  <w:tcBorders>
                    <w:tl2br w:val="nil"/>
                    <w:tr2bl w:val="nil"/>
                  </w:tcBorders>
                  <w:shd w:val="clear" w:color="auto" w:fill="auto"/>
                  <w:tcMar>
                    <w:left w:w="28" w:type="dxa"/>
                    <w:right w:w="28" w:type="dxa"/>
                  </w:tcMar>
                  <w:vAlign w:val="center"/>
                </w:tcPr>
                <w:p w14:paraId="2E60598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委托资源处置单位处置</w:t>
                  </w:r>
                </w:p>
              </w:tc>
            </w:tr>
            <w:tr w14:paraId="7EAF81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09" w:type="dxa"/>
                  <w:tcBorders>
                    <w:tl2br w:val="nil"/>
                    <w:tr2bl w:val="nil"/>
                  </w:tcBorders>
                  <w:shd w:val="clear" w:color="auto" w:fill="auto"/>
                  <w:tcMar>
                    <w:left w:w="28" w:type="dxa"/>
                    <w:right w:w="28" w:type="dxa"/>
                  </w:tcMar>
                  <w:vAlign w:val="center"/>
                </w:tcPr>
                <w:p w14:paraId="755D81EA">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bCs/>
                      <w:color w:val="000000" w:themeColor="text1"/>
                      <w:kern w:val="0"/>
                      <w:szCs w:val="21"/>
                      <w:highlight w:val="none"/>
                      <w:lang w:val="en-US" w:eastAsia="zh-CN"/>
                      <w14:textFill>
                        <w14:solidFill>
                          <w14:schemeClr w14:val="tx1"/>
                        </w14:solidFill>
                      </w14:textFill>
                    </w:rPr>
                    <w:t>4</w:t>
                  </w:r>
                </w:p>
              </w:tc>
              <w:tc>
                <w:tcPr>
                  <w:tcW w:w="991" w:type="dxa"/>
                  <w:tcBorders>
                    <w:tl2br w:val="nil"/>
                    <w:tr2bl w:val="nil"/>
                  </w:tcBorders>
                  <w:tcMar>
                    <w:left w:w="28" w:type="dxa"/>
                    <w:right w:w="28" w:type="dxa"/>
                  </w:tcMar>
                  <w:vAlign w:val="center"/>
                </w:tcPr>
                <w:p w14:paraId="3477DE9B">
                  <w:pPr>
                    <w:pStyle w:val="151"/>
                    <w:keepNext w:val="0"/>
                    <w:keepLines w:val="0"/>
                    <w:suppressLineNumbers w:val="0"/>
                    <w:bidi w:val="0"/>
                    <w:spacing w:beforeAutospacing="0" w:afterAutospacing="0" w:line="240" w:lineRule="auto"/>
                    <w:ind w:left="0" w:right="113" w:rightChars="0" w:firstLine="0" w:firstLineChars="0"/>
                    <w:jc w:val="center"/>
                    <w:rPr>
                      <w:rFonts w:hint="default" w:ascii="Times New Roman" w:hAnsi="Times New Roman" w:eastAsia="宋体" w:cs="Times New Roman"/>
                      <w:color w:val="000000"/>
                      <w:kern w:val="0"/>
                      <w:sz w:val="21"/>
                      <w:szCs w:val="21"/>
                      <w:highlight w:val="none"/>
                      <w:lang w:val="en-US" w:eastAsia="zh-CN" w:bidi="ar-SA"/>
                    </w:rPr>
                  </w:pPr>
                  <w:r>
                    <w:rPr>
                      <w:rFonts w:hint="default"/>
                      <w:color w:val="000000"/>
                      <w:sz w:val="21"/>
                      <w:szCs w:val="21"/>
                      <w:highlight w:val="none"/>
                    </w:rPr>
                    <w:t>废</w:t>
                  </w:r>
                  <w:r>
                    <w:rPr>
                      <w:rFonts w:hint="eastAsia"/>
                      <w:color w:val="000000"/>
                      <w:sz w:val="21"/>
                      <w:szCs w:val="21"/>
                      <w:highlight w:val="none"/>
                      <w:lang w:eastAsia="zh-CN"/>
                    </w:rPr>
                    <w:t>机油</w:t>
                  </w:r>
                </w:p>
              </w:tc>
              <w:tc>
                <w:tcPr>
                  <w:tcW w:w="618" w:type="dxa"/>
                  <w:vMerge w:val="restart"/>
                  <w:tcBorders>
                    <w:tl2br w:val="nil"/>
                    <w:tr2bl w:val="nil"/>
                  </w:tcBorders>
                  <w:tcMar>
                    <w:left w:w="28" w:type="dxa"/>
                    <w:right w:w="28" w:type="dxa"/>
                  </w:tcMar>
                  <w:vAlign w:val="center"/>
                </w:tcPr>
                <w:p w14:paraId="62871FCA">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危险废物</w:t>
                  </w:r>
                </w:p>
              </w:tc>
              <w:tc>
                <w:tcPr>
                  <w:tcW w:w="1826" w:type="dxa"/>
                  <w:tcBorders>
                    <w:tl2br w:val="nil"/>
                    <w:tr2bl w:val="nil"/>
                  </w:tcBorders>
                  <w:vAlign w:val="center"/>
                </w:tcPr>
                <w:p w14:paraId="4445C258">
                  <w:pPr>
                    <w:pStyle w:val="142"/>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default" w:ascii="Times New Roman" w:hAnsi="Times New Roman" w:eastAsia="宋体" w:cs="Times New Roman"/>
                      <w:b w:val="0"/>
                      <w:bCs w:val="0"/>
                      <w:color w:val="000000"/>
                      <w:kern w:val="2"/>
                      <w:sz w:val="21"/>
                      <w:szCs w:val="21"/>
                      <w:highlight w:val="none"/>
                      <w:lang w:val="en-US" w:eastAsia="zh-CN" w:bidi="ar-SA"/>
                    </w:rPr>
                    <w:t>HW</w:t>
                  </w:r>
                  <w:r>
                    <w:rPr>
                      <w:rFonts w:hint="eastAsia" w:ascii="Times New Roman" w:hAnsi="Times New Roman" w:cs="Times New Roman"/>
                      <w:b w:val="0"/>
                      <w:bCs w:val="0"/>
                      <w:color w:val="000000"/>
                      <w:kern w:val="2"/>
                      <w:sz w:val="21"/>
                      <w:szCs w:val="21"/>
                      <w:highlight w:val="none"/>
                      <w:lang w:val="en-US" w:eastAsia="zh-CN" w:bidi="ar-SA"/>
                    </w:rPr>
                    <w:t>0</w:t>
                  </w:r>
                  <w:r>
                    <w:rPr>
                      <w:rFonts w:hint="eastAsia" w:ascii="Times New Roman" w:hAnsi="Times New Roman" w:eastAsia="宋体" w:cs="Times New Roman"/>
                      <w:b w:val="0"/>
                      <w:bCs w:val="0"/>
                      <w:color w:val="000000"/>
                      <w:kern w:val="2"/>
                      <w:sz w:val="21"/>
                      <w:szCs w:val="21"/>
                      <w:highlight w:val="none"/>
                      <w:lang w:val="en-US" w:eastAsia="zh-CN" w:bidi="ar-SA"/>
                    </w:rPr>
                    <w:t>8-</w:t>
                  </w:r>
                  <w:r>
                    <w:rPr>
                      <w:rFonts w:hint="default" w:ascii="Times New Roman" w:hAnsi="Times New Roman" w:eastAsia="宋体" w:cs="Times New Roman"/>
                      <w:b w:val="0"/>
                      <w:bCs w:val="0"/>
                      <w:color w:val="000000"/>
                      <w:kern w:val="2"/>
                      <w:sz w:val="21"/>
                      <w:szCs w:val="21"/>
                      <w:highlight w:val="none"/>
                      <w:lang w:val="en-US" w:eastAsia="zh-CN" w:bidi="ar-SA"/>
                    </w:rPr>
                    <w:t>900-214-08</w:t>
                  </w:r>
                </w:p>
              </w:tc>
              <w:tc>
                <w:tcPr>
                  <w:tcW w:w="1288" w:type="dxa"/>
                  <w:tcBorders>
                    <w:tl2br w:val="nil"/>
                    <w:tr2bl w:val="nil"/>
                  </w:tcBorders>
                  <w:tcMar>
                    <w:left w:w="28" w:type="dxa"/>
                    <w:right w:w="28" w:type="dxa"/>
                  </w:tcMar>
                  <w:vAlign w:val="center"/>
                </w:tcPr>
                <w:p w14:paraId="35CB6E9C">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设备维修</w:t>
                  </w:r>
                </w:p>
              </w:tc>
              <w:tc>
                <w:tcPr>
                  <w:tcW w:w="1295" w:type="dxa"/>
                  <w:tcBorders>
                    <w:tl2br w:val="nil"/>
                    <w:tr2bl w:val="nil"/>
                  </w:tcBorders>
                  <w:vAlign w:val="center"/>
                </w:tcPr>
                <w:p w14:paraId="19B0D97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olor w:val="000000"/>
                      <w:highlight w:val="none"/>
                      <w:lang w:val="en-US" w:eastAsia="zh-CN"/>
                    </w:rPr>
                    <w:t>0.01</w:t>
                  </w:r>
                </w:p>
              </w:tc>
              <w:tc>
                <w:tcPr>
                  <w:tcW w:w="2028" w:type="dxa"/>
                  <w:vMerge w:val="restart"/>
                  <w:tcBorders>
                    <w:tl2br w:val="nil"/>
                    <w:tr2bl w:val="nil"/>
                  </w:tcBorders>
                  <w:tcMar>
                    <w:left w:w="28" w:type="dxa"/>
                    <w:right w:w="28" w:type="dxa"/>
                  </w:tcMar>
                  <w:vAlign w:val="center"/>
                </w:tcPr>
                <w:p w14:paraId="5A51C8D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eastAsia" w:ascii="Times New Roman" w:hAnsi="Times New Roman" w:eastAsia="宋体" w:cs="Times New Roman"/>
                      <w:color w:val="000000"/>
                      <w:sz w:val="21"/>
                      <w:szCs w:val="21"/>
                      <w:highlight w:val="none"/>
                      <w:lang w:val="en-US" w:eastAsia="zh-CN"/>
                    </w:rPr>
                    <w:t>危废贮存库暂存</w:t>
                  </w:r>
                  <w:r>
                    <w:rPr>
                      <w:rFonts w:hint="eastAsia" w:ascii="Times New Roman" w:hAnsi="Times New Roman" w:cs="Times New Roman"/>
                      <w:color w:val="000000"/>
                      <w:sz w:val="21"/>
                      <w:szCs w:val="21"/>
                      <w:highlight w:val="none"/>
                      <w:lang w:val="en-US" w:eastAsia="zh-CN"/>
                    </w:rPr>
                    <w:t>后</w:t>
                  </w:r>
                  <w:r>
                    <w:rPr>
                      <w:rFonts w:hint="eastAsia" w:ascii="Times New Roman" w:hAnsi="Times New Roman" w:eastAsia="宋体" w:cs="Times New Roman"/>
                      <w:color w:val="000000"/>
                      <w:sz w:val="21"/>
                      <w:szCs w:val="21"/>
                      <w:highlight w:val="none"/>
                      <w:lang w:val="en-US" w:eastAsia="zh-CN"/>
                    </w:rPr>
                    <w:t>交有资质单位处置</w:t>
                  </w:r>
                </w:p>
              </w:tc>
            </w:tr>
            <w:tr w14:paraId="1D1987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09" w:type="dxa"/>
                  <w:tcBorders>
                    <w:tl2br w:val="nil"/>
                    <w:tr2bl w:val="nil"/>
                  </w:tcBorders>
                  <w:shd w:val="clear" w:color="auto" w:fill="auto"/>
                  <w:tcMar>
                    <w:left w:w="28" w:type="dxa"/>
                    <w:right w:w="28" w:type="dxa"/>
                  </w:tcMar>
                  <w:vAlign w:val="center"/>
                </w:tcPr>
                <w:p w14:paraId="30B6FBB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6</w:t>
                  </w:r>
                </w:p>
              </w:tc>
              <w:tc>
                <w:tcPr>
                  <w:tcW w:w="991" w:type="dxa"/>
                  <w:tcBorders>
                    <w:tl2br w:val="nil"/>
                    <w:tr2bl w:val="nil"/>
                  </w:tcBorders>
                  <w:tcMar>
                    <w:left w:w="28" w:type="dxa"/>
                    <w:right w:w="28" w:type="dxa"/>
                  </w:tcMar>
                  <w:vAlign w:val="center"/>
                </w:tcPr>
                <w:p w14:paraId="2673BB1C">
                  <w:pPr>
                    <w:pStyle w:val="151"/>
                    <w:keepNext w:val="0"/>
                    <w:keepLines w:val="0"/>
                    <w:suppressLineNumbers w:val="0"/>
                    <w:bidi w:val="0"/>
                    <w:spacing w:beforeAutospacing="0" w:afterAutospacing="0" w:line="240" w:lineRule="auto"/>
                    <w:ind w:left="0" w:right="113" w:rightChars="0" w:firstLine="0" w:firstLineChars="0"/>
                    <w:jc w:val="center"/>
                    <w:rPr>
                      <w:rFonts w:hint="default" w:ascii="Times New Roman" w:hAnsi="Times New Roman" w:eastAsia="宋体" w:cs="Times New Roman"/>
                      <w:color w:val="000000"/>
                      <w:kern w:val="0"/>
                      <w:sz w:val="21"/>
                      <w:szCs w:val="21"/>
                      <w:highlight w:val="none"/>
                      <w:lang w:val="en-US" w:eastAsia="zh-CN" w:bidi="ar-SA"/>
                    </w:rPr>
                  </w:pPr>
                  <w:r>
                    <w:rPr>
                      <w:rFonts w:hint="eastAsia"/>
                      <w:color w:val="000000"/>
                      <w:sz w:val="21"/>
                      <w:szCs w:val="21"/>
                      <w:highlight w:val="none"/>
                      <w:lang w:eastAsia="zh-CN"/>
                    </w:rPr>
                    <w:t>废机油桶</w:t>
                  </w:r>
                </w:p>
              </w:tc>
              <w:tc>
                <w:tcPr>
                  <w:tcW w:w="618" w:type="dxa"/>
                  <w:vMerge w:val="continue"/>
                  <w:tcBorders>
                    <w:tl2br w:val="nil"/>
                    <w:tr2bl w:val="nil"/>
                  </w:tcBorders>
                  <w:tcMar>
                    <w:left w:w="28" w:type="dxa"/>
                    <w:right w:w="28" w:type="dxa"/>
                  </w:tcMar>
                  <w:vAlign w:val="center"/>
                </w:tcPr>
                <w:p w14:paraId="25FCE09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14:textFill>
                        <w14:solidFill>
                          <w14:schemeClr w14:val="tx1"/>
                        </w14:solidFill>
                      </w14:textFill>
                    </w:rPr>
                  </w:pPr>
                </w:p>
              </w:tc>
              <w:tc>
                <w:tcPr>
                  <w:tcW w:w="1826" w:type="dxa"/>
                  <w:tcBorders>
                    <w:tl2br w:val="nil"/>
                    <w:tr2bl w:val="nil"/>
                  </w:tcBorders>
                  <w:vAlign w:val="center"/>
                </w:tcPr>
                <w:p w14:paraId="6F06AA75">
                  <w:pPr>
                    <w:pStyle w:val="142"/>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kern w:val="2"/>
                      <w:sz w:val="21"/>
                      <w:szCs w:val="21"/>
                      <w:highlight w:val="none"/>
                      <w:u w:val="none" w:color="000000"/>
                      <w:lang w:val="en-US" w:eastAsia="zh-CN" w:bidi="ar-SA"/>
                    </w:rPr>
                  </w:pPr>
                  <w:r>
                    <w:rPr>
                      <w:rFonts w:hint="default" w:ascii="Times New Roman" w:hAnsi="Times New Roman" w:eastAsia="宋体" w:cs="Times New Roman"/>
                      <w:b w:val="0"/>
                      <w:bCs w:val="0"/>
                      <w:color w:val="000000"/>
                      <w:kern w:val="2"/>
                      <w:sz w:val="21"/>
                      <w:szCs w:val="21"/>
                      <w:highlight w:val="none"/>
                      <w:lang w:val="en-US" w:eastAsia="zh-CN" w:bidi="ar-SA"/>
                    </w:rPr>
                    <w:t>HW49-900-041-49</w:t>
                  </w:r>
                </w:p>
              </w:tc>
              <w:tc>
                <w:tcPr>
                  <w:tcW w:w="1288" w:type="dxa"/>
                  <w:tcBorders>
                    <w:tl2br w:val="nil"/>
                    <w:tr2bl w:val="nil"/>
                  </w:tcBorders>
                  <w:tcMar>
                    <w:left w:w="28" w:type="dxa"/>
                    <w:right w:w="28" w:type="dxa"/>
                  </w:tcMar>
                  <w:vAlign w:val="center"/>
                </w:tcPr>
                <w:p w14:paraId="7BCA1F9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设备维修</w:t>
                  </w:r>
                </w:p>
              </w:tc>
              <w:tc>
                <w:tcPr>
                  <w:tcW w:w="1295" w:type="dxa"/>
                  <w:tcBorders>
                    <w:tl2br w:val="nil"/>
                    <w:tr2bl w:val="nil"/>
                  </w:tcBorders>
                  <w:vAlign w:val="center"/>
                </w:tcPr>
                <w:p w14:paraId="3A04917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0.001</w:t>
                  </w:r>
                </w:p>
              </w:tc>
              <w:tc>
                <w:tcPr>
                  <w:tcW w:w="2028" w:type="dxa"/>
                  <w:vMerge w:val="continue"/>
                  <w:tcBorders>
                    <w:tl2br w:val="nil"/>
                    <w:tr2bl w:val="nil"/>
                  </w:tcBorders>
                  <w:tcMar>
                    <w:left w:w="28" w:type="dxa"/>
                    <w:right w:w="28" w:type="dxa"/>
                  </w:tcMar>
                  <w:vAlign w:val="center"/>
                </w:tcPr>
                <w:p w14:paraId="481F05E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green"/>
                      <w14:textFill>
                        <w14:solidFill>
                          <w14:schemeClr w14:val="tx1"/>
                        </w14:solidFill>
                      </w14:textFill>
                    </w:rPr>
                  </w:pPr>
                </w:p>
              </w:tc>
            </w:tr>
            <w:tr w14:paraId="100714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09" w:type="dxa"/>
                  <w:tcBorders>
                    <w:tl2br w:val="nil"/>
                    <w:tr2bl w:val="nil"/>
                  </w:tcBorders>
                  <w:shd w:val="clear" w:color="auto" w:fill="auto"/>
                  <w:tcMar>
                    <w:left w:w="28" w:type="dxa"/>
                    <w:right w:w="28" w:type="dxa"/>
                  </w:tcMar>
                  <w:vAlign w:val="center"/>
                </w:tcPr>
                <w:p w14:paraId="710C60F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7</w:t>
                  </w:r>
                </w:p>
              </w:tc>
              <w:tc>
                <w:tcPr>
                  <w:tcW w:w="991" w:type="dxa"/>
                  <w:tcBorders>
                    <w:tl2br w:val="nil"/>
                    <w:tr2bl w:val="nil"/>
                  </w:tcBorders>
                  <w:tcMar>
                    <w:left w:w="28" w:type="dxa"/>
                    <w:right w:w="28" w:type="dxa"/>
                  </w:tcMar>
                  <w:vAlign w:val="center"/>
                </w:tcPr>
                <w:p w14:paraId="1340BD86">
                  <w:pPr>
                    <w:pStyle w:val="151"/>
                    <w:keepNext w:val="0"/>
                    <w:keepLines w:val="0"/>
                    <w:suppressLineNumbers w:val="0"/>
                    <w:bidi w:val="0"/>
                    <w:spacing w:beforeAutospacing="0" w:afterAutospacing="0" w:line="240" w:lineRule="auto"/>
                    <w:ind w:left="0" w:right="113" w:rightChars="0" w:firstLine="0" w:firstLineChars="0"/>
                    <w:jc w:val="center"/>
                    <w:rPr>
                      <w:rFonts w:hint="default" w:ascii="Times New Roman" w:hAnsi="Times New Roman" w:eastAsia="宋体" w:cs="Times New Roman"/>
                      <w:color w:val="000000"/>
                      <w:kern w:val="0"/>
                      <w:sz w:val="21"/>
                      <w:szCs w:val="21"/>
                      <w:highlight w:val="none"/>
                      <w:lang w:val="en-US" w:eastAsia="zh-CN" w:bidi="ar-SA"/>
                    </w:rPr>
                  </w:pPr>
                  <w:r>
                    <w:rPr>
                      <w:rFonts w:hint="default"/>
                      <w:color w:val="000000"/>
                      <w:sz w:val="21"/>
                      <w:szCs w:val="21"/>
                      <w:highlight w:val="none"/>
                    </w:rPr>
                    <w:t>废</w:t>
                  </w:r>
                  <w:r>
                    <w:rPr>
                      <w:rFonts w:hint="eastAsia"/>
                      <w:color w:val="000000"/>
                      <w:sz w:val="21"/>
                      <w:szCs w:val="21"/>
                      <w:highlight w:val="none"/>
                      <w:lang w:eastAsia="zh-CN"/>
                    </w:rPr>
                    <w:t>抹布及手套</w:t>
                  </w:r>
                </w:p>
              </w:tc>
              <w:tc>
                <w:tcPr>
                  <w:tcW w:w="618" w:type="dxa"/>
                  <w:vMerge w:val="continue"/>
                  <w:tcBorders>
                    <w:tl2br w:val="nil"/>
                    <w:tr2bl w:val="nil"/>
                  </w:tcBorders>
                  <w:tcMar>
                    <w:left w:w="28" w:type="dxa"/>
                    <w:right w:w="28" w:type="dxa"/>
                  </w:tcMar>
                  <w:vAlign w:val="center"/>
                </w:tcPr>
                <w:p w14:paraId="460598E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14:textFill>
                        <w14:solidFill>
                          <w14:schemeClr w14:val="tx1"/>
                        </w14:solidFill>
                      </w14:textFill>
                    </w:rPr>
                  </w:pPr>
                </w:p>
              </w:tc>
              <w:tc>
                <w:tcPr>
                  <w:tcW w:w="1826" w:type="dxa"/>
                  <w:tcBorders>
                    <w:tl2br w:val="nil"/>
                    <w:tr2bl w:val="nil"/>
                  </w:tcBorders>
                  <w:vAlign w:val="center"/>
                </w:tcPr>
                <w:p w14:paraId="5C3F7B72">
                  <w:pPr>
                    <w:pStyle w:val="142"/>
                    <w:keepNext w:val="0"/>
                    <w:keepLines w:val="0"/>
                    <w:suppressLineNumbers w:val="0"/>
                    <w:bidi w:val="0"/>
                    <w:spacing w:before="0" w:beforeAutospacing="0" w:after="0" w:afterAutospacing="0" w:line="240" w:lineRule="auto"/>
                    <w:ind w:left="0" w:right="0" w:firstLine="0" w:firstLineChars="0"/>
                    <w:jc w:val="center"/>
                    <w:rPr>
                      <w:rFonts w:hint="default" w:ascii="Times New Roman" w:hAnsi="Times New Roman" w:eastAsia="宋体" w:cs="Times New Roman"/>
                      <w:b w:val="0"/>
                      <w:bCs w:val="0"/>
                      <w:color w:val="000000"/>
                      <w:kern w:val="2"/>
                      <w:sz w:val="21"/>
                      <w:szCs w:val="21"/>
                      <w:highlight w:val="none"/>
                      <w:lang w:val="en-US" w:eastAsia="zh-CN" w:bidi="ar-SA"/>
                    </w:rPr>
                  </w:pPr>
                  <w:r>
                    <w:rPr>
                      <w:rFonts w:hint="default" w:ascii="Times New Roman" w:hAnsi="Times New Roman" w:eastAsia="宋体" w:cs="Times New Roman"/>
                      <w:b w:val="0"/>
                      <w:bCs w:val="0"/>
                      <w:color w:val="000000"/>
                      <w:kern w:val="2"/>
                      <w:sz w:val="21"/>
                      <w:szCs w:val="21"/>
                      <w:highlight w:val="none"/>
                      <w:lang w:val="en-US" w:eastAsia="zh-CN" w:bidi="ar-SA"/>
                    </w:rPr>
                    <w:t>HW49-900-041-49</w:t>
                  </w:r>
                </w:p>
              </w:tc>
              <w:tc>
                <w:tcPr>
                  <w:tcW w:w="1288" w:type="dxa"/>
                  <w:tcBorders>
                    <w:tl2br w:val="nil"/>
                    <w:tr2bl w:val="nil"/>
                  </w:tcBorders>
                  <w:tcMar>
                    <w:left w:w="28" w:type="dxa"/>
                    <w:right w:w="28" w:type="dxa"/>
                  </w:tcMar>
                  <w:vAlign w:val="center"/>
                </w:tcPr>
                <w:p w14:paraId="649C329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设备维修</w:t>
                  </w:r>
                </w:p>
              </w:tc>
              <w:tc>
                <w:tcPr>
                  <w:tcW w:w="1295" w:type="dxa"/>
                  <w:tcBorders>
                    <w:tl2br w:val="nil"/>
                    <w:tr2bl w:val="nil"/>
                  </w:tcBorders>
                  <w:vAlign w:val="center"/>
                </w:tcPr>
                <w:p w14:paraId="386C6D9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0.001</w:t>
                  </w:r>
                </w:p>
              </w:tc>
              <w:tc>
                <w:tcPr>
                  <w:tcW w:w="2028" w:type="dxa"/>
                  <w:vMerge w:val="continue"/>
                  <w:tcBorders>
                    <w:tl2br w:val="nil"/>
                    <w:tr2bl w:val="nil"/>
                  </w:tcBorders>
                  <w:tcMar>
                    <w:left w:w="28" w:type="dxa"/>
                    <w:right w:w="28" w:type="dxa"/>
                  </w:tcMar>
                  <w:vAlign w:val="center"/>
                </w:tcPr>
                <w:p w14:paraId="5CE17B7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14:textFill>
                        <w14:solidFill>
                          <w14:schemeClr w14:val="tx1"/>
                        </w14:solidFill>
                      </w14:textFill>
                    </w:rPr>
                  </w:pPr>
                </w:p>
              </w:tc>
            </w:tr>
            <w:tr w14:paraId="757F8F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2" w:hRule="atLeast"/>
                <w:jc w:val="center"/>
              </w:trPr>
              <w:tc>
                <w:tcPr>
                  <w:tcW w:w="409" w:type="dxa"/>
                  <w:tcBorders>
                    <w:tl2br w:val="nil"/>
                    <w:tr2bl w:val="nil"/>
                  </w:tcBorders>
                  <w:shd w:val="clear" w:color="auto" w:fill="auto"/>
                  <w:tcMar>
                    <w:left w:w="28" w:type="dxa"/>
                    <w:right w:w="28" w:type="dxa"/>
                  </w:tcMar>
                  <w:vAlign w:val="center"/>
                </w:tcPr>
                <w:p w14:paraId="1F8D899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8</w:t>
                  </w:r>
                </w:p>
              </w:tc>
              <w:tc>
                <w:tcPr>
                  <w:tcW w:w="991" w:type="dxa"/>
                  <w:tcBorders>
                    <w:tl2br w:val="nil"/>
                    <w:tr2bl w:val="nil"/>
                  </w:tcBorders>
                  <w:tcMar>
                    <w:left w:w="28" w:type="dxa"/>
                    <w:right w:w="28" w:type="dxa"/>
                  </w:tcMar>
                  <w:vAlign w:val="center"/>
                </w:tcPr>
                <w:p w14:paraId="64C923F9">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废活性炭</w:t>
                  </w:r>
                </w:p>
              </w:tc>
              <w:tc>
                <w:tcPr>
                  <w:tcW w:w="618" w:type="dxa"/>
                  <w:vMerge w:val="continue"/>
                  <w:tcBorders>
                    <w:tl2br w:val="nil"/>
                    <w:tr2bl w:val="nil"/>
                  </w:tcBorders>
                  <w:tcMar>
                    <w:left w:w="28" w:type="dxa"/>
                    <w:right w:w="28" w:type="dxa"/>
                  </w:tcMar>
                  <w:vAlign w:val="center"/>
                </w:tcPr>
                <w:p w14:paraId="081877A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14:textFill>
                        <w14:solidFill>
                          <w14:schemeClr w14:val="tx1"/>
                        </w14:solidFill>
                      </w14:textFill>
                    </w:rPr>
                  </w:pPr>
                </w:p>
              </w:tc>
              <w:tc>
                <w:tcPr>
                  <w:tcW w:w="1826" w:type="dxa"/>
                  <w:tcBorders>
                    <w:tl2br w:val="nil"/>
                    <w:tr2bl w:val="nil"/>
                  </w:tcBorders>
                  <w:vAlign w:val="center"/>
                </w:tcPr>
                <w:p w14:paraId="7A661628">
                  <w:pPr>
                    <w:keepNext w:val="0"/>
                    <w:keepLines w:val="0"/>
                    <w:suppressLineNumbers w:val="0"/>
                    <w:spacing w:before="0" w:beforeAutospacing="0" w:after="0" w:afterAutospacing="0"/>
                    <w:ind w:left="0" w:right="0"/>
                    <w:jc w:val="center"/>
                    <w:rPr>
                      <w:rFonts w:hint="default" w:ascii="Times New Roman" w:hAnsi="Times New Roman" w:eastAsia="宋体" w:cs="Times New Roman"/>
                      <w:bCs/>
                      <w:color w:val="000000" w:themeColor="text1"/>
                      <w:kern w:val="0"/>
                      <w:szCs w:val="21"/>
                      <w:highlight w:val="none"/>
                      <w14:textFill>
                        <w14:solidFill>
                          <w14:schemeClr w14:val="tx1"/>
                        </w14:solidFill>
                      </w14:textFill>
                    </w:rPr>
                  </w:pPr>
                  <w:r>
                    <w:rPr>
                      <w:rFonts w:hint="default" w:ascii="Times New Roman" w:hAnsi="Times New Roman" w:eastAsia="宋体" w:cs="Times New Roman"/>
                      <w:color w:val="000000"/>
                      <w:kern w:val="2"/>
                      <w:sz w:val="21"/>
                      <w:szCs w:val="21"/>
                      <w:highlight w:val="none"/>
                      <w:lang w:val="en-US" w:eastAsia="zh-CN" w:bidi="ar-SA"/>
                    </w:rPr>
                    <w:t>HW49-900-0</w:t>
                  </w:r>
                  <w:r>
                    <w:rPr>
                      <w:rFonts w:hint="eastAsia" w:cs="Times New Roman"/>
                      <w:color w:val="000000"/>
                      <w:kern w:val="2"/>
                      <w:sz w:val="21"/>
                      <w:szCs w:val="21"/>
                      <w:highlight w:val="none"/>
                      <w:lang w:val="en-US" w:eastAsia="zh-CN" w:bidi="ar-SA"/>
                    </w:rPr>
                    <w:t>39</w:t>
                  </w:r>
                  <w:r>
                    <w:rPr>
                      <w:rFonts w:hint="default" w:ascii="Times New Roman" w:hAnsi="Times New Roman" w:eastAsia="宋体" w:cs="Times New Roman"/>
                      <w:color w:val="000000"/>
                      <w:kern w:val="2"/>
                      <w:sz w:val="21"/>
                      <w:szCs w:val="21"/>
                      <w:highlight w:val="none"/>
                      <w:lang w:val="en-US" w:eastAsia="zh-CN" w:bidi="ar-SA"/>
                    </w:rPr>
                    <w:t>-49</w:t>
                  </w:r>
                </w:p>
              </w:tc>
              <w:tc>
                <w:tcPr>
                  <w:tcW w:w="1288" w:type="dxa"/>
                  <w:tcBorders>
                    <w:tl2br w:val="nil"/>
                    <w:tr2bl w:val="nil"/>
                  </w:tcBorders>
                  <w:tcMar>
                    <w:left w:w="28" w:type="dxa"/>
                    <w:right w:w="28" w:type="dxa"/>
                  </w:tcMar>
                  <w:vAlign w:val="center"/>
                </w:tcPr>
                <w:p w14:paraId="6D09018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eastAsia" w:cs="Times New Roman"/>
                      <w:color w:val="000000" w:themeColor="text1"/>
                      <w:kern w:val="2"/>
                      <w:sz w:val="21"/>
                      <w:szCs w:val="24"/>
                      <w:highlight w:val="none"/>
                      <w:lang w:val="en-US" w:eastAsia="zh-CN" w:bidi="ar-SA"/>
                      <w14:textFill>
                        <w14:solidFill>
                          <w14:schemeClr w14:val="tx1"/>
                        </w14:solidFill>
                      </w14:textFill>
                    </w:rPr>
                    <w:t>废气处理设施</w:t>
                  </w:r>
                </w:p>
              </w:tc>
              <w:tc>
                <w:tcPr>
                  <w:tcW w:w="1295" w:type="dxa"/>
                  <w:tcBorders>
                    <w:tl2br w:val="nil"/>
                    <w:tr2bl w:val="nil"/>
                  </w:tcBorders>
                  <w:vAlign w:val="center"/>
                </w:tcPr>
                <w:p w14:paraId="2BC4DD1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40</w:t>
                  </w:r>
                </w:p>
              </w:tc>
              <w:tc>
                <w:tcPr>
                  <w:tcW w:w="2028" w:type="dxa"/>
                  <w:vMerge w:val="continue"/>
                  <w:tcBorders>
                    <w:tl2br w:val="nil"/>
                    <w:tr2bl w:val="nil"/>
                  </w:tcBorders>
                  <w:tcMar>
                    <w:left w:w="28" w:type="dxa"/>
                    <w:right w:w="28" w:type="dxa"/>
                  </w:tcMar>
                  <w:vAlign w:val="center"/>
                </w:tcPr>
                <w:p w14:paraId="58D6861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highlight w:val="none"/>
                      <w14:textFill>
                        <w14:solidFill>
                          <w14:schemeClr w14:val="tx1"/>
                        </w14:solidFill>
                      </w14:textFill>
                    </w:rPr>
                  </w:pPr>
                </w:p>
              </w:tc>
            </w:tr>
          </w:tbl>
          <w:p w14:paraId="2F7B6AE2">
            <w:pPr>
              <w:pStyle w:val="174"/>
              <w:keepNext w:val="0"/>
              <w:keepLines w:val="0"/>
              <w:suppressLineNumbers w:val="0"/>
              <w:spacing w:before="0" w:beforeAutospacing="0" w:after="0" w:afterAutospacing="0"/>
              <w:ind w:left="0" w:right="0" w:firstLine="241" w:firstLineChars="100"/>
              <w:jc w:val="left"/>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4.</w:t>
            </w:r>
            <w:r>
              <w:rPr>
                <w:rFonts w:hint="eastAsia" w:ascii="Times New Roman" w:hAnsi="Times New Roman" w:cs="Times New Roman"/>
                <w:b/>
                <w:bCs/>
                <w:color w:val="000000" w:themeColor="text1"/>
                <w:highlight w:val="none"/>
                <w:lang w:val="en-US" w:eastAsia="zh-CN"/>
                <w14:textFill>
                  <w14:solidFill>
                    <w14:schemeClr w14:val="tx1"/>
                  </w14:solidFill>
                </w14:textFill>
              </w:rPr>
              <w:t>8</w:t>
            </w:r>
            <w:r>
              <w:rPr>
                <w:rFonts w:hint="default" w:ascii="Times New Roman" w:hAnsi="Times New Roman" w:eastAsia="宋体" w:cs="Times New Roman"/>
                <w:b/>
                <w:bCs/>
                <w:color w:val="000000" w:themeColor="text1"/>
                <w:highlight w:val="none"/>
                <w14:textFill>
                  <w14:solidFill>
                    <w14:schemeClr w14:val="tx1"/>
                  </w14:solidFill>
                </w14:textFill>
              </w:rPr>
              <w:t>.2环境管理要求</w:t>
            </w:r>
          </w:p>
          <w:p w14:paraId="1CD20A35">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1</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一般工业固体废物管理措施及要求</w:t>
            </w:r>
          </w:p>
          <w:p w14:paraId="7D02D1A6">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建设单位应按照《一般工业固体废物贮存和填埋污染控制标准》（GB18599-2020）的规定</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建设</w:t>
            </w:r>
            <w:r>
              <w:rPr>
                <w:rFonts w:hint="default" w:ascii="Times New Roman" w:hAnsi="Times New Roman" w:eastAsia="宋体" w:cs="Times New Roman"/>
                <w:color w:val="000000" w:themeColor="text1"/>
                <w:sz w:val="24"/>
                <w:highlight w:val="none"/>
                <w14:textFill>
                  <w14:solidFill>
                    <w14:schemeClr w14:val="tx1"/>
                  </w14:solidFill>
                </w14:textFill>
              </w:rPr>
              <w:t>一般固废贮存间。一般固废贮存间应做好“四防”（防风、防雨、防晒、防渗漏）措施。不同种类一般固废分类堆放，不得随意堆放、丢弃、遗撒、擅自倾倒。</w:t>
            </w:r>
            <w:r>
              <w:rPr>
                <w:rFonts w:hint="default" w:ascii="Times New Roman" w:hAnsi="Times New Roman" w:eastAsia="宋体" w:cs="Times New Roman"/>
                <w:color w:val="000000" w:themeColor="text1"/>
                <w:kern w:val="0"/>
                <w:sz w:val="24"/>
                <w:highlight w:val="none"/>
                <w14:textFill>
                  <w14:solidFill>
                    <w14:schemeClr w14:val="tx1"/>
                  </w14:solidFill>
                </w14:textFill>
              </w:rPr>
              <w:t xml:space="preserve"> </w:t>
            </w:r>
          </w:p>
          <w:p w14:paraId="7566877E">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2</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highlight w:val="none"/>
                <w14:textFill>
                  <w14:solidFill>
                    <w14:schemeClr w14:val="tx1"/>
                  </w14:solidFill>
                </w14:textFill>
              </w:rPr>
              <w:t>危险废物防治管理措施</w:t>
            </w:r>
          </w:p>
          <w:p w14:paraId="14A3AE85">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根据《危险废物贮存污染控制标准》（GB18597-2023）要求，</w:t>
            </w:r>
            <w:r>
              <w:rPr>
                <w:rFonts w:hint="eastAsia" w:cs="Times New Roman"/>
                <w:color w:val="000000" w:themeColor="text1"/>
                <w:sz w:val="24"/>
                <w:szCs w:val="22"/>
                <w:highlight w:val="none"/>
                <w:lang w:val="en-US" w:eastAsia="zh-CN"/>
                <w14:textFill>
                  <w14:solidFill>
                    <w14:schemeClr w14:val="tx1"/>
                  </w14:solidFill>
                </w14:textFill>
              </w:rPr>
              <w:t>本项目于厂区东北角零件库设置</w:t>
            </w:r>
            <w:r>
              <w:rPr>
                <w:rFonts w:hint="default" w:ascii="Times New Roman" w:hAnsi="Times New Roman" w:eastAsia="宋体" w:cs="Times New Roman"/>
                <w:color w:val="000000" w:themeColor="text1"/>
                <w:sz w:val="24"/>
                <w:szCs w:val="22"/>
                <w:highlight w:val="none"/>
                <w14:textFill>
                  <w14:solidFill>
                    <w14:schemeClr w14:val="tx1"/>
                  </w14:solidFill>
                </w14:textFill>
              </w:rPr>
              <w:t>贮存</w:t>
            </w:r>
            <w:r>
              <w:rPr>
                <w:rFonts w:hint="eastAsia" w:cs="Times New Roman"/>
                <w:color w:val="000000" w:themeColor="text1"/>
                <w:sz w:val="24"/>
                <w:szCs w:val="22"/>
                <w:highlight w:val="none"/>
                <w:lang w:val="en-US" w:eastAsia="zh-CN"/>
                <w14:textFill>
                  <w14:solidFill>
                    <w14:schemeClr w14:val="tx1"/>
                  </w14:solidFill>
                </w14:textFill>
              </w:rPr>
              <w:t>库5m</w:t>
            </w:r>
            <w:r>
              <w:rPr>
                <w:rFonts w:hint="eastAsia" w:cs="Times New Roman"/>
                <w:color w:val="000000" w:themeColor="text1"/>
                <w:sz w:val="24"/>
                <w:szCs w:val="22"/>
                <w:highlight w:val="none"/>
                <w:vertAlign w:val="superscript"/>
                <w:lang w:val="en-US" w:eastAsia="zh-CN"/>
                <w14:textFill>
                  <w14:solidFill>
                    <w14:schemeClr w14:val="tx1"/>
                  </w14:solidFill>
                </w14:textFill>
              </w:rPr>
              <w:t>2</w:t>
            </w:r>
            <w:r>
              <w:rPr>
                <w:rFonts w:hint="eastAsia" w:cs="Times New Roman"/>
                <w:color w:val="000000" w:themeColor="text1"/>
                <w:sz w:val="24"/>
                <w:szCs w:val="22"/>
                <w:highlight w:val="none"/>
                <w:lang w:eastAsia="zh-CN"/>
                <w14:textFill>
                  <w14:solidFill>
                    <w14:schemeClr w14:val="tx1"/>
                  </w14:solidFill>
                </w14:textFill>
              </w:rPr>
              <w:t>，</w:t>
            </w:r>
            <w:r>
              <w:rPr>
                <w:rFonts w:hint="default" w:ascii="Times New Roman" w:hAnsi="Times New Roman" w:eastAsia="宋体" w:cs="Times New Roman"/>
                <w:color w:val="000000" w:themeColor="text1"/>
                <w:sz w:val="24"/>
                <w:szCs w:val="22"/>
                <w:highlight w:val="none"/>
                <w14:textFill>
                  <w14:solidFill>
                    <w14:schemeClr w14:val="tx1"/>
                  </w14:solidFill>
                </w14:textFill>
              </w:rPr>
              <w:t>用于同一生产经营场所专门贮存危险废物的场所。</w:t>
            </w:r>
            <w:r>
              <w:rPr>
                <w:rFonts w:hint="eastAsia" w:cs="Times New Roman"/>
                <w:color w:val="000000" w:themeColor="text1"/>
                <w:sz w:val="24"/>
                <w:szCs w:val="22"/>
                <w:highlight w:val="none"/>
                <w:lang w:val="en-US" w:eastAsia="zh-CN"/>
                <w14:textFill>
                  <w14:solidFill>
                    <w14:schemeClr w14:val="tx1"/>
                  </w14:solidFill>
                </w14:textFill>
              </w:rPr>
              <w:t>危废贮存库</w:t>
            </w:r>
            <w:r>
              <w:rPr>
                <w:rFonts w:hint="default" w:ascii="Times New Roman" w:hAnsi="Times New Roman" w:eastAsia="宋体" w:cs="Times New Roman"/>
                <w:color w:val="000000" w:themeColor="text1"/>
                <w:sz w:val="24"/>
                <w:szCs w:val="22"/>
                <w:highlight w:val="none"/>
                <w14:textFill>
                  <w14:solidFill>
                    <w14:schemeClr w14:val="tx1"/>
                  </w14:solidFill>
                </w14:textFill>
              </w:rPr>
              <w:t>环境管理要求</w:t>
            </w:r>
            <w:r>
              <w:rPr>
                <w:rFonts w:hint="eastAsia" w:cs="Times New Roman"/>
                <w:color w:val="000000" w:themeColor="text1"/>
                <w:sz w:val="24"/>
                <w:szCs w:val="22"/>
                <w:highlight w:val="none"/>
                <w:lang w:val="en-US" w:eastAsia="zh-CN"/>
                <w14:textFill>
                  <w14:solidFill>
                    <w14:schemeClr w14:val="tx1"/>
                  </w14:solidFill>
                </w14:textFill>
              </w:rPr>
              <w:t>如下</w:t>
            </w:r>
            <w:r>
              <w:rPr>
                <w:rFonts w:hint="default" w:ascii="Times New Roman" w:hAnsi="Times New Roman" w:eastAsia="宋体" w:cs="Times New Roman"/>
                <w:color w:val="000000" w:themeColor="text1"/>
                <w:sz w:val="24"/>
                <w:szCs w:val="22"/>
                <w:highlight w:val="none"/>
                <w14:textFill>
                  <w14:solidFill>
                    <w14:schemeClr w14:val="tx1"/>
                  </w14:solidFill>
                </w14:textFill>
              </w:rPr>
              <w:t>：</w:t>
            </w:r>
          </w:p>
          <w:p w14:paraId="171B81E3">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①设立固定的区域边界，并与其他区域进行隔离；</w:t>
            </w:r>
          </w:p>
          <w:p w14:paraId="34775EB5">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②采取防风、防雨、防晒和防止危险废物流失、扬散等措施；</w:t>
            </w:r>
          </w:p>
          <w:p w14:paraId="0A9E78D8">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③贮存的危险废物应置于容器或包装物中，不应直接散堆；</w:t>
            </w:r>
          </w:p>
          <w:p w14:paraId="47028C43">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④应根据危险废物的形态、物理化学性质、包装形式等，采取防渗、防漏等污染防治措施或采用具有相应功能的装置；</w:t>
            </w:r>
          </w:p>
          <w:p w14:paraId="3E575B40">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⑤</w:t>
            </w:r>
            <w:r>
              <w:rPr>
                <w:rFonts w:hint="eastAsia" w:cs="Times New Roman"/>
                <w:color w:val="000000" w:themeColor="text1"/>
                <w:sz w:val="24"/>
                <w:szCs w:val="22"/>
                <w:highlight w:val="none"/>
                <w:lang w:eastAsia="zh-CN"/>
                <w14:textFill>
                  <w14:solidFill>
                    <w14:schemeClr w14:val="tx1"/>
                  </w14:solidFill>
                </w14:textFill>
              </w:rPr>
              <w:t>贮存库</w:t>
            </w:r>
            <w:r>
              <w:rPr>
                <w:rFonts w:hint="default" w:ascii="Times New Roman" w:hAnsi="Times New Roman" w:eastAsia="宋体" w:cs="Times New Roman"/>
                <w:color w:val="000000" w:themeColor="text1"/>
                <w:sz w:val="24"/>
                <w:szCs w:val="22"/>
                <w:highlight w:val="none"/>
                <w14:textFill>
                  <w14:solidFill>
                    <w14:schemeClr w14:val="tx1"/>
                  </w14:solidFill>
                </w14:textFill>
              </w:rPr>
              <w:t>应及时清运贮存的危险废物，实时贮存量不应超过3吨。</w:t>
            </w:r>
          </w:p>
          <w:p w14:paraId="4179692B">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⑥</w:t>
            </w:r>
            <w:r>
              <w:rPr>
                <w:rFonts w:hint="eastAsia" w:cs="Times New Roman"/>
                <w:color w:val="000000" w:themeColor="text1"/>
                <w:sz w:val="24"/>
                <w:szCs w:val="22"/>
                <w:highlight w:val="none"/>
                <w:lang w:eastAsia="zh-CN"/>
                <w14:textFill>
                  <w14:solidFill>
                    <w14:schemeClr w14:val="tx1"/>
                  </w14:solidFill>
                </w14:textFill>
              </w:rPr>
              <w:t>贮存库</w:t>
            </w:r>
            <w:r>
              <w:rPr>
                <w:rFonts w:hint="default" w:ascii="Times New Roman" w:hAnsi="Times New Roman" w:eastAsia="宋体" w:cs="Times New Roman"/>
                <w:color w:val="000000" w:themeColor="text1"/>
                <w:sz w:val="24"/>
                <w:szCs w:val="22"/>
                <w:highlight w:val="none"/>
                <w14:textFill>
                  <w14:solidFill>
                    <w14:schemeClr w14:val="tx1"/>
                  </w14:solidFill>
                </w14:textFill>
              </w:rPr>
              <w:t>、容器和包装物应按HJ 1276要求设置危险废物贮存场所标志、危险废物贮存分区标志和危险废物标签等危险废物识别标志。</w:t>
            </w:r>
          </w:p>
          <w:p w14:paraId="7AE3E01C">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szCs w:val="22"/>
                <w:highlight w:val="none"/>
                <w14:textFill>
                  <w14:solidFill>
                    <w14:schemeClr w14:val="tx1"/>
                  </w14:solidFill>
                </w14:textFill>
              </w:rPr>
            </w:pPr>
            <w:r>
              <w:rPr>
                <w:rFonts w:hint="default" w:ascii="Times New Roman" w:hAnsi="Times New Roman" w:eastAsia="宋体" w:cs="Times New Roman"/>
                <w:color w:val="000000" w:themeColor="text1"/>
                <w:sz w:val="24"/>
                <w:szCs w:val="22"/>
                <w:highlight w:val="none"/>
                <w14:textFill>
                  <w14:solidFill>
                    <w14:schemeClr w14:val="tx1"/>
                  </w14:solidFill>
                </w14:textFill>
              </w:rPr>
              <w:t>贮存场所危险废物标识要求如下图所示：</w:t>
            </w:r>
          </w:p>
          <w:p w14:paraId="2C0C7D1C">
            <w:pPr>
              <w:keepNext w:val="0"/>
              <w:keepLines w:val="0"/>
              <w:suppressLineNumbers w:val="0"/>
              <w:spacing w:before="0" w:beforeAutospacing="0" w:after="0" w:afterAutospacing="0" w:line="360" w:lineRule="auto"/>
              <w:ind w:left="0" w:right="0"/>
              <w:jc w:val="center"/>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drawing>
                <wp:inline distT="0" distB="0" distL="114300" distR="114300">
                  <wp:extent cx="4032885" cy="2189480"/>
                  <wp:effectExtent l="0" t="0" r="5715" b="7620"/>
                  <wp:docPr id="7"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45"/>
                          <pic:cNvPicPr>
                            <a:picLocks noChangeAspect="1"/>
                          </pic:cNvPicPr>
                        </pic:nvPicPr>
                        <pic:blipFill>
                          <a:blip r:embed="rId95"/>
                          <a:stretch>
                            <a:fillRect/>
                          </a:stretch>
                        </pic:blipFill>
                        <pic:spPr>
                          <a:xfrm>
                            <a:off x="0" y="0"/>
                            <a:ext cx="4032885" cy="2189480"/>
                          </a:xfrm>
                          <a:prstGeom prst="rect">
                            <a:avLst/>
                          </a:prstGeom>
                          <a:noFill/>
                          <a:ln>
                            <a:noFill/>
                          </a:ln>
                        </pic:spPr>
                      </pic:pic>
                    </a:graphicData>
                  </a:graphic>
                </wp:inline>
              </w:drawing>
            </w:r>
          </w:p>
          <w:p w14:paraId="6393F17B">
            <w:pPr>
              <w:pStyle w:val="2"/>
              <w:keepNext w:val="0"/>
              <w:keepLines w:val="0"/>
              <w:suppressLineNumbers w:val="0"/>
              <w:spacing w:before="0" w:beforeAutospacing="0" w:afterAutospacing="0"/>
              <w:ind w:left="0" w:leftChars="0" w:right="0" w:firstLine="0" w:firstLineChars="0"/>
              <w:jc w:val="center"/>
              <w:rPr>
                <w:rFonts w:hint="default" w:ascii="Times New Roman" w:hAnsi="Times New Roman" w:eastAsia="宋体" w:cs="Times New Roman"/>
                <w:b/>
                <w:bCs/>
                <w:color w:val="000000" w:themeColor="text1"/>
                <w:sz w:val="21"/>
                <w:szCs w:val="16"/>
                <w:highlight w:val="none"/>
                <w:lang w:val="en-US"/>
                <w14:textFill>
                  <w14:solidFill>
                    <w14:schemeClr w14:val="tx1"/>
                  </w14:solidFill>
                </w14:textFill>
              </w:rPr>
            </w:pPr>
            <w:r>
              <w:rPr>
                <w:rFonts w:hint="default" w:ascii="Times New Roman" w:hAnsi="Times New Roman" w:eastAsia="宋体" w:cs="Times New Roman"/>
                <w:b/>
                <w:bCs/>
                <w:color w:val="000000" w:themeColor="text1"/>
                <w:sz w:val="21"/>
                <w:szCs w:val="16"/>
                <w:highlight w:val="none"/>
                <w:lang w:val="en-US"/>
                <w14:textFill>
                  <w14:solidFill>
                    <w14:schemeClr w14:val="tx1"/>
                  </w14:solidFill>
                </w14:textFill>
              </w:rPr>
              <w:t>图4</w:t>
            </w:r>
            <w:r>
              <w:rPr>
                <w:rFonts w:hint="eastAsia" w:cs="Times New Roman"/>
                <w:b/>
                <w:bCs/>
                <w:color w:val="000000" w:themeColor="text1"/>
                <w:sz w:val="21"/>
                <w:szCs w:val="16"/>
                <w:highlight w:val="none"/>
                <w:lang w:val="en-US" w:eastAsia="zh-CN"/>
                <w14:textFill>
                  <w14:solidFill>
                    <w14:schemeClr w14:val="tx1"/>
                  </w14:solidFill>
                </w14:textFill>
              </w:rPr>
              <w:t>-1</w:t>
            </w:r>
            <w:r>
              <w:rPr>
                <w:rFonts w:hint="default" w:ascii="Times New Roman" w:hAnsi="Times New Roman" w:eastAsia="宋体" w:cs="Times New Roman"/>
                <w:b/>
                <w:bCs/>
                <w:color w:val="000000" w:themeColor="text1"/>
                <w:sz w:val="21"/>
                <w:szCs w:val="16"/>
                <w:highlight w:val="none"/>
                <w:lang w:val="en-US"/>
                <w14:textFill>
                  <w14:solidFill>
                    <w14:schemeClr w14:val="tx1"/>
                  </w14:solidFill>
                </w14:textFill>
              </w:rPr>
              <w:t xml:space="preserve">     危废贮存相关标识</w:t>
            </w:r>
          </w:p>
          <w:p w14:paraId="4EAC92B8">
            <w:pPr>
              <w:keepNext w:val="0"/>
              <w:keepLines w:val="0"/>
              <w:suppressLineNumbers w:val="0"/>
              <w:tabs>
                <w:tab w:val="left" w:pos="540"/>
              </w:tabs>
              <w:autoSpaceDE w:val="0"/>
              <w:autoSpaceDN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②危险废物环境管理</w:t>
            </w:r>
          </w:p>
          <w:p w14:paraId="44E6E55B">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kern w:val="0"/>
                <w:sz w:val="24"/>
                <w:szCs w:val="22"/>
                <w:highlight w:val="none"/>
                <w14:textFill>
                  <w14:solidFill>
                    <w14:schemeClr w14:val="tx1"/>
                  </w14:solidFill>
                </w14:textFill>
              </w:rPr>
            </w:pPr>
            <w:r>
              <w:rPr>
                <w:rFonts w:hint="default" w:ascii="Times New Roman" w:hAnsi="Times New Roman" w:eastAsia="宋体" w:cs="Times New Roman"/>
                <w:color w:val="000000" w:themeColor="text1"/>
                <w:kern w:val="0"/>
                <w:sz w:val="24"/>
                <w:szCs w:val="22"/>
                <w:highlight w:val="none"/>
                <w14:textFill>
                  <w14:solidFill>
                    <w14:schemeClr w14:val="tx1"/>
                  </w14:solidFill>
                </w14:textFill>
              </w:rPr>
              <w:t>项目应根据《中华人民共和国固体废物污染环境防治法》中有关危险废物污染环境防治的特别规定，对其收集、贮存、运输和处置</w:t>
            </w:r>
            <w:r>
              <w:rPr>
                <w:rFonts w:hint="eastAsia" w:cs="Times New Roman"/>
                <w:color w:val="000000" w:themeColor="text1"/>
                <w:kern w:val="0"/>
                <w:sz w:val="24"/>
                <w:szCs w:val="22"/>
                <w:highlight w:val="none"/>
                <w:lang w:eastAsia="zh-CN"/>
                <w14:textFill>
                  <w14:solidFill>
                    <w14:schemeClr w14:val="tx1"/>
                  </w14:solidFill>
                </w14:textFill>
              </w:rPr>
              <w:t>做好</w:t>
            </w:r>
            <w:r>
              <w:rPr>
                <w:rFonts w:hint="default" w:ascii="Times New Roman" w:hAnsi="Times New Roman" w:eastAsia="宋体" w:cs="Times New Roman"/>
                <w:color w:val="000000" w:themeColor="text1"/>
                <w:kern w:val="0"/>
                <w:sz w:val="24"/>
                <w:szCs w:val="22"/>
                <w:highlight w:val="none"/>
                <w14:textFill>
                  <w14:solidFill>
                    <w14:schemeClr w14:val="tx1"/>
                  </w14:solidFill>
                </w14:textFill>
              </w:rPr>
              <w:t>妥善处理。应配合环保部门，对受委托处置单位的转移和处置进行全过程跟踪，并按国家和省有关规定办理转移审批手续，严格执行危险废物转移联单制度。</w:t>
            </w:r>
          </w:p>
          <w:p w14:paraId="2AF791D1">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kern w:val="0"/>
                <w:sz w:val="24"/>
                <w:szCs w:val="22"/>
                <w:highlight w:val="none"/>
                <w14:textFill>
                  <w14:solidFill>
                    <w14:schemeClr w14:val="tx1"/>
                  </w14:solidFill>
                </w14:textFill>
              </w:rPr>
            </w:pPr>
            <w:r>
              <w:rPr>
                <w:rFonts w:hint="default" w:ascii="Times New Roman" w:hAnsi="Times New Roman" w:eastAsia="宋体" w:cs="Times New Roman"/>
                <w:color w:val="000000" w:themeColor="text1"/>
                <w:kern w:val="0"/>
                <w:sz w:val="24"/>
                <w:szCs w:val="22"/>
                <w:highlight w:val="none"/>
                <w14:textFill>
                  <w14:solidFill>
                    <w14:schemeClr w14:val="tx1"/>
                  </w14:solidFill>
                </w14:textFill>
              </w:rPr>
              <w:t>收集、贮存、运输和处置危险废物的设施、场所，必须设置危险废物识别标志，并按照国家有关规定进行申报登记、处置。</w:t>
            </w:r>
          </w:p>
          <w:p w14:paraId="208B54FE">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kern w:val="0"/>
                <w:sz w:val="24"/>
                <w:szCs w:val="22"/>
                <w:highlight w:val="none"/>
                <w14:textFill>
                  <w14:solidFill>
                    <w14:schemeClr w14:val="tx1"/>
                  </w14:solidFill>
                </w14:textFill>
              </w:rPr>
            </w:pPr>
            <w:r>
              <w:rPr>
                <w:rFonts w:hint="default" w:ascii="Times New Roman" w:hAnsi="Times New Roman" w:eastAsia="宋体" w:cs="Times New Roman"/>
                <w:color w:val="000000" w:themeColor="text1"/>
                <w:kern w:val="0"/>
                <w:sz w:val="24"/>
                <w:szCs w:val="22"/>
                <w:highlight w:val="none"/>
                <w14:textFill>
                  <w14:solidFill>
                    <w14:schemeClr w14:val="tx1"/>
                  </w14:solidFill>
                </w14:textFill>
              </w:rPr>
              <w:t>收集、贮存危险废物，必须按照危险废物特性分类进行；禁止混合收集、贮存、运输、处置性质不相容而未经安全性处置的危险废物。</w:t>
            </w:r>
          </w:p>
          <w:p w14:paraId="12E7EF8A">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b/>
                <w:color w:val="000000" w:themeColor="text1"/>
                <w:kern w:val="0"/>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szCs w:val="22"/>
                <w:highlight w:val="none"/>
                <w14:textFill>
                  <w14:solidFill>
                    <w14:schemeClr w14:val="tx1"/>
                  </w14:solidFill>
                </w14:textFill>
              </w:rPr>
              <w:t>应当制定在发生意外事故时采取的应急措施和防范措施，并向所在地县级以上人民政府环境保护行政主管部门报告。</w:t>
            </w:r>
          </w:p>
          <w:p w14:paraId="588E1048">
            <w:pPr>
              <w:keepNext w:val="0"/>
              <w:keepLines w:val="0"/>
              <w:suppressLineNumbers w:val="0"/>
              <w:tabs>
                <w:tab w:val="left" w:pos="540"/>
              </w:tabs>
              <w:autoSpaceDE w:val="0"/>
              <w:autoSpaceDN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③危险废物运输过程管理</w:t>
            </w:r>
          </w:p>
          <w:p w14:paraId="5F6974CE">
            <w:pPr>
              <w:keepNext w:val="0"/>
              <w:keepLines w:val="0"/>
              <w:suppressLineNumbers w:val="0"/>
              <w:tabs>
                <w:tab w:val="left" w:pos="540"/>
              </w:tabs>
              <w:autoSpaceDE w:val="0"/>
              <w:autoSpaceDN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本项目危险废物运输由建设单位委托有资质的单位进行运输，建设单位应配合运输单位员工进行危险废物中转作业，中转装卸及运输过程应遵守如下技术要求：</w:t>
            </w:r>
          </w:p>
          <w:p w14:paraId="4791A7F5">
            <w:pPr>
              <w:keepNext w:val="0"/>
              <w:keepLines w:val="0"/>
              <w:suppressLineNumbers w:val="0"/>
              <w:tabs>
                <w:tab w:val="left" w:pos="540"/>
              </w:tabs>
              <w:autoSpaceDE w:val="0"/>
              <w:autoSpaceDN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装卸危险废物的工作人员应熟悉危险废物的属性，并配备适当的个人防护装备。</w:t>
            </w:r>
          </w:p>
          <w:p w14:paraId="29C1483D">
            <w:pPr>
              <w:keepNext w:val="0"/>
              <w:keepLines w:val="0"/>
              <w:suppressLineNumbers w:val="0"/>
              <w:tabs>
                <w:tab w:val="left" w:pos="540"/>
              </w:tabs>
              <w:autoSpaceDE w:val="0"/>
              <w:autoSpaceDN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装卸区应配备必要的消防设备和设施，并设置明显的指示标志。</w:t>
            </w:r>
          </w:p>
          <w:p w14:paraId="3EE6E61B">
            <w:pPr>
              <w:keepNext w:val="0"/>
              <w:keepLines w:val="0"/>
              <w:suppressLineNumbers w:val="0"/>
              <w:tabs>
                <w:tab w:val="left" w:pos="540"/>
              </w:tabs>
              <w:autoSpaceDE w:val="0"/>
              <w:autoSpaceDN w:val="0"/>
              <w:adjustRightIn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危险废物装卸区应设置必要的隔离设施。</w:t>
            </w:r>
          </w:p>
          <w:p w14:paraId="52775ED4">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szCs w:val="24"/>
                <w:highlight w:val="none"/>
                <w:lang w:val="en-US" w:eastAsia="zh-CN"/>
                <w14:textFill>
                  <w14:solidFill>
                    <w14:schemeClr w14:val="tx1"/>
                  </w14:solidFill>
                </w14:textFill>
              </w:rPr>
              <w:t>采取以上处置措施后，本项目固废均得到妥善处置，对周围环境影响较小。</w:t>
            </w:r>
          </w:p>
          <w:p w14:paraId="1487CA35">
            <w:pPr>
              <w:keepNext w:val="0"/>
              <w:keepLines w:val="0"/>
              <w:suppressLineNumbers w:val="0"/>
              <w:adjustRightInd w:val="0"/>
              <w:snapToGrid w:val="0"/>
              <w:spacing w:before="0" w:beforeAutospacing="0" w:after="0" w:afterAutospacing="0" w:line="360" w:lineRule="auto"/>
              <w:ind w:left="0" w:right="0" w:firstLine="480" w:firstLineChars="200"/>
              <w:rPr>
                <w:rFonts w:hint="default"/>
                <w:color w:val="000000" w:themeColor="text1"/>
                <w:kern w:val="0"/>
                <w:sz w:val="24"/>
                <w:szCs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综上所述，本项目产生的固体废弃物经上述处理处置后，处理处置率达100%，符合国家固体废弃物处理处置政策，不会产生二次污染，不会对环境产生不利影响。</w:t>
            </w:r>
          </w:p>
          <w:p w14:paraId="79FB5D42">
            <w:pPr>
              <w:keepNext w:val="0"/>
              <w:keepLines w:val="0"/>
              <w:suppressLineNumbers w:val="0"/>
              <w:adjustRightInd w:val="0"/>
              <w:snapToGrid w:val="0"/>
              <w:spacing w:before="0" w:beforeAutospacing="0" w:after="0" w:afterAutospacing="0" w:line="360" w:lineRule="auto"/>
              <w:ind w:left="0" w:right="0"/>
              <w:jc w:val="left"/>
              <w:rPr>
                <w:rFonts w:hint="default" w:cs="宋体"/>
                <w:b/>
                <w:bCs/>
                <w:color w:val="000000" w:themeColor="text1"/>
                <w:sz w:val="24"/>
                <w:szCs w:val="24"/>
                <w:highlight w:val="none"/>
                <w14:textFill>
                  <w14:solidFill>
                    <w14:schemeClr w14:val="tx1"/>
                  </w14:solidFill>
                </w14:textFill>
              </w:rPr>
            </w:pPr>
            <w:r>
              <w:rPr>
                <w:rFonts w:hint="eastAsia" w:cs="宋体"/>
                <w:b/>
                <w:bCs/>
                <w:color w:val="000000" w:themeColor="text1"/>
                <w:sz w:val="24"/>
                <w:szCs w:val="24"/>
                <w:highlight w:val="none"/>
                <w14:textFill>
                  <w14:solidFill>
                    <w14:schemeClr w14:val="tx1"/>
                  </w14:solidFill>
                </w14:textFill>
              </w:rPr>
              <w:t>4.</w:t>
            </w:r>
            <w:r>
              <w:rPr>
                <w:rFonts w:hint="eastAsia" w:cs="宋体"/>
                <w:b/>
                <w:bCs/>
                <w:color w:val="000000" w:themeColor="text1"/>
                <w:sz w:val="24"/>
                <w:szCs w:val="24"/>
                <w:highlight w:val="none"/>
                <w:lang w:val="en-US" w:eastAsia="zh-CN"/>
                <w14:textFill>
                  <w14:solidFill>
                    <w14:schemeClr w14:val="tx1"/>
                  </w14:solidFill>
                </w14:textFill>
              </w:rPr>
              <w:t>9</w:t>
            </w:r>
            <w:r>
              <w:rPr>
                <w:rFonts w:hint="eastAsia" w:cs="宋体"/>
                <w:b/>
                <w:bCs/>
                <w:color w:val="000000" w:themeColor="text1"/>
                <w:sz w:val="24"/>
                <w:szCs w:val="24"/>
                <w:highlight w:val="none"/>
                <w14:textFill>
                  <w14:solidFill>
                    <w14:schemeClr w14:val="tx1"/>
                  </w14:solidFill>
                </w14:textFill>
              </w:rPr>
              <w:t>地下水、土壤</w:t>
            </w:r>
          </w:p>
          <w:p w14:paraId="46FA246D">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kern w:val="0"/>
                <w:sz w:val="24"/>
                <w:highlight w:val="none"/>
                <w14:textFill>
                  <w14:solidFill>
                    <w14:schemeClr w14:val="tx1"/>
                  </w14:solidFill>
                </w14:textFill>
              </w:rPr>
              <w:t>（</w:t>
            </w:r>
            <w:r>
              <w:rPr>
                <w:rFonts w:hint="default" w:ascii="Times New Roman" w:hAnsi="Times New Roman" w:eastAsia="宋体" w:cs="Times New Roman"/>
                <w:color w:val="000000" w:themeColor="text1"/>
                <w:kern w:val="0"/>
                <w:sz w:val="24"/>
                <w:highlight w:val="none"/>
                <w14:textFill>
                  <w14:solidFill>
                    <w14:schemeClr w14:val="tx1"/>
                  </w14:solidFill>
                </w14:textFill>
              </w:rPr>
              <w:t>1</w:t>
            </w:r>
            <w:r>
              <w:rPr>
                <w:rFonts w:hint="default" w:ascii="Times New Roman" w:hAnsi="Times New Roman" w:eastAsia="宋体" w:cs="Times New Roman"/>
                <w:b/>
                <w:bCs/>
                <w:color w:val="000000" w:themeColor="text1"/>
                <w:kern w:val="0"/>
                <w:sz w:val="24"/>
                <w:highlight w:val="none"/>
                <w14:textFill>
                  <w14:solidFill>
                    <w14:schemeClr w14:val="tx1"/>
                  </w14:solidFill>
                </w14:textFill>
              </w:rPr>
              <w:t>）污染源、污染类型及污染途径</w:t>
            </w:r>
          </w:p>
          <w:p w14:paraId="6B82D1A4">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本项目对地下水污染途径主要为垂直入渗，对土壤环境污染途径主要为垂直入渗。本项目可能造成垂直入渗影响的主要为</w:t>
            </w:r>
            <w:r>
              <w:rPr>
                <w:rFonts w:hint="eastAsia" w:cs="Times New Roman"/>
                <w:color w:val="000000" w:themeColor="text1"/>
                <w:kern w:val="0"/>
                <w:sz w:val="24"/>
                <w:highlight w:val="none"/>
                <w:lang w:val="en-US" w:eastAsia="zh-CN"/>
                <w14:textFill>
                  <w14:solidFill>
                    <w14:schemeClr w14:val="tx1"/>
                  </w14:solidFill>
                </w14:textFill>
              </w:rPr>
              <w:t>导热油炉、沥青罐破损，</w:t>
            </w:r>
            <w:r>
              <w:rPr>
                <w:rFonts w:hint="eastAsia" w:cs="Times New Roman"/>
                <w:color w:val="000000" w:themeColor="text1"/>
                <w:sz w:val="24"/>
                <w:highlight w:val="none"/>
                <w:lang w:val="en-US" w:eastAsia="zh-CN"/>
                <w14:textFill>
                  <w14:solidFill>
                    <w14:schemeClr w14:val="tx1"/>
                  </w14:solidFill>
                </w14:textFill>
              </w:rPr>
              <w:t>沥青罐区、导热油炉区、</w:t>
            </w:r>
            <w:r>
              <w:rPr>
                <w:rFonts w:hint="default" w:ascii="Times New Roman" w:hAnsi="Times New Roman" w:eastAsia="宋体" w:cs="Times New Roman"/>
                <w:color w:val="000000" w:themeColor="text1"/>
                <w:sz w:val="24"/>
                <w:highlight w:val="none"/>
                <w:lang w:val="en-GB" w:eastAsia="zh-CN"/>
                <w14:textFill>
                  <w14:solidFill>
                    <w14:schemeClr w14:val="tx1"/>
                  </w14:solidFill>
                </w14:textFill>
              </w:rPr>
              <w:t>危险废物</w:t>
            </w:r>
            <w:r>
              <w:rPr>
                <w:rFonts w:hint="eastAsia" w:cs="Times New Roman"/>
                <w:color w:val="000000" w:themeColor="text1"/>
                <w:sz w:val="24"/>
                <w:highlight w:val="none"/>
                <w:lang w:val="en-GB" w:eastAsia="zh-CN"/>
                <w14:textFill>
                  <w14:solidFill>
                    <w14:schemeClr w14:val="tx1"/>
                  </w14:solidFill>
                </w14:textFill>
              </w:rPr>
              <w:t>贮存库</w:t>
            </w:r>
            <w:r>
              <w:rPr>
                <w:rFonts w:hint="default" w:ascii="Times New Roman" w:hAnsi="Times New Roman" w:eastAsia="宋体" w:cs="Times New Roman"/>
                <w:color w:val="000000" w:themeColor="text1"/>
                <w:sz w:val="24"/>
                <w:highlight w:val="none"/>
                <w:lang w:val="en-GB"/>
                <w14:textFill>
                  <w14:solidFill>
                    <w14:schemeClr w14:val="tx1"/>
                  </w14:solidFill>
                </w14:textFill>
              </w:rPr>
              <w:t>、机油存放区</w:t>
            </w:r>
            <w:r>
              <w:rPr>
                <w:rFonts w:hint="eastAsia" w:ascii="Times New Roman" w:hAnsi="Times New Roman" w:cs="Times New Roman"/>
                <w:color w:val="000000" w:themeColor="text1"/>
                <w:sz w:val="24"/>
                <w:highlight w:val="none"/>
                <w:lang w:val="en-US" w:eastAsia="zh-CN"/>
                <w14:textFill>
                  <w14:solidFill>
                    <w14:schemeClr w14:val="tx1"/>
                  </w14:solidFill>
                </w14:textFill>
              </w:rPr>
              <w:t>地面</w:t>
            </w:r>
            <w:r>
              <w:rPr>
                <w:rFonts w:hint="default" w:ascii="Times New Roman" w:hAnsi="Times New Roman" w:eastAsia="宋体" w:cs="Times New Roman"/>
                <w:color w:val="000000" w:themeColor="text1"/>
                <w:kern w:val="0"/>
                <w:sz w:val="24"/>
                <w:highlight w:val="none"/>
                <w14:textFill>
                  <w14:solidFill>
                    <w14:schemeClr w14:val="tx1"/>
                  </w14:solidFill>
                </w14:textFill>
              </w:rPr>
              <w:t>防渗层破损导致</w:t>
            </w:r>
            <w:r>
              <w:rPr>
                <w:rFonts w:hint="eastAsia" w:cs="Times New Roman"/>
                <w:color w:val="000000" w:themeColor="text1"/>
                <w:kern w:val="0"/>
                <w:sz w:val="24"/>
                <w:highlight w:val="none"/>
                <w:lang w:val="en-US" w:eastAsia="zh-CN"/>
                <w14:textFill>
                  <w14:solidFill>
                    <w14:schemeClr w14:val="tx1"/>
                  </w14:solidFill>
                </w14:textFill>
              </w:rPr>
              <w:t>导热油、沥青、</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机油、</w:t>
            </w:r>
            <w:r>
              <w:rPr>
                <w:rFonts w:hint="default" w:ascii="Times New Roman" w:hAnsi="Times New Roman" w:eastAsia="宋体" w:cs="Times New Roman"/>
                <w:color w:val="000000" w:themeColor="text1"/>
                <w:kern w:val="0"/>
                <w:sz w:val="24"/>
                <w:highlight w:val="none"/>
                <w14:textFill>
                  <w14:solidFill>
                    <w14:schemeClr w14:val="tx1"/>
                  </w14:solidFill>
                </w14:textFill>
              </w:rPr>
              <w:t>废机油等</w:t>
            </w:r>
            <w:r>
              <w:rPr>
                <w:rFonts w:hint="eastAsia" w:cs="Times New Roman"/>
                <w:color w:val="000000" w:themeColor="text1"/>
                <w:kern w:val="0"/>
                <w:sz w:val="24"/>
                <w:highlight w:val="none"/>
                <w:lang w:val="en-US" w:eastAsia="zh-CN"/>
                <w14:textFill>
                  <w14:solidFill>
                    <w14:schemeClr w14:val="tx1"/>
                  </w14:solidFill>
                </w14:textFill>
              </w:rPr>
              <w:t>风险物质</w:t>
            </w:r>
            <w:r>
              <w:rPr>
                <w:rFonts w:hint="default" w:ascii="Times New Roman" w:hAnsi="Times New Roman" w:eastAsia="宋体" w:cs="Times New Roman"/>
                <w:color w:val="000000" w:themeColor="text1"/>
                <w:kern w:val="0"/>
                <w:sz w:val="24"/>
                <w:highlight w:val="none"/>
                <w14:textFill>
                  <w14:solidFill>
                    <w14:schemeClr w14:val="tx1"/>
                  </w14:solidFill>
                </w14:textFill>
              </w:rPr>
              <w:t>渗入造成土壤及地下水污染。</w:t>
            </w:r>
          </w:p>
          <w:p w14:paraId="6B05B5D6">
            <w:pPr>
              <w:keepNext w:val="0"/>
              <w:keepLines w:val="0"/>
              <w:widowControl/>
              <w:suppressLineNumbers w:val="0"/>
              <w:spacing w:before="0" w:beforeAutospacing="0" w:after="0" w:afterAutospacing="0" w:line="360" w:lineRule="auto"/>
              <w:ind w:left="0" w:right="0" w:firstLine="482"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kern w:val="0"/>
                <w:sz w:val="24"/>
                <w:highlight w:val="none"/>
                <w14:textFill>
                  <w14:solidFill>
                    <w14:schemeClr w14:val="tx1"/>
                  </w14:solidFill>
                </w14:textFill>
              </w:rPr>
              <w:t>（</w:t>
            </w:r>
            <w:r>
              <w:rPr>
                <w:rFonts w:hint="default" w:ascii="Times New Roman" w:hAnsi="Times New Roman" w:eastAsia="宋体" w:cs="Times New Roman"/>
                <w:color w:val="000000" w:themeColor="text1"/>
                <w:kern w:val="0"/>
                <w:sz w:val="24"/>
                <w:highlight w:val="none"/>
                <w14:textFill>
                  <w14:solidFill>
                    <w14:schemeClr w14:val="tx1"/>
                  </w14:solidFill>
                </w14:textFill>
              </w:rPr>
              <w:t>2</w:t>
            </w:r>
            <w:r>
              <w:rPr>
                <w:rFonts w:hint="default" w:ascii="Times New Roman" w:hAnsi="Times New Roman" w:eastAsia="宋体" w:cs="Times New Roman"/>
                <w:b/>
                <w:bCs/>
                <w:color w:val="000000" w:themeColor="text1"/>
                <w:kern w:val="0"/>
                <w:sz w:val="24"/>
                <w:highlight w:val="none"/>
                <w14:textFill>
                  <w14:solidFill>
                    <w14:schemeClr w14:val="tx1"/>
                  </w14:solidFill>
                </w14:textFill>
              </w:rPr>
              <w:t>）防控措施</w:t>
            </w:r>
          </w:p>
          <w:p w14:paraId="1FF77B14">
            <w:pPr>
              <w:keepNext w:val="0"/>
              <w:keepLines w:val="0"/>
              <w:widowControl/>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kern w:val="0"/>
                <w:sz w:val="24"/>
                <w:highlight w:val="none"/>
                <w14:textFill>
                  <w14:solidFill>
                    <w14:schemeClr w14:val="tx1"/>
                  </w14:solidFill>
                </w14:textFill>
              </w:rPr>
              <w:t>根据本项目地下水、土壤污染源的污染类型及途径。项目要求对</w:t>
            </w:r>
            <w:r>
              <w:rPr>
                <w:rFonts w:hint="eastAsia" w:cs="Times New Roman"/>
                <w:color w:val="000000" w:themeColor="text1"/>
                <w:sz w:val="24"/>
                <w:highlight w:val="none"/>
                <w:lang w:val="en-US" w:eastAsia="zh-CN"/>
                <w14:textFill>
                  <w14:solidFill>
                    <w14:schemeClr w14:val="tx1"/>
                  </w14:solidFill>
                </w14:textFill>
              </w:rPr>
              <w:t>沥青罐区、导热油炉区、</w:t>
            </w:r>
            <w:r>
              <w:rPr>
                <w:rFonts w:hint="default" w:ascii="Times New Roman" w:hAnsi="Times New Roman" w:eastAsia="宋体" w:cs="Times New Roman"/>
                <w:color w:val="000000" w:themeColor="text1"/>
                <w:sz w:val="24"/>
                <w:highlight w:val="none"/>
                <w:lang w:val="en-GB" w:eastAsia="zh-CN"/>
                <w14:textFill>
                  <w14:solidFill>
                    <w14:schemeClr w14:val="tx1"/>
                  </w14:solidFill>
                </w14:textFill>
              </w:rPr>
              <w:t>危险废物</w:t>
            </w:r>
            <w:r>
              <w:rPr>
                <w:rFonts w:hint="eastAsia" w:cs="Times New Roman"/>
                <w:color w:val="000000" w:themeColor="text1"/>
                <w:sz w:val="24"/>
                <w:highlight w:val="none"/>
                <w:lang w:val="en-GB" w:eastAsia="zh-CN"/>
                <w14:textFill>
                  <w14:solidFill>
                    <w14:schemeClr w14:val="tx1"/>
                  </w14:solidFill>
                </w14:textFill>
              </w:rPr>
              <w:t>贮存库</w:t>
            </w:r>
            <w:r>
              <w:rPr>
                <w:rFonts w:hint="default" w:ascii="Times New Roman" w:hAnsi="Times New Roman" w:eastAsia="宋体" w:cs="Times New Roman"/>
                <w:color w:val="000000" w:themeColor="text1"/>
                <w:sz w:val="24"/>
                <w:highlight w:val="none"/>
                <w:lang w:val="en-GB"/>
                <w14:textFill>
                  <w14:solidFill>
                    <w14:schemeClr w14:val="tx1"/>
                  </w14:solidFill>
                </w14:textFill>
              </w:rPr>
              <w:t>、机油存放区</w:t>
            </w:r>
            <w:r>
              <w:rPr>
                <w:rFonts w:hint="default" w:ascii="Times New Roman" w:hAnsi="Times New Roman" w:eastAsia="宋体" w:cs="Times New Roman"/>
                <w:color w:val="000000" w:themeColor="text1"/>
                <w:kern w:val="0"/>
                <w:sz w:val="24"/>
                <w:highlight w:val="none"/>
                <w14:textFill>
                  <w14:solidFill>
                    <w14:schemeClr w14:val="tx1"/>
                  </w14:solidFill>
                </w14:textFill>
              </w:rPr>
              <w:t>参照</w:t>
            </w:r>
            <w:r>
              <w:rPr>
                <w:rFonts w:hint="default" w:ascii="Times New Roman" w:hAnsi="Times New Roman" w:eastAsia="宋体" w:cs="Times New Roman"/>
                <w:color w:val="000000" w:themeColor="text1"/>
                <w:sz w:val="24"/>
                <w:szCs w:val="32"/>
                <w:highlight w:val="none"/>
                <w:lang w:val="en-US" w:eastAsia="zh-CN"/>
                <w14:textFill>
                  <w14:solidFill>
                    <w14:schemeClr w14:val="tx1"/>
                  </w14:solidFill>
                </w14:textFill>
              </w:rPr>
              <w:t>相关</w:t>
            </w:r>
            <w:r>
              <w:rPr>
                <w:rFonts w:hint="default" w:ascii="Times New Roman" w:hAnsi="Times New Roman" w:eastAsia="宋体" w:cs="Times New Roman"/>
                <w:color w:val="000000" w:themeColor="text1"/>
                <w:kern w:val="0"/>
                <w:sz w:val="24"/>
                <w:highlight w:val="none"/>
                <w14:textFill>
                  <w14:solidFill>
                    <w14:schemeClr w14:val="tx1"/>
                  </w14:solidFill>
                </w14:textFill>
              </w:rPr>
              <w:t>要求进行重点防渗，</w:t>
            </w:r>
            <w:r>
              <w:rPr>
                <w:rFonts w:hint="eastAsia" w:cs="Times New Roman"/>
                <w:color w:val="000000" w:themeColor="text1"/>
                <w:kern w:val="0"/>
                <w:sz w:val="24"/>
                <w:highlight w:val="none"/>
                <w:lang w:eastAsia="zh-CN"/>
                <w14:textFill>
                  <w14:solidFill>
                    <w14:schemeClr w14:val="tx1"/>
                  </w14:solidFill>
                </w14:textFill>
              </w:rPr>
              <w:t>并在</w:t>
            </w:r>
            <w:r>
              <w:rPr>
                <w:rFonts w:hint="default" w:ascii="Times New Roman" w:hAnsi="Times New Roman" w:eastAsia="宋体" w:cs="Times New Roman"/>
                <w:color w:val="000000" w:themeColor="text1"/>
                <w:kern w:val="0"/>
                <w:sz w:val="24"/>
                <w:highlight w:val="none"/>
                <w14:textFill>
                  <w14:solidFill>
                    <w14:schemeClr w14:val="tx1"/>
                  </w14:solidFill>
                </w14:textFill>
              </w:rPr>
              <w:t>日常运营中加强管理，切断垂直入渗的污染途径。</w:t>
            </w:r>
          </w:p>
          <w:p w14:paraId="6F258415">
            <w:pPr>
              <w:keepNext w:val="0"/>
              <w:keepLines w:val="0"/>
              <w:suppressLineNumbers w:val="0"/>
              <w:adjustRightInd w:val="0"/>
              <w:snapToGrid w:val="0"/>
              <w:spacing w:before="0" w:beforeAutospacing="0" w:after="0" w:afterAutospacing="0" w:line="360" w:lineRule="auto"/>
              <w:ind w:left="0" w:right="0"/>
              <w:jc w:val="left"/>
              <w:rPr>
                <w:rFonts w:hint="default" w:cs="宋体"/>
                <w:b/>
                <w:bCs/>
                <w:color w:val="000000" w:themeColor="text1"/>
                <w:sz w:val="24"/>
                <w:szCs w:val="24"/>
                <w:highlight w:val="none"/>
                <w14:textFill>
                  <w14:solidFill>
                    <w14:schemeClr w14:val="tx1"/>
                  </w14:solidFill>
                </w14:textFill>
              </w:rPr>
            </w:pPr>
            <w:r>
              <w:rPr>
                <w:rFonts w:hint="eastAsia" w:cs="宋体"/>
                <w:b/>
                <w:bCs/>
                <w:color w:val="000000" w:themeColor="text1"/>
                <w:sz w:val="24"/>
                <w:szCs w:val="24"/>
                <w:highlight w:val="none"/>
                <w14:textFill>
                  <w14:solidFill>
                    <w14:schemeClr w14:val="tx1"/>
                  </w14:solidFill>
                </w14:textFill>
              </w:rPr>
              <w:t>4.</w:t>
            </w:r>
            <w:r>
              <w:rPr>
                <w:rFonts w:hint="eastAsia" w:cs="宋体"/>
                <w:b/>
                <w:bCs/>
                <w:color w:val="000000" w:themeColor="text1"/>
                <w:sz w:val="24"/>
                <w:szCs w:val="24"/>
                <w:highlight w:val="none"/>
                <w:lang w:val="en-US" w:eastAsia="zh-CN"/>
                <w14:textFill>
                  <w14:solidFill>
                    <w14:schemeClr w14:val="tx1"/>
                  </w14:solidFill>
                </w14:textFill>
              </w:rPr>
              <w:t>10</w:t>
            </w:r>
            <w:r>
              <w:rPr>
                <w:rFonts w:hint="eastAsia" w:cs="宋体"/>
                <w:b/>
                <w:bCs/>
                <w:color w:val="000000" w:themeColor="text1"/>
                <w:sz w:val="24"/>
                <w:szCs w:val="24"/>
                <w:highlight w:val="none"/>
                <w14:textFill>
                  <w14:solidFill>
                    <w14:schemeClr w14:val="tx1"/>
                  </w14:solidFill>
                </w14:textFill>
              </w:rPr>
              <w:t>环境风险</w:t>
            </w:r>
          </w:p>
          <w:p w14:paraId="07C22C39">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4.</w:t>
            </w:r>
            <w:r>
              <w:rPr>
                <w:rFonts w:hint="eastAsia" w:ascii="Times New Roman" w:hAnsi="Times New Roman" w:cs="Times New Roman"/>
                <w:b/>
                <w:bCs/>
                <w:color w:val="000000" w:themeColor="text1"/>
                <w:sz w:val="24"/>
                <w:highlight w:val="none"/>
                <w:lang w:val="en-US" w:eastAsia="zh-CN"/>
                <w14:textFill>
                  <w14:solidFill>
                    <w14:schemeClr w14:val="tx1"/>
                  </w14:solidFill>
                </w14:textFill>
              </w:rPr>
              <w:t>10</w:t>
            </w:r>
            <w:r>
              <w:rPr>
                <w:rFonts w:hint="default" w:ascii="Times New Roman" w:hAnsi="Times New Roman" w:eastAsia="宋体" w:cs="Times New Roman"/>
                <w:b/>
                <w:bCs/>
                <w:color w:val="000000" w:themeColor="text1"/>
                <w:sz w:val="24"/>
                <w:highlight w:val="none"/>
                <w14:textFill>
                  <w14:solidFill>
                    <w14:schemeClr w14:val="tx1"/>
                  </w14:solidFill>
                </w14:textFill>
              </w:rPr>
              <w:t>.1风险物质和风险源分布</w:t>
            </w:r>
          </w:p>
          <w:p w14:paraId="660E1C45">
            <w:pPr>
              <w:keepNext w:val="0"/>
              <w:keepLines w:val="0"/>
              <w:numPr>
                <w:ilvl w:val="0"/>
                <w:numId w:val="5"/>
              </w:numPr>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bCs/>
                <w:color w:val="000000" w:themeColor="text1"/>
                <w:sz w:val="24"/>
                <w:highlight w:val="none"/>
                <w14:textFill>
                  <w14:solidFill>
                    <w14:schemeClr w14:val="tx1"/>
                  </w14:solidFill>
                </w14:textFill>
              </w:rPr>
              <w:t>风险物质</w:t>
            </w:r>
          </w:p>
          <w:p w14:paraId="15511BD9">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根据《建设项目环境风险评价技术导则》（HJ169-2018）附录B，判定项目涉及的危险物质，定量分析危险物质数量与临界量的比值（Q）和所属行业及生产工艺特点（M），按附录C对危险物质及工艺系统危险性（P）等级进行判断。</w:t>
            </w:r>
            <w:r>
              <w:rPr>
                <w:rFonts w:hint="eastAsia" w:cs="Times New Roman"/>
                <w:color w:val="000000" w:themeColor="text1"/>
                <w:sz w:val="24"/>
                <w:highlight w:val="none"/>
                <w:lang w:val="en-US" w:eastAsia="zh-CN"/>
                <w14:textFill>
                  <w14:solidFill>
                    <w14:schemeClr w14:val="tx1"/>
                  </w14:solidFill>
                </w14:textFill>
              </w:rPr>
              <w:t>沥青不属于风险物质，</w:t>
            </w:r>
            <w:r>
              <w:rPr>
                <w:rFonts w:hint="default" w:ascii="Times New Roman" w:hAnsi="Times New Roman" w:eastAsia="宋体" w:cs="Times New Roman"/>
                <w:color w:val="000000" w:themeColor="text1"/>
                <w:kern w:val="24"/>
                <w:sz w:val="24"/>
                <w:highlight w:val="none"/>
                <w14:textFill>
                  <w14:solidFill>
                    <w14:schemeClr w14:val="tx1"/>
                  </w14:solidFill>
                </w14:textFill>
              </w:rPr>
              <w:t>本项目可能发生风险事故的风险物质</w:t>
            </w:r>
            <w:r>
              <w:rPr>
                <w:rFonts w:hint="default" w:ascii="Times New Roman" w:hAnsi="Times New Roman" w:eastAsia="宋体" w:cs="Times New Roman"/>
                <w:bCs/>
                <w:color w:val="000000" w:themeColor="text1"/>
                <w:spacing w:val="2"/>
                <w:sz w:val="24"/>
                <w:highlight w:val="none"/>
                <w:lang w:val="zh-CN"/>
                <w14:textFill>
                  <w14:solidFill>
                    <w14:schemeClr w14:val="tx1"/>
                  </w14:solidFill>
                </w14:textFill>
              </w:rPr>
              <w:t>辨识见下表：</w:t>
            </w:r>
          </w:p>
          <w:p w14:paraId="0DE5ADCE">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本工程危险物质总量与其临界量比值Q计算结果见下表：</w:t>
            </w:r>
          </w:p>
          <w:p w14:paraId="40B169DD">
            <w:pPr>
              <w:pStyle w:val="176"/>
              <w:keepNext w:val="0"/>
              <w:keepLines w:val="0"/>
              <w:suppressLineNumbers w:val="0"/>
              <w:spacing w:before="0" w:beforeAutospacing="0" w:after="0" w:afterAutospacing="0" w:line="360" w:lineRule="auto"/>
              <w:ind w:left="420" w:right="0" w:firstLine="0"/>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表4-</w:t>
            </w:r>
            <w:r>
              <w:rPr>
                <w:rFonts w:hint="eastAsia" w:ascii="Times New Roman" w:hAnsi="Times New Roman" w:eastAsia="宋体" w:cs="Times New Roman"/>
                <w:color w:val="000000" w:themeColor="text1"/>
                <w:highlight w:val="none"/>
                <w:lang w:val="en-US" w:eastAsia="zh-CN"/>
                <w14:textFill>
                  <w14:solidFill>
                    <w14:schemeClr w14:val="tx1"/>
                  </w14:solidFill>
                </w14:textFill>
              </w:rPr>
              <w:t>7</w:t>
            </w:r>
            <w:r>
              <w:rPr>
                <w:rFonts w:hint="default" w:ascii="Times New Roman" w:hAnsi="Times New Roman" w:eastAsia="宋体" w:cs="Times New Roman"/>
                <w:color w:val="000000" w:themeColor="text1"/>
                <w:highlight w:val="none"/>
                <w14:textFill>
                  <w14:solidFill>
                    <w14:schemeClr w14:val="tx1"/>
                  </w14:solidFill>
                </w14:textFill>
              </w:rPr>
              <w:t xml:space="preserve">    项目危险物质数量与临界量比值</w:t>
            </w:r>
          </w:p>
          <w:tbl>
            <w:tblPr>
              <w:tblStyle w:val="41"/>
              <w:tblW w:w="849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2"/>
              <w:gridCol w:w="2232"/>
              <w:gridCol w:w="1818"/>
              <w:gridCol w:w="1872"/>
              <w:gridCol w:w="1499"/>
            </w:tblGrid>
            <w:tr w14:paraId="59303A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72" w:type="dxa"/>
                  <w:tcBorders>
                    <w:tl2br w:val="nil"/>
                    <w:tr2bl w:val="nil"/>
                  </w:tcBorders>
                  <w:vAlign w:val="center"/>
                </w:tcPr>
                <w:p w14:paraId="314EAA2C">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序号</w:t>
                  </w:r>
                </w:p>
              </w:tc>
              <w:tc>
                <w:tcPr>
                  <w:tcW w:w="2232" w:type="dxa"/>
                  <w:tcBorders>
                    <w:tl2br w:val="nil"/>
                    <w:tr2bl w:val="nil"/>
                  </w:tcBorders>
                  <w:vAlign w:val="center"/>
                </w:tcPr>
                <w:p w14:paraId="6CFF0194">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名称</w:t>
                  </w:r>
                </w:p>
              </w:tc>
              <w:tc>
                <w:tcPr>
                  <w:tcW w:w="1818" w:type="dxa"/>
                  <w:tcBorders>
                    <w:tl2br w:val="nil"/>
                    <w:tr2bl w:val="nil"/>
                  </w:tcBorders>
                  <w:vAlign w:val="center"/>
                </w:tcPr>
                <w:p w14:paraId="20490A50">
                  <w:pPr>
                    <w:keepNext w:val="0"/>
                    <w:keepLines w:val="0"/>
                    <w:suppressLineNumbers w:val="0"/>
                    <w:tabs>
                      <w:tab w:val="left" w:pos="-2848"/>
                    </w:tabs>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最大储存量（t）</w:t>
                  </w:r>
                </w:p>
              </w:tc>
              <w:tc>
                <w:tcPr>
                  <w:tcW w:w="1872" w:type="dxa"/>
                  <w:tcBorders>
                    <w:tl2br w:val="nil"/>
                    <w:tr2bl w:val="nil"/>
                  </w:tcBorders>
                  <w:vAlign w:val="center"/>
                </w:tcPr>
                <w:p w14:paraId="6FB16044">
                  <w:pPr>
                    <w:keepNext w:val="0"/>
                    <w:keepLines w:val="0"/>
                    <w:suppressLineNumbers w:val="0"/>
                    <w:tabs>
                      <w:tab w:val="left" w:pos="-2848"/>
                    </w:tabs>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临界量（t）</w:t>
                  </w:r>
                </w:p>
              </w:tc>
              <w:tc>
                <w:tcPr>
                  <w:tcW w:w="1499" w:type="dxa"/>
                  <w:tcBorders>
                    <w:tl2br w:val="nil"/>
                    <w:tr2bl w:val="nil"/>
                  </w:tcBorders>
                  <w:vAlign w:val="center"/>
                </w:tcPr>
                <w:p w14:paraId="2ED1EFD5">
                  <w:pPr>
                    <w:keepNext w:val="0"/>
                    <w:keepLines w:val="0"/>
                    <w:suppressLineNumbers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Q值</w:t>
                  </w:r>
                </w:p>
              </w:tc>
            </w:tr>
            <w:tr w14:paraId="0B0E39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72" w:type="dxa"/>
                  <w:tcBorders>
                    <w:tl2br w:val="nil"/>
                    <w:tr2bl w:val="nil"/>
                  </w:tcBorders>
                  <w:vAlign w:val="center"/>
                </w:tcPr>
                <w:p w14:paraId="6A5FC41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1</w:t>
                  </w:r>
                </w:p>
              </w:tc>
              <w:tc>
                <w:tcPr>
                  <w:tcW w:w="2232" w:type="dxa"/>
                  <w:tcBorders>
                    <w:tl2br w:val="nil"/>
                    <w:tr2bl w:val="nil"/>
                  </w:tcBorders>
                  <w:shd w:val="clear" w:color="auto" w:fill="auto"/>
                  <w:vAlign w:val="center"/>
                </w:tcPr>
                <w:p w14:paraId="7C66F4A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废机油</w:t>
                  </w:r>
                </w:p>
              </w:tc>
              <w:tc>
                <w:tcPr>
                  <w:tcW w:w="1818" w:type="dxa"/>
                  <w:tcBorders>
                    <w:tl2br w:val="nil"/>
                    <w:tr2bl w:val="nil"/>
                  </w:tcBorders>
                  <w:shd w:val="clear" w:color="auto" w:fill="auto"/>
                  <w:vAlign w:val="center"/>
                </w:tcPr>
                <w:p w14:paraId="54AD404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0.01</w:t>
                  </w:r>
                </w:p>
              </w:tc>
              <w:tc>
                <w:tcPr>
                  <w:tcW w:w="1872" w:type="dxa"/>
                  <w:tcBorders>
                    <w:tl2br w:val="nil"/>
                    <w:tr2bl w:val="nil"/>
                  </w:tcBorders>
                  <w:shd w:val="clear" w:color="auto" w:fill="auto"/>
                  <w:vAlign w:val="center"/>
                </w:tcPr>
                <w:p w14:paraId="37BD34A6">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50</w:t>
                  </w:r>
                </w:p>
              </w:tc>
              <w:tc>
                <w:tcPr>
                  <w:tcW w:w="1499" w:type="dxa"/>
                  <w:tcBorders>
                    <w:tl2br w:val="nil"/>
                    <w:tr2bl w:val="nil"/>
                  </w:tcBorders>
                  <w:shd w:val="clear" w:color="auto" w:fill="auto"/>
                  <w:vAlign w:val="center"/>
                </w:tcPr>
                <w:p w14:paraId="010D1F6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0.000</w:t>
                  </w:r>
                  <w:r>
                    <w:rPr>
                      <w:rFonts w:hint="eastAsia" w:cs="Times New Roman"/>
                      <w:color w:val="000000" w:themeColor="text1"/>
                      <w:szCs w:val="21"/>
                      <w:highlight w:val="none"/>
                      <w:lang w:val="en-US" w:eastAsia="zh-CN"/>
                      <w14:textFill>
                        <w14:solidFill>
                          <w14:schemeClr w14:val="tx1"/>
                        </w14:solidFill>
                      </w14:textFill>
                    </w:rPr>
                    <w:t>2</w:t>
                  </w:r>
                </w:p>
              </w:tc>
            </w:tr>
            <w:tr w14:paraId="1B510F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72" w:type="dxa"/>
                  <w:tcBorders>
                    <w:tl2br w:val="nil"/>
                    <w:tr2bl w:val="nil"/>
                  </w:tcBorders>
                  <w:vAlign w:val="center"/>
                </w:tcPr>
                <w:p w14:paraId="79252EC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2</w:t>
                  </w:r>
                </w:p>
              </w:tc>
              <w:tc>
                <w:tcPr>
                  <w:tcW w:w="2232" w:type="dxa"/>
                  <w:tcBorders>
                    <w:tl2br w:val="nil"/>
                    <w:tr2bl w:val="nil"/>
                  </w:tcBorders>
                  <w:shd w:val="clear" w:color="auto" w:fill="auto"/>
                  <w:vAlign w:val="center"/>
                </w:tcPr>
                <w:p w14:paraId="45D9461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导热油</w:t>
                  </w:r>
                </w:p>
              </w:tc>
              <w:tc>
                <w:tcPr>
                  <w:tcW w:w="1818" w:type="dxa"/>
                  <w:tcBorders>
                    <w:tl2br w:val="nil"/>
                    <w:tr2bl w:val="nil"/>
                  </w:tcBorders>
                  <w:shd w:val="clear" w:color="auto" w:fill="auto"/>
                  <w:vAlign w:val="center"/>
                </w:tcPr>
                <w:p w14:paraId="22AD780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0.1</w:t>
                  </w:r>
                </w:p>
              </w:tc>
              <w:tc>
                <w:tcPr>
                  <w:tcW w:w="1872" w:type="dxa"/>
                  <w:tcBorders>
                    <w:tl2br w:val="nil"/>
                    <w:tr2bl w:val="nil"/>
                  </w:tcBorders>
                  <w:shd w:val="clear" w:color="auto" w:fill="auto"/>
                  <w:vAlign w:val="center"/>
                </w:tcPr>
                <w:p w14:paraId="56016825">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2500</w:t>
                  </w:r>
                </w:p>
              </w:tc>
              <w:tc>
                <w:tcPr>
                  <w:tcW w:w="1499" w:type="dxa"/>
                  <w:tcBorders>
                    <w:tl2br w:val="nil"/>
                    <w:tr2bl w:val="nil"/>
                  </w:tcBorders>
                  <w:shd w:val="clear" w:color="auto" w:fill="auto"/>
                  <w:vAlign w:val="center"/>
                </w:tcPr>
                <w:p w14:paraId="488AD39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t>0.00004</w:t>
                  </w:r>
                </w:p>
              </w:tc>
            </w:tr>
            <w:tr w14:paraId="67F39F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072" w:type="dxa"/>
                  <w:tcBorders>
                    <w:tl2br w:val="nil"/>
                    <w:tr2bl w:val="nil"/>
                  </w:tcBorders>
                  <w:vAlign w:val="center"/>
                </w:tcPr>
                <w:p w14:paraId="2D375D23">
                  <w:pPr>
                    <w:keepNext w:val="0"/>
                    <w:keepLines w:val="0"/>
                    <w:suppressLineNumbers w:val="0"/>
                    <w:spacing w:before="0" w:beforeAutospacing="0" w:after="0" w:afterAutospacing="0"/>
                    <w:ind w:left="0" w:right="0"/>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3</w:t>
                  </w:r>
                </w:p>
              </w:tc>
              <w:tc>
                <w:tcPr>
                  <w:tcW w:w="2232" w:type="dxa"/>
                  <w:tcBorders>
                    <w:tl2br w:val="nil"/>
                    <w:tr2bl w:val="nil"/>
                  </w:tcBorders>
                  <w:shd w:val="clear" w:color="auto" w:fill="auto"/>
                  <w:vAlign w:val="center"/>
                </w:tcPr>
                <w:p w14:paraId="7F5BB536">
                  <w:pPr>
                    <w:keepNext w:val="0"/>
                    <w:keepLines w:val="0"/>
                    <w:widowControl/>
                    <w:suppressLineNumbers w:val="0"/>
                    <w:spacing w:before="0" w:beforeAutospacing="0" w:after="0" w:afterAutospacing="0"/>
                    <w:ind w:left="0" w:right="0"/>
                    <w:jc w:val="center"/>
                    <w:rPr>
                      <w:rFonts w:hint="eastAsia"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合计</w:t>
                  </w:r>
                </w:p>
              </w:tc>
              <w:tc>
                <w:tcPr>
                  <w:tcW w:w="1818" w:type="dxa"/>
                  <w:tcBorders>
                    <w:tl2br w:val="nil"/>
                    <w:tr2bl w:val="nil"/>
                  </w:tcBorders>
                  <w:shd w:val="clear" w:color="auto" w:fill="auto"/>
                  <w:vAlign w:val="center"/>
                </w:tcPr>
                <w:p w14:paraId="12DE71B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1872" w:type="dxa"/>
                  <w:tcBorders>
                    <w:tl2br w:val="nil"/>
                    <w:tr2bl w:val="nil"/>
                  </w:tcBorders>
                  <w:shd w:val="clear" w:color="auto" w:fill="auto"/>
                  <w:vAlign w:val="center"/>
                </w:tcPr>
                <w:p w14:paraId="3B0F0533">
                  <w:pPr>
                    <w:keepNext w:val="0"/>
                    <w:keepLines w:val="0"/>
                    <w:widowControl/>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c>
                <w:tcPr>
                  <w:tcW w:w="1499" w:type="dxa"/>
                  <w:tcBorders>
                    <w:tl2br w:val="nil"/>
                    <w:tr2bl w:val="nil"/>
                  </w:tcBorders>
                  <w:shd w:val="clear" w:color="auto" w:fill="auto"/>
                  <w:vAlign w:val="center"/>
                </w:tcPr>
                <w:p w14:paraId="0B10DEC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0.000</w:t>
                  </w:r>
                  <w:r>
                    <w:rPr>
                      <w:rFonts w:hint="eastAsia" w:cs="Times New Roman"/>
                      <w:color w:val="000000" w:themeColor="text1"/>
                      <w:szCs w:val="21"/>
                      <w:highlight w:val="none"/>
                      <w:lang w:val="en-US" w:eastAsia="zh-CN"/>
                      <w14:textFill>
                        <w14:solidFill>
                          <w14:schemeClr w14:val="tx1"/>
                        </w14:solidFill>
                      </w14:textFill>
                    </w:rPr>
                    <w:t>24</w:t>
                  </w:r>
                </w:p>
              </w:tc>
            </w:tr>
          </w:tbl>
          <w:p w14:paraId="7554A185">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Cs/>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经计算，Q＜1，该项目环境风险潜势为Ⅰ，本次风险评价工作等级为简单分析，只需在描述危险物质、环境影响途径、环境危害后果、风险防范措施等方面给出定性的说明。</w:t>
            </w:r>
          </w:p>
          <w:p w14:paraId="0CF55B6D">
            <w:pPr>
              <w:keepNext w:val="0"/>
              <w:keepLines w:val="0"/>
              <w:numPr>
                <w:ilvl w:val="0"/>
                <w:numId w:val="5"/>
              </w:numPr>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风险源分析</w:t>
            </w:r>
          </w:p>
          <w:p w14:paraId="52D5935C">
            <w:pPr>
              <w:pStyle w:val="51"/>
              <w:keepNext w:val="0"/>
              <w:keepLines w:val="0"/>
              <w:suppressLineNumbers w:val="0"/>
              <w:spacing w:before="0" w:beforeAutospacing="0" w:after="0" w:afterAutospacing="0" w:line="360" w:lineRule="auto"/>
              <w:ind w:left="0" w:right="0"/>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 xml:space="preserve">   </w:t>
            </w:r>
            <w:r>
              <w:rPr>
                <w:rFonts w:hint="default" w:ascii="Times New Roman" w:hAnsi="Times New Roman" w:eastAsia="宋体" w:cs="Times New Roman"/>
                <w:b w:val="0"/>
                <w:bCs/>
                <w:color w:val="000000" w:themeColor="text1"/>
                <w:highlight w:val="none"/>
                <w14:textFill>
                  <w14:solidFill>
                    <w14:schemeClr w14:val="tx1"/>
                  </w14:solidFill>
                </w14:textFill>
              </w:rPr>
              <w:t>项目风险物质主要为</w:t>
            </w:r>
            <w:r>
              <w:rPr>
                <w:rFonts w:hint="eastAsia" w:cs="Times New Roman"/>
                <w:b w:val="0"/>
                <w:bCs/>
                <w:color w:val="000000" w:themeColor="text1"/>
                <w:kern w:val="0"/>
                <w:sz w:val="24"/>
                <w:highlight w:val="none"/>
                <w:lang w:val="en-US" w:eastAsia="zh-CN"/>
                <w14:textFill>
                  <w14:solidFill>
                    <w14:schemeClr w14:val="tx1"/>
                  </w14:solidFill>
                </w14:textFill>
              </w:rPr>
              <w:t>导热油、</w:t>
            </w:r>
            <w:r>
              <w:rPr>
                <w:rFonts w:hint="default" w:ascii="Times New Roman" w:hAnsi="Times New Roman" w:eastAsia="宋体" w:cs="Times New Roman"/>
                <w:b w:val="0"/>
                <w:bCs/>
                <w:color w:val="000000" w:themeColor="text1"/>
                <w:kern w:val="0"/>
                <w:sz w:val="24"/>
                <w:highlight w:val="none"/>
                <w14:textFill>
                  <w14:solidFill>
                    <w14:schemeClr w14:val="tx1"/>
                  </w14:solidFill>
                </w14:textFill>
              </w:rPr>
              <w:t>废机油等</w:t>
            </w:r>
            <w:r>
              <w:rPr>
                <w:rFonts w:hint="default" w:ascii="Times New Roman" w:hAnsi="Times New Roman" w:eastAsia="宋体" w:cs="Times New Roman"/>
                <w:b w:val="0"/>
                <w:bCs/>
                <w:color w:val="000000" w:themeColor="text1"/>
                <w:highlight w:val="none"/>
                <w14:textFill>
                  <w14:solidFill>
                    <w14:schemeClr w14:val="tx1"/>
                  </w14:solidFill>
                </w14:textFill>
              </w:rPr>
              <w:t>，废机油主要暂存于</w:t>
            </w:r>
            <w:r>
              <w:rPr>
                <w:rFonts w:hint="default" w:ascii="Times New Roman" w:hAnsi="Times New Roman" w:eastAsia="宋体" w:cs="Times New Roman"/>
                <w:b w:val="0"/>
                <w:bCs/>
                <w:color w:val="000000" w:themeColor="text1"/>
                <w:highlight w:val="none"/>
                <w:lang w:eastAsia="zh-CN"/>
                <w14:textFill>
                  <w14:solidFill>
                    <w14:schemeClr w14:val="tx1"/>
                  </w14:solidFill>
                </w14:textFill>
              </w:rPr>
              <w:t>危险废物</w:t>
            </w:r>
            <w:r>
              <w:rPr>
                <w:rFonts w:hint="eastAsia" w:ascii="Times New Roman" w:hAnsi="Times New Roman" w:cs="Times New Roman"/>
                <w:b w:val="0"/>
                <w:bCs/>
                <w:color w:val="000000" w:themeColor="text1"/>
                <w:highlight w:val="none"/>
                <w:lang w:eastAsia="zh-CN"/>
                <w14:textFill>
                  <w14:solidFill>
                    <w14:schemeClr w14:val="tx1"/>
                  </w14:solidFill>
                </w14:textFill>
              </w:rPr>
              <w:t>贮存库，</w:t>
            </w:r>
            <w:r>
              <w:rPr>
                <w:rFonts w:hint="eastAsia" w:cs="Times New Roman"/>
                <w:b w:val="0"/>
                <w:bCs/>
                <w:color w:val="000000" w:themeColor="text1"/>
                <w:kern w:val="0"/>
                <w:sz w:val="24"/>
                <w:highlight w:val="none"/>
                <w:lang w:val="en-US" w:eastAsia="zh-CN"/>
                <w14:textFill>
                  <w14:solidFill>
                    <w14:schemeClr w14:val="tx1"/>
                  </w14:solidFill>
                </w14:textFill>
              </w:rPr>
              <w:t>导热油存放于导热油炉中</w:t>
            </w:r>
            <w:r>
              <w:rPr>
                <w:rFonts w:hint="default" w:ascii="Times New Roman" w:hAnsi="Times New Roman" w:eastAsia="宋体" w:cs="Times New Roman"/>
                <w:b w:val="0"/>
                <w:bCs/>
                <w:color w:val="000000" w:themeColor="text1"/>
                <w:highlight w:val="none"/>
                <w14:textFill>
                  <w14:solidFill>
                    <w14:schemeClr w14:val="tx1"/>
                  </w14:solidFill>
                </w14:textFill>
              </w:rPr>
              <w:t>。</w:t>
            </w:r>
          </w:p>
          <w:p w14:paraId="19621C18">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4.</w:t>
            </w:r>
            <w:r>
              <w:rPr>
                <w:rFonts w:hint="eastAsia" w:ascii="Times New Roman" w:hAnsi="Times New Roman" w:cs="Times New Roman"/>
                <w:b/>
                <w:bCs/>
                <w:color w:val="000000" w:themeColor="text1"/>
                <w:sz w:val="24"/>
                <w:highlight w:val="none"/>
                <w:lang w:val="en-US" w:eastAsia="zh-CN"/>
                <w14:textFill>
                  <w14:solidFill>
                    <w14:schemeClr w14:val="tx1"/>
                  </w14:solidFill>
                </w14:textFill>
              </w:rPr>
              <w:t>10</w:t>
            </w:r>
            <w:r>
              <w:rPr>
                <w:rFonts w:hint="default" w:ascii="Times New Roman" w:hAnsi="Times New Roman" w:eastAsia="宋体" w:cs="Times New Roman"/>
                <w:b/>
                <w:bCs/>
                <w:color w:val="000000" w:themeColor="text1"/>
                <w:sz w:val="24"/>
                <w:highlight w:val="none"/>
                <w14:textFill>
                  <w14:solidFill>
                    <w14:schemeClr w14:val="tx1"/>
                  </w14:solidFill>
                </w14:textFill>
              </w:rPr>
              <w:t>.2影响途径分析</w:t>
            </w:r>
          </w:p>
          <w:p w14:paraId="2376B22B">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A、风险物质泄漏，</w:t>
            </w:r>
            <w:r>
              <w:rPr>
                <w:rFonts w:hint="eastAsia" w:cs="Times New Roman"/>
                <w:color w:val="000000" w:themeColor="text1"/>
                <w:sz w:val="24"/>
                <w:highlight w:val="none"/>
                <w:lang w:val="en-US" w:eastAsia="zh-CN"/>
                <w14:textFill>
                  <w14:solidFill>
                    <w14:schemeClr w14:val="tx1"/>
                  </w14:solidFill>
                </w14:textFill>
              </w:rPr>
              <w:t>导热油炉区、</w:t>
            </w:r>
            <w:r>
              <w:rPr>
                <w:rFonts w:hint="default" w:ascii="Times New Roman" w:hAnsi="Times New Roman" w:eastAsia="宋体" w:cs="Times New Roman"/>
                <w:color w:val="000000" w:themeColor="text1"/>
                <w:sz w:val="24"/>
                <w:highlight w:val="none"/>
                <w:lang w:val="en-GB" w:eastAsia="zh-CN"/>
                <w14:textFill>
                  <w14:solidFill>
                    <w14:schemeClr w14:val="tx1"/>
                  </w14:solidFill>
                </w14:textFill>
              </w:rPr>
              <w:t>危险废物</w:t>
            </w:r>
            <w:r>
              <w:rPr>
                <w:rFonts w:hint="eastAsia" w:cs="Times New Roman"/>
                <w:color w:val="000000" w:themeColor="text1"/>
                <w:sz w:val="24"/>
                <w:highlight w:val="none"/>
                <w:lang w:val="en-GB" w:eastAsia="zh-CN"/>
                <w14:textFill>
                  <w14:solidFill>
                    <w14:schemeClr w14:val="tx1"/>
                  </w14:solidFill>
                </w14:textFill>
              </w:rPr>
              <w:t>贮存库</w:t>
            </w:r>
            <w:r>
              <w:rPr>
                <w:rFonts w:hint="default" w:ascii="Times New Roman" w:hAnsi="Times New Roman" w:eastAsia="宋体" w:cs="Times New Roman"/>
                <w:color w:val="000000" w:themeColor="text1"/>
                <w:kern w:val="0"/>
                <w:sz w:val="24"/>
                <w:highlight w:val="none"/>
                <w14:textFill>
                  <w14:solidFill>
                    <w14:schemeClr w14:val="tx1"/>
                  </w14:solidFill>
                </w14:textFill>
              </w:rPr>
              <w:t>防渗层破损</w:t>
            </w:r>
            <w:r>
              <w:rPr>
                <w:rFonts w:hint="default" w:ascii="Times New Roman" w:hAnsi="Times New Roman" w:eastAsia="宋体" w:cs="Times New Roman"/>
                <w:color w:val="000000" w:themeColor="text1"/>
                <w:sz w:val="24"/>
                <w:highlight w:val="none"/>
                <w14:textFill>
                  <w14:solidFill>
                    <w14:schemeClr w14:val="tx1"/>
                  </w14:solidFill>
                </w14:textFill>
              </w:rPr>
              <w:t>会导致风险物质垂直入渗污染土壤及地下水；</w:t>
            </w:r>
          </w:p>
          <w:p w14:paraId="0CA83261">
            <w:pPr>
              <w:keepNext w:val="0"/>
              <w:keepLines w:val="0"/>
              <w:suppressLineNumbers w:val="0"/>
              <w:spacing w:before="0" w:beforeAutospacing="0" w:after="0" w:afterAutospacing="0" w:line="360" w:lineRule="auto"/>
              <w:ind w:left="0" w:right="0" w:firstLine="480" w:firstLineChars="200"/>
              <w:jc w:val="left"/>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B、若风险物质泄漏发生火灾时，消防废水通过雨水管网排入地表水环境中，造成地表水环境的污染。</w:t>
            </w:r>
          </w:p>
          <w:p w14:paraId="43FFE4F8">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000000" w:themeColor="text1"/>
                <w:sz w:val="24"/>
                <w:highlight w:val="none"/>
                <w:lang w:val="en-GB"/>
                <w14:textFill>
                  <w14:solidFill>
                    <w14:schemeClr w14:val="tx1"/>
                  </w14:solidFill>
                </w14:textFill>
              </w:rPr>
            </w:pPr>
            <w:r>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t>4.</w:t>
            </w:r>
            <w:r>
              <w:rPr>
                <w:rFonts w:hint="eastAsia" w:ascii="Times New Roman" w:hAnsi="Times New Roman" w:cs="Times New Roman"/>
                <w:b/>
                <w:bCs/>
                <w:color w:val="000000" w:themeColor="text1"/>
                <w:sz w:val="24"/>
                <w:highlight w:val="none"/>
                <w:lang w:val="en-US" w:eastAsia="zh-CN"/>
                <w14:textFill>
                  <w14:solidFill>
                    <w14:schemeClr w14:val="tx1"/>
                  </w14:solidFill>
                </w14:textFill>
              </w:rPr>
              <w:t>10</w:t>
            </w:r>
            <w:r>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t>.3</w:t>
            </w:r>
            <w:r>
              <w:rPr>
                <w:rFonts w:hint="default" w:ascii="Times New Roman" w:hAnsi="Times New Roman" w:eastAsia="宋体" w:cs="Times New Roman"/>
                <w:b/>
                <w:bCs/>
                <w:color w:val="000000" w:themeColor="text1"/>
                <w:sz w:val="24"/>
                <w:highlight w:val="none"/>
                <w:lang w:val="en-GB"/>
                <w14:textFill>
                  <w14:solidFill>
                    <w14:schemeClr w14:val="tx1"/>
                  </w14:solidFill>
                </w14:textFill>
              </w:rPr>
              <w:t>风险事故环境影响分析</w:t>
            </w:r>
          </w:p>
          <w:p w14:paraId="6B87EA24">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lang w:val="en-GB"/>
                <w14:textFill>
                  <w14:solidFill>
                    <w14:schemeClr w14:val="tx1"/>
                  </w14:solidFill>
                </w14:textFill>
              </w:rPr>
            </w:pPr>
            <w:r>
              <w:rPr>
                <w:rFonts w:hint="eastAsia" w:cs="Times New Roman"/>
                <w:color w:val="000000" w:themeColor="text1"/>
                <w:sz w:val="24"/>
                <w:highlight w:val="none"/>
                <w:lang w:val="en-GB" w:eastAsia="zh-CN"/>
                <w14:textFill>
                  <w14:solidFill>
                    <w14:schemeClr w14:val="tx1"/>
                  </w14:solidFill>
                </w14:textFill>
              </w:rPr>
              <w:t>泄漏</w:t>
            </w:r>
            <w:r>
              <w:rPr>
                <w:rFonts w:hint="default" w:ascii="Times New Roman" w:hAnsi="Times New Roman" w:eastAsia="宋体" w:cs="Times New Roman"/>
                <w:color w:val="000000" w:themeColor="text1"/>
                <w:sz w:val="24"/>
                <w:highlight w:val="none"/>
                <w:lang w:val="en-GB"/>
                <w14:textFill>
                  <w14:solidFill>
                    <w14:schemeClr w14:val="tx1"/>
                  </w14:solidFill>
                </w14:textFill>
              </w:rPr>
              <w:t>事故：</w:t>
            </w:r>
            <w:r>
              <w:rPr>
                <w:rFonts w:hint="eastAsia" w:cs="Times New Roman"/>
                <w:color w:val="000000" w:themeColor="text1"/>
                <w:kern w:val="0"/>
                <w:sz w:val="24"/>
                <w:highlight w:val="none"/>
                <w:lang w:val="en-US" w:eastAsia="zh-CN"/>
                <w14:textFill>
                  <w14:solidFill>
                    <w14:schemeClr w14:val="tx1"/>
                  </w14:solidFill>
                </w14:textFill>
              </w:rPr>
              <w:t>导热油</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highlight w:val="none"/>
                <w14:textFill>
                  <w14:solidFill>
                    <w14:schemeClr w14:val="tx1"/>
                  </w14:solidFill>
                </w14:textFill>
              </w:rPr>
              <w:t>废机油</w:t>
            </w:r>
            <w:r>
              <w:rPr>
                <w:rFonts w:hint="default" w:ascii="Times New Roman" w:hAnsi="Times New Roman" w:eastAsia="宋体" w:cs="Times New Roman"/>
                <w:color w:val="000000" w:themeColor="text1"/>
                <w:sz w:val="24"/>
                <w:highlight w:val="none"/>
                <w:lang w:val="en-GB"/>
                <w14:textFill>
                  <w14:solidFill>
                    <w14:schemeClr w14:val="tx1"/>
                  </w14:solidFill>
                </w14:textFill>
              </w:rPr>
              <w:t>泄漏或渗漏对地下水的污染较为严重，地下水一旦遭到</w:t>
            </w:r>
            <w:r>
              <w:rPr>
                <w:rFonts w:hint="eastAsia" w:cs="Times New Roman"/>
                <w:color w:val="000000" w:themeColor="text1"/>
                <w:kern w:val="0"/>
                <w:sz w:val="24"/>
                <w:highlight w:val="none"/>
                <w:lang w:val="en-US" w:eastAsia="zh-CN"/>
                <w14:textFill>
                  <w14:solidFill>
                    <w14:schemeClr w14:val="tx1"/>
                  </w14:solidFill>
                </w14:textFill>
              </w:rPr>
              <w:t>导热油</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highlight w:val="none"/>
                <w14:textFill>
                  <w14:solidFill>
                    <w14:schemeClr w14:val="tx1"/>
                  </w14:solidFill>
                </w14:textFill>
              </w:rPr>
              <w:t>废机油</w:t>
            </w:r>
            <w:r>
              <w:rPr>
                <w:rFonts w:hint="default" w:ascii="Times New Roman" w:hAnsi="Times New Roman" w:eastAsia="宋体" w:cs="Times New Roman"/>
                <w:color w:val="000000" w:themeColor="text1"/>
                <w:sz w:val="24"/>
                <w:highlight w:val="none"/>
                <w:lang w:val="en-GB"/>
                <w14:textFill>
                  <w14:solidFill>
                    <w14:schemeClr w14:val="tx1"/>
                  </w14:solidFill>
                </w14:textFill>
              </w:rPr>
              <w:t>的污染，将使地下水产生严重异味，并具有较强的致畸致癌性，根本无法饮用。又由于这种渗漏必然穿过较厚的土壤层，使土壤层中吸附了大量的</w:t>
            </w:r>
            <w:r>
              <w:rPr>
                <w:rFonts w:hint="eastAsia" w:cs="Times New Roman"/>
                <w:color w:val="000000" w:themeColor="text1"/>
                <w:kern w:val="0"/>
                <w:sz w:val="24"/>
                <w:highlight w:val="none"/>
                <w:lang w:val="en-US" w:eastAsia="zh-CN"/>
                <w14:textFill>
                  <w14:solidFill>
                    <w14:schemeClr w14:val="tx1"/>
                  </w14:solidFill>
                </w14:textFill>
              </w:rPr>
              <w:t>导热油、</w:t>
            </w:r>
            <w:r>
              <w:rPr>
                <w:rFonts w:hint="default" w:ascii="Times New Roman" w:hAnsi="Times New Roman" w:eastAsia="宋体" w:cs="Times New Roman"/>
                <w:color w:val="000000" w:themeColor="text1"/>
                <w:kern w:val="0"/>
                <w:sz w:val="24"/>
                <w:highlight w:val="none"/>
                <w14:textFill>
                  <w14:solidFill>
                    <w14:schemeClr w14:val="tx1"/>
                  </w14:solidFill>
                </w14:textFill>
              </w:rPr>
              <w:t>废机油</w:t>
            </w:r>
            <w:r>
              <w:rPr>
                <w:rFonts w:hint="default" w:ascii="Times New Roman" w:hAnsi="Times New Roman" w:eastAsia="宋体" w:cs="Times New Roman"/>
                <w:color w:val="000000" w:themeColor="text1"/>
                <w:sz w:val="24"/>
                <w:highlight w:val="none"/>
                <w:lang w:val="en-GB"/>
                <w14:textFill>
                  <w14:solidFill>
                    <w14:schemeClr w14:val="tx1"/>
                  </w14:solidFill>
                </w14:textFill>
              </w:rPr>
              <w:t>，土壤层吸附的</w:t>
            </w:r>
            <w:r>
              <w:rPr>
                <w:rFonts w:hint="eastAsia" w:cs="Times New Roman"/>
                <w:color w:val="000000" w:themeColor="text1"/>
                <w:kern w:val="0"/>
                <w:sz w:val="24"/>
                <w:highlight w:val="none"/>
                <w:lang w:val="en-US" w:eastAsia="zh-CN"/>
                <w14:textFill>
                  <w14:solidFill>
                    <w14:schemeClr w14:val="tx1"/>
                  </w14:solidFill>
                </w14:textFill>
              </w:rPr>
              <w:t>导热油、</w:t>
            </w:r>
            <w:r>
              <w:rPr>
                <w:rFonts w:hint="default" w:ascii="Times New Roman" w:hAnsi="Times New Roman" w:eastAsia="宋体" w:cs="Times New Roman"/>
                <w:color w:val="000000" w:themeColor="text1"/>
                <w:kern w:val="0"/>
                <w:sz w:val="24"/>
                <w:highlight w:val="none"/>
                <w14:textFill>
                  <w14:solidFill>
                    <w14:schemeClr w14:val="tx1"/>
                  </w14:solidFill>
                </w14:textFill>
              </w:rPr>
              <w:t>废机油</w:t>
            </w:r>
            <w:r>
              <w:rPr>
                <w:rFonts w:hint="default" w:ascii="Times New Roman" w:hAnsi="Times New Roman" w:eastAsia="宋体" w:cs="Times New Roman"/>
                <w:color w:val="000000" w:themeColor="text1"/>
                <w:sz w:val="24"/>
                <w:highlight w:val="none"/>
                <w:lang w:val="en-GB"/>
                <w14:textFill>
                  <w14:solidFill>
                    <w14:schemeClr w14:val="tx1"/>
                  </w14:solidFill>
                </w14:textFill>
              </w:rPr>
              <w:t>不仅会造成植物生物的死亡，而且土壤层吸附的</w:t>
            </w:r>
            <w:r>
              <w:rPr>
                <w:rFonts w:hint="eastAsia" w:cs="Times New Roman"/>
                <w:color w:val="000000" w:themeColor="text1"/>
                <w:kern w:val="0"/>
                <w:sz w:val="24"/>
                <w:highlight w:val="none"/>
                <w:lang w:val="en-US" w:eastAsia="zh-CN"/>
                <w14:textFill>
                  <w14:solidFill>
                    <w14:schemeClr w14:val="tx1"/>
                  </w14:solidFill>
                </w14:textFill>
              </w:rPr>
              <w:t>导热油、</w:t>
            </w:r>
            <w:r>
              <w:rPr>
                <w:rFonts w:hint="default" w:ascii="Times New Roman" w:hAnsi="Times New Roman" w:eastAsia="宋体" w:cs="Times New Roman"/>
                <w:color w:val="000000" w:themeColor="text1"/>
                <w:kern w:val="0"/>
                <w:sz w:val="24"/>
                <w:highlight w:val="none"/>
                <w14:textFill>
                  <w14:solidFill>
                    <w14:schemeClr w14:val="tx1"/>
                  </w14:solidFill>
                </w14:textFill>
              </w:rPr>
              <w:t>废机油</w:t>
            </w:r>
            <w:r>
              <w:rPr>
                <w:rFonts w:hint="default" w:ascii="Times New Roman" w:hAnsi="Times New Roman" w:eastAsia="宋体" w:cs="Times New Roman"/>
                <w:color w:val="000000" w:themeColor="text1"/>
                <w:sz w:val="24"/>
                <w:highlight w:val="none"/>
                <w:lang w:val="en-GB"/>
                <w14:textFill>
                  <w14:solidFill>
                    <w14:schemeClr w14:val="tx1"/>
                  </w14:solidFill>
                </w14:textFill>
              </w:rPr>
              <w:t>还会随着地表水的下渗对土壤层的冲刷作用补充到地下水，这样即便污染源得到及时控制，地下水要完全恢复也需几十年甚至上百年的时间。本项目对</w:t>
            </w:r>
            <w:r>
              <w:rPr>
                <w:rFonts w:hint="eastAsia" w:cs="Times New Roman"/>
                <w:color w:val="000000" w:themeColor="text1"/>
                <w:sz w:val="24"/>
                <w:highlight w:val="none"/>
                <w:lang w:val="en-US" w:eastAsia="zh-CN"/>
                <w14:textFill>
                  <w14:solidFill>
                    <w14:schemeClr w14:val="tx1"/>
                  </w14:solidFill>
                </w14:textFill>
              </w:rPr>
              <w:t>导热油炉区、</w:t>
            </w:r>
            <w:r>
              <w:rPr>
                <w:rFonts w:hint="default" w:ascii="Times New Roman" w:hAnsi="Times New Roman" w:eastAsia="宋体" w:cs="Times New Roman"/>
                <w:color w:val="000000" w:themeColor="text1"/>
                <w:sz w:val="24"/>
                <w:highlight w:val="none"/>
                <w:lang w:val="en-GB" w:eastAsia="zh-CN"/>
                <w14:textFill>
                  <w14:solidFill>
                    <w14:schemeClr w14:val="tx1"/>
                  </w14:solidFill>
                </w14:textFill>
              </w:rPr>
              <w:t>危险废物</w:t>
            </w:r>
            <w:r>
              <w:rPr>
                <w:rFonts w:hint="eastAsia" w:cs="Times New Roman"/>
                <w:color w:val="000000" w:themeColor="text1"/>
                <w:sz w:val="24"/>
                <w:highlight w:val="none"/>
                <w:lang w:val="en-GB" w:eastAsia="zh-CN"/>
                <w14:textFill>
                  <w14:solidFill>
                    <w14:schemeClr w14:val="tx1"/>
                  </w14:solidFill>
                </w14:textFill>
              </w:rPr>
              <w:t>贮存库</w:t>
            </w:r>
            <w:r>
              <w:rPr>
                <w:rFonts w:hint="default" w:ascii="Times New Roman" w:hAnsi="Times New Roman" w:eastAsia="宋体" w:cs="Times New Roman"/>
                <w:color w:val="000000" w:themeColor="text1"/>
                <w:sz w:val="24"/>
                <w:highlight w:val="none"/>
                <w:lang w:val="en-GB"/>
                <w14:textFill>
                  <w14:solidFill>
                    <w14:schemeClr w14:val="tx1"/>
                  </w14:solidFill>
                </w14:textFill>
              </w:rPr>
              <w:t>地面做了防渗处理，一旦发生泄漏事故，将由于防渗层的保护作用，积聚在</w:t>
            </w:r>
            <w:r>
              <w:rPr>
                <w:rFonts w:hint="eastAsia" w:cs="Times New Roman"/>
                <w:color w:val="000000" w:themeColor="text1"/>
                <w:sz w:val="24"/>
                <w:highlight w:val="none"/>
                <w:lang w:val="en-US" w:eastAsia="zh-CN"/>
                <w14:textFill>
                  <w14:solidFill>
                    <w14:schemeClr w14:val="tx1"/>
                  </w14:solidFill>
                </w14:textFill>
              </w:rPr>
              <w:t>导热油炉区、</w:t>
            </w:r>
            <w:r>
              <w:rPr>
                <w:rFonts w:hint="default" w:ascii="Times New Roman" w:hAnsi="Times New Roman" w:eastAsia="宋体" w:cs="Times New Roman"/>
                <w:color w:val="000000" w:themeColor="text1"/>
                <w:sz w:val="24"/>
                <w:highlight w:val="none"/>
                <w:lang w:val="en-GB" w:eastAsia="zh-CN"/>
                <w14:textFill>
                  <w14:solidFill>
                    <w14:schemeClr w14:val="tx1"/>
                  </w14:solidFill>
                </w14:textFill>
              </w:rPr>
              <w:t>危险废物</w:t>
            </w:r>
            <w:r>
              <w:rPr>
                <w:rFonts w:hint="eastAsia" w:cs="Times New Roman"/>
                <w:color w:val="000000" w:themeColor="text1"/>
                <w:sz w:val="24"/>
                <w:highlight w:val="none"/>
                <w:lang w:val="en-GB" w:eastAsia="zh-CN"/>
                <w14:textFill>
                  <w14:solidFill>
                    <w14:schemeClr w14:val="tx1"/>
                  </w14:solidFill>
                </w14:textFill>
              </w:rPr>
              <w:t>贮存库</w:t>
            </w:r>
            <w:r>
              <w:rPr>
                <w:rFonts w:hint="default" w:ascii="Times New Roman" w:hAnsi="Times New Roman" w:eastAsia="宋体" w:cs="Times New Roman"/>
                <w:color w:val="000000" w:themeColor="text1"/>
                <w:sz w:val="24"/>
                <w:highlight w:val="none"/>
                <w:lang w:val="en-GB"/>
                <w14:textFill>
                  <w14:solidFill>
                    <w14:schemeClr w14:val="tx1"/>
                  </w14:solidFill>
                </w14:textFill>
              </w:rPr>
              <w:t>，对地下水影响较小。</w:t>
            </w:r>
          </w:p>
          <w:p w14:paraId="123723C4">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lang w:val="en-GB"/>
                <w14:textFill>
                  <w14:solidFill>
                    <w14:schemeClr w14:val="tx1"/>
                  </w14:solidFill>
                </w14:textFill>
              </w:rPr>
              <w:t>火灾事故：</w:t>
            </w:r>
            <w:r>
              <w:rPr>
                <w:rFonts w:hint="eastAsia" w:cs="Times New Roman"/>
                <w:color w:val="000000" w:themeColor="text1"/>
                <w:kern w:val="0"/>
                <w:sz w:val="24"/>
                <w:highlight w:val="none"/>
                <w:lang w:val="en-US" w:eastAsia="zh-CN"/>
                <w14:textFill>
                  <w14:solidFill>
                    <w14:schemeClr w14:val="tx1"/>
                  </w14:solidFill>
                </w14:textFill>
              </w:rPr>
              <w:t>导热油、</w:t>
            </w:r>
            <w:r>
              <w:rPr>
                <w:rFonts w:hint="default" w:ascii="Times New Roman" w:hAnsi="Times New Roman" w:eastAsia="宋体" w:cs="Times New Roman"/>
                <w:color w:val="000000" w:themeColor="text1"/>
                <w:kern w:val="0"/>
                <w:sz w:val="24"/>
                <w:highlight w:val="none"/>
                <w14:textFill>
                  <w14:solidFill>
                    <w14:schemeClr w14:val="tx1"/>
                  </w14:solidFill>
                </w14:textFill>
              </w:rPr>
              <w:t>废机油</w:t>
            </w:r>
            <w:r>
              <w:rPr>
                <w:rFonts w:hint="eastAsia" w:cs="Times New Roman"/>
                <w:color w:val="000000" w:themeColor="text1"/>
                <w:kern w:val="0"/>
                <w:sz w:val="24"/>
                <w:highlight w:val="none"/>
                <w:lang w:eastAsia="zh-CN"/>
                <w14:textFill>
                  <w14:solidFill>
                    <w14:schemeClr w14:val="tx1"/>
                  </w14:solidFill>
                </w14:textFill>
              </w:rPr>
              <w:t>泄漏</w:t>
            </w:r>
            <w:r>
              <w:rPr>
                <w:rFonts w:hint="default" w:ascii="Times New Roman" w:hAnsi="Times New Roman" w:eastAsia="宋体" w:cs="Times New Roman"/>
                <w:color w:val="000000" w:themeColor="text1"/>
                <w:sz w:val="24"/>
                <w:highlight w:val="none"/>
                <w:lang w:val="en-GB"/>
                <w14:textFill>
                  <w14:solidFill>
                    <w14:schemeClr w14:val="tx1"/>
                  </w14:solidFill>
                </w14:textFill>
              </w:rPr>
              <w:t>可能遇明火燃烧。当</w:t>
            </w:r>
            <w:r>
              <w:rPr>
                <w:rFonts w:hint="eastAsia" w:cs="Times New Roman"/>
                <w:color w:val="000000" w:themeColor="text1"/>
                <w:kern w:val="0"/>
                <w:sz w:val="24"/>
                <w:highlight w:val="none"/>
                <w:lang w:val="en-US" w:eastAsia="zh-CN"/>
                <w14:textFill>
                  <w14:solidFill>
                    <w14:schemeClr w14:val="tx1"/>
                  </w14:solidFill>
                </w14:textFill>
              </w:rPr>
              <w:t>导热油</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kern w:val="0"/>
                <w:sz w:val="24"/>
                <w:highlight w:val="none"/>
                <w14:textFill>
                  <w14:solidFill>
                    <w14:schemeClr w14:val="tx1"/>
                  </w14:solidFill>
                </w14:textFill>
              </w:rPr>
              <w:t>废机油</w:t>
            </w:r>
            <w:r>
              <w:rPr>
                <w:rFonts w:hint="default" w:ascii="Times New Roman" w:hAnsi="Times New Roman" w:eastAsia="宋体" w:cs="Times New Roman"/>
                <w:color w:val="000000" w:themeColor="text1"/>
                <w:sz w:val="24"/>
                <w:highlight w:val="none"/>
                <w:lang w:val="en-GB"/>
                <w14:textFill>
                  <w14:solidFill>
                    <w14:schemeClr w14:val="tx1"/>
                  </w14:solidFill>
                </w14:textFill>
              </w:rPr>
              <w:t>发生火灾时将放出大量辐射热，同时还散发出大量的浓烟，浓烟是由燃烧物质释放出的高温蒸汽和毒气、被分解和凝聚的未燃烧物质、被火焰加热而带入上升气流中的大量空气等多种物质组成。它不但含有大量的热量，而且含有毒气体和弥散的固体微粒。因此浓烟对火场周围居民的生命安全危害程度远超过火灾本身，并对周围的大气环境质量造成</w:t>
            </w: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影响</w:t>
            </w:r>
            <w:r>
              <w:rPr>
                <w:rFonts w:hint="default" w:ascii="Times New Roman" w:hAnsi="Times New Roman" w:eastAsia="宋体" w:cs="Times New Roman"/>
                <w:color w:val="000000" w:themeColor="text1"/>
                <w:sz w:val="24"/>
                <w:highlight w:val="none"/>
                <w:lang w:val="en-GB"/>
                <w14:textFill>
                  <w14:solidFill>
                    <w14:schemeClr w14:val="tx1"/>
                  </w14:solidFill>
                </w14:textFill>
              </w:rPr>
              <w:t>。</w:t>
            </w:r>
          </w:p>
          <w:p w14:paraId="500D662D">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4.</w:t>
            </w:r>
            <w:r>
              <w:rPr>
                <w:rFonts w:hint="eastAsia" w:ascii="Times New Roman" w:hAnsi="Times New Roman" w:cs="Times New Roman"/>
                <w:b/>
                <w:bCs/>
                <w:color w:val="000000" w:themeColor="text1"/>
                <w:sz w:val="24"/>
                <w:highlight w:val="none"/>
                <w:lang w:val="en-US" w:eastAsia="zh-CN"/>
                <w14:textFill>
                  <w14:solidFill>
                    <w14:schemeClr w14:val="tx1"/>
                  </w14:solidFill>
                </w14:textFill>
              </w:rPr>
              <w:t>10</w:t>
            </w:r>
            <w:r>
              <w:rPr>
                <w:rFonts w:hint="default" w:ascii="Times New Roman" w:hAnsi="Times New Roman" w:eastAsia="宋体" w:cs="Times New Roman"/>
                <w:b/>
                <w:bCs/>
                <w:color w:val="000000" w:themeColor="text1"/>
                <w:sz w:val="24"/>
                <w:highlight w:val="none"/>
                <w14:textFill>
                  <w14:solidFill>
                    <w14:schemeClr w14:val="tx1"/>
                  </w14:solidFill>
                </w14:textFill>
              </w:rPr>
              <w:t>.</w:t>
            </w:r>
            <w:r>
              <w:rPr>
                <w:rFonts w:hint="default" w:ascii="Times New Roman" w:hAnsi="Times New Roman" w:eastAsia="宋体" w:cs="Times New Roman"/>
                <w:b/>
                <w:bCs/>
                <w:color w:val="000000" w:themeColor="text1"/>
                <w:sz w:val="24"/>
                <w:highlight w:val="none"/>
                <w:lang w:val="en-US" w:eastAsia="zh-CN"/>
                <w14:textFill>
                  <w14:solidFill>
                    <w14:schemeClr w14:val="tx1"/>
                  </w14:solidFill>
                </w14:textFill>
              </w:rPr>
              <w:t>4</w:t>
            </w:r>
            <w:r>
              <w:rPr>
                <w:rFonts w:hint="default" w:ascii="Times New Roman" w:hAnsi="Times New Roman" w:eastAsia="宋体" w:cs="Times New Roman"/>
                <w:b/>
                <w:bCs/>
                <w:color w:val="000000" w:themeColor="text1"/>
                <w:sz w:val="24"/>
                <w:highlight w:val="none"/>
                <w14:textFill>
                  <w14:solidFill>
                    <w14:schemeClr w14:val="tx1"/>
                  </w14:solidFill>
                </w14:textFill>
              </w:rPr>
              <w:t>风险防范措施</w:t>
            </w:r>
          </w:p>
          <w:p w14:paraId="653348EE">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对企业可能发生的突发环境事件，有针对性地进行防控，提倡预防为主的原则，防患于未然。一旦发生上述突发环境事件，应做到快速响应、及时控制、措施得力，最大程度上减轻不良影响。项目对各风险源采取以下风险防控措施：</w:t>
            </w:r>
          </w:p>
          <w:p w14:paraId="309D0F7D">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①项目使用生产设备应经常检查，严防跑、冒、滴、漏；</w:t>
            </w:r>
          </w:p>
          <w:p w14:paraId="4433DF29">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②项目在</w:t>
            </w:r>
            <w:r>
              <w:rPr>
                <w:rFonts w:hint="default" w:ascii="Times New Roman" w:hAnsi="Times New Roman" w:eastAsia="宋体" w:cs="Times New Roman"/>
                <w:color w:val="000000" w:themeColor="text1"/>
                <w:sz w:val="24"/>
                <w:highlight w:val="none"/>
                <w:lang w:eastAsia="zh-CN"/>
                <w14:textFill>
                  <w14:solidFill>
                    <w14:schemeClr w14:val="tx1"/>
                  </w14:solidFill>
                </w14:textFill>
              </w:rPr>
              <w:t>危险废物</w:t>
            </w:r>
            <w:r>
              <w:rPr>
                <w:rFonts w:hint="eastAsia" w:cs="Times New Roman"/>
                <w:color w:val="000000" w:themeColor="text1"/>
                <w:sz w:val="24"/>
                <w:highlight w:val="none"/>
                <w:lang w:eastAsia="zh-CN"/>
                <w14:textFill>
                  <w14:solidFill>
                    <w14:schemeClr w14:val="tx1"/>
                  </w14:solidFill>
                </w14:textFill>
              </w:rPr>
              <w:t>贮存库</w:t>
            </w:r>
            <w:r>
              <w:rPr>
                <w:rFonts w:hint="default" w:ascii="Times New Roman" w:hAnsi="Times New Roman" w:eastAsia="宋体" w:cs="Times New Roman"/>
                <w:color w:val="000000" w:themeColor="text1"/>
                <w:sz w:val="24"/>
                <w:highlight w:val="none"/>
                <w14:textFill>
                  <w14:solidFill>
                    <w14:schemeClr w14:val="tx1"/>
                  </w14:solidFill>
                </w14:textFill>
              </w:rPr>
              <w:t>、生产区配置消防灭火器等应急物资；</w:t>
            </w:r>
          </w:p>
          <w:p w14:paraId="52CA15EB">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③项目危险废物</w:t>
            </w:r>
            <w:r>
              <w:rPr>
                <w:rFonts w:hint="default" w:ascii="Times New Roman" w:hAnsi="Times New Roman" w:eastAsia="宋体" w:cs="Times New Roman"/>
                <w:color w:val="000000" w:themeColor="text1"/>
                <w:kern w:val="0"/>
                <w:sz w:val="24"/>
                <w:highlight w:val="none"/>
                <w14:textFill>
                  <w14:solidFill>
                    <w14:schemeClr w14:val="tx1"/>
                  </w14:solidFill>
                </w14:textFill>
              </w:rPr>
              <w:t>严格按照危废管理制度和危废贮存要求贮存，并</w:t>
            </w:r>
            <w:r>
              <w:rPr>
                <w:rFonts w:hint="default" w:ascii="Times New Roman" w:hAnsi="Times New Roman" w:eastAsia="宋体" w:cs="Times New Roman"/>
                <w:color w:val="000000" w:themeColor="text1"/>
                <w:kern w:val="0"/>
                <w:sz w:val="24"/>
                <w:highlight w:val="none"/>
                <w:lang w:val="en-US" w:eastAsia="zh-CN"/>
                <w14:textFill>
                  <w14:solidFill>
                    <w14:schemeClr w14:val="tx1"/>
                  </w14:solidFill>
                </w14:textFill>
              </w:rPr>
              <w:t>在</w:t>
            </w:r>
            <w:r>
              <w:rPr>
                <w:rFonts w:hint="default" w:ascii="Times New Roman" w:hAnsi="Times New Roman" w:eastAsia="宋体" w:cs="Times New Roman"/>
                <w:color w:val="000000" w:themeColor="text1"/>
                <w:kern w:val="0"/>
                <w:sz w:val="24"/>
                <w:highlight w:val="none"/>
                <w14:textFill>
                  <w14:solidFill>
                    <w14:schemeClr w14:val="tx1"/>
                  </w14:solidFill>
                </w14:textFill>
              </w:rPr>
              <w:t>日常运营中加强管理，</w:t>
            </w:r>
            <w:r>
              <w:rPr>
                <w:rFonts w:hint="default" w:ascii="Times New Roman" w:hAnsi="Times New Roman" w:eastAsia="宋体" w:cs="Times New Roman"/>
                <w:color w:val="000000" w:themeColor="text1"/>
                <w:sz w:val="24"/>
                <w:highlight w:val="none"/>
                <w14:textFill>
                  <w14:solidFill>
                    <w14:schemeClr w14:val="tx1"/>
                  </w14:solidFill>
                </w14:textFill>
              </w:rPr>
              <w:t>及时并交由有相应危险废物处理资质的单位处置。</w:t>
            </w:r>
          </w:p>
          <w:p w14:paraId="03C31C80">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④</w:t>
            </w:r>
            <w:r>
              <w:rPr>
                <w:rFonts w:hint="eastAsia" w:cs="Times New Roman"/>
                <w:color w:val="000000" w:themeColor="text1"/>
                <w:sz w:val="24"/>
                <w:highlight w:val="none"/>
                <w:lang w:val="en-US" w:eastAsia="zh-CN"/>
                <w14:textFill>
                  <w14:solidFill>
                    <w14:schemeClr w14:val="tx1"/>
                  </w14:solidFill>
                </w14:textFill>
              </w:rPr>
              <w:t>导热油炉区、</w:t>
            </w:r>
            <w:r>
              <w:rPr>
                <w:rFonts w:hint="default" w:ascii="Times New Roman" w:hAnsi="Times New Roman" w:eastAsia="宋体" w:cs="Times New Roman"/>
                <w:color w:val="000000" w:themeColor="text1"/>
                <w:sz w:val="24"/>
                <w:highlight w:val="none"/>
                <w:lang w:val="en-GB" w:eastAsia="zh-CN"/>
                <w14:textFill>
                  <w14:solidFill>
                    <w14:schemeClr w14:val="tx1"/>
                  </w14:solidFill>
                </w14:textFill>
              </w:rPr>
              <w:t>危险废物</w:t>
            </w:r>
            <w:r>
              <w:rPr>
                <w:rFonts w:hint="eastAsia" w:cs="Times New Roman"/>
                <w:color w:val="000000" w:themeColor="text1"/>
                <w:sz w:val="24"/>
                <w:highlight w:val="none"/>
                <w:lang w:val="en-GB" w:eastAsia="zh-CN"/>
                <w14:textFill>
                  <w14:solidFill>
                    <w14:schemeClr w14:val="tx1"/>
                  </w14:solidFill>
                </w14:textFill>
              </w:rPr>
              <w:t>贮存库</w:t>
            </w:r>
            <w:r>
              <w:rPr>
                <w:rFonts w:hint="default" w:ascii="Times New Roman" w:hAnsi="Times New Roman" w:eastAsia="宋体" w:cs="Times New Roman"/>
                <w:color w:val="000000" w:themeColor="text1"/>
                <w:sz w:val="24"/>
                <w:highlight w:val="none"/>
                <w14:textFill>
                  <w14:solidFill>
                    <w14:schemeClr w14:val="tx1"/>
                  </w14:solidFill>
                </w14:textFill>
              </w:rPr>
              <w:t>地面要定期进行检查维护管理，确保防渗层不被破坏。</w:t>
            </w:r>
          </w:p>
          <w:p w14:paraId="54881B54">
            <w:pPr>
              <w:keepNext w:val="0"/>
              <w:keepLines w:val="0"/>
              <w:suppressLineNumbers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pPr>
            <w:r>
              <w:rPr>
                <w:rFonts w:hint="default" w:ascii="Times New Roman" w:hAnsi="Times New Roman" w:eastAsia="宋体" w:cs="Times New Roman"/>
                <w:color w:val="000000" w:themeColor="text1"/>
                <w:sz w:val="24"/>
                <w:highlight w:val="none"/>
                <w:lang w:val="en-US" w:eastAsia="zh-CN"/>
                <w14:textFill>
                  <w14:solidFill>
                    <w14:schemeClr w14:val="tx1"/>
                  </w14:solidFill>
                </w14:textFill>
              </w:rPr>
              <w:t>⑤企业应按照相关要求编制突发环境事件应急预案。</w:t>
            </w:r>
          </w:p>
          <w:p w14:paraId="5BFA035E">
            <w:pPr>
              <w:keepNext w:val="0"/>
              <w:keepLines w:val="0"/>
              <w:suppressLineNumbers w:val="0"/>
              <w:spacing w:before="0" w:beforeAutospacing="0" w:after="0" w:afterAutospacing="0" w:line="360" w:lineRule="auto"/>
              <w:ind w:left="0" w:right="0" w:firstLine="482" w:firstLineChars="200"/>
              <w:rPr>
                <w:rFonts w:hint="default" w:ascii="Times New Roman" w:hAnsi="Times New Roman" w:eastAsia="宋体" w:cs="Times New Roman"/>
                <w:b/>
                <w:bCs/>
                <w:color w:val="000000" w:themeColor="text1"/>
                <w:sz w:val="24"/>
                <w:highlight w:val="none"/>
                <w14:textFill>
                  <w14:solidFill>
                    <w14:schemeClr w14:val="tx1"/>
                  </w14:solidFill>
                </w14:textFill>
              </w:rPr>
            </w:pPr>
            <w:r>
              <w:rPr>
                <w:rFonts w:hint="default" w:ascii="Times New Roman" w:hAnsi="Times New Roman" w:eastAsia="宋体" w:cs="Times New Roman"/>
                <w:b/>
                <w:bCs/>
                <w:color w:val="000000" w:themeColor="text1"/>
                <w:sz w:val="24"/>
                <w:highlight w:val="none"/>
                <w14:textFill>
                  <w14:solidFill>
                    <w14:schemeClr w14:val="tx1"/>
                  </w14:solidFill>
                </w14:textFill>
              </w:rPr>
              <w:t>4.</w:t>
            </w:r>
            <w:r>
              <w:rPr>
                <w:rFonts w:hint="eastAsia" w:ascii="Times New Roman" w:hAnsi="Times New Roman" w:cs="Times New Roman"/>
                <w:b/>
                <w:bCs/>
                <w:color w:val="000000" w:themeColor="text1"/>
                <w:sz w:val="24"/>
                <w:highlight w:val="none"/>
                <w:lang w:val="en-US" w:eastAsia="zh-CN"/>
                <w14:textFill>
                  <w14:solidFill>
                    <w14:schemeClr w14:val="tx1"/>
                  </w14:solidFill>
                </w14:textFill>
              </w:rPr>
              <w:t>10</w:t>
            </w:r>
            <w:r>
              <w:rPr>
                <w:rFonts w:hint="default" w:ascii="Times New Roman" w:hAnsi="Times New Roman" w:eastAsia="宋体" w:cs="Times New Roman"/>
                <w:b/>
                <w:bCs/>
                <w:color w:val="000000" w:themeColor="text1"/>
                <w:sz w:val="24"/>
                <w:highlight w:val="none"/>
                <w14:textFill>
                  <w14:solidFill>
                    <w14:schemeClr w14:val="tx1"/>
                  </w14:solidFill>
                </w14:textFill>
              </w:rPr>
              <w:t>.5风险评价结论</w:t>
            </w:r>
          </w:p>
          <w:p w14:paraId="1525C7D1">
            <w:pPr>
              <w:keepNext w:val="0"/>
              <w:keepLines w:val="0"/>
              <w:suppressLineNumbers w:val="0"/>
              <w:adjustRightInd w:val="0"/>
              <w:snapToGrid w:val="0"/>
              <w:spacing w:before="0" w:beforeAutospacing="0" w:after="0" w:afterAutospacing="0" w:line="360" w:lineRule="auto"/>
              <w:ind w:left="0" w:right="0" w:firstLine="480" w:firstLineChars="200"/>
              <w:rPr>
                <w:rFonts w:hint="default" w:ascii="Times New Roman" w:hAnsi="Times New Roman" w:eastAsia="宋体" w:cs="Times New Roman"/>
                <w:color w:val="000000" w:themeColor="text1"/>
                <w:sz w:val="24"/>
                <w:highlight w:val="none"/>
                <w14:textFill>
                  <w14:solidFill>
                    <w14:schemeClr w14:val="tx1"/>
                  </w14:solidFill>
                </w14:textFill>
              </w:rPr>
            </w:pPr>
            <w:r>
              <w:rPr>
                <w:rFonts w:hint="default" w:ascii="Times New Roman" w:hAnsi="Times New Roman" w:eastAsia="宋体" w:cs="Times New Roman"/>
                <w:color w:val="000000" w:themeColor="text1"/>
                <w:sz w:val="24"/>
                <w:highlight w:val="none"/>
                <w14:textFill>
                  <w14:solidFill>
                    <w14:schemeClr w14:val="tx1"/>
                  </w14:solidFill>
                </w14:textFill>
              </w:rPr>
              <w:t>综上所述，项目运营期存在一定的环境风险，环评对上述环境风险提出了合理有效的防范措施和建议，能够有效降低风险发生的概率或者减少风险造成的损失和对周边环境的影响。因此，从风险角度分析，项目建设可行。</w:t>
            </w:r>
          </w:p>
          <w:p w14:paraId="7BA2228F">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textAlignment w:val="auto"/>
              <w:rPr>
                <w:rFonts w:hint="default" w:ascii="Times New Roman" w:hAnsi="Times New Roman" w:cs="Times New Roman"/>
                <w:b/>
                <w:bCs/>
                <w:color w:val="000000" w:themeColor="text1"/>
                <w:kern w:val="0"/>
                <w:sz w:val="24"/>
                <w:szCs w:val="32"/>
                <w:highlight w:val="none"/>
                <w14:textFill>
                  <w14:solidFill>
                    <w14:schemeClr w14:val="tx1"/>
                  </w14:solidFill>
                </w14:textFill>
              </w:rPr>
            </w:pPr>
            <w:r>
              <w:rPr>
                <w:rFonts w:hint="eastAsia" w:cs="Times New Roman"/>
                <w:b/>
                <w:bCs/>
                <w:color w:val="000000" w:themeColor="text1"/>
                <w:kern w:val="0"/>
                <w:sz w:val="24"/>
                <w:szCs w:val="32"/>
                <w:highlight w:val="none"/>
                <w:lang w:val="en-US" w:eastAsia="zh-CN"/>
                <w14:textFill>
                  <w14:solidFill>
                    <w14:schemeClr w14:val="tx1"/>
                  </w14:solidFill>
                </w14:textFill>
              </w:rPr>
              <w:t>4.11</w:t>
            </w:r>
            <w:r>
              <w:rPr>
                <w:rFonts w:hint="default" w:ascii="Times New Roman" w:hAnsi="Times New Roman" w:cs="Times New Roman"/>
                <w:b/>
                <w:bCs/>
                <w:color w:val="000000" w:themeColor="text1"/>
                <w:kern w:val="0"/>
                <w:sz w:val="24"/>
                <w:szCs w:val="32"/>
                <w:highlight w:val="none"/>
                <w14:textFill>
                  <w14:solidFill>
                    <w14:schemeClr w14:val="tx1"/>
                  </w14:solidFill>
                </w14:textFill>
              </w:rPr>
              <w:t>环保投入</w:t>
            </w:r>
          </w:p>
          <w:p w14:paraId="619291C9">
            <w:pPr>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360" w:lineRule="auto"/>
              <w:ind w:left="0" w:right="0" w:firstLine="480" w:firstLineChars="200"/>
              <w:textAlignment w:val="auto"/>
              <w:rPr>
                <w:rFonts w:hint="default" w:ascii="Times New Roman" w:hAnsi="Times New Roman" w:eastAsia="宋体" w:cs="Times New Roman"/>
                <w:color w:val="000000" w:themeColor="text1"/>
                <w:sz w:val="24"/>
                <w:szCs w:val="32"/>
                <w:highlight w:val="none"/>
                <w14:textFill>
                  <w14:solidFill>
                    <w14:schemeClr w14:val="tx1"/>
                  </w14:solidFill>
                </w14:textFill>
              </w:rPr>
            </w:pPr>
            <w:r>
              <w:rPr>
                <w:rFonts w:hint="default" w:ascii="Times New Roman" w:hAnsi="Times New Roman" w:eastAsia="宋体" w:cs="Times New Roman"/>
                <w:bCs/>
                <w:color w:val="000000" w:themeColor="text1"/>
                <w:kern w:val="0"/>
                <w:sz w:val="24"/>
                <w:szCs w:val="32"/>
                <w:highlight w:val="none"/>
                <w14:textFill>
                  <w14:solidFill>
                    <w14:schemeClr w14:val="tx1"/>
                  </w14:solidFill>
                </w14:textFill>
              </w:rPr>
              <w:t>该项目总投资</w:t>
            </w:r>
            <w:r>
              <w:rPr>
                <w:rFonts w:hint="eastAsia" w:cs="Times New Roman"/>
                <w:bCs/>
                <w:color w:val="000000" w:themeColor="text1"/>
                <w:kern w:val="0"/>
                <w:sz w:val="24"/>
                <w:szCs w:val="32"/>
                <w:highlight w:val="none"/>
                <w:lang w:val="en-US" w:eastAsia="zh-CN"/>
                <w14:textFill>
                  <w14:solidFill>
                    <w14:schemeClr w14:val="tx1"/>
                  </w14:solidFill>
                </w14:textFill>
              </w:rPr>
              <w:t>1000</w:t>
            </w:r>
            <w:r>
              <w:rPr>
                <w:rFonts w:hint="default" w:ascii="Times New Roman" w:hAnsi="Times New Roman" w:eastAsia="宋体" w:cs="Times New Roman"/>
                <w:bCs/>
                <w:color w:val="000000" w:themeColor="text1"/>
                <w:kern w:val="0"/>
                <w:sz w:val="24"/>
                <w:szCs w:val="32"/>
                <w:highlight w:val="none"/>
                <w:lang w:val="en-US" w:eastAsia="zh-CN"/>
                <w14:textFill>
                  <w14:solidFill>
                    <w14:schemeClr w14:val="tx1"/>
                  </w14:solidFill>
                </w14:textFill>
              </w:rPr>
              <w:t>万</w:t>
            </w:r>
            <w:r>
              <w:rPr>
                <w:rFonts w:hint="default" w:ascii="Times New Roman" w:hAnsi="Times New Roman" w:eastAsia="宋体" w:cs="Times New Roman"/>
                <w:bCs/>
                <w:color w:val="000000" w:themeColor="text1"/>
                <w:kern w:val="0"/>
                <w:sz w:val="24"/>
                <w:szCs w:val="32"/>
                <w:highlight w:val="none"/>
                <w14:textFill>
                  <w14:solidFill>
                    <w14:schemeClr w14:val="tx1"/>
                  </w14:solidFill>
                </w14:textFill>
              </w:rPr>
              <w:t>元，</w:t>
            </w:r>
            <w:r>
              <w:rPr>
                <w:rFonts w:hint="default" w:ascii="Times New Roman" w:hAnsi="Times New Roman" w:eastAsia="宋体" w:cs="Times New Roman"/>
                <w:bCs/>
                <w:color w:val="000000" w:themeColor="text1"/>
                <w:kern w:val="0"/>
                <w:sz w:val="24"/>
                <w:szCs w:val="32"/>
                <w:highlight w:val="none"/>
                <w:lang w:eastAsia="zh-CN"/>
                <w14:textFill>
                  <w14:solidFill>
                    <w14:schemeClr w14:val="tx1"/>
                  </w14:solidFill>
                </w14:textFill>
              </w:rPr>
              <w:t>其中环保投资</w:t>
            </w:r>
            <w:r>
              <w:rPr>
                <w:rFonts w:hint="eastAsia" w:cs="Times New Roman"/>
                <w:bCs/>
                <w:color w:val="000000" w:themeColor="text1"/>
                <w:kern w:val="0"/>
                <w:sz w:val="24"/>
                <w:szCs w:val="32"/>
                <w:highlight w:val="none"/>
                <w:lang w:val="en-US" w:eastAsia="zh-CN"/>
                <w14:textFill>
                  <w14:solidFill>
                    <w14:schemeClr w14:val="tx1"/>
                  </w14:solidFill>
                </w14:textFill>
              </w:rPr>
              <w:t>48</w:t>
            </w:r>
            <w:r>
              <w:rPr>
                <w:rFonts w:hint="default" w:ascii="Times New Roman" w:hAnsi="Times New Roman" w:eastAsia="宋体" w:cs="Times New Roman"/>
                <w:bCs/>
                <w:color w:val="000000" w:themeColor="text1"/>
                <w:kern w:val="0"/>
                <w:sz w:val="24"/>
                <w:szCs w:val="32"/>
                <w:highlight w:val="none"/>
                <w:lang w:val="en-US" w:eastAsia="zh-CN"/>
                <w14:textFill>
                  <w14:solidFill>
                    <w14:schemeClr w14:val="tx1"/>
                  </w14:solidFill>
                </w14:textFill>
              </w:rPr>
              <w:t>.5万元，占总投资的</w:t>
            </w:r>
            <w:r>
              <w:rPr>
                <w:rFonts w:hint="eastAsia" w:cs="Times New Roman"/>
                <w:bCs/>
                <w:color w:val="000000" w:themeColor="text1"/>
                <w:kern w:val="0"/>
                <w:sz w:val="24"/>
                <w:szCs w:val="32"/>
                <w:highlight w:val="none"/>
                <w:lang w:val="en-US" w:eastAsia="zh-CN"/>
                <w14:textFill>
                  <w14:solidFill>
                    <w14:schemeClr w14:val="tx1"/>
                  </w14:solidFill>
                </w14:textFill>
              </w:rPr>
              <w:t>4.85</w:t>
            </w:r>
            <w:r>
              <w:rPr>
                <w:rFonts w:hint="default" w:ascii="Times New Roman" w:hAnsi="Times New Roman" w:eastAsia="宋体" w:cs="Times New Roman"/>
                <w:bCs/>
                <w:color w:val="000000" w:themeColor="text1"/>
                <w:kern w:val="0"/>
                <w:sz w:val="24"/>
                <w:szCs w:val="32"/>
                <w:highlight w:val="none"/>
                <w:lang w:val="en-US" w:eastAsia="zh-CN"/>
                <w14:textFill>
                  <w14:solidFill>
                    <w14:schemeClr w14:val="tx1"/>
                  </w14:solidFill>
                </w14:textFill>
              </w:rPr>
              <w:t>%</w:t>
            </w:r>
            <w:r>
              <w:rPr>
                <w:rFonts w:hint="default" w:ascii="Times New Roman" w:hAnsi="Times New Roman" w:eastAsia="宋体" w:cs="Times New Roman"/>
                <w:bCs/>
                <w:color w:val="000000" w:themeColor="text1"/>
                <w:kern w:val="0"/>
                <w:sz w:val="24"/>
                <w:szCs w:val="32"/>
                <w:highlight w:val="none"/>
                <w14:textFill>
                  <w14:solidFill>
                    <w14:schemeClr w14:val="tx1"/>
                  </w14:solidFill>
                </w14:textFill>
              </w:rPr>
              <w:t>。</w:t>
            </w:r>
          </w:p>
          <w:p w14:paraId="77656F20">
            <w:pPr>
              <w:pStyle w:val="115"/>
              <w:keepNext w:val="0"/>
              <w:keepLines w:val="0"/>
              <w:suppressLineNumbers w:val="0"/>
              <w:bidi w:val="0"/>
              <w:spacing w:before="0" w:beforeAutospacing="0" w:after="0" w:afterAutospacing="0" w:line="360" w:lineRule="auto"/>
              <w:ind w:left="0" w:right="0"/>
              <w:rPr>
                <w:rFonts w:hint="default" w:ascii="Times New Roman" w:hAnsi="Times New Roman" w:eastAsia="宋体" w:cs="Times New Roman"/>
                <w:b/>
                <w:bCs/>
                <w:color w:val="000000" w:themeColor="text1"/>
                <w:sz w:val="22"/>
                <w:szCs w:val="22"/>
                <w:highlight w:val="none"/>
                <w:lang w:val="en-US" w:eastAsia="zh-CN"/>
                <w14:textFill>
                  <w14:solidFill>
                    <w14:schemeClr w14:val="tx1"/>
                  </w14:solidFill>
                </w14:textFill>
              </w:rPr>
            </w:pPr>
            <w:r>
              <w:rPr>
                <w:rFonts w:hint="default" w:ascii="Times New Roman" w:hAnsi="Times New Roman" w:eastAsia="宋体" w:cs="Times New Roman"/>
                <w:b/>
                <w:bCs/>
                <w:color w:val="000000" w:themeColor="text1"/>
                <w:sz w:val="22"/>
                <w:szCs w:val="22"/>
                <w:highlight w:val="none"/>
                <w:lang w:val="en-US" w:eastAsia="zh-CN"/>
                <w14:textFill>
                  <w14:solidFill>
                    <w14:schemeClr w14:val="tx1"/>
                  </w14:solidFill>
                </w14:textFill>
              </w:rPr>
              <w:t>表4-</w:t>
            </w:r>
            <w:r>
              <w:rPr>
                <w:rFonts w:hint="eastAsia" w:ascii="Times New Roman" w:hAnsi="Times New Roman" w:cs="Times New Roman"/>
                <w:b/>
                <w:bCs/>
                <w:color w:val="000000" w:themeColor="text1"/>
                <w:sz w:val="22"/>
                <w:szCs w:val="22"/>
                <w:highlight w:val="none"/>
                <w:lang w:val="en-US" w:eastAsia="zh-CN"/>
                <w14:textFill>
                  <w14:solidFill>
                    <w14:schemeClr w14:val="tx1"/>
                  </w14:solidFill>
                </w14:textFill>
              </w:rPr>
              <w:t>8</w:t>
            </w:r>
            <w:r>
              <w:rPr>
                <w:rFonts w:hint="default" w:ascii="Times New Roman" w:hAnsi="Times New Roman" w:eastAsia="宋体" w:cs="Times New Roman"/>
                <w:b/>
                <w:bCs/>
                <w:color w:val="000000" w:themeColor="text1"/>
                <w:sz w:val="22"/>
                <w:szCs w:val="22"/>
                <w:highlight w:val="none"/>
                <w:lang w:val="en-US" w:eastAsia="zh-CN"/>
                <w14:textFill>
                  <w14:solidFill>
                    <w14:schemeClr w14:val="tx1"/>
                  </w14:solidFill>
                </w14:textFill>
              </w:rPr>
              <w:t xml:space="preserve">   项目主要环保投资一览表     单位：万元</w:t>
            </w:r>
          </w:p>
          <w:tbl>
            <w:tblPr>
              <w:tblStyle w:val="41"/>
              <w:tblW w:w="8493" w:type="dxa"/>
              <w:tblInd w:w="-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675"/>
              <w:gridCol w:w="1533"/>
              <w:gridCol w:w="4757"/>
              <w:gridCol w:w="1102"/>
            </w:tblGrid>
            <w:tr w14:paraId="7BD9F7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1101" w:type="dxa"/>
                  <w:gridSpan w:val="2"/>
                  <w:noWrap w:val="0"/>
                  <w:vAlign w:val="center"/>
                </w:tcPr>
                <w:p w14:paraId="6EE57385">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类别</w:t>
                  </w:r>
                </w:p>
              </w:tc>
              <w:tc>
                <w:tcPr>
                  <w:tcW w:w="1533" w:type="dxa"/>
                  <w:noWrap w:val="0"/>
                  <w:vAlign w:val="center"/>
                </w:tcPr>
                <w:p w14:paraId="03FF2E17">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污染源</w:t>
                  </w:r>
                </w:p>
              </w:tc>
              <w:tc>
                <w:tcPr>
                  <w:tcW w:w="4757" w:type="dxa"/>
                  <w:noWrap w:val="0"/>
                  <w:vAlign w:val="center"/>
                </w:tcPr>
                <w:p w14:paraId="204B2EC4">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治理措施</w:t>
                  </w:r>
                </w:p>
              </w:tc>
              <w:tc>
                <w:tcPr>
                  <w:tcW w:w="1102" w:type="dxa"/>
                  <w:noWrap w:val="0"/>
                  <w:vAlign w:val="center"/>
                </w:tcPr>
                <w:p w14:paraId="3CADD8EA">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b/>
                      <w:bCs/>
                      <w:color w:val="000000" w:themeColor="text1"/>
                      <w:highlight w:val="none"/>
                      <w14:textFill>
                        <w14:solidFill>
                          <w14:schemeClr w14:val="tx1"/>
                        </w14:solidFill>
                      </w14:textFill>
                    </w:rPr>
                  </w:pPr>
                  <w:r>
                    <w:rPr>
                      <w:rFonts w:hint="default" w:ascii="Times New Roman" w:hAnsi="Times New Roman" w:eastAsia="宋体" w:cs="Times New Roman"/>
                      <w:b/>
                      <w:bCs/>
                      <w:color w:val="000000" w:themeColor="text1"/>
                      <w:highlight w:val="none"/>
                      <w14:textFill>
                        <w14:solidFill>
                          <w14:schemeClr w14:val="tx1"/>
                        </w14:solidFill>
                      </w14:textFill>
                    </w:rPr>
                    <w:t>投资估算（万元）</w:t>
                  </w:r>
                </w:p>
              </w:tc>
            </w:tr>
            <w:tr w14:paraId="40587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restart"/>
                  <w:noWrap w:val="0"/>
                  <w:vAlign w:val="center"/>
                </w:tcPr>
                <w:p w14:paraId="087B1BF8">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运营期</w:t>
                  </w:r>
                </w:p>
              </w:tc>
              <w:tc>
                <w:tcPr>
                  <w:tcW w:w="675" w:type="dxa"/>
                  <w:vMerge w:val="restart"/>
                  <w:noWrap w:val="0"/>
                  <w:vAlign w:val="center"/>
                </w:tcPr>
                <w:p w14:paraId="4282F170">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废气</w:t>
                  </w:r>
                </w:p>
              </w:tc>
              <w:tc>
                <w:tcPr>
                  <w:tcW w:w="1533" w:type="dxa"/>
                  <w:shd w:val="clear" w:color="auto" w:fill="auto"/>
                  <w:noWrap w:val="0"/>
                  <w:vAlign w:val="center"/>
                </w:tcPr>
                <w:p w14:paraId="5A5CE528">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原料堆场粉尘</w:t>
                  </w:r>
                </w:p>
              </w:tc>
              <w:tc>
                <w:tcPr>
                  <w:tcW w:w="4757" w:type="dxa"/>
                  <w:shd w:val="clear" w:color="auto" w:fill="auto"/>
                  <w:noWrap w:val="0"/>
                  <w:vAlign w:val="center"/>
                </w:tcPr>
                <w:p w14:paraId="0B4D20F6">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原料库全封闭，顶部安装喷淋装置，定期洒水抑尘</w:t>
                  </w:r>
                  <w:r>
                    <w:rPr>
                      <w:rFonts w:hint="eastAsia"/>
                      <w:b w:val="0"/>
                      <w:bCs/>
                      <w:color w:val="auto"/>
                      <w:szCs w:val="21"/>
                      <w:highlight w:val="none"/>
                      <w:lang w:eastAsia="zh-CN"/>
                    </w:rPr>
                    <w:t>。</w:t>
                  </w:r>
                </w:p>
              </w:tc>
              <w:tc>
                <w:tcPr>
                  <w:tcW w:w="1102" w:type="dxa"/>
                  <w:shd w:val="clear" w:color="auto" w:fill="auto"/>
                  <w:noWrap w:val="0"/>
                  <w:vAlign w:val="center"/>
                </w:tcPr>
                <w:p w14:paraId="7A080E06">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rightChars="0"/>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hAnsi="Times New Roman" w:cs="Times New Roman"/>
                      <w:color w:val="000000" w:themeColor="text1"/>
                      <w:highlight w:val="none"/>
                      <w:lang w:val="en-US" w:eastAsia="zh-CN"/>
                      <w14:textFill>
                        <w14:solidFill>
                          <w14:schemeClr w14:val="tx1"/>
                        </w14:solidFill>
                      </w14:textFill>
                    </w:rPr>
                    <w:t>3</w:t>
                  </w:r>
                </w:p>
              </w:tc>
            </w:tr>
            <w:tr w14:paraId="7AA925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485E6593">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675" w:type="dxa"/>
                  <w:vMerge w:val="continue"/>
                  <w:noWrap w:val="0"/>
                  <w:vAlign w:val="center"/>
                </w:tcPr>
                <w:p w14:paraId="4DD0E0E1">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1533" w:type="dxa"/>
                  <w:shd w:val="clear" w:color="auto" w:fill="auto"/>
                  <w:noWrap w:val="0"/>
                  <w:vAlign w:val="center"/>
                </w:tcPr>
                <w:p w14:paraId="30968429">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上料粉尘</w:t>
                  </w:r>
                  <w:r>
                    <w:rPr>
                      <w:rFonts w:hint="eastAsia"/>
                      <w:b w:val="0"/>
                      <w:bCs/>
                      <w:color w:val="auto"/>
                      <w:szCs w:val="21"/>
                      <w:highlight w:val="none"/>
                      <w:lang w:eastAsia="zh-CN"/>
                    </w:rPr>
                    <w:t>、</w:t>
                  </w:r>
                  <w:r>
                    <w:rPr>
                      <w:rFonts w:hint="default" w:ascii="Times New Roman" w:hAnsi="Times New Roman" w:eastAsia="宋体" w:cs="Times New Roman"/>
                      <w:color w:val="auto"/>
                      <w:sz w:val="21"/>
                      <w:szCs w:val="21"/>
                      <w:highlight w:val="none"/>
                      <w:lang w:val="en-US" w:eastAsia="zh-CN"/>
                    </w:rPr>
                    <w:t>生料骨料烘干废气</w:t>
                  </w:r>
                </w:p>
              </w:tc>
              <w:tc>
                <w:tcPr>
                  <w:tcW w:w="4757" w:type="dxa"/>
                  <w:shd w:val="clear" w:color="auto" w:fill="auto"/>
                  <w:noWrap w:val="0"/>
                  <w:vAlign w:val="center"/>
                </w:tcPr>
                <w:p w14:paraId="4B2523FA">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上料粉尘经</w:t>
                  </w:r>
                  <w:r>
                    <w:rPr>
                      <w:rFonts w:hint="eastAsia"/>
                      <w:b w:val="0"/>
                      <w:bCs/>
                      <w:color w:val="auto"/>
                      <w:szCs w:val="21"/>
                      <w:highlight w:val="none"/>
                      <w:lang w:val="en-US" w:eastAsia="zh-CN"/>
                    </w:rPr>
                    <w:t>集气罩收集后同生料烘干</w:t>
                  </w:r>
                  <w:r>
                    <w:rPr>
                      <w:rFonts w:hint="eastAsia"/>
                      <w:b w:val="0"/>
                      <w:bCs/>
                      <w:color w:val="auto"/>
                      <w:szCs w:val="21"/>
                      <w:highlight w:val="none"/>
                    </w:rPr>
                    <w:t>粉尘</w:t>
                  </w:r>
                  <w:r>
                    <w:rPr>
                      <w:rFonts w:hint="eastAsia"/>
                      <w:b w:val="0"/>
                      <w:bCs/>
                      <w:color w:val="auto"/>
                      <w:szCs w:val="21"/>
                      <w:highlight w:val="none"/>
                      <w:lang w:val="en-US" w:eastAsia="zh-CN"/>
                    </w:rPr>
                    <w:t>一起</w:t>
                  </w:r>
                  <w:r>
                    <w:rPr>
                      <w:rFonts w:hint="eastAsia"/>
                      <w:b w:val="0"/>
                      <w:bCs/>
                      <w:color w:val="auto"/>
                      <w:szCs w:val="21"/>
                      <w:highlight w:val="none"/>
                    </w:rPr>
                    <w:t>经</w:t>
                  </w:r>
                  <w:r>
                    <w:rPr>
                      <w:rFonts w:hint="eastAsia"/>
                      <w:b w:val="0"/>
                      <w:bCs/>
                      <w:color w:val="auto"/>
                      <w:szCs w:val="21"/>
                      <w:highlight w:val="none"/>
                      <w:lang w:val="en-US" w:eastAsia="zh-CN"/>
                    </w:rPr>
                    <w:t>旋风+</w:t>
                  </w:r>
                  <w:r>
                    <w:rPr>
                      <w:rFonts w:hint="eastAsia"/>
                      <w:b w:val="0"/>
                      <w:bCs/>
                      <w:color w:val="auto"/>
                      <w:szCs w:val="21"/>
                      <w:highlight w:val="none"/>
                    </w:rPr>
                    <w:t>布袋除尘器处理后通过</w:t>
                  </w:r>
                  <w:r>
                    <w:rPr>
                      <w:rFonts w:hint="eastAsia"/>
                      <w:b w:val="0"/>
                      <w:bCs/>
                      <w:color w:val="auto"/>
                      <w:szCs w:val="21"/>
                      <w:highlight w:val="none"/>
                      <w:lang w:val="en-US" w:eastAsia="zh-CN"/>
                    </w:rPr>
                    <w:t>2</w:t>
                  </w:r>
                  <w:r>
                    <w:rPr>
                      <w:rFonts w:hint="eastAsia"/>
                      <w:b w:val="0"/>
                      <w:bCs/>
                      <w:color w:val="auto"/>
                      <w:szCs w:val="21"/>
                      <w:highlight w:val="none"/>
                    </w:rPr>
                    <w:t>5m高排气筒排放</w:t>
                  </w:r>
                  <w:r>
                    <w:rPr>
                      <w:rFonts w:hint="eastAsia"/>
                      <w:b w:val="0"/>
                      <w:bCs/>
                      <w:color w:val="auto"/>
                      <w:szCs w:val="21"/>
                      <w:highlight w:val="none"/>
                      <w:lang w:eastAsia="zh-CN"/>
                    </w:rPr>
                    <w:t>。</w:t>
                  </w:r>
                </w:p>
              </w:tc>
              <w:tc>
                <w:tcPr>
                  <w:tcW w:w="1102" w:type="dxa"/>
                  <w:shd w:val="clear" w:color="auto" w:fill="auto"/>
                  <w:noWrap w:val="0"/>
                  <w:vAlign w:val="center"/>
                </w:tcPr>
                <w:p w14:paraId="757B847A">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rightChars="0"/>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hAnsi="Times New Roman" w:cs="Times New Roman"/>
                      <w:color w:val="000000" w:themeColor="text1"/>
                      <w:kern w:val="2"/>
                      <w:sz w:val="21"/>
                      <w:szCs w:val="21"/>
                      <w:highlight w:val="none"/>
                      <w:lang w:val="en-US" w:eastAsia="zh-CN" w:bidi="ar-SA"/>
                      <w14:textFill>
                        <w14:solidFill>
                          <w14:schemeClr w14:val="tx1"/>
                        </w14:solidFill>
                      </w14:textFill>
                    </w:rPr>
                    <w:t>10</w:t>
                  </w:r>
                </w:p>
              </w:tc>
            </w:tr>
            <w:tr w14:paraId="0D8818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67EE954E">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675" w:type="dxa"/>
                  <w:vMerge w:val="continue"/>
                  <w:noWrap w:val="0"/>
                  <w:vAlign w:val="center"/>
                </w:tcPr>
                <w:p w14:paraId="14635640">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1533" w:type="dxa"/>
                  <w:noWrap w:val="0"/>
                  <w:vAlign w:val="center"/>
                </w:tcPr>
                <w:p w14:paraId="0AE6EE19">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再生骨料加热废气、沥青混合料搅拌废气</w:t>
                  </w:r>
                </w:p>
              </w:tc>
              <w:tc>
                <w:tcPr>
                  <w:tcW w:w="4757" w:type="dxa"/>
                  <w:vMerge w:val="restart"/>
                  <w:shd w:val="clear" w:color="auto" w:fill="auto"/>
                  <w:noWrap w:val="0"/>
                  <w:vAlign w:val="center"/>
                </w:tcPr>
                <w:p w14:paraId="35C1C5BE">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val="0"/>
                      <w:color w:val="000000"/>
                      <w:kern w:val="2"/>
                      <w:sz w:val="21"/>
                      <w:szCs w:val="21"/>
                      <w:highlight w:val="none"/>
                      <w:lang w:val="en-US" w:eastAsia="zh-CN" w:bidi="ar-SA"/>
                    </w:rPr>
                    <w:t>再生骨料加热废气、沥青搅拌烟气经集气后引至</w:t>
                  </w:r>
                  <w:r>
                    <w:rPr>
                      <w:rFonts w:hint="default" w:ascii="Times New Roman"/>
                      <w:b w:val="0"/>
                      <w:bCs w:val="0"/>
                      <w:color w:val="000000"/>
                      <w:sz w:val="21"/>
                      <w:szCs w:val="21"/>
                      <w:highlight w:val="none"/>
                    </w:rPr>
                    <w:t>喷淋+</w:t>
                  </w:r>
                  <w:r>
                    <w:rPr>
                      <w:rFonts w:hint="eastAsia" w:ascii="Times New Roman"/>
                      <w:b w:val="0"/>
                      <w:bCs w:val="0"/>
                      <w:color w:val="000000"/>
                      <w:sz w:val="21"/>
                      <w:szCs w:val="21"/>
                      <w:highlight w:val="none"/>
                      <w:lang w:eastAsia="zh-CN"/>
                    </w:rPr>
                    <w:t>二级</w:t>
                  </w:r>
                  <w:r>
                    <w:rPr>
                      <w:rFonts w:hint="default" w:ascii="Times New Roman"/>
                      <w:b w:val="0"/>
                      <w:bCs w:val="0"/>
                      <w:color w:val="000000"/>
                      <w:sz w:val="21"/>
                      <w:szCs w:val="21"/>
                      <w:highlight w:val="none"/>
                    </w:rPr>
                    <w:t>活性炭吸附</w:t>
                  </w:r>
                  <w:r>
                    <w:rPr>
                      <w:rFonts w:hint="eastAsia" w:ascii="Times New Roman"/>
                      <w:b w:val="0"/>
                      <w:bCs w:val="0"/>
                      <w:color w:val="000000"/>
                      <w:sz w:val="21"/>
                      <w:szCs w:val="21"/>
                      <w:highlight w:val="none"/>
                      <w:lang w:val="en-US" w:eastAsia="zh-CN"/>
                    </w:rPr>
                    <w:t>+布袋除尘器</w:t>
                  </w:r>
                  <w:r>
                    <w:rPr>
                      <w:rFonts w:hint="eastAsia"/>
                      <w:b w:val="0"/>
                      <w:bCs/>
                      <w:color w:val="auto"/>
                      <w:szCs w:val="21"/>
                      <w:highlight w:val="none"/>
                    </w:rPr>
                    <w:t>处理后通过</w:t>
                  </w:r>
                  <w:r>
                    <w:rPr>
                      <w:rFonts w:hint="eastAsia"/>
                      <w:b w:val="0"/>
                      <w:bCs/>
                      <w:color w:val="auto"/>
                      <w:szCs w:val="21"/>
                      <w:highlight w:val="none"/>
                      <w:lang w:val="en-US" w:eastAsia="zh-CN"/>
                    </w:rPr>
                    <w:t>2</w:t>
                  </w:r>
                  <w:r>
                    <w:rPr>
                      <w:rFonts w:hint="eastAsia"/>
                      <w:b w:val="0"/>
                      <w:bCs/>
                      <w:color w:val="auto"/>
                      <w:szCs w:val="21"/>
                      <w:highlight w:val="none"/>
                    </w:rPr>
                    <w:t>5m高排气筒排放</w:t>
                  </w:r>
                  <w:r>
                    <w:rPr>
                      <w:rFonts w:hint="eastAsia"/>
                      <w:b w:val="0"/>
                      <w:bCs/>
                      <w:color w:val="auto"/>
                      <w:szCs w:val="21"/>
                      <w:highlight w:val="none"/>
                      <w:lang w:eastAsia="zh-CN"/>
                    </w:rPr>
                    <w:t>。</w:t>
                  </w:r>
                </w:p>
              </w:tc>
              <w:tc>
                <w:tcPr>
                  <w:tcW w:w="1102" w:type="dxa"/>
                  <w:vMerge w:val="restart"/>
                  <w:shd w:val="clear" w:color="auto" w:fill="auto"/>
                  <w:noWrap w:val="0"/>
                  <w:vAlign w:val="center"/>
                </w:tcPr>
                <w:p w14:paraId="092EFD83">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rightChars="0"/>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hAnsi="Times New Roman" w:cs="Times New Roman"/>
                      <w:color w:val="000000" w:themeColor="text1"/>
                      <w:highlight w:val="none"/>
                      <w:lang w:val="en-US" w:eastAsia="zh-CN"/>
                      <w14:textFill>
                        <w14:solidFill>
                          <w14:schemeClr w14:val="tx1"/>
                        </w14:solidFill>
                      </w14:textFill>
                    </w:rPr>
                    <w:t>25</w:t>
                  </w:r>
                </w:p>
              </w:tc>
            </w:tr>
            <w:tr w14:paraId="5F8F09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770FA77D">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675" w:type="dxa"/>
                  <w:vMerge w:val="continue"/>
                  <w:noWrap w:val="0"/>
                  <w:vAlign w:val="center"/>
                </w:tcPr>
                <w:p w14:paraId="571ABCB8">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1533" w:type="dxa"/>
                  <w:noWrap w:val="0"/>
                  <w:vAlign w:val="center"/>
                </w:tcPr>
                <w:p w14:paraId="48B04910">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沥青储罐废气</w:t>
                  </w:r>
                </w:p>
              </w:tc>
              <w:tc>
                <w:tcPr>
                  <w:tcW w:w="4757" w:type="dxa"/>
                  <w:vMerge w:val="continue"/>
                  <w:shd w:val="clear" w:color="auto" w:fill="auto"/>
                  <w:noWrap w:val="0"/>
                  <w:vAlign w:val="center"/>
                </w:tcPr>
                <w:p w14:paraId="71F63215">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color w:val="auto"/>
                      <w:kern w:val="2"/>
                      <w:sz w:val="21"/>
                      <w:szCs w:val="21"/>
                      <w:highlight w:val="none"/>
                      <w:lang w:val="en-US" w:eastAsia="zh-CN" w:bidi="ar-SA"/>
                    </w:rPr>
                  </w:pPr>
                </w:p>
              </w:tc>
              <w:tc>
                <w:tcPr>
                  <w:tcW w:w="1102" w:type="dxa"/>
                  <w:vMerge w:val="continue"/>
                  <w:shd w:val="clear" w:color="auto" w:fill="auto"/>
                  <w:noWrap w:val="0"/>
                  <w:vAlign w:val="center"/>
                </w:tcPr>
                <w:p w14:paraId="1D6ED587">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rightChars="0"/>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p>
              </w:tc>
            </w:tr>
            <w:tr w14:paraId="5A3B63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2CFCF3E1">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675" w:type="dxa"/>
                  <w:vMerge w:val="continue"/>
                  <w:noWrap w:val="0"/>
                  <w:vAlign w:val="center"/>
                </w:tcPr>
                <w:p w14:paraId="326B8D1F">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1533" w:type="dxa"/>
                  <w:noWrap w:val="0"/>
                  <w:vAlign w:val="center"/>
                </w:tcPr>
                <w:p w14:paraId="47505AB3">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导热油炉废气</w:t>
                  </w:r>
                </w:p>
              </w:tc>
              <w:tc>
                <w:tcPr>
                  <w:tcW w:w="4757" w:type="dxa"/>
                  <w:shd w:val="clear" w:color="auto" w:fill="auto"/>
                  <w:noWrap w:val="0"/>
                  <w:vAlign w:val="center"/>
                </w:tcPr>
                <w:p w14:paraId="05658416">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经低氮燃烧器+15m高排气筒排放</w:t>
                  </w:r>
                </w:p>
              </w:tc>
              <w:tc>
                <w:tcPr>
                  <w:tcW w:w="1102" w:type="dxa"/>
                  <w:shd w:val="clear" w:color="auto" w:fill="auto"/>
                  <w:noWrap w:val="0"/>
                  <w:vAlign w:val="center"/>
                </w:tcPr>
                <w:p w14:paraId="6B6DE7C0">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rightChars="0"/>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hAnsi="Times New Roman" w:cs="Times New Roman"/>
                      <w:color w:val="000000" w:themeColor="text1"/>
                      <w:highlight w:val="none"/>
                      <w:lang w:val="en-US" w:eastAsia="zh-CN"/>
                      <w14:textFill>
                        <w14:solidFill>
                          <w14:schemeClr w14:val="tx1"/>
                        </w14:solidFill>
                      </w14:textFill>
                    </w:rPr>
                    <w:t>依托现有</w:t>
                  </w:r>
                </w:p>
              </w:tc>
            </w:tr>
            <w:tr w14:paraId="4826AF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2CA304F8">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675" w:type="dxa"/>
                  <w:vMerge w:val="continue"/>
                  <w:noWrap w:val="0"/>
                  <w:vAlign w:val="center"/>
                </w:tcPr>
                <w:p w14:paraId="3754C6B5">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1533" w:type="dxa"/>
                  <w:noWrap w:val="0"/>
                  <w:vAlign w:val="center"/>
                </w:tcPr>
                <w:p w14:paraId="23C6489F">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食堂油烟</w:t>
                  </w:r>
                </w:p>
              </w:tc>
              <w:tc>
                <w:tcPr>
                  <w:tcW w:w="4757" w:type="dxa"/>
                  <w:shd w:val="clear" w:color="auto" w:fill="auto"/>
                  <w:noWrap w:val="0"/>
                  <w:vAlign w:val="center"/>
                </w:tcPr>
                <w:p w14:paraId="3542CBBF">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设置油烟净化器处理，废气通过屋顶排放</w:t>
                  </w:r>
                </w:p>
              </w:tc>
              <w:tc>
                <w:tcPr>
                  <w:tcW w:w="1102" w:type="dxa"/>
                  <w:shd w:val="clear" w:color="auto" w:fill="auto"/>
                  <w:noWrap w:val="0"/>
                  <w:vAlign w:val="center"/>
                </w:tcPr>
                <w:p w14:paraId="17D03BBC">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rightChars="0"/>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hAnsi="Times New Roman" w:cs="Times New Roman"/>
                      <w:color w:val="000000" w:themeColor="text1"/>
                      <w:highlight w:val="none"/>
                      <w:lang w:val="en-US" w:eastAsia="zh-CN"/>
                      <w14:textFill>
                        <w14:solidFill>
                          <w14:schemeClr w14:val="tx1"/>
                        </w14:solidFill>
                      </w14:textFill>
                    </w:rPr>
                    <w:t>0.5</w:t>
                  </w:r>
                </w:p>
              </w:tc>
            </w:tr>
            <w:tr w14:paraId="3E74B2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425CA570">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675" w:type="dxa"/>
                  <w:vMerge w:val="restart"/>
                  <w:noWrap w:val="0"/>
                  <w:vAlign w:val="center"/>
                </w:tcPr>
                <w:p w14:paraId="391B1941">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废水</w:t>
                  </w:r>
                </w:p>
              </w:tc>
              <w:tc>
                <w:tcPr>
                  <w:tcW w:w="1533" w:type="dxa"/>
                  <w:noWrap w:val="0"/>
                  <w:vAlign w:val="center"/>
                </w:tcPr>
                <w:p w14:paraId="1D78AE5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车辆清洗废水</w:t>
                  </w:r>
                </w:p>
              </w:tc>
              <w:tc>
                <w:tcPr>
                  <w:tcW w:w="4757" w:type="dxa"/>
                  <w:noWrap w:val="0"/>
                  <w:vAlign w:val="center"/>
                </w:tcPr>
                <w:p w14:paraId="749DDAF4">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沉淀池沉淀后回用，不外排</w:t>
                  </w:r>
                </w:p>
              </w:tc>
              <w:tc>
                <w:tcPr>
                  <w:tcW w:w="1102" w:type="dxa"/>
                  <w:noWrap w:val="0"/>
                  <w:vAlign w:val="center"/>
                </w:tcPr>
                <w:p w14:paraId="24CAFC5F">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hAnsi="Times New Roman" w:cs="Times New Roman"/>
                      <w:color w:val="000000" w:themeColor="text1"/>
                      <w:highlight w:val="none"/>
                      <w:lang w:val="en-US" w:eastAsia="zh-CN"/>
                      <w14:textFill>
                        <w14:solidFill>
                          <w14:schemeClr w14:val="tx1"/>
                        </w14:solidFill>
                      </w14:textFill>
                    </w:rPr>
                    <w:t>3</w:t>
                  </w:r>
                </w:p>
              </w:tc>
            </w:tr>
            <w:tr w14:paraId="3B46A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6707D243">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675" w:type="dxa"/>
                  <w:vMerge w:val="continue"/>
                  <w:noWrap w:val="0"/>
                  <w:vAlign w:val="center"/>
                </w:tcPr>
                <w:p w14:paraId="060BADE5">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1533" w:type="dxa"/>
                  <w:noWrap w:val="0"/>
                  <w:vAlign w:val="center"/>
                </w:tcPr>
                <w:p w14:paraId="4AC1CE9F">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cs="Times New Roman"/>
                      <w:color w:val="000000" w:themeColor="text1"/>
                      <w:highlight w:val="none"/>
                      <w:lang w:val="en-US" w:eastAsia="zh-CN"/>
                      <w14:textFill>
                        <w14:solidFill>
                          <w14:schemeClr w14:val="tx1"/>
                        </w14:solidFill>
                      </w14:textFill>
                    </w:rPr>
                    <w:t>员工生活废水</w:t>
                  </w:r>
                </w:p>
              </w:tc>
              <w:tc>
                <w:tcPr>
                  <w:tcW w:w="4757" w:type="dxa"/>
                  <w:noWrap w:val="0"/>
                  <w:vAlign w:val="center"/>
                </w:tcPr>
                <w:p w14:paraId="050CEF18">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jc w:val="center"/>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经化粪池收集后排入市政污水管网（依托现有）</w:t>
                  </w:r>
                </w:p>
              </w:tc>
              <w:tc>
                <w:tcPr>
                  <w:tcW w:w="1102" w:type="dxa"/>
                  <w:noWrap w:val="0"/>
                  <w:vAlign w:val="center"/>
                </w:tcPr>
                <w:p w14:paraId="52087268">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hAnsi="Times New Roman" w:cs="Times New Roman"/>
                      <w:color w:val="000000" w:themeColor="text1"/>
                      <w:highlight w:val="none"/>
                      <w:lang w:val="en-US" w:eastAsia="zh-CN"/>
                      <w14:textFill>
                        <w14:solidFill>
                          <w14:schemeClr w14:val="tx1"/>
                        </w14:solidFill>
                      </w14:textFill>
                    </w:rPr>
                    <w:t>-</w:t>
                  </w:r>
                </w:p>
              </w:tc>
            </w:tr>
            <w:tr w14:paraId="0ECF88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64168270">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675" w:type="dxa"/>
                  <w:noWrap w:val="0"/>
                  <w:vAlign w:val="center"/>
                </w:tcPr>
                <w:p w14:paraId="5B52B8B5">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噪声</w:t>
                  </w:r>
                </w:p>
              </w:tc>
              <w:tc>
                <w:tcPr>
                  <w:tcW w:w="1533" w:type="dxa"/>
                  <w:noWrap w:val="0"/>
                  <w:vAlign w:val="center"/>
                </w:tcPr>
                <w:p w14:paraId="543C3D68">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设备噪声</w:t>
                  </w:r>
                </w:p>
              </w:tc>
              <w:tc>
                <w:tcPr>
                  <w:tcW w:w="4757" w:type="dxa"/>
                  <w:noWrap w:val="0"/>
                  <w:vAlign w:val="center"/>
                </w:tcPr>
                <w:p w14:paraId="4DC254ED">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选用高效低噪声设备、安装减振底座等</w:t>
                  </w:r>
                </w:p>
              </w:tc>
              <w:tc>
                <w:tcPr>
                  <w:tcW w:w="1102" w:type="dxa"/>
                  <w:noWrap w:val="0"/>
                  <w:vAlign w:val="center"/>
                </w:tcPr>
                <w:p w14:paraId="47D2B0F2">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default" w:ascii="Times New Roman" w:hAnsi="Times New Roman" w:eastAsia="宋体" w:cs="Times New Roman"/>
                      <w:color w:val="000000" w:themeColor="text1"/>
                      <w:highlight w:val="none"/>
                      <w:lang w:val="en-US" w:eastAsia="zh-CN"/>
                      <w14:textFill>
                        <w14:solidFill>
                          <w14:schemeClr w14:val="tx1"/>
                        </w14:solidFill>
                      </w14:textFill>
                    </w:rPr>
                    <w:t>2</w:t>
                  </w:r>
                </w:p>
              </w:tc>
            </w:tr>
            <w:tr w14:paraId="25AAAD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296F3861">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675" w:type="dxa"/>
                  <w:vMerge w:val="restart"/>
                  <w:noWrap w:val="0"/>
                  <w:vAlign w:val="center"/>
                </w:tcPr>
                <w:p w14:paraId="3E1F6F79">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固废</w:t>
                  </w:r>
                </w:p>
              </w:tc>
              <w:tc>
                <w:tcPr>
                  <w:tcW w:w="1533" w:type="dxa"/>
                  <w:noWrap w:val="0"/>
                  <w:vAlign w:val="center"/>
                </w:tcPr>
                <w:p w14:paraId="1F1BC4E1">
                  <w:pPr>
                    <w:pStyle w:val="51"/>
                    <w:keepNext w:val="0"/>
                    <w:keepLines w:val="0"/>
                    <w:pageBreakBefore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000000" w:themeColor="text1"/>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t>员工生活垃圾</w:t>
                  </w:r>
                </w:p>
              </w:tc>
              <w:tc>
                <w:tcPr>
                  <w:tcW w:w="4757" w:type="dxa"/>
                  <w:noWrap w:val="0"/>
                  <w:vAlign w:val="center"/>
                </w:tcPr>
                <w:p w14:paraId="6B83EB38">
                  <w:pPr>
                    <w:pStyle w:val="151"/>
                    <w:keepNext w:val="0"/>
                    <w:keepLines w:val="0"/>
                    <w:pageBreakBefore w:val="0"/>
                    <w:suppressLineNumbers w:val="0"/>
                    <w:kinsoku/>
                    <w:wordWrap/>
                    <w:overflowPunct/>
                    <w:topLinePunct w:val="0"/>
                    <w:bidi w:val="0"/>
                    <w:spacing w:before="0" w:beforeAutospacing="0" w:after="0" w:afterAutospacing="0" w:line="240" w:lineRule="auto"/>
                    <w:ind w:left="0" w:right="0" w:rightChars="0" w:firstLine="0" w:firstLineChars="0"/>
                    <w:jc w:val="left"/>
                    <w:textAlignment w:val="auto"/>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 w:val="21"/>
                      <w:szCs w:val="21"/>
                      <w:highlight w:val="none"/>
                      <w:lang w:val="en-US" w:eastAsia="zh-CN"/>
                      <w14:textFill>
                        <w14:solidFill>
                          <w14:schemeClr w14:val="tx1"/>
                        </w14:solidFill>
                      </w14:textFill>
                    </w:rPr>
                    <w:t>生活垃圾桶收集后交环卫部门处置。</w:t>
                  </w:r>
                </w:p>
              </w:tc>
              <w:tc>
                <w:tcPr>
                  <w:tcW w:w="1102" w:type="dxa"/>
                  <w:noWrap w:val="0"/>
                  <w:vAlign w:val="center"/>
                </w:tcPr>
                <w:p w14:paraId="4882BB08">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0.5</w:t>
                  </w:r>
                </w:p>
              </w:tc>
            </w:tr>
            <w:tr w14:paraId="414D60F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1575C5E5">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675" w:type="dxa"/>
                  <w:vMerge w:val="continue"/>
                  <w:noWrap w:val="0"/>
                  <w:vAlign w:val="center"/>
                </w:tcPr>
                <w:p w14:paraId="57E0D020">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1533" w:type="dxa"/>
                  <w:noWrap w:val="0"/>
                  <w:vAlign w:val="center"/>
                </w:tcPr>
                <w:p w14:paraId="27C32AC3">
                  <w:pPr>
                    <w:pStyle w:val="51"/>
                    <w:keepNext w:val="0"/>
                    <w:keepLines w:val="0"/>
                    <w:pageBreakBefore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000000" w:themeColor="text1"/>
                      <w:sz w:val="21"/>
                      <w:szCs w:val="21"/>
                      <w:highlight w:val="no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highlight w:val="none"/>
                      <w:lang w:val="en-US" w:eastAsia="zh-CN" w:bidi="ar-SA"/>
                      <w14:textFill>
                        <w14:solidFill>
                          <w14:schemeClr w14:val="tx1"/>
                        </w14:solidFill>
                      </w14:textFill>
                    </w:rPr>
                    <w:t>除尘灰</w:t>
                  </w:r>
                </w:p>
              </w:tc>
              <w:tc>
                <w:tcPr>
                  <w:tcW w:w="4757" w:type="dxa"/>
                  <w:noWrap w:val="0"/>
                  <w:vAlign w:val="center"/>
                </w:tcPr>
                <w:p w14:paraId="7E8BBDEE">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收集后回用于生产</w:t>
                  </w:r>
                </w:p>
              </w:tc>
              <w:tc>
                <w:tcPr>
                  <w:tcW w:w="1102" w:type="dxa"/>
                  <w:noWrap w:val="0"/>
                  <w:vAlign w:val="center"/>
                </w:tcPr>
                <w:p w14:paraId="32D84B1F">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hAnsi="Times New Roman" w:cs="Times New Roman"/>
                      <w:color w:val="000000" w:themeColor="text1"/>
                      <w:highlight w:val="none"/>
                      <w:lang w:val="en-US" w:eastAsia="zh-CN"/>
                      <w14:textFill>
                        <w14:solidFill>
                          <w14:schemeClr w14:val="tx1"/>
                        </w14:solidFill>
                      </w14:textFill>
                    </w:rPr>
                    <w:t>-</w:t>
                  </w:r>
                </w:p>
              </w:tc>
            </w:tr>
            <w:tr w14:paraId="2FD96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5707F026">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675" w:type="dxa"/>
                  <w:vMerge w:val="continue"/>
                  <w:noWrap w:val="0"/>
                  <w:vAlign w:val="center"/>
                </w:tcPr>
                <w:p w14:paraId="4966E58A">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1533" w:type="dxa"/>
                  <w:noWrap w:val="0"/>
                  <w:vAlign w:val="center"/>
                </w:tcPr>
                <w:p w14:paraId="638C2B2B">
                  <w:pPr>
                    <w:pStyle w:val="51"/>
                    <w:keepNext w:val="0"/>
                    <w:keepLines w:val="0"/>
                    <w:pageBreakBefore w:val="0"/>
                    <w:suppressLineNumbers w:val="0"/>
                    <w:kinsoku/>
                    <w:wordWrap/>
                    <w:overflowPunct/>
                    <w:topLinePunct w:val="0"/>
                    <w:bidi w:val="0"/>
                    <w:spacing w:before="0" w:beforeAutospacing="0" w:after="0" w:afterAutospacing="0" w:line="240" w:lineRule="auto"/>
                    <w:ind w:left="0" w:right="0"/>
                    <w:jc w:val="center"/>
                    <w:textAlignment w:val="auto"/>
                    <w:rPr>
                      <w:rFonts w:hint="default" w:ascii="Times New Roman" w:hAnsi="Times New Roman" w:eastAsia="宋体" w:cs="Times New Roman"/>
                      <w:b w:val="0"/>
                      <w:bCs/>
                      <w:color w:val="000000" w:themeColor="text1"/>
                      <w:sz w:val="21"/>
                      <w:szCs w:val="21"/>
                      <w:highlight w:val="none"/>
                      <w:lang w:val="en-US" w:eastAsia="zh-CN" w:bidi="ar-SA"/>
                      <w14:textFill>
                        <w14:solidFill>
                          <w14:schemeClr w14:val="tx1"/>
                        </w14:solidFill>
                      </w14:textFill>
                    </w:rPr>
                  </w:pPr>
                  <w:r>
                    <w:rPr>
                      <w:rFonts w:hint="eastAsia" w:ascii="Times New Roman" w:hAnsi="Times New Roman" w:cs="Times New Roman"/>
                      <w:b w:val="0"/>
                      <w:bCs/>
                      <w:color w:val="000000" w:themeColor="text1"/>
                      <w:sz w:val="21"/>
                      <w:szCs w:val="21"/>
                      <w:highlight w:val="none"/>
                      <w:lang w:val="en-US" w:eastAsia="zh-CN" w:bidi="ar-SA"/>
                      <w14:textFill>
                        <w14:solidFill>
                          <w14:schemeClr w14:val="tx1"/>
                        </w14:solidFill>
                      </w14:textFill>
                    </w:rPr>
                    <w:t>废焦油</w:t>
                  </w:r>
                </w:p>
              </w:tc>
              <w:tc>
                <w:tcPr>
                  <w:tcW w:w="4757" w:type="dxa"/>
                  <w:noWrap w:val="0"/>
                  <w:vAlign w:val="center"/>
                </w:tcPr>
                <w:p w14:paraId="49534485">
                  <w:pPr>
                    <w:keepNext w:val="0"/>
                    <w:keepLines w:val="0"/>
                    <w:pageBreakBefore w:val="0"/>
                    <w:suppressLineNumbers w:val="0"/>
                    <w:kinsoku/>
                    <w:wordWrap/>
                    <w:overflowPunct/>
                    <w:topLinePunct w:val="0"/>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cs="Times New Roman"/>
                      <w:color w:val="000000" w:themeColor="text1"/>
                      <w:kern w:val="2"/>
                      <w:sz w:val="21"/>
                      <w:szCs w:val="21"/>
                      <w:highlight w:val="none"/>
                      <w:lang w:val="en-US" w:eastAsia="zh-CN" w:bidi="ar-SA"/>
                      <w14:textFill>
                        <w14:solidFill>
                          <w14:schemeClr w14:val="tx1"/>
                        </w14:solidFill>
                      </w14:textFill>
                    </w:rPr>
                    <w:t>资源处置单位处置</w:t>
                  </w:r>
                </w:p>
              </w:tc>
              <w:tc>
                <w:tcPr>
                  <w:tcW w:w="1102" w:type="dxa"/>
                  <w:noWrap w:val="0"/>
                  <w:vAlign w:val="center"/>
                </w:tcPr>
                <w:p w14:paraId="1A28B8F2">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hAnsi="Times New Roman" w:cs="Times New Roman"/>
                      <w:color w:val="000000" w:themeColor="text1"/>
                      <w:highlight w:val="none"/>
                      <w:lang w:val="en-US" w:eastAsia="zh-CN"/>
                      <w14:textFill>
                        <w14:solidFill>
                          <w14:schemeClr w14:val="tx1"/>
                        </w14:solidFill>
                      </w14:textFill>
                    </w:rPr>
                    <w:t>-</w:t>
                  </w:r>
                </w:p>
              </w:tc>
            </w:tr>
            <w:tr w14:paraId="492B9C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76701F8C">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675" w:type="dxa"/>
                  <w:vMerge w:val="continue"/>
                  <w:noWrap w:val="0"/>
                  <w:vAlign w:val="center"/>
                </w:tcPr>
                <w:p w14:paraId="1324E6A4">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1533" w:type="dxa"/>
                  <w:noWrap w:val="0"/>
                  <w:vAlign w:val="center"/>
                </w:tcPr>
                <w:p w14:paraId="3D1E982F">
                  <w:pPr>
                    <w:pStyle w:val="151"/>
                    <w:keepNext w:val="0"/>
                    <w:keepLines w:val="0"/>
                    <w:pageBreakBefore w:val="0"/>
                    <w:suppressLineNumbers w:val="0"/>
                    <w:kinsoku/>
                    <w:wordWrap/>
                    <w:overflowPunct/>
                    <w:topLinePunct w:val="0"/>
                    <w:bidi w:val="0"/>
                    <w:spacing w:before="0" w:beforeAutospacing="0" w:after="0" w:afterAutospacing="0" w:line="240" w:lineRule="auto"/>
                    <w:ind w:left="0" w:right="0" w:rightChars="0" w:firstLine="0" w:firstLineChars="0"/>
                    <w:jc w:val="center"/>
                    <w:textAlignment w:val="auto"/>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0"/>
                      <w:sz w:val="21"/>
                      <w:szCs w:val="21"/>
                      <w:highlight w:val="none"/>
                      <w:lang w:val="en-US" w:eastAsia="zh-CN" w:bidi="ar-SA"/>
                      <w14:textFill>
                        <w14:solidFill>
                          <w14:schemeClr w14:val="tx1"/>
                        </w14:solidFill>
                      </w14:textFill>
                    </w:rPr>
                    <w:t>危险废物</w:t>
                  </w:r>
                </w:p>
              </w:tc>
              <w:tc>
                <w:tcPr>
                  <w:tcW w:w="4757" w:type="dxa"/>
                  <w:noWrap w:val="0"/>
                  <w:vAlign w:val="center"/>
                </w:tcPr>
                <w:p w14:paraId="3075DC0C">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危险废物收集后暂存于</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危险废物</w:t>
                  </w:r>
                  <w:r>
                    <w:rPr>
                      <w:rFonts w:hint="eastAsia" w:hAnsi="Times New Roman" w:cs="Times New Roman"/>
                      <w:color w:val="000000" w:themeColor="text1"/>
                      <w:szCs w:val="21"/>
                      <w:highlight w:val="none"/>
                      <w:lang w:eastAsia="zh-CN"/>
                      <w14:textFill>
                        <w14:solidFill>
                          <w14:schemeClr w14:val="tx1"/>
                        </w14:solidFill>
                      </w14:textFill>
                    </w:rPr>
                    <w:t>贮存库</w:t>
                  </w:r>
                  <w:r>
                    <w:rPr>
                      <w:rFonts w:hint="default" w:ascii="Times New Roman" w:hAnsi="Times New Roman" w:eastAsia="宋体" w:cs="Times New Roman"/>
                      <w:color w:val="000000" w:themeColor="text1"/>
                      <w:szCs w:val="21"/>
                      <w:highlight w:val="none"/>
                      <w14:textFill>
                        <w14:solidFill>
                          <w14:schemeClr w14:val="tx1"/>
                        </w14:solidFill>
                      </w14:textFill>
                    </w:rPr>
                    <w:t>，定期委托有资质单位处置。</w:t>
                  </w:r>
                </w:p>
              </w:tc>
              <w:tc>
                <w:tcPr>
                  <w:tcW w:w="1102" w:type="dxa"/>
                  <w:noWrap w:val="0"/>
                  <w:vAlign w:val="center"/>
                </w:tcPr>
                <w:p w14:paraId="55C419DC">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hAnsi="Times New Roman" w:cs="Times New Roman"/>
                      <w:color w:val="000000" w:themeColor="text1"/>
                      <w:kern w:val="2"/>
                      <w:sz w:val="21"/>
                      <w:szCs w:val="21"/>
                      <w:highlight w:val="none"/>
                      <w:lang w:val="en-US" w:eastAsia="zh-CN" w:bidi="ar-SA"/>
                      <w14:textFill>
                        <w14:solidFill>
                          <w14:schemeClr w14:val="tx1"/>
                        </w14:solidFill>
                      </w14:textFill>
                    </w:rPr>
                    <w:t>2</w:t>
                  </w:r>
                </w:p>
              </w:tc>
            </w:tr>
            <w:tr w14:paraId="602E22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426" w:type="dxa"/>
                  <w:vMerge w:val="continue"/>
                  <w:noWrap w:val="0"/>
                  <w:vAlign w:val="center"/>
                </w:tcPr>
                <w:p w14:paraId="64593E95">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p>
              </w:tc>
              <w:tc>
                <w:tcPr>
                  <w:tcW w:w="2208" w:type="dxa"/>
                  <w:gridSpan w:val="2"/>
                  <w:noWrap w:val="0"/>
                  <w:vAlign w:val="center"/>
                </w:tcPr>
                <w:p w14:paraId="1B7E4061">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eastAsia="宋体" w:cs="Times New Roman"/>
                      <w:color w:val="000000" w:themeColor="text1"/>
                      <w:highlight w:val="none"/>
                      <w:lang w:eastAsia="zh-CN"/>
                      <w14:textFill>
                        <w14:solidFill>
                          <w14:schemeClr w14:val="tx1"/>
                        </w14:solidFill>
                      </w14:textFill>
                    </w:rPr>
                    <w:t>环境风险</w:t>
                  </w:r>
                </w:p>
              </w:tc>
              <w:tc>
                <w:tcPr>
                  <w:tcW w:w="4757" w:type="dxa"/>
                  <w:noWrap w:val="0"/>
                  <w:vAlign w:val="center"/>
                </w:tcPr>
                <w:p w14:paraId="00FC6F74">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color w:val="000000" w:themeColor="text1"/>
                      <w:highlight w:val="none"/>
                      <w:lang w:eastAsia="zh-CN"/>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t>危险废物</w:t>
                  </w:r>
                  <w:r>
                    <w:rPr>
                      <w:rFonts w:hint="eastAsia" w:hAnsi="Times New Roman" w:cs="Times New Roman"/>
                      <w:b w:val="0"/>
                      <w:bCs/>
                      <w:color w:val="000000" w:themeColor="text1"/>
                      <w:sz w:val="21"/>
                      <w:szCs w:val="21"/>
                      <w:highlight w:val="none"/>
                      <w:lang w:eastAsia="zh-CN"/>
                      <w14:textFill>
                        <w14:solidFill>
                          <w14:schemeClr w14:val="tx1"/>
                        </w14:solidFill>
                      </w14:textFill>
                    </w:rPr>
                    <w:t>贮存库</w:t>
                  </w:r>
                  <w:r>
                    <w:rPr>
                      <w:rFonts w:hint="default" w:ascii="Times New Roman" w:hAnsi="Times New Roman" w:eastAsia="宋体" w:cs="Times New Roman"/>
                      <w:b w:val="0"/>
                      <w:bCs/>
                      <w:color w:val="000000" w:themeColor="text1"/>
                      <w:sz w:val="21"/>
                      <w:szCs w:val="21"/>
                      <w:highlight w:val="none"/>
                      <w:lang w:eastAsia="zh-CN"/>
                      <w14:textFill>
                        <w14:solidFill>
                          <w14:schemeClr w14:val="tx1"/>
                        </w14:solidFill>
                      </w14:textFill>
                    </w:rPr>
                    <w:t>、</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机油存放区</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地面做好防渗处理，生产车间、</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危险废物</w:t>
                  </w:r>
                  <w:r>
                    <w:rPr>
                      <w:rFonts w:hint="eastAsia" w:hAnsi="Times New Roman" w:cs="Times New Roman"/>
                      <w:b w:val="0"/>
                      <w:bCs/>
                      <w:color w:val="000000" w:themeColor="text1"/>
                      <w:sz w:val="21"/>
                      <w:szCs w:val="21"/>
                      <w:highlight w:val="none"/>
                      <w:lang w:val="en-US" w:eastAsia="zh-CN"/>
                      <w14:textFill>
                        <w14:solidFill>
                          <w14:schemeClr w14:val="tx1"/>
                        </w14:solidFill>
                      </w14:textFill>
                    </w:rPr>
                    <w:t>贮存库</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等区域配置灭火设施，单位在运行过程中严格操作管理和日常维护，加强员工风险防范意识。</w:t>
                  </w:r>
                </w:p>
              </w:tc>
              <w:tc>
                <w:tcPr>
                  <w:tcW w:w="1102" w:type="dxa"/>
                  <w:noWrap w:val="0"/>
                  <w:vAlign w:val="center"/>
                </w:tcPr>
                <w:p w14:paraId="7FE72A32">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hAnsi="Times New Roman" w:cs="Times New Roman"/>
                      <w:color w:val="000000" w:themeColor="text1"/>
                      <w:highlight w:val="none"/>
                      <w:lang w:val="en-US" w:eastAsia="zh-CN"/>
                      <w14:textFill>
                        <w14:solidFill>
                          <w14:schemeClr w14:val="tx1"/>
                        </w14:solidFill>
                      </w14:textFill>
                    </w:rPr>
                    <w:t>2.5</w:t>
                  </w:r>
                </w:p>
              </w:tc>
            </w:tr>
            <w:tr w14:paraId="4F82C2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7391" w:type="dxa"/>
                  <w:gridSpan w:val="4"/>
                  <w:noWrap w:val="0"/>
                  <w:vAlign w:val="center"/>
                </w:tcPr>
                <w:p w14:paraId="3CEE2B76">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14:textFill>
                        <w14:solidFill>
                          <w14:schemeClr w14:val="tx1"/>
                        </w14:solidFill>
                      </w14:textFill>
                    </w:rPr>
                  </w:pPr>
                  <w:r>
                    <w:rPr>
                      <w:rFonts w:hint="default" w:ascii="Times New Roman" w:hAnsi="Times New Roman" w:eastAsia="宋体" w:cs="Times New Roman"/>
                      <w:color w:val="000000" w:themeColor="text1"/>
                      <w:highlight w:val="none"/>
                      <w14:textFill>
                        <w14:solidFill>
                          <w14:schemeClr w14:val="tx1"/>
                        </w14:solidFill>
                      </w14:textFill>
                    </w:rPr>
                    <w:t>合计</w:t>
                  </w:r>
                </w:p>
              </w:tc>
              <w:tc>
                <w:tcPr>
                  <w:tcW w:w="1102" w:type="dxa"/>
                  <w:noWrap w:val="0"/>
                  <w:vAlign w:val="center"/>
                </w:tcPr>
                <w:p w14:paraId="7D1A7001">
                  <w:pPr>
                    <w:pStyle w:val="163"/>
                    <w:keepNext w:val="0"/>
                    <w:keepLines w:val="0"/>
                    <w:pageBreakBefore w:val="0"/>
                    <w:suppressLineNumbers w:val="0"/>
                    <w:kinsoku/>
                    <w:wordWrap/>
                    <w:overflowPunct/>
                    <w:topLinePunct w:val="0"/>
                    <w:bidi w:val="0"/>
                    <w:spacing w:before="0" w:beforeAutospacing="0" w:after="0" w:afterAutospacing="0" w:line="240" w:lineRule="auto"/>
                    <w:ind w:left="0" w:right="0"/>
                    <w:textAlignment w:val="auto"/>
                    <w:rPr>
                      <w:rFonts w:hint="default" w:ascii="Times New Roman" w:hAnsi="Times New Roman" w:eastAsia="宋体" w:cs="Times New Roman"/>
                      <w:color w:val="000000" w:themeColor="text1"/>
                      <w:highlight w:val="none"/>
                      <w:lang w:val="en-US" w:eastAsia="zh-CN"/>
                      <w14:textFill>
                        <w14:solidFill>
                          <w14:schemeClr w14:val="tx1"/>
                        </w14:solidFill>
                      </w14:textFill>
                    </w:rPr>
                  </w:pPr>
                  <w:r>
                    <w:rPr>
                      <w:rFonts w:hint="eastAsia" w:hAnsi="Times New Roman" w:cs="Times New Roman"/>
                      <w:color w:val="000000" w:themeColor="text1"/>
                      <w:highlight w:val="none"/>
                      <w:lang w:val="en-US" w:eastAsia="zh-CN"/>
                      <w14:textFill>
                        <w14:solidFill>
                          <w14:schemeClr w14:val="tx1"/>
                        </w14:solidFill>
                      </w14:textFill>
                    </w:rPr>
                    <w:t>48.5</w:t>
                  </w:r>
                </w:p>
              </w:tc>
            </w:tr>
          </w:tbl>
          <w:p w14:paraId="05BEFD79">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p>
          <w:p w14:paraId="7577C36A">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p>
          <w:p w14:paraId="4EB770D8">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p>
          <w:p w14:paraId="3289D4CB">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p>
          <w:p w14:paraId="71824186">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p>
          <w:p w14:paraId="4FE24C8C">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p>
          <w:p w14:paraId="511DDF02">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p>
          <w:p w14:paraId="149E5CF8">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p>
          <w:p w14:paraId="6A272D28">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p>
          <w:p w14:paraId="12713D1D">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p>
          <w:p w14:paraId="5D5200C0">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p>
          <w:p w14:paraId="4F96AA1F">
            <w:pPr>
              <w:keepNext w:val="0"/>
              <w:keepLines w:val="0"/>
              <w:suppressLineNumbers w:val="0"/>
              <w:adjustRightInd w:val="0"/>
              <w:snapToGrid w:val="0"/>
              <w:spacing w:before="0" w:beforeAutospacing="0" w:after="0" w:afterAutospacing="0" w:line="471" w:lineRule="exact"/>
              <w:ind w:left="0" w:right="0"/>
              <w:jc w:val="left"/>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pPr>
          </w:p>
          <w:p w14:paraId="1B7BF074">
            <w:pPr>
              <w:keepNext w:val="0"/>
              <w:keepLines w:val="0"/>
              <w:suppressLineNumbers w:val="0"/>
              <w:adjustRightInd w:val="0"/>
              <w:snapToGrid w:val="0"/>
              <w:spacing w:before="0" w:beforeAutospacing="0" w:after="0" w:afterAutospacing="0" w:line="471" w:lineRule="exact"/>
              <w:ind w:left="0" w:right="0"/>
              <w:jc w:val="left"/>
              <w:rPr>
                <w:rFonts w:hint="default"/>
                <w:color w:val="000000" w:themeColor="text1"/>
                <w:kern w:val="0"/>
                <w:sz w:val="24"/>
                <w:szCs w:val="24"/>
                <w:highlight w:val="green"/>
                <w:lang w:val="en-US" w:eastAsia="zh-CN"/>
                <w14:textFill>
                  <w14:solidFill>
                    <w14:schemeClr w14:val="tx1"/>
                  </w14:solidFill>
                </w14:textFill>
              </w:rPr>
            </w:pPr>
          </w:p>
          <w:p w14:paraId="5CB5C4DE">
            <w:pPr>
              <w:pStyle w:val="2"/>
              <w:keepNext w:val="0"/>
              <w:keepLines w:val="0"/>
              <w:suppressLineNumbers w:val="0"/>
              <w:spacing w:before="0" w:beforeAutospacing="0" w:afterAutospacing="0"/>
              <w:ind w:right="0"/>
              <w:rPr>
                <w:rFonts w:hint="default"/>
                <w:lang w:val="en-US" w:eastAsia="zh-CN"/>
              </w:rPr>
            </w:pPr>
          </w:p>
        </w:tc>
      </w:tr>
    </w:tbl>
    <w:p w14:paraId="13D37585">
      <w:pPr>
        <w:adjustRightInd w:val="0"/>
        <w:snapToGrid w:val="0"/>
        <w:spacing w:line="360" w:lineRule="auto"/>
        <w:rPr>
          <w:b/>
          <w:bCs/>
          <w:color w:val="000000" w:themeColor="text1"/>
          <w:kern w:val="0"/>
          <w:sz w:val="28"/>
          <w:szCs w:val="28"/>
          <w:highlight w:val="green"/>
          <w14:textFill>
            <w14:solidFill>
              <w14:schemeClr w14:val="tx1"/>
            </w14:solidFill>
          </w14:textFill>
        </w:rPr>
        <w:sectPr>
          <w:pgSz w:w="11907" w:h="16840"/>
          <w:pgMar w:top="1418" w:right="1418" w:bottom="1134" w:left="1701" w:header="851" w:footer="851" w:gutter="0"/>
          <w:pgBorders>
            <w:top w:val="none" w:sz="0" w:space="0"/>
            <w:left w:val="none" w:sz="0" w:space="0"/>
            <w:bottom w:val="none" w:sz="0" w:space="0"/>
            <w:right w:val="none" w:sz="0" w:space="0"/>
          </w:pgBorders>
          <w:pgNumType w:fmt="decimal"/>
          <w:cols w:space="720" w:num="1"/>
          <w:docGrid w:linePitch="312" w:charSpace="0"/>
        </w:sectPr>
      </w:pPr>
    </w:p>
    <w:p w14:paraId="5CE0584B">
      <w:pPr>
        <w:pStyle w:val="37"/>
        <w:jc w:val="center"/>
        <w:outlineLvl w:val="0"/>
        <w:rPr>
          <w:rFonts w:ascii="Times New Roman" w:hAnsi="Times New Roman"/>
          <w:b/>
          <w:bCs/>
          <w:snapToGrid w:val="0"/>
          <w:color w:val="000000" w:themeColor="text1"/>
          <w:sz w:val="30"/>
          <w:szCs w:val="30"/>
          <w:highlight w:val="none"/>
          <w14:textFill>
            <w14:solidFill>
              <w14:schemeClr w14:val="tx1"/>
            </w14:solidFill>
          </w14:textFill>
        </w:rPr>
      </w:pPr>
      <w:r>
        <w:rPr>
          <w:rFonts w:hint="eastAsia" w:ascii="Times New Roman" w:hAnsi="Times New Roman"/>
          <w:b/>
          <w:bCs/>
          <w:snapToGrid w:val="0"/>
          <w:color w:val="000000" w:themeColor="text1"/>
          <w:sz w:val="30"/>
          <w:szCs w:val="30"/>
          <w:highlight w:val="none"/>
          <w14:textFill>
            <w14:solidFill>
              <w14:schemeClr w14:val="tx1"/>
            </w14:solidFill>
          </w14:textFill>
        </w:rPr>
        <w:t>五、</w:t>
      </w:r>
      <w:bookmarkStart w:id="6" w:name="_Hlk54167917"/>
      <w:r>
        <w:rPr>
          <w:rFonts w:hint="eastAsia" w:ascii="Times New Roman" w:hAnsi="Times New Roman"/>
          <w:b/>
          <w:bCs/>
          <w:snapToGrid w:val="0"/>
          <w:color w:val="000000" w:themeColor="text1"/>
          <w:sz w:val="30"/>
          <w:szCs w:val="30"/>
          <w:highlight w:val="none"/>
          <w14:textFill>
            <w14:solidFill>
              <w14:schemeClr w14:val="tx1"/>
            </w14:solidFill>
          </w14:textFill>
        </w:rPr>
        <w:t>环境保护措施监督检查清单</w:t>
      </w:r>
      <w:bookmarkEnd w:id="6"/>
    </w:p>
    <w:tbl>
      <w:tblPr>
        <w:tblStyle w:val="41"/>
        <w:tblW w:w="8800" w:type="dxa"/>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575"/>
        <w:gridCol w:w="1562"/>
        <w:gridCol w:w="1338"/>
        <w:gridCol w:w="2428"/>
        <w:gridCol w:w="1897"/>
      </w:tblGrid>
      <w:tr w14:paraId="630C8C0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75" w:type="dxa"/>
            <w:tcBorders>
              <w:tl2br w:val="single" w:color="auto" w:sz="4" w:space="0"/>
            </w:tcBorders>
          </w:tcPr>
          <w:p w14:paraId="473C1CB0">
            <w:pPr>
              <w:keepNext w:val="0"/>
              <w:keepLines w:val="0"/>
              <w:suppressLineNumbers w:val="0"/>
              <w:adjustRightInd w:val="0"/>
              <w:snapToGrid w:val="0"/>
              <w:spacing w:before="0" w:beforeAutospacing="0" w:after="0" w:afterAutospacing="0"/>
              <w:ind w:left="0" w:right="0" w:firstLine="840"/>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内容</w:t>
            </w:r>
          </w:p>
          <w:p w14:paraId="2CC02E90">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要素</w:t>
            </w:r>
          </w:p>
        </w:tc>
        <w:tc>
          <w:tcPr>
            <w:tcW w:w="1562" w:type="dxa"/>
            <w:vAlign w:val="center"/>
          </w:tcPr>
          <w:p w14:paraId="014F03A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排放口(编号、</w:t>
            </w:r>
          </w:p>
          <w:p w14:paraId="2CDD4E4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名称)/污染源</w:t>
            </w:r>
          </w:p>
        </w:tc>
        <w:tc>
          <w:tcPr>
            <w:tcW w:w="1338" w:type="dxa"/>
            <w:vAlign w:val="center"/>
          </w:tcPr>
          <w:p w14:paraId="58902F8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污染物项目</w:t>
            </w:r>
          </w:p>
        </w:tc>
        <w:tc>
          <w:tcPr>
            <w:tcW w:w="2428" w:type="dxa"/>
            <w:vAlign w:val="center"/>
          </w:tcPr>
          <w:p w14:paraId="71CF123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环境保护措施</w:t>
            </w:r>
          </w:p>
        </w:tc>
        <w:tc>
          <w:tcPr>
            <w:tcW w:w="1897" w:type="dxa"/>
            <w:vAlign w:val="center"/>
          </w:tcPr>
          <w:p w14:paraId="508A63C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b/>
                <w:bCs/>
                <w:color w:val="000000" w:themeColor="text1"/>
                <w:szCs w:val="21"/>
                <w:highlight w:val="none"/>
                <w14:textFill>
                  <w14:solidFill>
                    <w14:schemeClr w14:val="tx1"/>
                  </w14:solidFill>
                </w14:textFill>
              </w:rPr>
            </w:pPr>
            <w:r>
              <w:rPr>
                <w:rFonts w:hint="default" w:ascii="Times New Roman" w:hAnsi="Times New Roman" w:eastAsia="宋体" w:cs="Times New Roman"/>
                <w:b/>
                <w:bCs/>
                <w:color w:val="000000" w:themeColor="text1"/>
                <w:szCs w:val="21"/>
                <w:highlight w:val="none"/>
                <w14:textFill>
                  <w14:solidFill>
                    <w14:schemeClr w14:val="tx1"/>
                  </w14:solidFill>
                </w14:textFill>
              </w:rPr>
              <w:t>执行标准</w:t>
            </w:r>
          </w:p>
        </w:tc>
      </w:tr>
      <w:tr w14:paraId="76878AC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75" w:type="dxa"/>
            <w:vMerge w:val="restart"/>
            <w:vAlign w:val="center"/>
          </w:tcPr>
          <w:p w14:paraId="4AE81FE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大气环境</w:t>
            </w:r>
          </w:p>
        </w:tc>
        <w:tc>
          <w:tcPr>
            <w:tcW w:w="1562" w:type="dxa"/>
            <w:shd w:val="clear" w:color="auto" w:fill="auto"/>
            <w:vAlign w:val="center"/>
          </w:tcPr>
          <w:p w14:paraId="68516275">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上料粉尘</w:t>
            </w:r>
            <w:r>
              <w:rPr>
                <w:rFonts w:hint="eastAsia"/>
                <w:b w:val="0"/>
                <w:bCs/>
                <w:color w:val="auto"/>
                <w:szCs w:val="21"/>
                <w:highlight w:val="none"/>
                <w:lang w:eastAsia="zh-CN"/>
              </w:rPr>
              <w:t>、</w:t>
            </w:r>
            <w:r>
              <w:rPr>
                <w:rFonts w:hint="default" w:ascii="Times New Roman" w:hAnsi="Times New Roman" w:eastAsia="宋体" w:cs="Times New Roman"/>
                <w:color w:val="auto"/>
                <w:sz w:val="21"/>
                <w:szCs w:val="21"/>
                <w:highlight w:val="none"/>
                <w:lang w:val="en-US" w:eastAsia="zh-CN"/>
              </w:rPr>
              <w:t>生料骨料烘干废气</w:t>
            </w:r>
          </w:p>
        </w:tc>
        <w:tc>
          <w:tcPr>
            <w:tcW w:w="1338" w:type="dxa"/>
            <w:tcBorders>
              <w:bottom w:val="single" w:color="auto" w:sz="4" w:space="0"/>
            </w:tcBorders>
            <w:shd w:val="clear" w:color="auto" w:fill="auto"/>
            <w:vAlign w:val="center"/>
          </w:tcPr>
          <w:p w14:paraId="142BC64D">
            <w:pPr>
              <w:keepNext w:val="0"/>
              <w:keepLines w:val="0"/>
              <w:suppressLineNumbers w:val="0"/>
              <w:adjustRightInd w:val="0"/>
              <w:snapToGrid w:val="0"/>
              <w:spacing w:before="0" w:beforeAutospacing="0" w:after="0" w:afterAutospacing="0" w:line="240" w:lineRule="auto"/>
              <w:ind w:left="0" w:leftChars="0" w:right="0" w:rightChars="0"/>
              <w:jc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颗粒物</w:t>
            </w:r>
            <w:r>
              <w:rPr>
                <w:rFonts w:hint="eastAsia" w:cs="Times New Roman"/>
                <w:b w:val="0"/>
                <w:bCs/>
                <w:color w:val="auto"/>
                <w:kern w:val="2"/>
                <w:sz w:val="21"/>
                <w:szCs w:val="21"/>
                <w:highlight w:val="none"/>
                <w:lang w:val="en-US" w:eastAsia="zh-CN" w:bidi="ar-SA"/>
              </w:rPr>
              <w:t>、</w:t>
            </w: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二氧化硫、氮氧化物</w:t>
            </w:r>
          </w:p>
        </w:tc>
        <w:tc>
          <w:tcPr>
            <w:tcW w:w="2428" w:type="dxa"/>
            <w:tcBorders>
              <w:bottom w:val="single" w:color="auto" w:sz="4" w:space="0"/>
            </w:tcBorders>
            <w:shd w:val="clear" w:color="auto" w:fill="auto"/>
            <w:vAlign w:val="center"/>
          </w:tcPr>
          <w:p w14:paraId="19775FF1">
            <w:pPr>
              <w:keepNext w:val="0"/>
              <w:keepLines w:val="0"/>
              <w:suppressLineNumbers w:val="0"/>
              <w:adjustRightInd w:val="0"/>
              <w:snapToGrid w:val="0"/>
              <w:spacing w:before="0" w:beforeAutospacing="0" w:after="0" w:afterAutospacing="0" w:line="240" w:lineRule="auto"/>
              <w:ind w:left="0" w:leftChars="0" w:right="0" w:rightChars="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上料粉尘经</w:t>
            </w:r>
            <w:r>
              <w:rPr>
                <w:rFonts w:hint="eastAsia"/>
                <w:b w:val="0"/>
                <w:bCs/>
                <w:color w:val="auto"/>
                <w:szCs w:val="21"/>
                <w:highlight w:val="none"/>
                <w:lang w:val="en-US" w:eastAsia="zh-CN"/>
              </w:rPr>
              <w:t>集气罩收集后同生料烘干粉尘一起</w:t>
            </w:r>
            <w:r>
              <w:rPr>
                <w:rFonts w:hint="eastAsia"/>
                <w:b w:val="0"/>
                <w:bCs/>
                <w:color w:val="auto"/>
                <w:szCs w:val="21"/>
                <w:highlight w:val="none"/>
              </w:rPr>
              <w:t>经</w:t>
            </w:r>
            <w:r>
              <w:rPr>
                <w:rFonts w:hint="eastAsia"/>
                <w:b w:val="0"/>
                <w:bCs/>
                <w:color w:val="auto"/>
                <w:szCs w:val="21"/>
                <w:highlight w:val="none"/>
                <w:lang w:val="en-US" w:eastAsia="zh-CN"/>
              </w:rPr>
              <w:t>旋风+</w:t>
            </w:r>
            <w:r>
              <w:rPr>
                <w:rFonts w:hint="eastAsia"/>
                <w:b w:val="0"/>
                <w:bCs/>
                <w:color w:val="auto"/>
                <w:szCs w:val="21"/>
                <w:highlight w:val="none"/>
              </w:rPr>
              <w:t>布袋除尘器处理后通过</w:t>
            </w:r>
            <w:r>
              <w:rPr>
                <w:rFonts w:hint="eastAsia"/>
                <w:b w:val="0"/>
                <w:bCs/>
                <w:color w:val="auto"/>
                <w:szCs w:val="21"/>
                <w:highlight w:val="none"/>
                <w:lang w:val="en-US" w:eastAsia="zh-CN"/>
              </w:rPr>
              <w:t>2</w:t>
            </w:r>
            <w:r>
              <w:rPr>
                <w:rFonts w:hint="eastAsia"/>
                <w:b w:val="0"/>
                <w:bCs/>
                <w:color w:val="auto"/>
                <w:szCs w:val="21"/>
                <w:highlight w:val="none"/>
              </w:rPr>
              <w:t>5m高排气筒排放</w:t>
            </w:r>
            <w:r>
              <w:rPr>
                <w:rFonts w:hint="eastAsia"/>
                <w:b w:val="0"/>
                <w:bCs/>
                <w:color w:val="auto"/>
                <w:szCs w:val="21"/>
                <w:highlight w:val="none"/>
                <w:lang w:eastAsia="zh-CN"/>
              </w:rPr>
              <w:t>。</w:t>
            </w:r>
          </w:p>
        </w:tc>
        <w:tc>
          <w:tcPr>
            <w:tcW w:w="1897" w:type="dxa"/>
            <w:shd w:val="clear" w:color="auto" w:fill="auto"/>
            <w:vAlign w:val="center"/>
          </w:tcPr>
          <w:p w14:paraId="7AE1C74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工业炉窑大气污染综合治理方案》（环大气〔2019〕56号）（颗粒物、二氧化硫、氮氧化物排放限值分别按照不高于30、200、300毫克/立方米）</w:t>
            </w:r>
          </w:p>
        </w:tc>
      </w:tr>
      <w:tr w14:paraId="21A1FA7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75" w:type="dxa"/>
            <w:vMerge w:val="continue"/>
            <w:vAlign w:val="center"/>
          </w:tcPr>
          <w:p w14:paraId="3AFDDFE3">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green"/>
                <w14:textFill>
                  <w14:solidFill>
                    <w14:schemeClr w14:val="tx1"/>
                  </w14:solidFill>
                </w14:textFill>
              </w:rPr>
            </w:pPr>
          </w:p>
        </w:tc>
        <w:tc>
          <w:tcPr>
            <w:tcW w:w="1562" w:type="dxa"/>
            <w:shd w:val="clear" w:color="auto" w:fill="auto"/>
            <w:vAlign w:val="center"/>
          </w:tcPr>
          <w:p w14:paraId="76555225">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原料堆场粉尘</w:t>
            </w:r>
          </w:p>
        </w:tc>
        <w:tc>
          <w:tcPr>
            <w:tcW w:w="1338" w:type="dxa"/>
            <w:tcBorders>
              <w:bottom w:val="single" w:color="auto" w:sz="4" w:space="0"/>
            </w:tcBorders>
            <w:shd w:val="clear" w:color="auto" w:fill="auto"/>
            <w:vAlign w:val="center"/>
          </w:tcPr>
          <w:p w14:paraId="2B0F0A0E">
            <w:pPr>
              <w:keepNext w:val="0"/>
              <w:keepLines w:val="0"/>
              <w:suppressLineNumbers w:val="0"/>
              <w:adjustRightInd w:val="0"/>
              <w:snapToGrid w:val="0"/>
              <w:spacing w:before="0" w:beforeAutospacing="0" w:after="0" w:afterAutospacing="0" w:line="240" w:lineRule="auto"/>
              <w:ind w:left="0" w:leftChars="0" w:right="0" w:rightChars="0"/>
              <w:jc w:val="center"/>
              <w:rPr>
                <w:rFonts w:hint="eastAsia"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颗粒物</w:t>
            </w:r>
          </w:p>
        </w:tc>
        <w:tc>
          <w:tcPr>
            <w:tcW w:w="2428" w:type="dxa"/>
            <w:tcBorders>
              <w:bottom w:val="single" w:color="auto" w:sz="4" w:space="0"/>
            </w:tcBorders>
            <w:shd w:val="clear" w:color="auto" w:fill="auto"/>
            <w:vAlign w:val="center"/>
          </w:tcPr>
          <w:p w14:paraId="601E3964">
            <w:pPr>
              <w:keepNext w:val="0"/>
              <w:keepLines w:val="0"/>
              <w:suppressLineNumbers w:val="0"/>
              <w:adjustRightInd w:val="0"/>
              <w:snapToGrid w:val="0"/>
              <w:spacing w:before="0" w:beforeAutospacing="0" w:after="0" w:afterAutospacing="0" w:line="240" w:lineRule="auto"/>
              <w:ind w:left="0" w:leftChars="0" w:right="0" w:rightChars="0"/>
              <w:jc w:val="left"/>
              <w:rPr>
                <w:rFonts w:hint="eastAsia" w:ascii="Times New Roman" w:hAnsi="Times New Roman" w:eastAsia="宋体" w:cs="Times New Roman"/>
                <w:b w:val="0"/>
                <w:bCs/>
                <w:color w:val="auto"/>
                <w:kern w:val="2"/>
                <w:sz w:val="21"/>
                <w:szCs w:val="21"/>
                <w:highlight w:val="none"/>
                <w:lang w:val="en-US" w:eastAsia="zh-CN" w:bidi="ar-SA"/>
              </w:rPr>
            </w:pPr>
            <w:r>
              <w:rPr>
                <w:rFonts w:hint="eastAsia"/>
                <w:b w:val="0"/>
                <w:bCs/>
                <w:color w:val="auto"/>
                <w:szCs w:val="21"/>
                <w:highlight w:val="none"/>
              </w:rPr>
              <w:t>原料库全封闭，顶部安装喷淋装置，定期洒水抑尘</w:t>
            </w:r>
            <w:r>
              <w:rPr>
                <w:rFonts w:hint="eastAsia"/>
                <w:b w:val="0"/>
                <w:bCs/>
                <w:color w:val="auto"/>
                <w:szCs w:val="21"/>
                <w:highlight w:val="none"/>
                <w:lang w:eastAsia="zh-CN"/>
              </w:rPr>
              <w:t>。</w:t>
            </w:r>
          </w:p>
        </w:tc>
        <w:tc>
          <w:tcPr>
            <w:tcW w:w="1897" w:type="dxa"/>
            <w:vMerge w:val="restart"/>
            <w:shd w:val="clear" w:color="auto" w:fill="auto"/>
            <w:vAlign w:val="center"/>
          </w:tcPr>
          <w:p w14:paraId="1DED5F7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green"/>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《大气污染物综合排放标准》（GB16297-1996）</w:t>
            </w:r>
          </w:p>
        </w:tc>
      </w:tr>
      <w:tr w14:paraId="23C05E2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75" w:type="dxa"/>
            <w:vMerge w:val="continue"/>
            <w:vAlign w:val="center"/>
          </w:tcPr>
          <w:p w14:paraId="7D7A3361">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green"/>
                <w14:textFill>
                  <w14:solidFill>
                    <w14:schemeClr w14:val="tx1"/>
                  </w14:solidFill>
                </w14:textFill>
              </w:rPr>
            </w:pPr>
          </w:p>
        </w:tc>
        <w:tc>
          <w:tcPr>
            <w:tcW w:w="1562" w:type="dxa"/>
            <w:shd w:val="clear" w:color="auto" w:fill="auto"/>
            <w:vAlign w:val="center"/>
          </w:tcPr>
          <w:p w14:paraId="52313EEF">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再生骨料加热废气、沥青混合料搅拌废气</w:t>
            </w:r>
          </w:p>
        </w:tc>
        <w:tc>
          <w:tcPr>
            <w:tcW w:w="1338" w:type="dxa"/>
            <w:tcBorders>
              <w:bottom w:val="single" w:color="auto" w:sz="4" w:space="0"/>
            </w:tcBorders>
            <w:shd w:val="clear" w:color="auto" w:fill="auto"/>
            <w:vAlign w:val="center"/>
          </w:tcPr>
          <w:p w14:paraId="1F4DF339">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ascii="Times New Roman" w:hAnsi="Times New Roman" w:eastAsia="宋体" w:cs="Times New Roman"/>
                <w:b w:val="0"/>
                <w:bCs/>
                <w:color w:val="auto"/>
                <w:kern w:val="2"/>
                <w:sz w:val="21"/>
                <w:szCs w:val="21"/>
                <w:highlight w:val="none"/>
                <w:lang w:val="en-US" w:eastAsia="zh-CN" w:bidi="ar-SA"/>
              </w:rPr>
              <w:t>颗粒物、非甲烷总烃、</w:t>
            </w:r>
            <w:r>
              <w:rPr>
                <w:rFonts w:hint="default"/>
                <w:b w:val="0"/>
                <w:color w:val="auto"/>
                <w:sz w:val="21"/>
                <w:szCs w:val="21"/>
                <w:highlight w:val="none"/>
              </w:rPr>
              <w:t>苯并[a]芘</w:t>
            </w:r>
            <w:r>
              <w:rPr>
                <w:rFonts w:hint="eastAsia"/>
                <w:b w:val="0"/>
                <w:color w:val="auto"/>
                <w:sz w:val="21"/>
                <w:szCs w:val="21"/>
                <w:highlight w:val="none"/>
                <w:lang w:eastAsia="zh-CN"/>
              </w:rPr>
              <w:t>、</w:t>
            </w:r>
            <w:r>
              <w:rPr>
                <w:rFonts w:hint="eastAsia"/>
                <w:b w:val="0"/>
                <w:color w:val="auto"/>
                <w:sz w:val="21"/>
                <w:szCs w:val="21"/>
                <w:highlight w:val="none"/>
                <w:lang w:val="en-US" w:eastAsia="zh-CN"/>
              </w:rPr>
              <w:t>沥青烟</w:t>
            </w:r>
          </w:p>
        </w:tc>
        <w:tc>
          <w:tcPr>
            <w:tcW w:w="2428" w:type="dxa"/>
            <w:vMerge w:val="restart"/>
            <w:shd w:val="clear" w:color="auto" w:fill="auto"/>
            <w:vAlign w:val="center"/>
          </w:tcPr>
          <w:p w14:paraId="0F4B56B9">
            <w:pPr>
              <w:keepNext w:val="0"/>
              <w:keepLines w:val="0"/>
              <w:suppressLineNumbers w:val="0"/>
              <w:autoSpaceDE w:val="0"/>
              <w:autoSpaceDN w:val="0"/>
              <w:adjustRightInd w:val="0"/>
              <w:spacing w:before="0" w:beforeAutospacing="0" w:after="0" w:afterAutospacing="0"/>
              <w:ind w:left="0" w:right="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val="0"/>
                <w:color w:val="000000"/>
                <w:kern w:val="2"/>
                <w:sz w:val="21"/>
                <w:szCs w:val="21"/>
                <w:highlight w:val="none"/>
                <w:lang w:val="en-US" w:eastAsia="zh-CN" w:bidi="ar-SA"/>
              </w:rPr>
              <w:t>骨料加热粉尘、沥青搅拌烟气经集气后引至</w:t>
            </w:r>
            <w:r>
              <w:rPr>
                <w:rFonts w:hint="default" w:ascii="Times New Roman"/>
                <w:b w:val="0"/>
                <w:bCs w:val="0"/>
                <w:color w:val="000000"/>
                <w:sz w:val="21"/>
                <w:szCs w:val="21"/>
                <w:highlight w:val="none"/>
              </w:rPr>
              <w:t>喷淋+</w:t>
            </w:r>
            <w:r>
              <w:rPr>
                <w:rFonts w:hint="eastAsia"/>
                <w:highlight w:val="none"/>
                <w:lang w:val="en-US" w:eastAsia="zh-CN"/>
              </w:rPr>
              <w:t>电捕焦油器+</w:t>
            </w:r>
            <w:r>
              <w:rPr>
                <w:rFonts w:hint="default" w:ascii="Times New Roman"/>
                <w:b w:val="0"/>
                <w:bCs w:val="0"/>
                <w:color w:val="000000"/>
                <w:sz w:val="21"/>
                <w:szCs w:val="21"/>
                <w:highlight w:val="none"/>
              </w:rPr>
              <w:t>活性炭吸附</w:t>
            </w:r>
            <w:r>
              <w:rPr>
                <w:rFonts w:hint="eastAsia" w:ascii="Times New Roman"/>
                <w:b w:val="0"/>
                <w:bCs w:val="0"/>
                <w:color w:val="000000"/>
                <w:sz w:val="21"/>
                <w:szCs w:val="21"/>
                <w:highlight w:val="none"/>
                <w:lang w:val="en-US" w:eastAsia="zh-CN"/>
              </w:rPr>
              <w:t>+布袋除尘器</w:t>
            </w:r>
            <w:r>
              <w:rPr>
                <w:rFonts w:hint="eastAsia"/>
                <w:b w:val="0"/>
                <w:bCs/>
                <w:color w:val="auto"/>
                <w:szCs w:val="21"/>
                <w:highlight w:val="none"/>
              </w:rPr>
              <w:t>处理后通过</w:t>
            </w:r>
            <w:r>
              <w:rPr>
                <w:rFonts w:hint="eastAsia"/>
                <w:b w:val="0"/>
                <w:bCs/>
                <w:color w:val="auto"/>
                <w:szCs w:val="21"/>
                <w:highlight w:val="none"/>
                <w:lang w:val="en-US" w:eastAsia="zh-CN"/>
              </w:rPr>
              <w:t>2</w:t>
            </w:r>
            <w:r>
              <w:rPr>
                <w:rFonts w:hint="eastAsia"/>
                <w:b w:val="0"/>
                <w:bCs/>
                <w:color w:val="auto"/>
                <w:szCs w:val="21"/>
                <w:highlight w:val="none"/>
              </w:rPr>
              <w:t>5m高排气筒排放</w:t>
            </w:r>
            <w:r>
              <w:rPr>
                <w:rFonts w:hint="eastAsia"/>
                <w:b w:val="0"/>
                <w:bCs/>
                <w:color w:val="auto"/>
                <w:szCs w:val="21"/>
                <w:highlight w:val="none"/>
                <w:lang w:eastAsia="zh-CN"/>
              </w:rPr>
              <w:t>。</w:t>
            </w:r>
          </w:p>
        </w:tc>
        <w:tc>
          <w:tcPr>
            <w:tcW w:w="1897" w:type="dxa"/>
            <w:vMerge w:val="continue"/>
            <w:shd w:val="clear" w:color="auto" w:fill="auto"/>
            <w:vAlign w:val="center"/>
          </w:tcPr>
          <w:p w14:paraId="45F614C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green"/>
                <w:lang w:val="en-US" w:eastAsia="zh-CN" w:bidi="ar-SA"/>
                <w14:textFill>
                  <w14:solidFill>
                    <w14:schemeClr w14:val="tx1"/>
                  </w14:solidFill>
                </w14:textFill>
              </w:rPr>
            </w:pPr>
          </w:p>
        </w:tc>
      </w:tr>
      <w:tr w14:paraId="15A1C4D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75" w:type="dxa"/>
            <w:vMerge w:val="continue"/>
            <w:vAlign w:val="center"/>
          </w:tcPr>
          <w:p w14:paraId="313807C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green"/>
                <w14:textFill>
                  <w14:solidFill>
                    <w14:schemeClr w14:val="tx1"/>
                  </w14:solidFill>
                </w14:textFill>
              </w:rPr>
            </w:pPr>
          </w:p>
        </w:tc>
        <w:tc>
          <w:tcPr>
            <w:tcW w:w="1562" w:type="dxa"/>
            <w:shd w:val="clear" w:color="auto" w:fill="auto"/>
            <w:vAlign w:val="center"/>
          </w:tcPr>
          <w:p w14:paraId="6F3322F6">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沥青储罐废气</w:t>
            </w:r>
          </w:p>
        </w:tc>
        <w:tc>
          <w:tcPr>
            <w:tcW w:w="1338" w:type="dxa"/>
            <w:tcBorders>
              <w:bottom w:val="single" w:color="auto" w:sz="4" w:space="0"/>
            </w:tcBorders>
            <w:shd w:val="clear" w:color="auto" w:fill="auto"/>
            <w:vAlign w:val="center"/>
          </w:tcPr>
          <w:p w14:paraId="19BF51C8">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default"/>
                <w:b w:val="0"/>
                <w:color w:val="auto"/>
                <w:sz w:val="21"/>
                <w:szCs w:val="21"/>
                <w:highlight w:val="none"/>
              </w:rPr>
              <w:t>苯并[a]芘</w:t>
            </w:r>
            <w:r>
              <w:rPr>
                <w:rFonts w:hint="eastAsia"/>
                <w:b w:val="0"/>
                <w:color w:val="auto"/>
                <w:sz w:val="21"/>
                <w:szCs w:val="21"/>
                <w:highlight w:val="none"/>
                <w:lang w:eastAsia="zh-CN"/>
              </w:rPr>
              <w:t>、</w:t>
            </w:r>
            <w:r>
              <w:rPr>
                <w:rFonts w:hint="eastAsia"/>
                <w:b w:val="0"/>
                <w:color w:val="auto"/>
                <w:sz w:val="21"/>
                <w:szCs w:val="21"/>
                <w:highlight w:val="none"/>
                <w:lang w:val="en-US" w:eastAsia="zh-CN"/>
              </w:rPr>
              <w:t>沥青烟</w:t>
            </w:r>
          </w:p>
        </w:tc>
        <w:tc>
          <w:tcPr>
            <w:tcW w:w="2428" w:type="dxa"/>
            <w:vMerge w:val="continue"/>
            <w:tcBorders>
              <w:bottom w:val="single" w:color="auto" w:sz="4" w:space="0"/>
            </w:tcBorders>
            <w:shd w:val="clear" w:color="auto" w:fill="auto"/>
            <w:vAlign w:val="center"/>
          </w:tcPr>
          <w:p w14:paraId="34C464B2">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color w:val="auto"/>
                <w:kern w:val="2"/>
                <w:sz w:val="21"/>
                <w:szCs w:val="21"/>
                <w:highlight w:val="green"/>
                <w:lang w:val="en-US" w:eastAsia="zh-CN" w:bidi="ar-SA"/>
              </w:rPr>
            </w:pPr>
          </w:p>
        </w:tc>
        <w:tc>
          <w:tcPr>
            <w:tcW w:w="1897" w:type="dxa"/>
            <w:vMerge w:val="continue"/>
            <w:shd w:val="clear" w:color="auto" w:fill="auto"/>
            <w:vAlign w:val="center"/>
          </w:tcPr>
          <w:p w14:paraId="3F15E66C">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green"/>
                <w:lang w:val="en-US" w:eastAsia="zh-CN" w:bidi="ar-SA"/>
                <w14:textFill>
                  <w14:solidFill>
                    <w14:schemeClr w14:val="tx1"/>
                  </w14:solidFill>
                </w14:textFill>
              </w:rPr>
            </w:pPr>
          </w:p>
        </w:tc>
      </w:tr>
      <w:tr w14:paraId="2C803DC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75" w:type="dxa"/>
            <w:vMerge w:val="continue"/>
            <w:vAlign w:val="center"/>
          </w:tcPr>
          <w:p w14:paraId="71C8098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green"/>
                <w14:textFill>
                  <w14:solidFill>
                    <w14:schemeClr w14:val="tx1"/>
                  </w14:solidFill>
                </w14:textFill>
              </w:rPr>
            </w:pPr>
          </w:p>
        </w:tc>
        <w:tc>
          <w:tcPr>
            <w:tcW w:w="1562" w:type="dxa"/>
            <w:shd w:val="clear" w:color="auto" w:fill="auto"/>
            <w:vAlign w:val="center"/>
          </w:tcPr>
          <w:p w14:paraId="3D9870FF">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导热油炉废气</w:t>
            </w:r>
          </w:p>
        </w:tc>
        <w:tc>
          <w:tcPr>
            <w:tcW w:w="1338" w:type="dxa"/>
            <w:tcBorders>
              <w:bottom w:val="single" w:color="auto" w:sz="4" w:space="0"/>
            </w:tcBorders>
            <w:shd w:val="clear" w:color="auto" w:fill="auto"/>
            <w:vAlign w:val="center"/>
          </w:tcPr>
          <w:p w14:paraId="5A815179">
            <w:pPr>
              <w:keepNext w:val="0"/>
              <w:keepLines w:val="0"/>
              <w:suppressLineNumbers w:val="0"/>
              <w:adjustRightInd w:val="0"/>
              <w:snapToGrid w:val="0"/>
              <w:spacing w:before="0" w:beforeAutospacing="0" w:after="0" w:afterAutospacing="0" w:line="240" w:lineRule="auto"/>
              <w:ind w:left="0" w:right="0"/>
              <w:jc w:val="center"/>
              <w:rPr>
                <w:rFonts w:hint="default"/>
                <w:b w:val="0"/>
                <w:color w:val="auto"/>
                <w:sz w:val="21"/>
                <w:szCs w:val="21"/>
                <w:highlight w:val="none"/>
              </w:rPr>
            </w:pPr>
            <w:r>
              <w:rPr>
                <w:rFonts w:hint="eastAsia" w:ascii="Times New Roman" w:hAnsi="Times New Roman" w:eastAsia="宋体" w:cs="Times New Roman"/>
                <w:b w:val="0"/>
                <w:bCs/>
                <w:color w:val="auto"/>
                <w:kern w:val="2"/>
                <w:sz w:val="21"/>
                <w:szCs w:val="21"/>
                <w:highlight w:val="none"/>
                <w:lang w:val="en-US" w:eastAsia="zh-CN" w:bidi="ar-SA"/>
              </w:rPr>
              <w:t>颗粒物</w:t>
            </w:r>
            <w:r>
              <w:rPr>
                <w:rFonts w:hint="eastAsia" w:cs="Times New Roman"/>
                <w:b w:val="0"/>
                <w:bCs/>
                <w:color w:val="auto"/>
                <w:kern w:val="2"/>
                <w:sz w:val="21"/>
                <w:szCs w:val="21"/>
                <w:highlight w:val="none"/>
                <w:lang w:val="en-US" w:eastAsia="zh-CN" w:bidi="ar-SA"/>
              </w:rPr>
              <w:t>、</w:t>
            </w: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二氧化硫、氮氧化物</w:t>
            </w:r>
          </w:p>
        </w:tc>
        <w:tc>
          <w:tcPr>
            <w:tcW w:w="2428" w:type="dxa"/>
            <w:tcBorders>
              <w:bottom w:val="single" w:color="auto" w:sz="4" w:space="0"/>
            </w:tcBorders>
            <w:shd w:val="clear" w:color="auto" w:fill="auto"/>
            <w:vAlign w:val="center"/>
          </w:tcPr>
          <w:p w14:paraId="3CDED798">
            <w:pPr>
              <w:keepNext w:val="0"/>
              <w:keepLines w:val="0"/>
              <w:suppressLineNumbers w:val="0"/>
              <w:adjustRightInd w:val="0"/>
              <w:snapToGrid w:val="0"/>
              <w:spacing w:before="0" w:beforeAutospacing="0" w:after="0" w:afterAutospacing="0" w:line="240" w:lineRule="auto"/>
              <w:ind w:left="0" w:right="0"/>
              <w:jc w:val="left"/>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低氮燃烧器+</w:t>
            </w:r>
            <w:r>
              <w:rPr>
                <w:rFonts w:hint="eastAsia"/>
                <w:b w:val="0"/>
                <w:bCs/>
                <w:color w:val="auto"/>
                <w:szCs w:val="21"/>
                <w:highlight w:val="none"/>
                <w:lang w:val="en-US" w:eastAsia="zh-CN"/>
              </w:rPr>
              <w:t>1</w:t>
            </w:r>
            <w:r>
              <w:rPr>
                <w:rFonts w:hint="eastAsia"/>
                <w:b w:val="0"/>
                <w:bCs/>
                <w:color w:val="auto"/>
                <w:szCs w:val="21"/>
                <w:highlight w:val="none"/>
              </w:rPr>
              <w:t>5m高排气筒排放</w:t>
            </w:r>
          </w:p>
        </w:tc>
        <w:tc>
          <w:tcPr>
            <w:tcW w:w="1897" w:type="dxa"/>
            <w:shd w:val="clear" w:color="auto" w:fill="auto"/>
            <w:vAlign w:val="center"/>
          </w:tcPr>
          <w:p w14:paraId="41A6CDA6">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《锅炉大气污染物排放标准》（DB61/1226-2018）</w:t>
            </w:r>
          </w:p>
        </w:tc>
      </w:tr>
      <w:tr w14:paraId="62104A7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575" w:type="dxa"/>
            <w:vMerge w:val="continue"/>
            <w:vAlign w:val="center"/>
          </w:tcPr>
          <w:p w14:paraId="1D070B82">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green"/>
                <w14:textFill>
                  <w14:solidFill>
                    <w14:schemeClr w14:val="tx1"/>
                  </w14:solidFill>
                </w14:textFill>
              </w:rPr>
            </w:pPr>
          </w:p>
        </w:tc>
        <w:tc>
          <w:tcPr>
            <w:tcW w:w="1562" w:type="dxa"/>
            <w:shd w:val="clear" w:color="auto" w:fill="auto"/>
            <w:vAlign w:val="center"/>
          </w:tcPr>
          <w:p w14:paraId="3EB93EEA">
            <w:pPr>
              <w:keepNext w:val="0"/>
              <w:keepLines w:val="0"/>
              <w:suppressLineNumbers w:val="0"/>
              <w:adjustRightInd w:val="0"/>
              <w:snapToGrid w:val="0"/>
              <w:spacing w:before="0" w:beforeAutospacing="0" w:after="0" w:afterAutospacing="0" w:line="240" w:lineRule="auto"/>
              <w:ind w:left="0" w:right="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食堂油烟</w:t>
            </w:r>
          </w:p>
        </w:tc>
        <w:tc>
          <w:tcPr>
            <w:tcW w:w="1338" w:type="dxa"/>
            <w:tcBorders>
              <w:bottom w:val="single" w:color="auto" w:sz="4" w:space="0"/>
            </w:tcBorders>
            <w:shd w:val="clear" w:color="auto" w:fill="auto"/>
            <w:vAlign w:val="center"/>
          </w:tcPr>
          <w:p w14:paraId="1246280D">
            <w:pPr>
              <w:keepNext w:val="0"/>
              <w:keepLines w:val="0"/>
              <w:suppressLineNumbers w:val="0"/>
              <w:adjustRightInd w:val="0"/>
              <w:snapToGrid w:val="0"/>
              <w:spacing w:before="0" w:beforeAutospacing="0" w:after="0" w:afterAutospacing="0" w:line="240" w:lineRule="auto"/>
              <w:ind w:left="0" w:right="0"/>
              <w:jc w:val="center"/>
              <w:rPr>
                <w:rFonts w:hint="default" w:ascii="Times New Roman" w:hAnsi="Times New Roman" w:eastAsia="宋体"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油烟</w:t>
            </w:r>
          </w:p>
        </w:tc>
        <w:tc>
          <w:tcPr>
            <w:tcW w:w="2428" w:type="dxa"/>
            <w:tcBorders>
              <w:bottom w:val="single" w:color="auto" w:sz="4" w:space="0"/>
            </w:tcBorders>
            <w:shd w:val="clear" w:color="auto" w:fill="auto"/>
            <w:vAlign w:val="center"/>
          </w:tcPr>
          <w:p w14:paraId="2293EBA4">
            <w:pPr>
              <w:keepNext w:val="0"/>
              <w:keepLines w:val="0"/>
              <w:suppressLineNumbers w:val="0"/>
              <w:adjustRightInd w:val="0"/>
              <w:snapToGrid w:val="0"/>
              <w:spacing w:before="0" w:beforeAutospacing="0" w:after="0" w:afterAutospacing="0" w:line="240" w:lineRule="auto"/>
              <w:ind w:left="0" w:right="0"/>
              <w:jc w:val="left"/>
              <w:rPr>
                <w:rFonts w:hint="default" w:cs="Times New Roman"/>
                <w:b w:val="0"/>
                <w:bCs/>
                <w:color w:val="auto"/>
                <w:kern w:val="2"/>
                <w:sz w:val="21"/>
                <w:szCs w:val="21"/>
                <w:highlight w:val="none"/>
                <w:lang w:val="en-US" w:eastAsia="zh-CN" w:bidi="ar-SA"/>
              </w:rPr>
            </w:pPr>
            <w:r>
              <w:rPr>
                <w:rFonts w:hint="eastAsia" w:cs="Times New Roman"/>
                <w:b w:val="0"/>
                <w:bCs/>
                <w:color w:val="auto"/>
                <w:kern w:val="2"/>
                <w:sz w:val="21"/>
                <w:szCs w:val="21"/>
                <w:highlight w:val="none"/>
                <w:lang w:val="en-US" w:eastAsia="zh-CN" w:bidi="ar-SA"/>
              </w:rPr>
              <w:t>油烟净化器处理后通过屋顶排放</w:t>
            </w:r>
          </w:p>
        </w:tc>
        <w:tc>
          <w:tcPr>
            <w:tcW w:w="1897" w:type="dxa"/>
            <w:shd w:val="clear" w:color="auto" w:fill="auto"/>
            <w:vAlign w:val="center"/>
          </w:tcPr>
          <w:p w14:paraId="3C016E9F">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auto"/>
                <w:highlight w:val="none"/>
              </w:rPr>
              <w:t>《饮食业油烟排放标准（试行）》（GB18483-2001）</w:t>
            </w:r>
          </w:p>
        </w:tc>
      </w:tr>
      <w:tr w14:paraId="001D4E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9" w:hRule="atLeast"/>
          <w:jc w:val="center"/>
        </w:trPr>
        <w:tc>
          <w:tcPr>
            <w:tcW w:w="1575" w:type="dxa"/>
            <w:vMerge w:val="restart"/>
            <w:vAlign w:val="center"/>
          </w:tcPr>
          <w:p w14:paraId="36C0A31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地表水环境</w:t>
            </w:r>
          </w:p>
        </w:tc>
        <w:tc>
          <w:tcPr>
            <w:tcW w:w="1562" w:type="dxa"/>
            <w:vAlign w:val="center"/>
          </w:tcPr>
          <w:p w14:paraId="56E5E31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车辆冲废</w:t>
            </w:r>
            <w:r>
              <w:rPr>
                <w:rFonts w:hint="default" w:ascii="Times New Roman" w:hAnsi="Times New Roman" w:eastAsia="宋体" w:cs="Times New Roman"/>
                <w:color w:val="000000" w:themeColor="text1"/>
                <w:szCs w:val="21"/>
                <w:highlight w:val="none"/>
                <w14:textFill>
                  <w14:solidFill>
                    <w14:schemeClr w14:val="tx1"/>
                  </w14:solidFill>
                </w14:textFill>
              </w:rPr>
              <w:t>水</w:t>
            </w:r>
          </w:p>
        </w:tc>
        <w:tc>
          <w:tcPr>
            <w:tcW w:w="1338" w:type="dxa"/>
            <w:vAlign w:val="center"/>
          </w:tcPr>
          <w:p w14:paraId="7F61BFD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cs="Times New Roman"/>
                <w:color w:val="000000" w:themeColor="text1"/>
                <w:szCs w:val="21"/>
                <w:highlight w:val="none"/>
                <w:lang w:val="en-US" w:eastAsia="zh-CN"/>
                <w14:textFill>
                  <w14:solidFill>
                    <w14:schemeClr w14:val="tx1"/>
                  </w14:solidFill>
                </w14:textFill>
              </w:rPr>
              <w:t>SS</w:t>
            </w:r>
          </w:p>
        </w:tc>
        <w:tc>
          <w:tcPr>
            <w:tcW w:w="2428" w:type="dxa"/>
            <w:vAlign w:val="center"/>
          </w:tcPr>
          <w:p w14:paraId="12F2CC1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循环使用不外排</w:t>
            </w:r>
          </w:p>
        </w:tc>
        <w:tc>
          <w:tcPr>
            <w:tcW w:w="1897" w:type="dxa"/>
            <w:vAlign w:val="center"/>
          </w:tcPr>
          <w:p w14:paraId="5F7C939F">
            <w:pPr>
              <w:keepNext w:val="0"/>
              <w:keepLines w:val="0"/>
              <w:suppressLineNumbers w:val="0"/>
              <w:wordWrap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r>
      <w:tr w14:paraId="159DB3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3" w:hRule="atLeast"/>
          <w:jc w:val="center"/>
        </w:trPr>
        <w:tc>
          <w:tcPr>
            <w:tcW w:w="1575" w:type="dxa"/>
            <w:vMerge w:val="continue"/>
            <w:vAlign w:val="center"/>
          </w:tcPr>
          <w:p w14:paraId="78DFCAFD">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p>
        </w:tc>
        <w:tc>
          <w:tcPr>
            <w:tcW w:w="1562" w:type="dxa"/>
            <w:vAlign w:val="center"/>
          </w:tcPr>
          <w:p w14:paraId="6CEAAD6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生活污水</w:t>
            </w:r>
          </w:p>
        </w:tc>
        <w:tc>
          <w:tcPr>
            <w:tcW w:w="1338" w:type="dxa"/>
            <w:vAlign w:val="center"/>
          </w:tcPr>
          <w:p w14:paraId="27808030">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COD、NH</w:t>
            </w:r>
            <w:r>
              <w:rPr>
                <w:rFonts w:hint="default" w:ascii="Times New Roman" w:hAnsi="Times New Roman" w:eastAsia="宋体" w:cs="Times New Roman"/>
                <w:color w:val="000000" w:themeColor="text1"/>
                <w:szCs w:val="21"/>
                <w:highlight w:val="none"/>
                <w:vertAlign w:val="subscript"/>
                <w14:textFill>
                  <w14:solidFill>
                    <w14:schemeClr w14:val="tx1"/>
                  </w14:solidFill>
                </w14:textFill>
              </w:rPr>
              <w:t>3</w:t>
            </w:r>
            <w:r>
              <w:rPr>
                <w:rFonts w:hint="default" w:ascii="Times New Roman" w:hAnsi="Times New Roman" w:eastAsia="宋体" w:cs="Times New Roman"/>
                <w:color w:val="000000" w:themeColor="text1"/>
                <w:szCs w:val="21"/>
                <w:highlight w:val="none"/>
                <w14:textFill>
                  <w14:solidFill>
                    <w14:schemeClr w14:val="tx1"/>
                  </w14:solidFill>
                </w14:textFill>
              </w:rPr>
              <w:t>-N、</w:t>
            </w:r>
            <w:r>
              <w:rPr>
                <w:rFonts w:hint="eastAsia" w:cs="Times New Roman"/>
                <w:color w:val="000000" w:themeColor="text1"/>
                <w:szCs w:val="21"/>
                <w:highlight w:val="none"/>
                <w:lang w:val="en-US" w:eastAsia="zh-CN"/>
                <w14:textFill>
                  <w14:solidFill>
                    <w14:schemeClr w14:val="tx1"/>
                  </w14:solidFill>
                </w14:textFill>
              </w:rPr>
              <w:t>BOD</w:t>
            </w:r>
            <w:r>
              <w:rPr>
                <w:rFonts w:hint="eastAsia" w:cs="Times New Roman"/>
                <w:color w:val="000000" w:themeColor="text1"/>
                <w:szCs w:val="21"/>
                <w:highlight w:val="none"/>
                <w:vertAlign w:val="subscript"/>
                <w:lang w:val="en-US" w:eastAsia="zh-CN"/>
                <w14:textFill>
                  <w14:solidFill>
                    <w14:schemeClr w14:val="tx1"/>
                  </w14:solidFill>
                </w14:textFill>
              </w:rPr>
              <w:t>5</w:t>
            </w:r>
            <w:r>
              <w:rPr>
                <w:rFonts w:hint="eastAsia" w:cs="Times New Roman"/>
                <w:color w:val="000000" w:themeColor="text1"/>
                <w:szCs w:val="21"/>
                <w:highlight w:val="none"/>
                <w:lang w:val="en-US" w:eastAsia="zh-CN"/>
                <w14:textFill>
                  <w14:solidFill>
                    <w14:schemeClr w14:val="tx1"/>
                  </w14:solidFill>
                </w14:textFill>
              </w:rPr>
              <w:t>、</w:t>
            </w:r>
            <w:r>
              <w:rPr>
                <w:rFonts w:hint="default" w:ascii="Times New Roman" w:hAnsi="Times New Roman" w:eastAsia="宋体" w:cs="Times New Roman"/>
                <w:color w:val="000000" w:themeColor="text1"/>
                <w:szCs w:val="21"/>
                <w:highlight w:val="none"/>
                <w14:textFill>
                  <w14:solidFill>
                    <w14:schemeClr w14:val="tx1"/>
                  </w14:solidFill>
                </w14:textFill>
              </w:rPr>
              <w:t>SS、TP、TN</w:t>
            </w:r>
          </w:p>
        </w:tc>
        <w:tc>
          <w:tcPr>
            <w:tcW w:w="2428" w:type="dxa"/>
            <w:vAlign w:val="center"/>
          </w:tcPr>
          <w:p w14:paraId="5763965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lang w:val="en-US"/>
                <w14:textFill>
                  <w14:solidFill>
                    <w14:schemeClr w14:val="tx1"/>
                  </w14:solidFill>
                </w14:textFill>
              </w:rPr>
            </w:pPr>
            <w:r>
              <w:rPr>
                <w:rFonts w:hint="eastAsia" w:cs="Times New Roman"/>
                <w:color w:val="000000" w:themeColor="text1"/>
                <w:kern w:val="0"/>
                <w:sz w:val="21"/>
                <w:szCs w:val="21"/>
                <w:highlight w:val="none"/>
                <w:lang w:val="en-US" w:eastAsia="zh-CN" w:bidi="ar"/>
                <w14:textFill>
                  <w14:solidFill>
                    <w14:schemeClr w14:val="tx1"/>
                  </w14:solidFill>
                </w14:textFill>
              </w:rPr>
              <w:t>经化粪池收集后排入市政污水管网进入泾河第二污水处理厂处理</w:t>
            </w:r>
          </w:p>
        </w:tc>
        <w:tc>
          <w:tcPr>
            <w:tcW w:w="1897" w:type="dxa"/>
            <w:vAlign w:val="center"/>
          </w:tcPr>
          <w:p w14:paraId="7F72927E">
            <w:pPr>
              <w:keepNext w:val="0"/>
              <w:keepLines w:val="0"/>
              <w:suppressLineNumbers w:val="0"/>
              <w:wordWrap w:val="0"/>
              <w:adjustRightInd w:val="0"/>
              <w:snapToGrid w:val="0"/>
              <w:spacing w:before="0" w:beforeAutospacing="0" w:after="0" w:afterAutospacing="0"/>
              <w:ind w:left="0" w:right="0"/>
              <w:jc w:val="cente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14:textFill>
                  <w14:solidFill>
                    <w14:schemeClr w14:val="tx1"/>
                  </w14:solidFill>
                </w14:textFill>
              </w:rPr>
              <w:t>《污水综合排放标准》（GB8978-1996）中的三级标准，其中氨氮、TP、总氮执行《污水排入城镇下水道水质标准》（GB/T31962-2015）表1中B级相关标准限值</w:t>
            </w:r>
          </w:p>
        </w:tc>
      </w:tr>
      <w:tr w14:paraId="77D2E3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6" w:hRule="atLeast"/>
          <w:jc w:val="center"/>
        </w:trPr>
        <w:tc>
          <w:tcPr>
            <w:tcW w:w="1575" w:type="dxa"/>
            <w:vAlign w:val="center"/>
          </w:tcPr>
          <w:p w14:paraId="548DDAA9">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声环境</w:t>
            </w:r>
          </w:p>
        </w:tc>
        <w:tc>
          <w:tcPr>
            <w:tcW w:w="1562" w:type="dxa"/>
            <w:vAlign w:val="center"/>
          </w:tcPr>
          <w:p w14:paraId="69BBABA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生产车间</w:t>
            </w:r>
          </w:p>
        </w:tc>
        <w:tc>
          <w:tcPr>
            <w:tcW w:w="1338" w:type="dxa"/>
            <w:vAlign w:val="center"/>
          </w:tcPr>
          <w:p w14:paraId="77FCA9C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连续等效A声级</w:t>
            </w:r>
          </w:p>
        </w:tc>
        <w:tc>
          <w:tcPr>
            <w:tcW w:w="2428" w:type="dxa"/>
            <w:vAlign w:val="center"/>
          </w:tcPr>
          <w:p w14:paraId="25B230DA">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选用高效低噪声设备、安装减振底座等</w:t>
            </w:r>
          </w:p>
        </w:tc>
        <w:tc>
          <w:tcPr>
            <w:tcW w:w="1897" w:type="dxa"/>
            <w:vAlign w:val="center"/>
          </w:tcPr>
          <w:p w14:paraId="160846CF">
            <w:pPr>
              <w:keepNext w:val="0"/>
              <w:keepLines w:val="0"/>
              <w:suppressLineNumbers w:val="0"/>
              <w:wordWrap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《工业企业厂界环境噪声排放标准》（GB12348-2008）中</w:t>
            </w:r>
            <w:r>
              <w:rPr>
                <w:rFonts w:hint="eastAsia" w:cs="Times New Roman"/>
                <w:color w:val="000000" w:themeColor="text1"/>
                <w:szCs w:val="21"/>
                <w:highlight w:val="none"/>
                <w:lang w:val="en-US" w:eastAsia="zh-CN"/>
                <w14:textFill>
                  <w14:solidFill>
                    <w14:schemeClr w14:val="tx1"/>
                  </w14:solidFill>
                </w14:textFill>
              </w:rPr>
              <w:t>3</w:t>
            </w:r>
            <w:r>
              <w:rPr>
                <w:rFonts w:hint="default" w:ascii="Times New Roman" w:hAnsi="Times New Roman" w:eastAsia="宋体" w:cs="Times New Roman"/>
                <w:color w:val="000000" w:themeColor="text1"/>
                <w:szCs w:val="21"/>
                <w:highlight w:val="none"/>
                <w14:textFill>
                  <w14:solidFill>
                    <w14:schemeClr w14:val="tx1"/>
                  </w14:solidFill>
                </w14:textFill>
              </w:rPr>
              <w:t>类标准</w:t>
            </w:r>
          </w:p>
        </w:tc>
      </w:tr>
      <w:tr w14:paraId="797788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1575" w:type="dxa"/>
            <w:vAlign w:val="center"/>
          </w:tcPr>
          <w:p w14:paraId="4EA5640B">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电磁辐射</w:t>
            </w:r>
          </w:p>
        </w:tc>
        <w:tc>
          <w:tcPr>
            <w:tcW w:w="7225" w:type="dxa"/>
            <w:gridSpan w:val="4"/>
            <w:vAlign w:val="center"/>
          </w:tcPr>
          <w:p w14:paraId="6353416E">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r>
      <w:tr w14:paraId="491B45F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46" w:hRule="atLeast"/>
          <w:jc w:val="center"/>
        </w:trPr>
        <w:tc>
          <w:tcPr>
            <w:tcW w:w="1575" w:type="dxa"/>
            <w:vAlign w:val="center"/>
          </w:tcPr>
          <w:p w14:paraId="1BF32015">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固体废物</w:t>
            </w:r>
          </w:p>
        </w:tc>
        <w:tc>
          <w:tcPr>
            <w:tcW w:w="7225" w:type="dxa"/>
            <w:gridSpan w:val="4"/>
            <w:vAlign w:val="center"/>
          </w:tcPr>
          <w:p w14:paraId="4794AFA2">
            <w:pPr>
              <w:keepNext w:val="0"/>
              <w:keepLines w:val="0"/>
              <w:pageBreakBefore w:val="0"/>
              <w:widowControl w:val="0"/>
              <w:suppressLineNumbers w:val="0"/>
              <w:kinsoku/>
              <w:wordWrap w:val="0"/>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项目生活垃圾由带盖垃圾桶暂存后交由环卫部门定期清运处理；</w:t>
            </w:r>
            <w:r>
              <w:rPr>
                <w:rFonts w:hint="eastAsia" w:cs="Times New Roman"/>
                <w:color w:val="000000" w:themeColor="text1"/>
                <w:szCs w:val="21"/>
                <w:highlight w:val="none"/>
                <w:lang w:val="en-US" w:eastAsia="zh-CN"/>
                <w14:textFill>
                  <w14:solidFill>
                    <w14:schemeClr w14:val="tx1"/>
                  </w14:solidFill>
                </w14:textFill>
              </w:rPr>
              <w:t>除尘灰收集后回用于生产，废焦油交由资源处置单位处置</w:t>
            </w:r>
            <w:r>
              <w:rPr>
                <w:rFonts w:hint="default" w:ascii="Times New Roman" w:hAnsi="Times New Roman" w:eastAsia="宋体" w:cs="Times New Roman"/>
                <w:color w:val="000000" w:themeColor="text1"/>
                <w:szCs w:val="21"/>
                <w:highlight w:val="none"/>
                <w14:textFill>
                  <w14:solidFill>
                    <w14:schemeClr w14:val="tx1"/>
                  </w14:solidFill>
                </w14:textFill>
              </w:rPr>
              <w:t>，危险废物收集后暂存于</w:t>
            </w:r>
            <w:r>
              <w:rPr>
                <w:rFonts w:hint="default" w:ascii="Times New Roman" w:hAnsi="Times New Roman" w:eastAsia="宋体" w:cs="Times New Roman"/>
                <w:color w:val="000000" w:themeColor="text1"/>
                <w:szCs w:val="21"/>
                <w:highlight w:val="none"/>
                <w:lang w:eastAsia="zh-CN"/>
                <w14:textFill>
                  <w14:solidFill>
                    <w14:schemeClr w14:val="tx1"/>
                  </w14:solidFill>
                </w14:textFill>
              </w:rPr>
              <w:t>危险废物</w:t>
            </w:r>
            <w:r>
              <w:rPr>
                <w:rFonts w:hint="eastAsia" w:cs="Times New Roman"/>
                <w:color w:val="000000" w:themeColor="text1"/>
                <w:szCs w:val="21"/>
                <w:highlight w:val="none"/>
                <w:lang w:eastAsia="zh-CN"/>
                <w14:textFill>
                  <w14:solidFill>
                    <w14:schemeClr w14:val="tx1"/>
                  </w14:solidFill>
                </w14:textFill>
              </w:rPr>
              <w:t>贮存库</w:t>
            </w:r>
            <w:r>
              <w:rPr>
                <w:rFonts w:hint="default" w:ascii="Times New Roman" w:hAnsi="Times New Roman" w:eastAsia="宋体" w:cs="Times New Roman"/>
                <w:color w:val="000000" w:themeColor="text1"/>
                <w:szCs w:val="21"/>
                <w:highlight w:val="none"/>
                <w14:textFill>
                  <w14:solidFill>
                    <w14:schemeClr w14:val="tx1"/>
                  </w14:solidFill>
                </w14:textFill>
              </w:rPr>
              <w:t>，定期委托有资质单位处置。</w:t>
            </w:r>
          </w:p>
        </w:tc>
      </w:tr>
      <w:tr w14:paraId="32E7759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4" w:hRule="atLeast"/>
          <w:jc w:val="center"/>
        </w:trPr>
        <w:tc>
          <w:tcPr>
            <w:tcW w:w="1575" w:type="dxa"/>
            <w:vAlign w:val="center"/>
          </w:tcPr>
          <w:p w14:paraId="09AB47B8">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土壤及地下水</w:t>
            </w:r>
          </w:p>
          <w:p w14:paraId="195A0F34">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污染防治措施</w:t>
            </w:r>
          </w:p>
        </w:tc>
        <w:tc>
          <w:tcPr>
            <w:tcW w:w="7225" w:type="dxa"/>
            <w:gridSpan w:val="4"/>
            <w:vAlign w:val="center"/>
          </w:tcPr>
          <w:p w14:paraId="6B633936">
            <w:pPr>
              <w:keepNext w:val="0"/>
              <w:keepLines w:val="0"/>
              <w:pageBreakBefore w:val="0"/>
              <w:widowControl w:val="0"/>
              <w:suppressLineNumbers w:val="0"/>
              <w:kinsoku/>
              <w:overflowPunct/>
              <w:topLinePunct w:val="0"/>
              <w:autoSpaceDE/>
              <w:autoSpaceDN/>
              <w:bidi w:val="0"/>
              <w:adjustRightInd w:val="0"/>
              <w:snapToGrid w:val="0"/>
              <w:spacing w:before="0" w:beforeAutospacing="0" w:after="0" w:afterAutospacing="0" w:line="240" w:lineRule="auto"/>
              <w:ind w:left="0" w:right="0"/>
              <w:jc w:val="left"/>
              <w:textAlignment w:val="auto"/>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沥青罐区、导热油炉区、危险废物</w:t>
            </w:r>
            <w:r>
              <w:rPr>
                <w:rFonts w:hint="eastAsia" w:cs="Times New Roman"/>
                <w:color w:val="000000" w:themeColor="text1"/>
                <w:szCs w:val="21"/>
                <w:highlight w:val="none"/>
                <w:lang w:eastAsia="zh-CN"/>
                <w14:textFill>
                  <w14:solidFill>
                    <w14:schemeClr w14:val="tx1"/>
                  </w14:solidFill>
                </w14:textFill>
              </w:rPr>
              <w:t>贮存库</w:t>
            </w:r>
            <w:r>
              <w:rPr>
                <w:rFonts w:hint="eastAsia" w:cs="Times New Roman"/>
                <w:color w:val="000000" w:themeColor="text1"/>
                <w:szCs w:val="21"/>
                <w:highlight w:val="none"/>
                <w:lang w:val="en-US" w:eastAsia="zh-CN"/>
                <w14:textFill>
                  <w14:solidFill>
                    <w14:schemeClr w14:val="tx1"/>
                  </w14:solidFill>
                </w14:textFill>
              </w:rPr>
              <w:t>地面</w:t>
            </w:r>
            <w:r>
              <w:rPr>
                <w:rFonts w:hint="default" w:ascii="Times New Roman" w:hAnsi="Times New Roman" w:eastAsia="宋体" w:cs="Times New Roman"/>
                <w:color w:val="000000" w:themeColor="text1"/>
                <w:szCs w:val="21"/>
                <w:highlight w:val="none"/>
                <w14:textFill>
                  <w14:solidFill>
                    <w14:schemeClr w14:val="tx1"/>
                  </w14:solidFill>
                </w14:textFill>
              </w:rPr>
              <w:t>进行重点防渗并加强日常管理，厂区生产车间及路面进行硬化处理，并加强绿化。</w:t>
            </w:r>
          </w:p>
        </w:tc>
      </w:tr>
      <w:tr w14:paraId="5F5DE9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1575" w:type="dxa"/>
            <w:vAlign w:val="center"/>
          </w:tcPr>
          <w:p w14:paraId="67CAB4E7">
            <w:pPr>
              <w:keepNext w:val="0"/>
              <w:keepLines w:val="0"/>
              <w:suppressLineNumbers w:val="0"/>
              <w:adjustRightInd w:val="0"/>
              <w:snapToGrid w:val="0"/>
              <w:spacing w:before="0" w:beforeAutospacing="0" w:after="0" w:afterAutospacing="0"/>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生态保护措施</w:t>
            </w:r>
          </w:p>
        </w:tc>
        <w:tc>
          <w:tcPr>
            <w:tcW w:w="7225" w:type="dxa"/>
            <w:gridSpan w:val="4"/>
            <w:vAlign w:val="center"/>
          </w:tcPr>
          <w:p w14:paraId="1EB632FC">
            <w:pPr>
              <w:keepNext w:val="0"/>
              <w:keepLines w:val="0"/>
              <w:suppressLineNumbers w:val="0"/>
              <w:adjustRightInd w:val="0"/>
              <w:snapToGrid w:val="0"/>
              <w:spacing w:before="0" w:beforeAutospacing="0" w:after="0" w:afterAutospacing="0" w:line="360" w:lineRule="auto"/>
              <w:ind w:left="0" w:right="0"/>
              <w:jc w:val="center"/>
              <w:rPr>
                <w:rFonts w:hint="default" w:ascii="Times New Roman" w:hAnsi="Times New Roman" w:eastAsia="宋体" w:cs="Times New Roman"/>
                <w:color w:val="000000" w:themeColor="text1"/>
                <w:szCs w:val="21"/>
                <w:highlight w:val="none"/>
                <w14:textFill>
                  <w14:solidFill>
                    <w14:schemeClr w14:val="tx1"/>
                  </w14:solidFill>
                </w14:textFill>
              </w:rPr>
            </w:pPr>
            <w:r>
              <w:rPr>
                <w:rFonts w:hint="default" w:ascii="Times New Roman" w:hAnsi="Times New Roman" w:eastAsia="宋体" w:cs="Times New Roman"/>
                <w:color w:val="000000" w:themeColor="text1"/>
                <w:szCs w:val="21"/>
                <w:highlight w:val="none"/>
                <w14:textFill>
                  <w14:solidFill>
                    <w14:schemeClr w14:val="tx1"/>
                  </w14:solidFill>
                </w14:textFill>
              </w:rPr>
              <w:t>/</w:t>
            </w:r>
          </w:p>
        </w:tc>
      </w:tr>
      <w:tr w14:paraId="5047FA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575" w:type="dxa"/>
            <w:vAlign w:val="center"/>
          </w:tcPr>
          <w:p w14:paraId="243252DD">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000000" w:themeColor="text1"/>
                <w:spacing w:val="-8"/>
                <w:szCs w:val="21"/>
                <w:highlight w:val="none"/>
                <w14:textFill>
                  <w14:solidFill>
                    <w14:schemeClr w14:val="tx1"/>
                  </w14:solidFill>
                </w14:textFill>
              </w:rPr>
            </w:pPr>
            <w:r>
              <w:rPr>
                <w:rFonts w:hint="default" w:ascii="Times New Roman" w:hAnsi="Times New Roman" w:eastAsia="宋体" w:cs="Times New Roman"/>
                <w:color w:val="000000" w:themeColor="text1"/>
                <w:spacing w:val="-8"/>
                <w:szCs w:val="21"/>
                <w:highlight w:val="none"/>
                <w14:textFill>
                  <w14:solidFill>
                    <w14:schemeClr w14:val="tx1"/>
                  </w14:solidFill>
                </w14:textFill>
              </w:rPr>
              <w:t>环境风险防范措施</w:t>
            </w:r>
          </w:p>
        </w:tc>
        <w:tc>
          <w:tcPr>
            <w:tcW w:w="7225" w:type="dxa"/>
            <w:gridSpan w:val="4"/>
            <w:vAlign w:val="center"/>
          </w:tcPr>
          <w:p w14:paraId="2FDBFE5F">
            <w:pPr>
              <w:pStyle w:val="51"/>
              <w:keepNext w:val="0"/>
              <w:keepLines w:val="0"/>
              <w:pageBreakBefore w:val="0"/>
              <w:widowControl w:val="0"/>
              <w:suppressLineNumbers w:val="0"/>
              <w:kinsoku/>
              <w:overflowPunct/>
              <w:topLinePunct w:val="0"/>
              <w:bidi w:val="0"/>
              <w:spacing w:before="0" w:beforeAutospacing="0" w:after="0" w:afterAutospacing="0" w:line="240" w:lineRule="auto"/>
              <w:ind w:left="0" w:right="0"/>
              <w:jc w:val="left"/>
              <w:textAlignment w:val="auto"/>
              <w:rPr>
                <w:rFonts w:hint="default" w:ascii="Times New Roman" w:hAnsi="Times New Roman" w:eastAsia="宋体" w:cs="Times New Roman"/>
                <w:color w:val="000000" w:themeColor="text1"/>
                <w:sz w:val="21"/>
                <w:szCs w:val="21"/>
                <w:highlight w:val="none"/>
                <w14:textFill>
                  <w14:solidFill>
                    <w14:schemeClr w14:val="tx1"/>
                  </w14:solidFill>
                </w14:textFill>
              </w:rPr>
            </w:pP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沥青罐区、导热油炉区、危险废物</w:t>
            </w:r>
            <w:r>
              <w:rPr>
                <w:rFonts w:hint="eastAsia" w:ascii="Times New Roman" w:hAnsi="Times New Roman" w:cs="Times New Roman"/>
                <w:b w:val="0"/>
                <w:bCs/>
                <w:color w:val="000000" w:themeColor="text1"/>
                <w:sz w:val="21"/>
                <w:szCs w:val="21"/>
                <w:highlight w:val="none"/>
                <w:lang w:eastAsia="zh-CN"/>
                <w14:textFill>
                  <w14:solidFill>
                    <w14:schemeClr w14:val="tx1"/>
                  </w14:solidFill>
                </w14:textFill>
              </w:rPr>
              <w:t>贮存库</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地面做好防渗处理，生产车间、</w:t>
            </w:r>
            <w:r>
              <w:rPr>
                <w:rFonts w:hint="default" w:ascii="Times New Roman" w:hAnsi="Times New Roman" w:eastAsia="宋体" w:cs="Times New Roman"/>
                <w:b w:val="0"/>
                <w:bCs/>
                <w:color w:val="000000" w:themeColor="text1"/>
                <w:sz w:val="21"/>
                <w:szCs w:val="21"/>
                <w:highlight w:val="none"/>
                <w:lang w:val="en-US" w:eastAsia="zh-CN"/>
                <w14:textFill>
                  <w14:solidFill>
                    <w14:schemeClr w14:val="tx1"/>
                  </w14:solidFill>
                </w14:textFill>
              </w:rPr>
              <w:t>危险废物</w:t>
            </w:r>
            <w:r>
              <w:rPr>
                <w:rFonts w:hint="eastAsia" w:ascii="Times New Roman" w:hAnsi="Times New Roman" w:cs="Times New Roman"/>
                <w:b w:val="0"/>
                <w:bCs/>
                <w:color w:val="000000" w:themeColor="text1"/>
                <w:sz w:val="21"/>
                <w:szCs w:val="21"/>
                <w:highlight w:val="none"/>
                <w:lang w:val="en-US" w:eastAsia="zh-CN"/>
                <w14:textFill>
                  <w14:solidFill>
                    <w14:schemeClr w14:val="tx1"/>
                  </w14:solidFill>
                </w14:textFill>
              </w:rPr>
              <w:t>贮存库</w:t>
            </w:r>
            <w:r>
              <w:rPr>
                <w:rFonts w:hint="default" w:ascii="Times New Roman" w:hAnsi="Times New Roman" w:eastAsia="宋体" w:cs="Times New Roman"/>
                <w:b w:val="0"/>
                <w:bCs/>
                <w:color w:val="000000" w:themeColor="text1"/>
                <w:sz w:val="21"/>
                <w:szCs w:val="21"/>
                <w:highlight w:val="none"/>
                <w14:textFill>
                  <w14:solidFill>
                    <w14:schemeClr w14:val="tx1"/>
                  </w14:solidFill>
                </w14:textFill>
              </w:rPr>
              <w:t>等区域配置灭火设施，单位在运行过程中严格操作管理和日常维护，加强员工风险防范意识。</w:t>
            </w:r>
          </w:p>
        </w:tc>
      </w:tr>
      <w:tr w14:paraId="49E9137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575" w:type="dxa"/>
            <w:vAlign w:val="center"/>
          </w:tcPr>
          <w:p w14:paraId="5C7CCFC7">
            <w:pPr>
              <w:keepNext w:val="0"/>
              <w:keepLines w:val="0"/>
              <w:suppressLineNumbers w:val="0"/>
              <w:adjustRightInd w:val="0"/>
              <w:snapToGrid w:val="0"/>
              <w:spacing w:before="0" w:beforeAutospacing="0" w:after="0" w:afterAutospacing="0"/>
              <w:ind w:left="0" w:right="0"/>
              <w:rPr>
                <w:rFonts w:hint="default" w:ascii="Times New Roman" w:hAnsi="Times New Roman" w:eastAsia="宋体" w:cs="Times New Roman"/>
                <w:color w:val="000000" w:themeColor="text1"/>
                <w:spacing w:val="-8"/>
                <w:szCs w:val="21"/>
                <w:highlight w:val="none"/>
                <w14:textFill>
                  <w14:solidFill>
                    <w14:schemeClr w14:val="tx1"/>
                  </w14:solidFill>
                </w14:textFill>
              </w:rPr>
            </w:pPr>
            <w:r>
              <w:rPr>
                <w:rFonts w:hint="default" w:ascii="Times New Roman" w:hAnsi="Times New Roman" w:eastAsia="宋体" w:cs="Times New Roman"/>
                <w:color w:val="000000" w:themeColor="text1"/>
                <w:spacing w:val="-8"/>
                <w:szCs w:val="21"/>
                <w:highlight w:val="none"/>
                <w14:textFill>
                  <w14:solidFill>
                    <w14:schemeClr w14:val="tx1"/>
                  </w14:solidFill>
                </w14:textFill>
              </w:rPr>
              <w:t>其他环境管理要求</w:t>
            </w:r>
          </w:p>
        </w:tc>
        <w:tc>
          <w:tcPr>
            <w:tcW w:w="7225" w:type="dxa"/>
            <w:gridSpan w:val="4"/>
            <w:vAlign w:val="center"/>
          </w:tcPr>
          <w:p w14:paraId="3405F31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1、生态环境管理</w:t>
            </w:r>
          </w:p>
          <w:p w14:paraId="39F68DB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（1）环境管理</w:t>
            </w:r>
          </w:p>
          <w:p w14:paraId="4C98EE1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项目建成后，建设单位应安排专人负责环保工作，正确处理经营生产与环境保护的关系，建立健全环保档案，环境管理具体内容如下：</w:t>
            </w:r>
          </w:p>
          <w:p w14:paraId="4044C80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①建立健全环境管理制度，设置专职或兼职环保人员，负责日常环保安全，定期检查环保管理和环境监测工作；</w:t>
            </w:r>
          </w:p>
          <w:p w14:paraId="0A3B84E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②拟定环保工作计划，配合完成环境保护责任目标。</w:t>
            </w:r>
          </w:p>
          <w:p w14:paraId="174F825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（2）废气处理设施管理要求</w:t>
            </w:r>
          </w:p>
          <w:p w14:paraId="1E714B7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①安排专人负责环保设备的日常维护和管理，每隔固定时间检查、汇报情况，及时发现废气治理设施的隐患，确保废气处理系统正常运行。</w:t>
            </w:r>
          </w:p>
          <w:p w14:paraId="295FCE4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②应定期维护、检查废气净化装置，以保持废气处理装置的净化能力和净化容量。</w:t>
            </w:r>
          </w:p>
          <w:p w14:paraId="5E9307B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③建立健全的环保管理制度，对环保管理人员和技术人员进行岗位培训，委托具有专业资质的环境监测单位对项目排放的污染物进行定期监测。</w:t>
            </w:r>
          </w:p>
          <w:p w14:paraId="212DE5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④生产车间生产设施运行时，废气处理设施开启，关闭生产设施过一段时间后再关闭废气处理设施，保证废气得到有效处理。</w:t>
            </w:r>
          </w:p>
          <w:p w14:paraId="005615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⑤运行过程中废气处理装置发生故障后，立即停止生产，防止废气未经处理排入大气。然后对废气处理装置进行维修，废气处理装置维修完成后才能继续进行装卸工作。</w:t>
            </w:r>
          </w:p>
          <w:p w14:paraId="5344A68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2、排污许可</w:t>
            </w:r>
          </w:p>
          <w:p w14:paraId="7C48C9D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本项目建成后应按照根据《关于印发&lt;固定污染源排污登记工作指南（试行）&gt;的通知》、《排污单位自行监测技术指南  总则》（HJ 819-2017）、《固定污染源排污许可分类管理名录（2019年版）》等相关规定填报排污许可。</w:t>
            </w:r>
          </w:p>
          <w:p w14:paraId="0E6D29A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3、排污口规范化要求</w:t>
            </w:r>
          </w:p>
          <w:p w14:paraId="1932386E">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both"/>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（1）按照《固定污染源废气挥发性有机物监测技术规范》（DB61T1658-2023）及GB/T16157、HJ75中相关要求在废气排气筒设置监测采样口及采样平台；</w:t>
            </w:r>
          </w:p>
          <w:p w14:paraId="2A7D5C4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（2）按照《环境保护图形标志-固体废物贮存（处置）场》（GB15562.2-1995）及修改单、《危险废物识别标志设置技术规范》（HJ1276-2022）设置环保图形标志。</w:t>
            </w:r>
          </w:p>
          <w:p w14:paraId="734176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4、“三同时”制度及竣工验收制度要求</w:t>
            </w:r>
          </w:p>
          <w:p w14:paraId="7613DDC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在项目筹备、设计和施工建设不同阶段，均应严格执行“三同时”制度，确保污染处理设施能够与生产工艺设施“同时设计、同时施工、同时竣工”。</w:t>
            </w:r>
          </w:p>
          <w:p w14:paraId="135D636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b w:val="0"/>
                <w:bCs/>
                <w:color w:val="000000" w:themeColor="text1"/>
                <w:kern w:val="2"/>
                <w:sz w:val="21"/>
                <w:szCs w:val="21"/>
                <w:highlight w:val="none"/>
                <w:lang w:val="en-US" w:eastAsia="zh-CN" w:bidi="ar-SA"/>
                <w14:textFill>
                  <w14:solidFill>
                    <w14:schemeClr w14:val="tx1"/>
                  </w14:solidFill>
                </w14:textFill>
              </w:rPr>
              <w:t>严格执行国家环境保护有关政策和法规，项目建成后及时进行建设项目竣工环境保护验收工作</w:t>
            </w:r>
            <w:r>
              <w:rPr>
                <w:rFonts w:hint="eastAsia" w:cs="Times New Roman"/>
                <w:b w:val="0"/>
                <w:bCs/>
                <w:color w:val="000000" w:themeColor="text1"/>
                <w:kern w:val="2"/>
                <w:sz w:val="21"/>
                <w:szCs w:val="21"/>
                <w:highlight w:val="none"/>
                <w:lang w:val="en-US" w:eastAsia="zh-CN" w:bidi="ar-SA"/>
                <w14:textFill>
                  <w14:solidFill>
                    <w14:schemeClr w14:val="tx1"/>
                  </w14:solidFill>
                </w14:textFill>
              </w:rPr>
              <w:t>。</w:t>
            </w:r>
          </w:p>
          <w:p w14:paraId="3546242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2CF62EB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63F63F9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224F1D5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15BB834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677291BC">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19243B13">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62696EA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7F6961B5">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066F38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44EAEE7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76EA1C0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0965395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44A8625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102313D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71BA5F99">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5829AE1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35194438">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185D26B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1E36F8A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08D8F92D">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2661F14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4D4023BA">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404D4A02">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60415DB1">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54EF3924">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755C8BFB">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5AB528E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37381F3F">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4F0E1450">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743E0486">
            <w:pPr>
              <w:keepNext w:val="0"/>
              <w:keepLines w:val="0"/>
              <w:pageBreakBefore w:val="0"/>
              <w:widowControl w:val="0"/>
              <w:suppressLineNumbers w:val="0"/>
              <w:kinsoku/>
              <w:wordWrap/>
              <w:overflowPunct/>
              <w:topLinePunct w:val="0"/>
              <w:autoSpaceDE/>
              <w:autoSpaceDN/>
              <w:bidi w:val="0"/>
              <w:adjustRightInd w:val="0"/>
              <w:snapToGrid w:val="0"/>
              <w:spacing w:before="0" w:beforeAutospacing="0" w:after="0" w:afterAutospacing="0" w:line="360" w:lineRule="auto"/>
              <w:ind w:left="0" w:right="0" w:firstLine="420" w:firstLineChars="200"/>
              <w:jc w:val="left"/>
              <w:textAlignment w:val="auto"/>
              <w:rPr>
                <w:rFonts w:hint="eastAsia" w:cs="Times New Roman"/>
                <w:b w:val="0"/>
                <w:bCs/>
                <w:color w:val="000000" w:themeColor="text1"/>
                <w:kern w:val="2"/>
                <w:sz w:val="21"/>
                <w:szCs w:val="21"/>
                <w:highlight w:val="none"/>
                <w:lang w:val="en-US" w:eastAsia="zh-CN" w:bidi="ar-SA"/>
                <w14:textFill>
                  <w14:solidFill>
                    <w14:schemeClr w14:val="tx1"/>
                  </w14:solidFill>
                </w14:textFill>
              </w:rPr>
            </w:pPr>
          </w:p>
          <w:p w14:paraId="3BFD7A22">
            <w:pPr>
              <w:keepNext w:val="0"/>
              <w:keepLines w:val="0"/>
              <w:pageBreakBefore w:val="0"/>
              <w:widowControl w:val="0"/>
              <w:suppressLineNumbers w:val="0"/>
              <w:kinsoku/>
              <w:overflowPunct/>
              <w:topLinePunct w:val="0"/>
              <w:bidi w:val="0"/>
              <w:adjustRightInd w:val="0"/>
              <w:snapToGrid w:val="0"/>
              <w:spacing w:before="0" w:beforeAutospacing="0" w:after="0" w:afterAutospacing="0" w:line="360" w:lineRule="auto"/>
              <w:ind w:left="0" w:right="0"/>
              <w:jc w:val="left"/>
              <w:textAlignment w:val="auto"/>
              <w:rPr>
                <w:rFonts w:hint="default" w:ascii="Times New Roman" w:hAnsi="Times New Roman" w:eastAsia="宋体" w:cs="Times New Roman"/>
                <w:color w:val="000000" w:themeColor="text1"/>
                <w:szCs w:val="21"/>
                <w:highlight w:val="none"/>
                <w14:textFill>
                  <w14:solidFill>
                    <w14:schemeClr w14:val="tx1"/>
                  </w14:solidFill>
                </w14:textFill>
              </w:rPr>
            </w:pPr>
          </w:p>
        </w:tc>
      </w:tr>
    </w:tbl>
    <w:p w14:paraId="786F26F9">
      <w:pPr>
        <w:pStyle w:val="37"/>
        <w:jc w:val="center"/>
        <w:outlineLvl w:val="0"/>
        <w:rPr>
          <w:rFonts w:ascii="Times New Roman" w:hAnsi="Times New Roman"/>
          <w:snapToGrid w:val="0"/>
          <w:color w:val="000000" w:themeColor="text1"/>
          <w:sz w:val="30"/>
          <w:szCs w:val="30"/>
          <w:highlight w:val="none"/>
          <w14:textFill>
            <w14:solidFill>
              <w14:schemeClr w14:val="tx1"/>
            </w14:solidFill>
          </w14:textFill>
        </w:rPr>
      </w:pPr>
      <w:r>
        <w:rPr>
          <w:rFonts w:ascii="Times New Roman" w:hAnsi="Times New Roman"/>
          <w:snapToGrid w:val="0"/>
          <w:color w:val="000000" w:themeColor="text1"/>
          <w:highlight w:val="green"/>
          <w14:textFill>
            <w14:solidFill>
              <w14:schemeClr w14:val="tx1"/>
            </w14:solidFill>
          </w14:textFill>
        </w:rPr>
        <w:br w:type="page"/>
      </w:r>
      <w:r>
        <w:rPr>
          <w:rFonts w:hint="eastAsia" w:ascii="Times New Roman" w:hAnsi="Times New Roman"/>
          <w:b/>
          <w:bCs/>
          <w:snapToGrid w:val="0"/>
          <w:color w:val="000000" w:themeColor="text1"/>
          <w:sz w:val="30"/>
          <w:szCs w:val="30"/>
          <w:highlight w:val="none"/>
          <w14:textFill>
            <w14:solidFill>
              <w14:schemeClr w14:val="tx1"/>
            </w14:solidFill>
          </w14:textFill>
        </w:rPr>
        <w:t>六、结论</w:t>
      </w:r>
    </w:p>
    <w:tbl>
      <w:tblPr>
        <w:tblStyle w:val="41"/>
        <w:tblW w:w="8865" w:type="dxa"/>
        <w:jc w:val="center"/>
        <w:tblBorders>
          <w:top w:val="single" w:color="auto" w:sz="4"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8865"/>
      </w:tblGrid>
      <w:tr w14:paraId="2B035FFC">
        <w:tblPrEx>
          <w:tblBorders>
            <w:top w:val="single" w:color="auto" w:sz="4"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11991" w:hRule="atLeast"/>
          <w:jc w:val="center"/>
        </w:trPr>
        <w:tc>
          <w:tcPr>
            <w:tcW w:w="8865" w:type="dxa"/>
            <w:tcBorders>
              <w:top w:val="single" w:color="auto" w:sz="4" w:space="0"/>
              <w:bottom w:val="single" w:color="auto" w:sz="8" w:space="0"/>
            </w:tcBorders>
            <w:vAlign w:val="top"/>
          </w:tcPr>
          <w:p w14:paraId="3AEBBD85">
            <w:pPr>
              <w:keepNext w:val="0"/>
              <w:keepLines w:val="0"/>
              <w:suppressLineNumbers w:val="0"/>
              <w:adjustRightInd w:val="0"/>
              <w:snapToGrid w:val="0"/>
              <w:spacing w:before="0" w:beforeAutospacing="0" w:after="0" w:afterAutospacing="0" w:line="480" w:lineRule="exact"/>
              <w:ind w:left="0" w:right="0" w:firstLine="480" w:firstLineChars="200"/>
              <w:rPr>
                <w:rFonts w:hint="default"/>
                <w:color w:val="000000" w:themeColor="text1"/>
                <w:kern w:val="0"/>
                <w:sz w:val="24"/>
                <w:szCs w:val="24"/>
                <w:highlight w:val="none"/>
                <w14:textFill>
                  <w14:solidFill>
                    <w14:schemeClr w14:val="tx1"/>
                  </w14:solidFill>
                </w14:textFill>
              </w:rPr>
            </w:pPr>
            <w:r>
              <w:rPr>
                <w:rFonts w:hint="default" w:ascii="Times New Roman" w:hAnsi="Times New Roman"/>
                <w:color w:val="auto"/>
                <w:sz w:val="24"/>
                <w:highlight w:val="none"/>
              </w:rPr>
              <w:t>本项目符合国家产业政策及相关规划，</w:t>
            </w:r>
            <w:r>
              <w:rPr>
                <w:rFonts w:hint="eastAsia" w:ascii="Times New Roman" w:hAnsi="Times New Roman"/>
                <w:color w:val="auto"/>
                <w:sz w:val="24"/>
                <w:highlight w:val="none"/>
              </w:rPr>
              <w:t>选址可行。</w:t>
            </w:r>
            <w:r>
              <w:rPr>
                <w:rFonts w:hint="default" w:ascii="Times New Roman" w:hAnsi="Times New Roman"/>
                <w:color w:val="auto"/>
                <w:sz w:val="24"/>
                <w:highlight w:val="none"/>
              </w:rPr>
              <w:t>在正常生产情况下，项目采取的污染防治措施有效可行，排放的污染物少且对周围的环境影响甚微。只要建设单位在严格落实污染防治措施的基础上，污染物能够达标排放，对周围的环境影响较小，从环境保护角度分析，项目建设</w:t>
            </w:r>
            <w:r>
              <w:rPr>
                <w:rFonts w:hint="eastAsia" w:ascii="Times New Roman" w:hAnsi="Times New Roman"/>
                <w:color w:val="auto"/>
                <w:sz w:val="24"/>
                <w:highlight w:val="none"/>
                <w:lang w:val="en-US" w:eastAsia="zh-CN"/>
              </w:rPr>
              <w:t>环境影响</w:t>
            </w:r>
            <w:r>
              <w:rPr>
                <w:rFonts w:hint="default" w:ascii="Times New Roman" w:hAnsi="Times New Roman"/>
                <w:color w:val="auto"/>
                <w:sz w:val="24"/>
                <w:highlight w:val="none"/>
              </w:rPr>
              <w:t>可行</w:t>
            </w:r>
            <w:r>
              <w:rPr>
                <w:rFonts w:hint="default" w:ascii="Times New Roman" w:hAnsi="Times New Roman" w:cs="Times New Roman"/>
                <w:color w:val="auto"/>
                <w:sz w:val="24"/>
                <w:szCs w:val="24"/>
                <w:highlight w:val="none"/>
              </w:rPr>
              <w:t>。</w:t>
            </w:r>
          </w:p>
          <w:p w14:paraId="43A1ADBB">
            <w:pPr>
              <w:keepNext w:val="0"/>
              <w:keepLines w:val="0"/>
              <w:suppressLineNumbers w:val="0"/>
              <w:spacing w:before="0" w:beforeAutospacing="0" w:after="0" w:afterAutospacing="0" w:line="360" w:lineRule="auto"/>
              <w:ind w:left="0" w:right="0"/>
              <w:rPr>
                <w:rFonts w:hint="default"/>
                <w:color w:val="000000" w:themeColor="text1"/>
                <w:sz w:val="24"/>
                <w:szCs w:val="24"/>
                <w:highlight w:val="green"/>
                <w14:textFill>
                  <w14:solidFill>
                    <w14:schemeClr w14:val="tx1"/>
                  </w14:solidFill>
                </w14:textFill>
              </w:rPr>
            </w:pPr>
          </w:p>
          <w:p w14:paraId="326AF298">
            <w:pPr>
              <w:pStyle w:val="2"/>
              <w:keepNext w:val="0"/>
              <w:keepLines w:val="0"/>
              <w:suppressLineNumbers w:val="0"/>
              <w:spacing w:before="0" w:beforeAutospacing="0" w:afterAutospacing="0"/>
              <w:ind w:right="0"/>
              <w:rPr>
                <w:rFonts w:hint="default"/>
                <w:color w:val="000000" w:themeColor="text1"/>
                <w:sz w:val="24"/>
                <w:szCs w:val="24"/>
                <w:highlight w:val="green"/>
                <w14:textFill>
                  <w14:solidFill>
                    <w14:schemeClr w14:val="tx1"/>
                  </w14:solidFill>
                </w14:textFill>
              </w:rPr>
            </w:pPr>
          </w:p>
          <w:p w14:paraId="58FFF630">
            <w:pPr>
              <w:keepNext w:val="0"/>
              <w:keepLines w:val="0"/>
              <w:suppressLineNumbers w:val="0"/>
              <w:spacing w:before="0" w:beforeAutospacing="0" w:after="0" w:afterAutospacing="0"/>
              <w:ind w:left="0" w:right="0"/>
              <w:rPr>
                <w:rFonts w:hint="default"/>
                <w:color w:val="000000" w:themeColor="text1"/>
                <w:sz w:val="24"/>
                <w:szCs w:val="24"/>
                <w:highlight w:val="green"/>
                <w14:textFill>
                  <w14:solidFill>
                    <w14:schemeClr w14:val="tx1"/>
                  </w14:solidFill>
                </w14:textFill>
              </w:rPr>
            </w:pPr>
          </w:p>
          <w:p w14:paraId="5F917551">
            <w:pPr>
              <w:pStyle w:val="2"/>
              <w:keepNext w:val="0"/>
              <w:keepLines w:val="0"/>
              <w:suppressLineNumbers w:val="0"/>
              <w:spacing w:before="0" w:beforeAutospacing="0" w:afterAutospacing="0"/>
              <w:ind w:right="0"/>
              <w:rPr>
                <w:rFonts w:hint="default"/>
                <w:color w:val="000000" w:themeColor="text1"/>
                <w:sz w:val="24"/>
                <w:szCs w:val="24"/>
                <w:highlight w:val="green"/>
                <w14:textFill>
                  <w14:solidFill>
                    <w14:schemeClr w14:val="tx1"/>
                  </w14:solidFill>
                </w14:textFill>
              </w:rPr>
            </w:pPr>
          </w:p>
          <w:p w14:paraId="098EBA13">
            <w:pPr>
              <w:keepNext w:val="0"/>
              <w:keepLines w:val="0"/>
              <w:suppressLineNumbers w:val="0"/>
              <w:spacing w:before="0" w:beforeAutospacing="0" w:after="0" w:afterAutospacing="0"/>
              <w:ind w:left="0" w:right="0"/>
              <w:rPr>
                <w:rFonts w:hint="default"/>
                <w:color w:val="000000" w:themeColor="text1"/>
                <w:sz w:val="24"/>
                <w:szCs w:val="24"/>
                <w:highlight w:val="green"/>
                <w14:textFill>
                  <w14:solidFill>
                    <w14:schemeClr w14:val="tx1"/>
                  </w14:solidFill>
                </w14:textFill>
              </w:rPr>
            </w:pPr>
          </w:p>
          <w:p w14:paraId="759920F0">
            <w:pPr>
              <w:pStyle w:val="2"/>
              <w:keepNext w:val="0"/>
              <w:keepLines w:val="0"/>
              <w:suppressLineNumbers w:val="0"/>
              <w:spacing w:before="0" w:beforeAutospacing="0" w:afterAutospacing="0"/>
              <w:ind w:right="0"/>
              <w:rPr>
                <w:rFonts w:hint="default"/>
                <w:color w:val="000000" w:themeColor="text1"/>
                <w:sz w:val="24"/>
                <w:szCs w:val="24"/>
                <w:highlight w:val="green"/>
                <w14:textFill>
                  <w14:solidFill>
                    <w14:schemeClr w14:val="tx1"/>
                  </w14:solidFill>
                </w14:textFill>
              </w:rPr>
            </w:pPr>
          </w:p>
          <w:p w14:paraId="1A95D98B">
            <w:pPr>
              <w:keepNext w:val="0"/>
              <w:keepLines w:val="0"/>
              <w:suppressLineNumbers w:val="0"/>
              <w:spacing w:before="0" w:beforeAutospacing="0" w:after="0" w:afterAutospacing="0"/>
              <w:ind w:left="0" w:right="0"/>
              <w:rPr>
                <w:rFonts w:hint="default"/>
                <w:color w:val="000000" w:themeColor="text1"/>
                <w:sz w:val="24"/>
                <w:szCs w:val="24"/>
                <w:highlight w:val="green"/>
                <w14:textFill>
                  <w14:solidFill>
                    <w14:schemeClr w14:val="tx1"/>
                  </w14:solidFill>
                </w14:textFill>
              </w:rPr>
            </w:pPr>
          </w:p>
          <w:p w14:paraId="794CF1C7">
            <w:pPr>
              <w:pStyle w:val="2"/>
              <w:keepNext w:val="0"/>
              <w:keepLines w:val="0"/>
              <w:suppressLineNumbers w:val="0"/>
              <w:spacing w:before="0" w:beforeAutospacing="0" w:afterAutospacing="0"/>
              <w:ind w:right="0"/>
              <w:rPr>
                <w:rFonts w:hint="default"/>
                <w:color w:val="000000" w:themeColor="text1"/>
                <w:sz w:val="24"/>
                <w:szCs w:val="24"/>
                <w:highlight w:val="green"/>
                <w14:textFill>
                  <w14:solidFill>
                    <w14:schemeClr w14:val="tx1"/>
                  </w14:solidFill>
                </w14:textFill>
              </w:rPr>
            </w:pPr>
          </w:p>
          <w:p w14:paraId="4093E08C">
            <w:pPr>
              <w:keepNext w:val="0"/>
              <w:keepLines w:val="0"/>
              <w:suppressLineNumbers w:val="0"/>
              <w:spacing w:before="0" w:beforeAutospacing="0" w:after="0" w:afterAutospacing="0"/>
              <w:ind w:left="0" w:right="0"/>
              <w:rPr>
                <w:rFonts w:hint="default"/>
                <w:color w:val="000000" w:themeColor="text1"/>
                <w:sz w:val="24"/>
                <w:szCs w:val="24"/>
                <w:highlight w:val="green"/>
                <w14:textFill>
                  <w14:solidFill>
                    <w14:schemeClr w14:val="tx1"/>
                  </w14:solidFill>
                </w14:textFill>
              </w:rPr>
            </w:pPr>
          </w:p>
          <w:p w14:paraId="07E0BFFA">
            <w:pPr>
              <w:pStyle w:val="2"/>
              <w:keepNext w:val="0"/>
              <w:keepLines w:val="0"/>
              <w:suppressLineNumbers w:val="0"/>
              <w:spacing w:before="0" w:beforeAutospacing="0" w:afterAutospacing="0"/>
              <w:ind w:right="0"/>
              <w:rPr>
                <w:rFonts w:hint="default"/>
                <w:color w:val="000000" w:themeColor="text1"/>
                <w:sz w:val="24"/>
                <w:szCs w:val="24"/>
                <w:highlight w:val="green"/>
                <w14:textFill>
                  <w14:solidFill>
                    <w14:schemeClr w14:val="tx1"/>
                  </w14:solidFill>
                </w14:textFill>
              </w:rPr>
            </w:pPr>
          </w:p>
          <w:p w14:paraId="5C028698">
            <w:pPr>
              <w:keepNext w:val="0"/>
              <w:keepLines w:val="0"/>
              <w:suppressLineNumbers w:val="0"/>
              <w:spacing w:before="0" w:beforeAutospacing="0" w:after="0" w:afterAutospacing="0"/>
              <w:ind w:left="0" w:right="0"/>
              <w:rPr>
                <w:rFonts w:hint="default"/>
                <w:color w:val="000000" w:themeColor="text1"/>
                <w:sz w:val="24"/>
                <w:szCs w:val="24"/>
                <w:highlight w:val="green"/>
                <w14:textFill>
                  <w14:solidFill>
                    <w14:schemeClr w14:val="tx1"/>
                  </w14:solidFill>
                </w14:textFill>
              </w:rPr>
            </w:pPr>
          </w:p>
          <w:p w14:paraId="1E08F184">
            <w:pPr>
              <w:pStyle w:val="2"/>
              <w:keepNext w:val="0"/>
              <w:keepLines w:val="0"/>
              <w:suppressLineNumbers w:val="0"/>
              <w:spacing w:before="0" w:beforeAutospacing="0" w:afterAutospacing="0"/>
              <w:ind w:right="0"/>
              <w:rPr>
                <w:rFonts w:hint="default"/>
                <w:color w:val="000000" w:themeColor="text1"/>
                <w:sz w:val="24"/>
                <w:szCs w:val="24"/>
                <w:highlight w:val="green"/>
                <w14:textFill>
                  <w14:solidFill>
                    <w14:schemeClr w14:val="tx1"/>
                  </w14:solidFill>
                </w14:textFill>
              </w:rPr>
            </w:pPr>
          </w:p>
          <w:p w14:paraId="22544B79">
            <w:pPr>
              <w:keepNext w:val="0"/>
              <w:keepLines w:val="0"/>
              <w:suppressLineNumbers w:val="0"/>
              <w:spacing w:before="0" w:beforeAutospacing="0" w:after="0" w:afterAutospacing="0"/>
              <w:ind w:left="0" w:right="0"/>
              <w:rPr>
                <w:rFonts w:hint="default"/>
                <w:color w:val="000000" w:themeColor="text1"/>
                <w:sz w:val="24"/>
                <w:szCs w:val="24"/>
                <w:highlight w:val="green"/>
                <w14:textFill>
                  <w14:solidFill>
                    <w14:schemeClr w14:val="tx1"/>
                  </w14:solidFill>
                </w14:textFill>
              </w:rPr>
            </w:pPr>
          </w:p>
          <w:p w14:paraId="72A27DB9">
            <w:pPr>
              <w:pStyle w:val="2"/>
              <w:keepNext w:val="0"/>
              <w:keepLines w:val="0"/>
              <w:suppressLineNumbers w:val="0"/>
              <w:spacing w:before="0" w:beforeAutospacing="0" w:afterAutospacing="0"/>
              <w:ind w:right="0"/>
              <w:rPr>
                <w:rFonts w:hint="default"/>
                <w:color w:val="000000" w:themeColor="text1"/>
                <w:sz w:val="24"/>
                <w:szCs w:val="24"/>
                <w:highlight w:val="green"/>
                <w14:textFill>
                  <w14:solidFill>
                    <w14:schemeClr w14:val="tx1"/>
                  </w14:solidFill>
                </w14:textFill>
              </w:rPr>
            </w:pPr>
          </w:p>
          <w:p w14:paraId="235DB836">
            <w:pPr>
              <w:keepNext w:val="0"/>
              <w:keepLines w:val="0"/>
              <w:suppressLineNumbers w:val="0"/>
              <w:spacing w:before="0" w:beforeAutospacing="0" w:after="0" w:afterAutospacing="0"/>
              <w:ind w:left="0" w:right="0"/>
              <w:rPr>
                <w:rFonts w:hint="default"/>
                <w:color w:val="000000" w:themeColor="text1"/>
                <w:sz w:val="24"/>
                <w:szCs w:val="24"/>
                <w:highlight w:val="green"/>
                <w14:textFill>
                  <w14:solidFill>
                    <w14:schemeClr w14:val="tx1"/>
                  </w14:solidFill>
                </w14:textFill>
              </w:rPr>
            </w:pPr>
          </w:p>
          <w:p w14:paraId="2D311F98">
            <w:pPr>
              <w:pStyle w:val="2"/>
              <w:keepNext w:val="0"/>
              <w:keepLines w:val="0"/>
              <w:suppressLineNumbers w:val="0"/>
              <w:spacing w:before="0" w:beforeAutospacing="0" w:afterAutospacing="0"/>
              <w:ind w:right="0"/>
              <w:rPr>
                <w:rFonts w:hint="default"/>
                <w:color w:val="000000" w:themeColor="text1"/>
                <w:sz w:val="24"/>
                <w:szCs w:val="24"/>
                <w:highlight w:val="green"/>
                <w14:textFill>
                  <w14:solidFill>
                    <w14:schemeClr w14:val="tx1"/>
                  </w14:solidFill>
                </w14:textFill>
              </w:rPr>
            </w:pPr>
          </w:p>
          <w:p w14:paraId="5A9565F6">
            <w:pPr>
              <w:keepNext w:val="0"/>
              <w:keepLines w:val="0"/>
              <w:suppressLineNumbers w:val="0"/>
              <w:spacing w:before="0" w:beforeAutospacing="0" w:after="0" w:afterAutospacing="0"/>
              <w:ind w:left="0" w:right="0"/>
              <w:rPr>
                <w:rFonts w:hint="default"/>
                <w:color w:val="000000" w:themeColor="text1"/>
                <w:sz w:val="24"/>
                <w:szCs w:val="24"/>
                <w:highlight w:val="green"/>
                <w14:textFill>
                  <w14:solidFill>
                    <w14:schemeClr w14:val="tx1"/>
                  </w14:solidFill>
                </w14:textFill>
              </w:rPr>
            </w:pPr>
          </w:p>
          <w:p w14:paraId="6DBFBD36">
            <w:pPr>
              <w:pStyle w:val="2"/>
              <w:keepNext w:val="0"/>
              <w:keepLines w:val="0"/>
              <w:suppressLineNumbers w:val="0"/>
              <w:spacing w:before="0" w:beforeAutospacing="0" w:afterAutospacing="0"/>
              <w:ind w:right="0"/>
              <w:rPr>
                <w:rFonts w:hint="default"/>
                <w:color w:val="000000" w:themeColor="text1"/>
                <w:sz w:val="24"/>
                <w:szCs w:val="24"/>
                <w:highlight w:val="green"/>
                <w14:textFill>
                  <w14:solidFill>
                    <w14:schemeClr w14:val="tx1"/>
                  </w14:solidFill>
                </w14:textFill>
              </w:rPr>
            </w:pPr>
          </w:p>
          <w:p w14:paraId="7424D640">
            <w:pPr>
              <w:keepNext w:val="0"/>
              <w:keepLines w:val="0"/>
              <w:suppressLineNumbers w:val="0"/>
              <w:spacing w:before="0" w:beforeAutospacing="0" w:after="0" w:afterAutospacing="0"/>
              <w:ind w:left="0" w:right="0"/>
              <w:rPr>
                <w:rFonts w:hint="default"/>
                <w:color w:val="000000" w:themeColor="text1"/>
                <w:sz w:val="24"/>
                <w:szCs w:val="24"/>
                <w:highlight w:val="green"/>
                <w14:textFill>
                  <w14:solidFill>
                    <w14:schemeClr w14:val="tx1"/>
                  </w14:solidFill>
                </w14:textFill>
              </w:rPr>
            </w:pPr>
          </w:p>
          <w:p w14:paraId="32C1E3FA">
            <w:pPr>
              <w:pStyle w:val="2"/>
              <w:keepNext w:val="0"/>
              <w:keepLines w:val="0"/>
              <w:suppressLineNumbers w:val="0"/>
              <w:spacing w:before="0" w:beforeAutospacing="0" w:afterAutospacing="0"/>
              <w:ind w:right="0"/>
              <w:rPr>
                <w:rFonts w:hint="default"/>
                <w:color w:val="000000" w:themeColor="text1"/>
                <w:sz w:val="24"/>
                <w:szCs w:val="24"/>
                <w:highlight w:val="green"/>
                <w14:textFill>
                  <w14:solidFill>
                    <w14:schemeClr w14:val="tx1"/>
                  </w14:solidFill>
                </w14:textFill>
              </w:rPr>
            </w:pPr>
          </w:p>
          <w:p w14:paraId="702F9968">
            <w:pPr>
              <w:keepNext w:val="0"/>
              <w:keepLines w:val="0"/>
              <w:suppressLineNumbers w:val="0"/>
              <w:spacing w:before="0" w:beforeAutospacing="0" w:after="0" w:afterAutospacing="0"/>
              <w:ind w:left="0" w:right="0"/>
              <w:rPr>
                <w:rFonts w:hint="default"/>
                <w:color w:val="000000" w:themeColor="text1"/>
                <w:sz w:val="24"/>
                <w:szCs w:val="24"/>
                <w:highlight w:val="green"/>
                <w14:textFill>
                  <w14:solidFill>
                    <w14:schemeClr w14:val="tx1"/>
                  </w14:solidFill>
                </w14:textFill>
              </w:rPr>
            </w:pPr>
          </w:p>
          <w:p w14:paraId="4E65A2F8">
            <w:pPr>
              <w:pStyle w:val="2"/>
              <w:keepNext w:val="0"/>
              <w:keepLines w:val="0"/>
              <w:suppressLineNumbers w:val="0"/>
              <w:spacing w:before="0" w:beforeAutospacing="0" w:afterAutospacing="0"/>
              <w:ind w:right="0"/>
              <w:rPr>
                <w:rFonts w:hint="default"/>
                <w:color w:val="000000" w:themeColor="text1"/>
                <w:sz w:val="24"/>
                <w:szCs w:val="24"/>
                <w:highlight w:val="green"/>
                <w14:textFill>
                  <w14:solidFill>
                    <w14:schemeClr w14:val="tx1"/>
                  </w14:solidFill>
                </w14:textFill>
              </w:rPr>
            </w:pPr>
          </w:p>
          <w:p w14:paraId="45703AF6">
            <w:pPr>
              <w:keepNext w:val="0"/>
              <w:keepLines w:val="0"/>
              <w:suppressLineNumbers w:val="0"/>
              <w:spacing w:before="0" w:beforeAutospacing="0" w:after="0" w:afterAutospacing="0"/>
              <w:ind w:left="0" w:right="0"/>
              <w:rPr>
                <w:rFonts w:hint="default"/>
                <w:color w:val="000000" w:themeColor="text1"/>
                <w:sz w:val="24"/>
                <w:szCs w:val="24"/>
                <w:highlight w:val="green"/>
                <w14:textFill>
                  <w14:solidFill>
                    <w14:schemeClr w14:val="tx1"/>
                  </w14:solidFill>
                </w14:textFill>
              </w:rPr>
            </w:pPr>
          </w:p>
          <w:p w14:paraId="2B0B3E13">
            <w:pPr>
              <w:pStyle w:val="2"/>
              <w:keepNext w:val="0"/>
              <w:keepLines w:val="0"/>
              <w:suppressLineNumbers w:val="0"/>
              <w:spacing w:before="0" w:beforeAutospacing="0" w:afterAutospacing="0"/>
              <w:ind w:right="0"/>
              <w:rPr>
                <w:rFonts w:hint="default"/>
                <w:color w:val="000000" w:themeColor="text1"/>
                <w:sz w:val="24"/>
                <w:szCs w:val="24"/>
                <w:highlight w:val="green"/>
                <w14:textFill>
                  <w14:solidFill>
                    <w14:schemeClr w14:val="tx1"/>
                  </w14:solidFill>
                </w14:textFill>
              </w:rPr>
            </w:pPr>
          </w:p>
          <w:p w14:paraId="78748755">
            <w:pPr>
              <w:keepNext w:val="0"/>
              <w:keepLines w:val="0"/>
              <w:suppressLineNumbers w:val="0"/>
              <w:spacing w:before="0" w:beforeAutospacing="0" w:after="0" w:afterAutospacing="0"/>
              <w:ind w:left="0" w:right="0"/>
              <w:rPr>
                <w:rFonts w:hint="default"/>
                <w:color w:val="000000" w:themeColor="text1"/>
                <w:sz w:val="24"/>
                <w:szCs w:val="24"/>
                <w:highlight w:val="green"/>
                <w14:textFill>
                  <w14:solidFill>
                    <w14:schemeClr w14:val="tx1"/>
                  </w14:solidFill>
                </w14:textFill>
              </w:rPr>
            </w:pPr>
          </w:p>
          <w:p w14:paraId="69962E66">
            <w:pPr>
              <w:pStyle w:val="2"/>
              <w:keepNext w:val="0"/>
              <w:keepLines w:val="0"/>
              <w:suppressLineNumbers w:val="0"/>
              <w:spacing w:before="0" w:beforeAutospacing="0" w:afterAutospacing="0"/>
              <w:ind w:right="0"/>
              <w:rPr>
                <w:rFonts w:hint="default"/>
                <w:color w:val="000000" w:themeColor="text1"/>
                <w:sz w:val="24"/>
                <w:szCs w:val="24"/>
                <w:highlight w:val="green"/>
                <w14:textFill>
                  <w14:solidFill>
                    <w14:schemeClr w14:val="tx1"/>
                  </w14:solidFill>
                </w14:textFill>
              </w:rPr>
            </w:pPr>
          </w:p>
          <w:p w14:paraId="78571617">
            <w:pPr>
              <w:keepNext w:val="0"/>
              <w:keepLines w:val="0"/>
              <w:suppressLineNumbers w:val="0"/>
              <w:spacing w:before="0" w:beforeAutospacing="0" w:after="0" w:afterAutospacing="0"/>
              <w:ind w:left="0" w:right="0"/>
              <w:rPr>
                <w:rFonts w:hint="default"/>
                <w:color w:val="000000" w:themeColor="text1"/>
                <w:sz w:val="24"/>
                <w:szCs w:val="24"/>
                <w:highlight w:val="green"/>
                <w14:textFill>
                  <w14:solidFill>
                    <w14:schemeClr w14:val="tx1"/>
                  </w14:solidFill>
                </w14:textFill>
              </w:rPr>
            </w:pPr>
          </w:p>
          <w:p w14:paraId="0D6DADD9">
            <w:pPr>
              <w:pStyle w:val="2"/>
              <w:keepNext w:val="0"/>
              <w:keepLines w:val="0"/>
              <w:suppressLineNumbers w:val="0"/>
              <w:spacing w:before="0" w:beforeAutospacing="0" w:afterAutospacing="0"/>
              <w:ind w:right="0"/>
              <w:rPr>
                <w:rFonts w:hint="default"/>
                <w:color w:val="000000" w:themeColor="text1"/>
                <w:sz w:val="24"/>
                <w:szCs w:val="24"/>
                <w:highlight w:val="green"/>
                <w14:textFill>
                  <w14:solidFill>
                    <w14:schemeClr w14:val="tx1"/>
                  </w14:solidFill>
                </w14:textFill>
              </w:rPr>
            </w:pPr>
          </w:p>
          <w:p w14:paraId="79884D45">
            <w:pPr>
              <w:keepNext w:val="0"/>
              <w:keepLines w:val="0"/>
              <w:suppressLineNumbers w:val="0"/>
              <w:spacing w:before="0" w:beforeAutospacing="0" w:after="0" w:afterAutospacing="0"/>
              <w:ind w:left="0" w:right="0"/>
              <w:rPr>
                <w:rFonts w:hint="default"/>
                <w:color w:val="000000" w:themeColor="text1"/>
                <w:sz w:val="24"/>
                <w:szCs w:val="24"/>
                <w:highlight w:val="green"/>
                <w14:textFill>
                  <w14:solidFill>
                    <w14:schemeClr w14:val="tx1"/>
                  </w14:solidFill>
                </w14:textFill>
              </w:rPr>
            </w:pPr>
          </w:p>
          <w:p w14:paraId="7E0C92AC">
            <w:pPr>
              <w:pStyle w:val="2"/>
              <w:keepNext w:val="0"/>
              <w:keepLines w:val="0"/>
              <w:suppressLineNumbers w:val="0"/>
              <w:spacing w:before="0" w:beforeAutospacing="0" w:afterAutospacing="0"/>
              <w:ind w:right="0"/>
              <w:rPr>
                <w:rFonts w:hint="default"/>
                <w:color w:val="000000" w:themeColor="text1"/>
                <w:sz w:val="24"/>
                <w:szCs w:val="24"/>
                <w:highlight w:val="green"/>
                <w14:textFill>
                  <w14:solidFill>
                    <w14:schemeClr w14:val="tx1"/>
                  </w14:solidFill>
                </w14:textFill>
              </w:rPr>
            </w:pPr>
          </w:p>
          <w:p w14:paraId="4057BFF8">
            <w:pPr>
              <w:keepNext w:val="0"/>
              <w:keepLines w:val="0"/>
              <w:suppressLineNumbers w:val="0"/>
              <w:spacing w:before="0" w:beforeAutospacing="0" w:after="0" w:afterAutospacing="0"/>
              <w:ind w:left="0" w:right="0"/>
              <w:rPr>
                <w:rFonts w:hint="default"/>
                <w:color w:val="000000" w:themeColor="text1"/>
                <w:sz w:val="24"/>
                <w:szCs w:val="24"/>
                <w:highlight w:val="green"/>
                <w14:textFill>
                  <w14:solidFill>
                    <w14:schemeClr w14:val="tx1"/>
                  </w14:solidFill>
                </w14:textFill>
              </w:rPr>
            </w:pPr>
          </w:p>
          <w:p w14:paraId="7191DC18">
            <w:pPr>
              <w:pStyle w:val="2"/>
              <w:keepNext w:val="0"/>
              <w:keepLines w:val="0"/>
              <w:suppressLineNumbers w:val="0"/>
              <w:spacing w:before="0" w:beforeAutospacing="0" w:afterAutospacing="0"/>
              <w:ind w:right="0"/>
              <w:rPr>
                <w:rFonts w:hint="default"/>
                <w:color w:val="000000" w:themeColor="text1"/>
                <w:sz w:val="24"/>
                <w:szCs w:val="24"/>
                <w:highlight w:val="green"/>
                <w14:textFill>
                  <w14:solidFill>
                    <w14:schemeClr w14:val="tx1"/>
                  </w14:solidFill>
                </w14:textFill>
              </w:rPr>
            </w:pPr>
          </w:p>
          <w:p w14:paraId="3D6CBFAC">
            <w:pPr>
              <w:keepNext w:val="0"/>
              <w:keepLines w:val="0"/>
              <w:suppressLineNumbers w:val="0"/>
              <w:spacing w:before="0" w:beforeAutospacing="0" w:after="0" w:afterAutospacing="0"/>
              <w:ind w:left="0" w:right="0"/>
              <w:rPr>
                <w:rFonts w:hint="default"/>
              </w:rPr>
            </w:pPr>
          </w:p>
        </w:tc>
      </w:tr>
    </w:tbl>
    <w:p w14:paraId="1745724B">
      <w:pPr>
        <w:rPr>
          <w:color w:val="000000" w:themeColor="text1"/>
          <w:highlight w:val="green"/>
          <w14:textFill>
            <w14:solidFill>
              <w14:schemeClr w14:val="tx1"/>
            </w14:solidFill>
          </w14:textFill>
        </w:rPr>
        <w:sectPr>
          <w:pgSz w:w="11906" w:h="16838"/>
          <w:pgMar w:top="1418" w:right="1418" w:bottom="1134" w:left="1701" w:header="851" w:footer="851" w:gutter="0"/>
          <w:pgBorders>
            <w:top w:val="none" w:sz="0" w:space="0"/>
            <w:left w:val="none" w:sz="0" w:space="0"/>
            <w:bottom w:val="none" w:sz="0" w:space="0"/>
            <w:right w:val="none" w:sz="0" w:space="0"/>
          </w:pgBorders>
          <w:pgNumType w:fmt="decimal"/>
          <w:cols w:space="720" w:num="1"/>
          <w:docGrid w:linePitch="312" w:charSpace="0"/>
        </w:sectPr>
      </w:pPr>
    </w:p>
    <w:p w14:paraId="6D2AE238">
      <w:pPr>
        <w:pStyle w:val="94"/>
        <w:spacing w:line="400" w:lineRule="exact"/>
        <w:ind w:firstLine="482"/>
        <w:jc w:val="left"/>
        <w:rPr>
          <w:b/>
          <w:bCs/>
          <w:snapToGrid w:val="0"/>
          <w:color w:val="000000" w:themeColor="text1"/>
          <w:sz w:val="32"/>
          <w:szCs w:val="32"/>
          <w:highlight w:val="none"/>
          <w14:textFill>
            <w14:solidFill>
              <w14:schemeClr w14:val="tx1"/>
            </w14:solidFill>
          </w14:textFill>
        </w:rPr>
      </w:pPr>
      <w:r>
        <w:rPr>
          <w:rFonts w:hint="eastAsia" w:cs="宋体"/>
          <w:b/>
          <w:bCs/>
          <w:snapToGrid w:val="0"/>
          <w:color w:val="000000" w:themeColor="text1"/>
          <w:sz w:val="32"/>
          <w:szCs w:val="32"/>
          <w:highlight w:val="none"/>
          <w14:textFill>
            <w14:solidFill>
              <w14:schemeClr w14:val="tx1"/>
            </w14:solidFill>
          </w14:textFill>
        </w:rPr>
        <w:t>附表</w:t>
      </w:r>
    </w:p>
    <w:p w14:paraId="446F99B9">
      <w:pPr>
        <w:pStyle w:val="37"/>
        <w:adjustRightInd w:val="0"/>
        <w:snapToGrid w:val="0"/>
        <w:spacing w:before="0" w:beforeAutospacing="0" w:after="0" w:afterAutospacing="0" w:line="400" w:lineRule="exact"/>
        <w:jc w:val="center"/>
        <w:outlineLvl w:val="0"/>
        <w:rPr>
          <w:rFonts w:ascii="Times New Roman" w:hAnsi="Times New Roman"/>
          <w:b/>
          <w:bCs/>
          <w:snapToGrid w:val="0"/>
          <w:color w:val="000000" w:themeColor="text1"/>
          <w:sz w:val="38"/>
          <w:szCs w:val="38"/>
          <w:highlight w:val="none"/>
          <w14:textFill>
            <w14:solidFill>
              <w14:schemeClr w14:val="tx1"/>
            </w14:solidFill>
          </w14:textFill>
        </w:rPr>
      </w:pPr>
      <w:r>
        <w:rPr>
          <w:rFonts w:hint="eastAsia" w:ascii="Times New Roman" w:hAnsi="Times New Roman"/>
          <w:b/>
          <w:bCs/>
          <w:snapToGrid w:val="0"/>
          <w:color w:val="000000" w:themeColor="text1"/>
          <w:sz w:val="38"/>
          <w:szCs w:val="38"/>
          <w:highlight w:val="none"/>
          <w14:textFill>
            <w14:solidFill>
              <w14:schemeClr w14:val="tx1"/>
            </w14:solidFill>
          </w14:textFill>
        </w:rPr>
        <w:t>建设项目污染物排放量汇总表</w:t>
      </w:r>
    </w:p>
    <w:tbl>
      <w:tblPr>
        <w:tblStyle w:val="41"/>
        <w:tblW w:w="13953"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175"/>
        <w:gridCol w:w="935"/>
        <w:gridCol w:w="1219"/>
        <w:gridCol w:w="1434"/>
        <w:gridCol w:w="1291"/>
        <w:gridCol w:w="1722"/>
        <w:gridCol w:w="1578"/>
        <w:gridCol w:w="1782"/>
        <w:gridCol w:w="1428"/>
        <w:gridCol w:w="1389"/>
      </w:tblGrid>
      <w:tr w14:paraId="7B0A6F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tcBorders>
              <w:tl2br w:val="single" w:color="auto" w:sz="4" w:space="0"/>
            </w:tcBorders>
            <w:tcMar>
              <w:left w:w="28" w:type="dxa"/>
              <w:right w:w="28" w:type="dxa"/>
            </w:tcMar>
            <w:vAlign w:val="center"/>
          </w:tcPr>
          <w:p w14:paraId="794CE6B6">
            <w:pPr>
              <w:pStyle w:val="67"/>
              <w:keepNext w:val="0"/>
              <w:keepLines w:val="0"/>
              <w:suppressLineNumbers w:val="0"/>
              <w:spacing w:before="0" w:beforeLines="0" w:beforeAutospacing="0" w:after="0" w:afterLines="0" w:afterAutospacing="0" w:line="240" w:lineRule="auto"/>
              <w:ind w:left="0" w:right="0"/>
              <w:jc w:val="right"/>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t>项目</w:t>
            </w:r>
          </w:p>
          <w:p w14:paraId="79DA5308">
            <w:pPr>
              <w:pStyle w:val="67"/>
              <w:keepNext w:val="0"/>
              <w:keepLines w:val="0"/>
              <w:suppressLineNumbers w:val="0"/>
              <w:spacing w:before="0" w:beforeLines="0" w:beforeAutospacing="0" w:after="0" w:afterLines="0" w:afterAutospacing="0" w:line="240" w:lineRule="auto"/>
              <w:ind w:left="0" w:right="0"/>
              <w:jc w:val="left"/>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t>分类</w:t>
            </w:r>
          </w:p>
        </w:tc>
        <w:tc>
          <w:tcPr>
            <w:tcW w:w="2154" w:type="dxa"/>
            <w:gridSpan w:val="2"/>
            <w:tcMar>
              <w:left w:w="28" w:type="dxa"/>
              <w:right w:w="28" w:type="dxa"/>
            </w:tcMar>
            <w:vAlign w:val="center"/>
          </w:tcPr>
          <w:p w14:paraId="3B5BFEEC">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t>污染物名称</w:t>
            </w:r>
          </w:p>
        </w:tc>
        <w:tc>
          <w:tcPr>
            <w:tcW w:w="1434" w:type="dxa"/>
            <w:tcMar>
              <w:left w:w="28" w:type="dxa"/>
              <w:right w:w="28" w:type="dxa"/>
            </w:tcMar>
            <w:vAlign w:val="center"/>
          </w:tcPr>
          <w:p w14:paraId="3F328B85">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t>现有工程</w:t>
            </w:r>
          </w:p>
          <w:p w14:paraId="1FCC3EC1">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t>排放量（固体废物产生量）</w:t>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instrText xml:space="preserve"> = 1 \* GB3 \* MERGEFORMAT </w:instrText>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szCs w:val="21"/>
                <w:highlight w:val="none"/>
                <w14:textFill>
                  <w14:solidFill>
                    <w14:schemeClr w14:val="tx1"/>
                  </w14:solidFill>
                </w14:textFill>
              </w:rPr>
              <w:t>①</w:t>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fldChar w:fldCharType="end"/>
            </w:r>
          </w:p>
        </w:tc>
        <w:tc>
          <w:tcPr>
            <w:tcW w:w="1291" w:type="dxa"/>
            <w:tcMar>
              <w:left w:w="28" w:type="dxa"/>
              <w:right w:w="28" w:type="dxa"/>
            </w:tcMar>
            <w:vAlign w:val="center"/>
          </w:tcPr>
          <w:p w14:paraId="283DB386">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t>现有工程</w:t>
            </w:r>
          </w:p>
          <w:p w14:paraId="14CD57E1">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t>许可排放量</w:t>
            </w:r>
          </w:p>
          <w:p w14:paraId="66FCC5FA">
            <w:pPr>
              <w:pStyle w:val="67"/>
              <w:keepNext w:val="0"/>
              <w:keepLines w:val="0"/>
              <w:suppressLineNumbers w:val="0"/>
              <w:spacing w:before="0" w:beforeLines="0" w:beforeAutospacing="0" w:after="0" w:afterLines="0" w:afterAutospacing="0"/>
              <w:ind w:left="0" w:right="0"/>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instrText xml:space="preserve"> = 2 \* GB3 \* MERGEFORMAT </w:instrText>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fldChar w:fldCharType="separate"/>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t>②</w:t>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fldChar w:fldCharType="end"/>
            </w:r>
          </w:p>
        </w:tc>
        <w:tc>
          <w:tcPr>
            <w:tcW w:w="1722" w:type="dxa"/>
            <w:tcMar>
              <w:left w:w="28" w:type="dxa"/>
              <w:right w:w="28" w:type="dxa"/>
            </w:tcMar>
            <w:vAlign w:val="center"/>
          </w:tcPr>
          <w:p w14:paraId="255A8F50">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t>在建工程</w:t>
            </w:r>
          </w:p>
          <w:p w14:paraId="0023F505">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t>排放量（固体废物产生量）</w:t>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instrText xml:space="preserve"> = 3 \* GB3 \* MERGEFORMAT </w:instrText>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szCs w:val="21"/>
                <w:highlight w:val="none"/>
                <w14:textFill>
                  <w14:solidFill>
                    <w14:schemeClr w14:val="tx1"/>
                  </w14:solidFill>
                </w14:textFill>
              </w:rPr>
              <w:t>③</w:t>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fldChar w:fldCharType="end"/>
            </w:r>
          </w:p>
        </w:tc>
        <w:tc>
          <w:tcPr>
            <w:tcW w:w="1578" w:type="dxa"/>
            <w:tcMar>
              <w:left w:w="28" w:type="dxa"/>
              <w:right w:w="28" w:type="dxa"/>
            </w:tcMar>
            <w:vAlign w:val="center"/>
          </w:tcPr>
          <w:p w14:paraId="5610B61B">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t>本项目</w:t>
            </w:r>
          </w:p>
          <w:p w14:paraId="6A76FE06">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t>排放量（固体废物产生量）</w:t>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instrText xml:space="preserve"> = 4 \* GB3 \* MERGEFORMAT </w:instrText>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szCs w:val="21"/>
                <w:highlight w:val="none"/>
                <w14:textFill>
                  <w14:solidFill>
                    <w14:schemeClr w14:val="tx1"/>
                  </w14:solidFill>
                </w14:textFill>
              </w:rPr>
              <w:t>④</w:t>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fldChar w:fldCharType="end"/>
            </w:r>
          </w:p>
        </w:tc>
        <w:tc>
          <w:tcPr>
            <w:tcW w:w="1782" w:type="dxa"/>
            <w:tcMar>
              <w:left w:w="28" w:type="dxa"/>
              <w:right w:w="28" w:type="dxa"/>
            </w:tcMar>
            <w:vAlign w:val="center"/>
          </w:tcPr>
          <w:p w14:paraId="3191083E">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000000" w:themeColor="text1"/>
                <w:spacing w:val="-16"/>
                <w:kern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Cs w:val="21"/>
                <w:highlight w:val="none"/>
                <w14:textFill>
                  <w14:solidFill>
                    <w14:schemeClr w14:val="tx1"/>
                  </w14:solidFill>
                </w14:textFill>
              </w:rPr>
              <w:t>以新带老削减量</w:t>
            </w:r>
          </w:p>
          <w:p w14:paraId="285C1820">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000000" w:themeColor="text1"/>
                <w:spacing w:val="-16"/>
                <w:kern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Cs w:val="21"/>
                <w:highlight w:val="none"/>
                <w14:textFill>
                  <w14:solidFill>
                    <w14:schemeClr w14:val="tx1"/>
                  </w14:solidFill>
                </w14:textFill>
              </w:rPr>
              <w:t>（新建项目不填）</w:t>
            </w:r>
            <w:r>
              <w:rPr>
                <w:rFonts w:hint="default" w:ascii="Times New Roman" w:hAnsi="Times New Roman" w:eastAsia="宋体" w:cs="Times New Roman"/>
                <w:b/>
                <w:bCs/>
                <w:snapToGrid w:val="0"/>
                <w:color w:val="000000" w:themeColor="text1"/>
                <w:spacing w:val="-16"/>
                <w:kern w:val="21"/>
                <w:szCs w:val="21"/>
                <w:highlight w:val="none"/>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16"/>
                <w:kern w:val="21"/>
                <w:szCs w:val="21"/>
                <w:highlight w:val="none"/>
                <w14:textFill>
                  <w14:solidFill>
                    <w14:schemeClr w14:val="tx1"/>
                  </w14:solidFill>
                </w14:textFill>
              </w:rPr>
              <w:instrText xml:space="preserve"> = 5 \* GB3 \* MERGEFORMAT </w:instrText>
            </w:r>
            <w:r>
              <w:rPr>
                <w:rFonts w:hint="default" w:ascii="Times New Roman" w:hAnsi="Times New Roman" w:eastAsia="宋体" w:cs="Times New Roman"/>
                <w:b/>
                <w:bCs/>
                <w:snapToGrid w:val="0"/>
                <w:color w:val="000000" w:themeColor="text1"/>
                <w:spacing w:val="-16"/>
                <w:kern w:val="21"/>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szCs w:val="21"/>
                <w:highlight w:val="none"/>
                <w14:textFill>
                  <w14:solidFill>
                    <w14:schemeClr w14:val="tx1"/>
                  </w14:solidFill>
                </w14:textFill>
              </w:rPr>
              <w:t>⑤</w:t>
            </w:r>
            <w:r>
              <w:rPr>
                <w:rFonts w:hint="default" w:ascii="Times New Roman" w:hAnsi="Times New Roman" w:eastAsia="宋体" w:cs="Times New Roman"/>
                <w:b/>
                <w:bCs/>
                <w:snapToGrid w:val="0"/>
                <w:color w:val="000000" w:themeColor="text1"/>
                <w:spacing w:val="-16"/>
                <w:kern w:val="21"/>
                <w:szCs w:val="21"/>
                <w:highlight w:val="none"/>
                <w14:textFill>
                  <w14:solidFill>
                    <w14:schemeClr w14:val="tx1"/>
                  </w14:solidFill>
                </w14:textFill>
              </w:rPr>
              <w:fldChar w:fldCharType="end"/>
            </w:r>
          </w:p>
        </w:tc>
        <w:tc>
          <w:tcPr>
            <w:tcW w:w="1428" w:type="dxa"/>
            <w:tcMar>
              <w:left w:w="28" w:type="dxa"/>
              <w:right w:w="28" w:type="dxa"/>
            </w:tcMar>
            <w:vAlign w:val="center"/>
          </w:tcPr>
          <w:p w14:paraId="71E0B561">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000000" w:themeColor="text1"/>
                <w:spacing w:val="-16"/>
                <w:kern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Cs w:val="21"/>
                <w:highlight w:val="none"/>
                <w14:textFill>
                  <w14:solidFill>
                    <w14:schemeClr w14:val="tx1"/>
                  </w14:solidFill>
                </w14:textFill>
              </w:rPr>
              <w:t>本项目建成后</w:t>
            </w:r>
          </w:p>
          <w:p w14:paraId="513B7133">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000000" w:themeColor="text1"/>
                <w:spacing w:val="-16"/>
                <w:kern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16"/>
                <w:kern w:val="21"/>
                <w:szCs w:val="21"/>
                <w:highlight w:val="none"/>
                <w14:textFill>
                  <w14:solidFill>
                    <w14:schemeClr w14:val="tx1"/>
                  </w14:solidFill>
                </w14:textFill>
              </w:rPr>
              <w:t>全厂排放量（固体废物产生量）</w:t>
            </w:r>
            <w:r>
              <w:rPr>
                <w:rFonts w:hint="default" w:ascii="Times New Roman" w:hAnsi="Times New Roman" w:eastAsia="宋体" w:cs="Times New Roman"/>
                <w:b/>
                <w:bCs/>
                <w:snapToGrid w:val="0"/>
                <w:color w:val="000000" w:themeColor="text1"/>
                <w:spacing w:val="-16"/>
                <w:kern w:val="21"/>
                <w:szCs w:val="21"/>
                <w:highlight w:val="none"/>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16"/>
                <w:kern w:val="21"/>
                <w:szCs w:val="21"/>
                <w:highlight w:val="none"/>
                <w14:textFill>
                  <w14:solidFill>
                    <w14:schemeClr w14:val="tx1"/>
                  </w14:solidFill>
                </w14:textFill>
              </w:rPr>
              <w:instrText xml:space="preserve"> = 6 \* GB3 \* MERGEFORMAT </w:instrText>
            </w:r>
            <w:r>
              <w:rPr>
                <w:rFonts w:hint="default" w:ascii="Times New Roman" w:hAnsi="Times New Roman" w:eastAsia="宋体" w:cs="Times New Roman"/>
                <w:b/>
                <w:bCs/>
                <w:snapToGrid w:val="0"/>
                <w:color w:val="000000" w:themeColor="text1"/>
                <w:spacing w:val="-16"/>
                <w:kern w:val="21"/>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szCs w:val="21"/>
                <w:highlight w:val="none"/>
                <w14:textFill>
                  <w14:solidFill>
                    <w14:schemeClr w14:val="tx1"/>
                  </w14:solidFill>
                </w14:textFill>
              </w:rPr>
              <w:t>⑥</w:t>
            </w:r>
            <w:r>
              <w:rPr>
                <w:rFonts w:hint="default" w:ascii="Times New Roman" w:hAnsi="Times New Roman" w:eastAsia="宋体" w:cs="Times New Roman"/>
                <w:b/>
                <w:bCs/>
                <w:snapToGrid w:val="0"/>
                <w:color w:val="000000" w:themeColor="text1"/>
                <w:spacing w:val="-16"/>
                <w:kern w:val="21"/>
                <w:szCs w:val="21"/>
                <w:highlight w:val="none"/>
                <w14:textFill>
                  <w14:solidFill>
                    <w14:schemeClr w14:val="tx1"/>
                  </w14:solidFill>
                </w14:textFill>
              </w:rPr>
              <w:fldChar w:fldCharType="end"/>
            </w:r>
          </w:p>
        </w:tc>
        <w:tc>
          <w:tcPr>
            <w:tcW w:w="1389" w:type="dxa"/>
            <w:tcMar>
              <w:left w:w="28" w:type="dxa"/>
              <w:right w:w="28" w:type="dxa"/>
            </w:tcMar>
            <w:vAlign w:val="center"/>
          </w:tcPr>
          <w:p w14:paraId="50C38CC0">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t>变化量</w:t>
            </w:r>
          </w:p>
          <w:p w14:paraId="3AB8801F">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b/>
                <w:bCs/>
                <w:snapToGrid w:val="0"/>
                <w:color w:val="000000" w:themeColor="text1"/>
                <w:spacing w:val="-6"/>
                <w:kern w:val="21"/>
                <w:szCs w:val="21"/>
                <w:highlight w:val="none"/>
                <w:lang w:val="en-US" w:eastAsia="zh-CN"/>
                <w14:textFill>
                  <w14:solidFill>
                    <w14:schemeClr w14:val="tx1"/>
                  </w14:solidFill>
                </w14:textFill>
              </w:rPr>
            </w:pP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fldChar w:fldCharType="begin"/>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instrText xml:space="preserve"> = 7 \* GB3 \* MERGEFORMAT </w:instrText>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fldChar w:fldCharType="separate"/>
            </w:r>
            <w:r>
              <w:rPr>
                <w:rFonts w:hint="default" w:ascii="Times New Roman" w:hAnsi="Times New Roman" w:eastAsia="宋体" w:cs="Times New Roman"/>
                <w:b/>
                <w:bCs/>
                <w:color w:val="000000" w:themeColor="text1"/>
                <w:szCs w:val="21"/>
                <w:highlight w:val="none"/>
                <w14:textFill>
                  <w14:solidFill>
                    <w14:schemeClr w14:val="tx1"/>
                  </w14:solidFill>
                </w14:textFill>
              </w:rPr>
              <w:t>⑦</w:t>
            </w:r>
            <w:r>
              <w:rPr>
                <w:rFonts w:hint="default" w:ascii="Times New Roman" w:hAnsi="Times New Roman" w:eastAsia="宋体" w:cs="Times New Roman"/>
                <w:b/>
                <w:bCs/>
                <w:snapToGrid w:val="0"/>
                <w:color w:val="000000" w:themeColor="text1"/>
                <w:spacing w:val="-6"/>
                <w:kern w:val="21"/>
                <w:szCs w:val="21"/>
                <w:highlight w:val="none"/>
                <w14:textFill>
                  <w14:solidFill>
                    <w14:schemeClr w14:val="tx1"/>
                  </w14:solidFill>
                </w14:textFill>
              </w:rPr>
              <w:fldChar w:fldCharType="end"/>
            </w:r>
          </w:p>
        </w:tc>
      </w:tr>
      <w:tr w14:paraId="09F5F6E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restart"/>
            <w:vAlign w:val="center"/>
          </w:tcPr>
          <w:p w14:paraId="5C082247">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t>废气</w:t>
            </w:r>
          </w:p>
        </w:tc>
        <w:tc>
          <w:tcPr>
            <w:tcW w:w="2154" w:type="dxa"/>
            <w:gridSpan w:val="2"/>
            <w:vAlign w:val="center"/>
          </w:tcPr>
          <w:p w14:paraId="66823ADA">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Cs w:val="21"/>
                <w:highlight w:val="none"/>
                <w:lang w:val="en-US" w:eastAsia="zh-CN"/>
                <w14:textFill>
                  <w14:solidFill>
                    <w14:schemeClr w14:val="tx1"/>
                  </w14:solidFill>
                </w14:textFill>
              </w:rPr>
              <w:t>颗粒物</w:t>
            </w:r>
          </w:p>
        </w:tc>
        <w:tc>
          <w:tcPr>
            <w:tcW w:w="1434" w:type="dxa"/>
            <w:shd w:val="clear" w:color="auto" w:fill="auto"/>
            <w:vAlign w:val="center"/>
          </w:tcPr>
          <w:p w14:paraId="61AB1A7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610D9AF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5F4375B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vAlign w:val="center"/>
          </w:tcPr>
          <w:p w14:paraId="4BFEF49E">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i w:val="0"/>
                <w:iCs w:val="0"/>
                <w:color w:val="000000"/>
                <w:kern w:val="0"/>
                <w:sz w:val="22"/>
                <w:szCs w:val="22"/>
                <w:highlight w:val="none"/>
                <w:u w:val="none"/>
                <w:lang w:val="en-US" w:eastAsia="zh-CN" w:bidi="ar"/>
              </w:rPr>
              <w:t>3.</w:t>
            </w:r>
            <w:r>
              <w:rPr>
                <w:rFonts w:hint="eastAsia" w:cs="Times New Roman"/>
                <w:i w:val="0"/>
                <w:iCs w:val="0"/>
                <w:color w:val="000000"/>
                <w:kern w:val="0"/>
                <w:sz w:val="22"/>
                <w:szCs w:val="22"/>
                <w:highlight w:val="none"/>
                <w:u w:val="none"/>
                <w:lang w:val="en-US" w:eastAsia="zh-CN" w:bidi="ar"/>
              </w:rPr>
              <w:t>69</w:t>
            </w:r>
            <w:r>
              <w:rPr>
                <w:rFonts w:hint="default" w:ascii="Times New Roman" w:hAnsi="Times New Roman" w:cs="Times New Roman"/>
                <w:i w:val="0"/>
                <w:iCs w:val="0"/>
                <w:color w:val="000000"/>
                <w:kern w:val="0"/>
                <w:sz w:val="22"/>
                <w:szCs w:val="22"/>
                <w:highlight w:val="none"/>
                <w:u w:val="none"/>
                <w:lang w:val="en-US" w:eastAsia="zh-CN" w:bidi="ar"/>
              </w:rPr>
              <w:t>6</w:t>
            </w:r>
          </w:p>
        </w:tc>
        <w:tc>
          <w:tcPr>
            <w:tcW w:w="1782" w:type="dxa"/>
            <w:shd w:val="clear" w:color="auto" w:fill="auto"/>
            <w:vAlign w:val="center"/>
          </w:tcPr>
          <w:p w14:paraId="4414EF7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vAlign w:val="center"/>
          </w:tcPr>
          <w:p w14:paraId="7BB4033F">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i w:val="0"/>
                <w:iCs w:val="0"/>
                <w:color w:val="000000"/>
                <w:kern w:val="0"/>
                <w:sz w:val="22"/>
                <w:szCs w:val="22"/>
                <w:highlight w:val="none"/>
                <w:u w:val="none"/>
                <w:lang w:val="en-US" w:eastAsia="zh-CN" w:bidi="ar"/>
              </w:rPr>
              <w:t>3.</w:t>
            </w:r>
            <w:r>
              <w:rPr>
                <w:rFonts w:hint="eastAsia" w:cs="Times New Roman"/>
                <w:i w:val="0"/>
                <w:iCs w:val="0"/>
                <w:color w:val="000000"/>
                <w:kern w:val="0"/>
                <w:sz w:val="22"/>
                <w:szCs w:val="22"/>
                <w:highlight w:val="none"/>
                <w:u w:val="none"/>
                <w:lang w:val="en-US" w:eastAsia="zh-CN" w:bidi="ar"/>
              </w:rPr>
              <w:t>69</w:t>
            </w:r>
            <w:r>
              <w:rPr>
                <w:rFonts w:hint="default" w:ascii="Times New Roman" w:hAnsi="Times New Roman" w:cs="Times New Roman"/>
                <w:i w:val="0"/>
                <w:iCs w:val="0"/>
                <w:color w:val="000000"/>
                <w:kern w:val="0"/>
                <w:sz w:val="22"/>
                <w:szCs w:val="22"/>
                <w:highlight w:val="none"/>
                <w:u w:val="none"/>
                <w:lang w:val="en-US" w:eastAsia="zh-CN" w:bidi="ar"/>
              </w:rPr>
              <w:t>6</w:t>
            </w:r>
          </w:p>
        </w:tc>
        <w:tc>
          <w:tcPr>
            <w:tcW w:w="1389" w:type="dxa"/>
            <w:shd w:val="clear" w:color="auto" w:fill="auto"/>
            <w:vAlign w:val="center"/>
          </w:tcPr>
          <w:p w14:paraId="79DB292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6D3997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3B539542">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p>
        </w:tc>
        <w:tc>
          <w:tcPr>
            <w:tcW w:w="2154" w:type="dxa"/>
            <w:gridSpan w:val="2"/>
            <w:shd w:val="clear" w:color="auto" w:fill="auto"/>
            <w:vAlign w:val="center"/>
          </w:tcPr>
          <w:p w14:paraId="1B202593">
            <w:pPr>
              <w:pStyle w:val="16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Cs/>
                <w:color w:val="3F3F3F"/>
                <w:kern w:val="2"/>
                <w:sz w:val="21"/>
                <w:szCs w:val="21"/>
                <w:highlight w:val="none"/>
                <w:lang w:val="en-US" w:eastAsia="zh-CN" w:bidi="ar-SA"/>
              </w:rPr>
            </w:pPr>
            <w:r>
              <w:rPr>
                <w:rFonts w:hint="default" w:ascii="Times New Roman" w:hAnsi="Times New Roman" w:cs="Times New Roman"/>
                <w:sz w:val="21"/>
                <w:szCs w:val="21"/>
                <w:highlight w:val="none"/>
                <w:lang w:val="en-US" w:eastAsia="zh-CN"/>
              </w:rPr>
              <w:t>SO</w:t>
            </w:r>
            <w:r>
              <w:rPr>
                <w:rFonts w:hint="default" w:ascii="Times New Roman" w:hAnsi="Times New Roman" w:cs="Times New Roman"/>
                <w:sz w:val="21"/>
                <w:szCs w:val="21"/>
                <w:highlight w:val="none"/>
                <w:vertAlign w:val="subscript"/>
                <w:lang w:val="en-US" w:eastAsia="zh-CN"/>
              </w:rPr>
              <w:t>2</w:t>
            </w:r>
          </w:p>
        </w:tc>
        <w:tc>
          <w:tcPr>
            <w:tcW w:w="1434" w:type="dxa"/>
            <w:shd w:val="clear" w:color="auto" w:fill="auto"/>
            <w:vAlign w:val="center"/>
          </w:tcPr>
          <w:p w14:paraId="415696E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32A030E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43D6A2D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vAlign w:val="center"/>
          </w:tcPr>
          <w:p w14:paraId="530EDB6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i w:val="0"/>
                <w:iCs w:val="0"/>
                <w:color w:val="000000"/>
                <w:kern w:val="0"/>
                <w:sz w:val="22"/>
                <w:szCs w:val="22"/>
                <w:highlight w:val="none"/>
                <w:u w:val="none"/>
                <w:lang w:val="en-US" w:eastAsia="zh-CN" w:bidi="ar"/>
              </w:rPr>
            </w:pPr>
            <w:r>
              <w:rPr>
                <w:rFonts w:hint="default" w:ascii="Times New Roman" w:hAnsi="Times New Roman" w:cs="Times New Roman"/>
                <w:i w:val="0"/>
                <w:iCs w:val="0"/>
                <w:color w:val="000000"/>
                <w:kern w:val="0"/>
                <w:sz w:val="22"/>
                <w:szCs w:val="22"/>
                <w:highlight w:val="none"/>
                <w:u w:val="none"/>
                <w:lang w:val="en-US" w:eastAsia="zh-CN" w:bidi="ar"/>
              </w:rPr>
              <w:t>0.044</w:t>
            </w:r>
          </w:p>
        </w:tc>
        <w:tc>
          <w:tcPr>
            <w:tcW w:w="1782" w:type="dxa"/>
            <w:shd w:val="clear" w:color="auto" w:fill="auto"/>
            <w:vAlign w:val="center"/>
          </w:tcPr>
          <w:p w14:paraId="1BCFC34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shd w:val="clear" w:color="auto" w:fill="auto"/>
            <w:vAlign w:val="center"/>
          </w:tcPr>
          <w:p w14:paraId="1C73AE2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default" w:ascii="Times New Roman" w:hAnsi="Times New Roman" w:cs="Times New Roman"/>
                <w:i w:val="0"/>
                <w:iCs w:val="0"/>
                <w:color w:val="000000"/>
                <w:kern w:val="0"/>
                <w:sz w:val="22"/>
                <w:szCs w:val="22"/>
                <w:highlight w:val="none"/>
                <w:u w:val="none"/>
                <w:lang w:val="en-US" w:eastAsia="zh-CN" w:bidi="ar"/>
              </w:rPr>
              <w:t>0.044</w:t>
            </w:r>
          </w:p>
        </w:tc>
        <w:tc>
          <w:tcPr>
            <w:tcW w:w="1389" w:type="dxa"/>
            <w:shd w:val="clear" w:color="auto" w:fill="auto"/>
            <w:vAlign w:val="center"/>
          </w:tcPr>
          <w:p w14:paraId="7333D58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699E709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0673485B">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p>
        </w:tc>
        <w:tc>
          <w:tcPr>
            <w:tcW w:w="2154" w:type="dxa"/>
            <w:gridSpan w:val="2"/>
            <w:shd w:val="clear" w:color="auto" w:fill="auto"/>
            <w:vAlign w:val="center"/>
          </w:tcPr>
          <w:p w14:paraId="22437C44">
            <w:pPr>
              <w:pStyle w:val="164"/>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firstLine="0" w:firstLineChars="0"/>
              <w:jc w:val="center"/>
              <w:textAlignment w:val="auto"/>
              <w:rPr>
                <w:rFonts w:hint="default" w:ascii="Times New Roman" w:hAnsi="Times New Roman" w:eastAsia="宋体" w:cs="Times New Roman"/>
                <w:iCs/>
                <w:color w:val="3F3F3F"/>
                <w:kern w:val="2"/>
                <w:sz w:val="21"/>
                <w:szCs w:val="21"/>
                <w:highlight w:val="none"/>
                <w:lang w:val="en-US" w:eastAsia="zh-CN" w:bidi="ar-SA"/>
              </w:rPr>
            </w:pPr>
            <w:r>
              <w:rPr>
                <w:rFonts w:hint="default" w:ascii="Times New Roman" w:hAnsi="Times New Roman" w:cs="Times New Roman"/>
                <w:sz w:val="21"/>
                <w:szCs w:val="21"/>
                <w:highlight w:val="none"/>
                <w:lang w:val="en-US" w:eastAsia="zh-CN"/>
              </w:rPr>
              <w:t>NO</w:t>
            </w:r>
            <w:r>
              <w:rPr>
                <w:rFonts w:hint="default" w:ascii="Times New Roman" w:hAnsi="Times New Roman" w:cs="Times New Roman"/>
                <w:sz w:val="21"/>
                <w:szCs w:val="21"/>
                <w:highlight w:val="none"/>
                <w:vertAlign w:val="subscript"/>
                <w:lang w:val="en-US" w:eastAsia="zh-CN"/>
              </w:rPr>
              <w:t>X</w:t>
            </w:r>
          </w:p>
        </w:tc>
        <w:tc>
          <w:tcPr>
            <w:tcW w:w="1434" w:type="dxa"/>
            <w:shd w:val="clear" w:color="auto" w:fill="auto"/>
            <w:vAlign w:val="center"/>
          </w:tcPr>
          <w:p w14:paraId="0451F29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7203E8D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597AFBE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vAlign w:val="center"/>
          </w:tcPr>
          <w:p w14:paraId="5035E92B">
            <w:pPr>
              <w:keepNext w:val="0"/>
              <w:keepLines w:val="0"/>
              <w:widowControl/>
              <w:suppressLineNumbers w:val="0"/>
              <w:spacing w:before="0" w:beforeAutospacing="0" w:after="0" w:afterAutospacing="0"/>
              <w:ind w:left="0" w:right="0"/>
              <w:jc w:val="center"/>
              <w:textAlignment w:val="center"/>
              <w:rPr>
                <w:rFonts w:hint="default" w:ascii="Times New Roman" w:hAnsi="Times New Roman" w:cs="Times New Roman"/>
                <w:i w:val="0"/>
                <w:iCs w:val="0"/>
                <w:color w:val="000000"/>
                <w:kern w:val="0"/>
                <w:sz w:val="22"/>
                <w:szCs w:val="22"/>
                <w:highlight w:val="none"/>
                <w:u w:val="none"/>
                <w:lang w:val="en-US" w:eastAsia="zh-CN" w:bidi="ar"/>
              </w:rPr>
            </w:pPr>
            <w:r>
              <w:rPr>
                <w:rFonts w:hint="default" w:ascii="Times New Roman" w:hAnsi="Times New Roman" w:cs="Times New Roman"/>
                <w:i w:val="0"/>
                <w:iCs w:val="0"/>
                <w:color w:val="000000"/>
                <w:kern w:val="0"/>
                <w:sz w:val="22"/>
                <w:szCs w:val="22"/>
                <w:highlight w:val="none"/>
                <w:u w:val="none"/>
                <w:lang w:val="en-US" w:eastAsia="zh-CN" w:bidi="ar"/>
              </w:rPr>
              <w:t>1.901</w:t>
            </w:r>
          </w:p>
        </w:tc>
        <w:tc>
          <w:tcPr>
            <w:tcW w:w="1782" w:type="dxa"/>
            <w:shd w:val="clear" w:color="auto" w:fill="auto"/>
            <w:vAlign w:val="center"/>
          </w:tcPr>
          <w:p w14:paraId="6965927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shd w:val="clear" w:color="auto" w:fill="auto"/>
            <w:vAlign w:val="center"/>
          </w:tcPr>
          <w:p w14:paraId="465AACC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default" w:ascii="Times New Roman" w:hAnsi="Times New Roman" w:cs="Times New Roman"/>
                <w:i w:val="0"/>
                <w:iCs w:val="0"/>
                <w:color w:val="000000"/>
                <w:kern w:val="0"/>
                <w:sz w:val="22"/>
                <w:szCs w:val="22"/>
                <w:highlight w:val="none"/>
                <w:u w:val="none"/>
                <w:lang w:val="en-US" w:eastAsia="zh-CN" w:bidi="ar"/>
              </w:rPr>
              <w:t>1.901</w:t>
            </w:r>
          </w:p>
        </w:tc>
        <w:tc>
          <w:tcPr>
            <w:tcW w:w="1389" w:type="dxa"/>
            <w:shd w:val="clear" w:color="auto" w:fill="auto"/>
            <w:vAlign w:val="center"/>
          </w:tcPr>
          <w:p w14:paraId="12CF502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547686C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3DE0C7B7">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p>
        </w:tc>
        <w:tc>
          <w:tcPr>
            <w:tcW w:w="2154" w:type="dxa"/>
            <w:gridSpan w:val="2"/>
            <w:vAlign w:val="center"/>
          </w:tcPr>
          <w:p w14:paraId="08C84083">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default" w:ascii="Times New Roman" w:hAnsi="Times New Roman" w:cs="Times New Roman"/>
                <w:b w:val="0"/>
                <w:color w:val="auto"/>
                <w:sz w:val="21"/>
                <w:szCs w:val="21"/>
                <w:highlight w:val="none"/>
                <w:lang w:val="en-US" w:eastAsia="zh-CN"/>
              </w:rPr>
              <w:t>沥青烟</w:t>
            </w:r>
          </w:p>
        </w:tc>
        <w:tc>
          <w:tcPr>
            <w:tcW w:w="1434" w:type="dxa"/>
            <w:shd w:val="clear" w:color="auto" w:fill="auto"/>
            <w:vAlign w:val="center"/>
          </w:tcPr>
          <w:p w14:paraId="4AC7C53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198EA8C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665A79E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vAlign w:val="center"/>
          </w:tcPr>
          <w:p w14:paraId="5176806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i w:val="0"/>
                <w:iCs w:val="0"/>
                <w:color w:val="000000"/>
                <w:kern w:val="0"/>
                <w:sz w:val="22"/>
                <w:szCs w:val="22"/>
                <w:highlight w:val="none"/>
                <w:u w:val="none"/>
                <w:lang w:val="en-US" w:eastAsia="zh-CN" w:bidi="ar"/>
              </w:rPr>
              <w:t>1.875</w:t>
            </w:r>
          </w:p>
        </w:tc>
        <w:tc>
          <w:tcPr>
            <w:tcW w:w="1782" w:type="dxa"/>
            <w:shd w:val="clear" w:color="auto" w:fill="auto"/>
            <w:vAlign w:val="center"/>
          </w:tcPr>
          <w:p w14:paraId="6642C09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vAlign w:val="center"/>
          </w:tcPr>
          <w:p w14:paraId="481BCC07">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i w:val="0"/>
                <w:iCs w:val="0"/>
                <w:color w:val="000000"/>
                <w:kern w:val="0"/>
                <w:sz w:val="22"/>
                <w:szCs w:val="22"/>
                <w:highlight w:val="none"/>
                <w:u w:val="none"/>
                <w:lang w:val="en-US" w:eastAsia="zh-CN" w:bidi="ar"/>
              </w:rPr>
              <w:t>1.875</w:t>
            </w:r>
          </w:p>
        </w:tc>
        <w:tc>
          <w:tcPr>
            <w:tcW w:w="1389" w:type="dxa"/>
            <w:shd w:val="clear" w:color="auto" w:fill="auto"/>
            <w:vAlign w:val="center"/>
          </w:tcPr>
          <w:p w14:paraId="66F75FE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39F8DE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34E32619">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p>
        </w:tc>
        <w:tc>
          <w:tcPr>
            <w:tcW w:w="935" w:type="dxa"/>
            <w:vMerge w:val="restart"/>
            <w:shd w:val="clear" w:color="auto" w:fill="auto"/>
            <w:vAlign w:val="center"/>
          </w:tcPr>
          <w:p w14:paraId="0CA38D80">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t>沥青烟中含</w:t>
            </w:r>
          </w:p>
        </w:tc>
        <w:tc>
          <w:tcPr>
            <w:tcW w:w="1219" w:type="dxa"/>
            <w:shd w:val="clear" w:color="auto" w:fill="auto"/>
            <w:vAlign w:val="center"/>
          </w:tcPr>
          <w:p w14:paraId="34C620F7">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t>非甲烷总烃</w:t>
            </w:r>
          </w:p>
        </w:tc>
        <w:tc>
          <w:tcPr>
            <w:tcW w:w="1434" w:type="dxa"/>
            <w:shd w:val="clear" w:color="auto" w:fill="auto"/>
            <w:vAlign w:val="center"/>
          </w:tcPr>
          <w:p w14:paraId="11AA937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03E2BB3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0C3400F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vAlign w:val="center"/>
          </w:tcPr>
          <w:p w14:paraId="2917F8D2">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cs="Times New Roman"/>
                <w:i w:val="0"/>
                <w:iCs w:val="0"/>
                <w:color w:val="000000"/>
                <w:kern w:val="0"/>
                <w:sz w:val="22"/>
                <w:szCs w:val="22"/>
                <w:highlight w:val="none"/>
                <w:u w:val="none"/>
                <w:lang w:val="en-US" w:eastAsia="zh-CN" w:bidi="ar"/>
              </w:rPr>
              <w:t>1.31</w:t>
            </w:r>
          </w:p>
        </w:tc>
        <w:tc>
          <w:tcPr>
            <w:tcW w:w="1782" w:type="dxa"/>
            <w:shd w:val="clear" w:color="auto" w:fill="auto"/>
            <w:vAlign w:val="center"/>
          </w:tcPr>
          <w:p w14:paraId="14A76A8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vAlign w:val="center"/>
          </w:tcPr>
          <w:p w14:paraId="0FFC96B5">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2"/>
                <w:szCs w:val="22"/>
                <w:highlight w:val="none"/>
                <w:u w:val="none"/>
                <w:lang w:val="en-US" w:eastAsia="zh-CN" w:bidi="ar"/>
              </w:rPr>
              <w:t>1.167</w:t>
            </w:r>
          </w:p>
        </w:tc>
        <w:tc>
          <w:tcPr>
            <w:tcW w:w="1389" w:type="dxa"/>
            <w:shd w:val="clear" w:color="auto" w:fill="auto"/>
            <w:vAlign w:val="center"/>
          </w:tcPr>
          <w:p w14:paraId="512E0C8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12D8782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53BE4B37">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p>
        </w:tc>
        <w:tc>
          <w:tcPr>
            <w:tcW w:w="935" w:type="dxa"/>
            <w:vMerge w:val="continue"/>
            <w:shd w:val="clear" w:color="auto" w:fill="auto"/>
            <w:vAlign w:val="center"/>
          </w:tcPr>
          <w:p w14:paraId="30770477">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p>
        </w:tc>
        <w:tc>
          <w:tcPr>
            <w:tcW w:w="1219" w:type="dxa"/>
            <w:shd w:val="clear" w:color="auto" w:fill="auto"/>
            <w:vAlign w:val="center"/>
          </w:tcPr>
          <w:p w14:paraId="3FEF45DB">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 w:val="21"/>
                <w:szCs w:val="21"/>
                <w:highlight w:val="none"/>
                <w:lang w:val="en-US" w:eastAsia="zh-CN" w:bidi="ar-SA"/>
                <w14:textFill>
                  <w14:solidFill>
                    <w14:schemeClr w14:val="tx1"/>
                  </w14:solidFill>
                </w14:textFill>
              </w:rPr>
            </w:pPr>
            <w:r>
              <w:rPr>
                <w:rFonts w:hint="default" w:ascii="Times New Roman" w:hAnsi="Times New Roman" w:cs="Times New Roman"/>
                <w:b w:val="0"/>
                <w:color w:val="auto"/>
                <w:sz w:val="21"/>
                <w:szCs w:val="21"/>
                <w:highlight w:val="none"/>
              </w:rPr>
              <w:t>苯并[a]芘</w:t>
            </w:r>
          </w:p>
        </w:tc>
        <w:tc>
          <w:tcPr>
            <w:tcW w:w="1434" w:type="dxa"/>
            <w:shd w:val="clear" w:color="auto" w:fill="auto"/>
            <w:vAlign w:val="center"/>
          </w:tcPr>
          <w:p w14:paraId="2990F84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3B24E3D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4042849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shd w:val="clear" w:color="auto" w:fill="auto"/>
            <w:vAlign w:val="center"/>
          </w:tcPr>
          <w:p w14:paraId="7A3E9083">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themeColor="text1"/>
                <w:kern w:val="2"/>
                <w:sz w:val="22"/>
                <w:szCs w:val="22"/>
                <w:highlight w:val="none"/>
                <w:u w:val="none"/>
                <w:lang w:val="en-US" w:eastAsia="zh-CN" w:bidi="ar-SA"/>
                <w14:textFill>
                  <w14:solidFill>
                    <w14:schemeClr w14:val="tx1"/>
                  </w14:solidFill>
                </w14:textFill>
              </w:rPr>
            </w:pPr>
            <w:r>
              <w:rPr>
                <w:rFonts w:hint="default" w:ascii="Times New Roman" w:hAnsi="Times New Roman" w:eastAsia="宋体" w:cs="Times New Roman"/>
                <w:i w:val="0"/>
                <w:iCs w:val="0"/>
                <w:color w:val="000000"/>
                <w:kern w:val="0"/>
                <w:sz w:val="22"/>
                <w:szCs w:val="22"/>
                <w:highlight w:val="none"/>
                <w:u w:val="none"/>
                <w:lang w:val="en-US" w:eastAsia="zh-CN" w:bidi="ar"/>
              </w:rPr>
              <w:t>0.00001</w:t>
            </w:r>
            <w:r>
              <w:rPr>
                <w:rFonts w:hint="default" w:ascii="Times New Roman" w:hAnsi="Times New Roman" w:cs="Times New Roman"/>
                <w:i w:val="0"/>
                <w:iCs w:val="0"/>
                <w:color w:val="000000"/>
                <w:kern w:val="0"/>
                <w:sz w:val="22"/>
                <w:szCs w:val="22"/>
                <w:highlight w:val="none"/>
                <w:u w:val="none"/>
                <w:lang w:val="en-US" w:eastAsia="zh-CN" w:bidi="ar"/>
              </w:rPr>
              <w:t>9</w:t>
            </w:r>
          </w:p>
        </w:tc>
        <w:tc>
          <w:tcPr>
            <w:tcW w:w="1782" w:type="dxa"/>
            <w:shd w:val="clear" w:color="auto" w:fill="auto"/>
            <w:vAlign w:val="center"/>
          </w:tcPr>
          <w:p w14:paraId="77E0E01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vAlign w:val="center"/>
          </w:tcPr>
          <w:p w14:paraId="1DF23859">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color w:val="000000" w:themeColor="text1"/>
                <w:szCs w:val="21"/>
                <w:highlight w:val="none"/>
                <w:lang w:val="en-US" w:eastAsia="zh-CN"/>
                <w14:textFill>
                  <w14:solidFill>
                    <w14:schemeClr w14:val="tx1"/>
                  </w14:solidFill>
                </w14:textFill>
              </w:rPr>
            </w:pPr>
            <w:r>
              <w:rPr>
                <w:rFonts w:hint="default" w:ascii="Times New Roman" w:hAnsi="Times New Roman" w:eastAsia="宋体" w:cs="Times New Roman"/>
                <w:i w:val="0"/>
                <w:iCs w:val="0"/>
                <w:color w:val="000000"/>
                <w:kern w:val="0"/>
                <w:sz w:val="22"/>
                <w:szCs w:val="22"/>
                <w:highlight w:val="none"/>
                <w:u w:val="none"/>
                <w:lang w:val="en-US" w:eastAsia="zh-CN" w:bidi="ar"/>
              </w:rPr>
              <w:t>0.00001</w:t>
            </w:r>
            <w:r>
              <w:rPr>
                <w:rFonts w:hint="default" w:ascii="Times New Roman" w:hAnsi="Times New Roman" w:cs="Times New Roman"/>
                <w:i w:val="0"/>
                <w:iCs w:val="0"/>
                <w:color w:val="000000"/>
                <w:kern w:val="0"/>
                <w:sz w:val="22"/>
                <w:szCs w:val="22"/>
                <w:highlight w:val="none"/>
                <w:u w:val="none"/>
                <w:lang w:val="en-US" w:eastAsia="zh-CN" w:bidi="ar"/>
              </w:rPr>
              <w:t>9</w:t>
            </w:r>
          </w:p>
        </w:tc>
        <w:tc>
          <w:tcPr>
            <w:tcW w:w="1389" w:type="dxa"/>
            <w:shd w:val="clear" w:color="auto" w:fill="auto"/>
            <w:vAlign w:val="center"/>
          </w:tcPr>
          <w:p w14:paraId="32F6014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554C97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4DA5346E">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p>
        </w:tc>
        <w:tc>
          <w:tcPr>
            <w:tcW w:w="2154" w:type="dxa"/>
            <w:gridSpan w:val="2"/>
            <w:shd w:val="clear" w:color="auto" w:fill="auto"/>
            <w:vAlign w:val="center"/>
          </w:tcPr>
          <w:p w14:paraId="6B236E82">
            <w:pPr>
              <w:pStyle w:val="67"/>
              <w:keepNext w:val="0"/>
              <w:keepLines w:val="0"/>
              <w:suppressLineNumbers w:val="0"/>
              <w:spacing w:before="0" w:beforeLines="0" w:beforeAutospacing="0" w:after="0" w:afterLines="0" w:afterAutospacing="0" w:line="240" w:lineRule="auto"/>
              <w:ind w:left="0" w:right="0"/>
              <w:rPr>
                <w:rFonts w:hint="eastAsia" w:ascii="Times New Roman" w:hAnsi="Times New Roman" w:eastAsia="宋体" w:cs="Times New Roman"/>
                <w:b w:val="0"/>
                <w:color w:val="auto"/>
                <w:sz w:val="21"/>
                <w:szCs w:val="21"/>
                <w:highlight w:val="none"/>
                <w:lang w:val="en-US" w:eastAsia="zh-CN"/>
              </w:rPr>
            </w:pPr>
            <w:r>
              <w:rPr>
                <w:rFonts w:hint="eastAsia" w:ascii="Times New Roman" w:hAnsi="Times New Roman" w:cs="Times New Roman"/>
                <w:b w:val="0"/>
                <w:color w:val="auto"/>
                <w:sz w:val="21"/>
                <w:szCs w:val="21"/>
                <w:highlight w:val="none"/>
                <w:lang w:val="en-US" w:eastAsia="zh-CN"/>
              </w:rPr>
              <w:t>油烟</w:t>
            </w:r>
          </w:p>
        </w:tc>
        <w:tc>
          <w:tcPr>
            <w:tcW w:w="1434" w:type="dxa"/>
            <w:shd w:val="clear" w:color="auto" w:fill="auto"/>
            <w:vAlign w:val="center"/>
          </w:tcPr>
          <w:p w14:paraId="003E944F">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680AF38E">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06D01971">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shd w:val="clear" w:color="auto" w:fill="auto"/>
            <w:vAlign w:val="center"/>
          </w:tcPr>
          <w:p w14:paraId="7FBBEAB4">
            <w:pPr>
              <w:keepNext w:val="0"/>
              <w:keepLines w:val="0"/>
              <w:widowControl/>
              <w:suppressLineNumbers w:val="0"/>
              <w:spacing w:before="0" w:beforeAutospacing="0" w:after="0" w:afterAutospacing="0"/>
              <w:ind w:left="0" w:right="0"/>
              <w:jc w:val="center"/>
              <w:textAlignment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eastAsia" w:ascii="Times New Roman" w:hAnsi="Times New Roman" w:cs="Times New Roman"/>
                <w:i w:val="0"/>
                <w:iCs w:val="0"/>
                <w:color w:val="000000"/>
                <w:kern w:val="0"/>
                <w:sz w:val="22"/>
                <w:szCs w:val="22"/>
                <w:highlight w:val="none"/>
                <w:u w:val="none"/>
                <w:lang w:val="en-US" w:eastAsia="zh-CN" w:bidi="ar"/>
              </w:rPr>
              <w:t>0.00</w:t>
            </w:r>
            <w:r>
              <w:rPr>
                <w:rFonts w:hint="eastAsia" w:cs="Times New Roman"/>
                <w:i w:val="0"/>
                <w:iCs w:val="0"/>
                <w:color w:val="000000"/>
                <w:kern w:val="0"/>
                <w:sz w:val="22"/>
                <w:szCs w:val="22"/>
                <w:highlight w:val="none"/>
                <w:u w:val="none"/>
                <w:lang w:val="en-US" w:eastAsia="zh-CN" w:bidi="ar"/>
              </w:rPr>
              <w:t>2</w:t>
            </w:r>
          </w:p>
        </w:tc>
        <w:tc>
          <w:tcPr>
            <w:tcW w:w="1782" w:type="dxa"/>
            <w:shd w:val="clear" w:color="auto" w:fill="auto"/>
            <w:vAlign w:val="center"/>
          </w:tcPr>
          <w:p w14:paraId="10565873">
            <w:pPr>
              <w:keepNext w:val="0"/>
              <w:keepLines w:val="0"/>
              <w:suppressLineNumbers w:val="0"/>
              <w:spacing w:before="0" w:beforeAutospacing="0" w:after="0" w:afterAutospacing="0"/>
              <w:ind w:left="0" w:leftChars="0" w:right="0" w:rightChars="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shd w:val="clear" w:color="auto" w:fill="auto"/>
            <w:vAlign w:val="center"/>
          </w:tcPr>
          <w:p w14:paraId="3A329E9E">
            <w:pPr>
              <w:keepNext w:val="0"/>
              <w:keepLines w:val="0"/>
              <w:widowControl/>
              <w:suppressLineNumbers w:val="0"/>
              <w:spacing w:before="0" w:beforeAutospacing="0" w:after="0" w:afterAutospacing="0"/>
              <w:ind w:left="0" w:leftChars="0" w:right="0" w:rightChars="0"/>
              <w:jc w:val="center"/>
              <w:textAlignment w:val="center"/>
              <w:rPr>
                <w:rFonts w:hint="default" w:ascii="Times New Roman" w:hAnsi="Times New Roman" w:eastAsia="宋体" w:cs="Times New Roman"/>
                <w:i w:val="0"/>
                <w:iCs w:val="0"/>
                <w:color w:val="000000"/>
                <w:kern w:val="0"/>
                <w:sz w:val="22"/>
                <w:szCs w:val="22"/>
                <w:highlight w:val="none"/>
                <w:u w:val="none"/>
                <w:lang w:val="en-US" w:eastAsia="zh-CN" w:bidi="ar"/>
              </w:rPr>
            </w:pPr>
            <w:r>
              <w:rPr>
                <w:rFonts w:hint="eastAsia" w:ascii="Times New Roman" w:hAnsi="Times New Roman" w:cs="Times New Roman"/>
                <w:i w:val="0"/>
                <w:iCs w:val="0"/>
                <w:color w:val="000000"/>
                <w:kern w:val="0"/>
                <w:sz w:val="22"/>
                <w:szCs w:val="22"/>
                <w:highlight w:val="none"/>
                <w:u w:val="none"/>
                <w:lang w:val="en-US" w:eastAsia="zh-CN" w:bidi="ar"/>
              </w:rPr>
              <w:t>0.00</w:t>
            </w:r>
            <w:r>
              <w:rPr>
                <w:rFonts w:hint="eastAsia" w:cs="Times New Roman"/>
                <w:i w:val="0"/>
                <w:iCs w:val="0"/>
                <w:color w:val="000000"/>
                <w:kern w:val="0"/>
                <w:sz w:val="22"/>
                <w:szCs w:val="22"/>
                <w:highlight w:val="none"/>
                <w:u w:val="none"/>
                <w:lang w:val="en-US" w:eastAsia="zh-CN" w:bidi="ar"/>
              </w:rPr>
              <w:t>2</w:t>
            </w:r>
          </w:p>
        </w:tc>
        <w:tc>
          <w:tcPr>
            <w:tcW w:w="1389" w:type="dxa"/>
            <w:shd w:val="clear" w:color="auto" w:fill="auto"/>
            <w:vAlign w:val="center"/>
          </w:tcPr>
          <w:p w14:paraId="0F350BD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eastAsia" w:ascii="Times New Roman" w:hAnsi="Times New Roman" w:cs="Times New Roman"/>
                <w:color w:val="000000" w:themeColor="text1"/>
                <w:kern w:val="2"/>
                <w:sz w:val="21"/>
                <w:szCs w:val="21"/>
                <w:highlight w:val="none"/>
                <w:lang w:val="en-US" w:eastAsia="zh-CN" w:bidi="ar-SA"/>
                <w14:textFill>
                  <w14:solidFill>
                    <w14:schemeClr w14:val="tx1"/>
                  </w14:solidFill>
                </w14:textFill>
              </w:rPr>
              <w:t>/</w:t>
            </w:r>
          </w:p>
        </w:tc>
      </w:tr>
      <w:tr w14:paraId="44E3B8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restart"/>
            <w:vAlign w:val="center"/>
          </w:tcPr>
          <w:p w14:paraId="384D7DD8">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t>废水</w:t>
            </w:r>
          </w:p>
        </w:tc>
        <w:tc>
          <w:tcPr>
            <w:tcW w:w="2154" w:type="dxa"/>
            <w:gridSpan w:val="2"/>
            <w:shd w:val="clear" w:color="auto" w:fill="auto"/>
            <w:vAlign w:val="center"/>
          </w:tcPr>
          <w:p w14:paraId="1A625AD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t>水量</w:t>
            </w:r>
          </w:p>
        </w:tc>
        <w:tc>
          <w:tcPr>
            <w:tcW w:w="1434" w:type="dxa"/>
            <w:shd w:val="clear" w:color="auto" w:fill="auto"/>
            <w:vAlign w:val="center"/>
          </w:tcPr>
          <w:p w14:paraId="1F7808B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6F32426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7BBFCB4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shd w:val="clear" w:color="auto" w:fill="auto"/>
            <w:vAlign w:val="center"/>
          </w:tcPr>
          <w:p w14:paraId="1E7AF1B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1"/>
                <w:highlight w:val="none"/>
                <w:lang w:val="en-US" w:eastAsia="zh-CN" w:bidi="ar-SA"/>
                <w14:textFill>
                  <w14:solidFill>
                    <w14:schemeClr w14:val="tx1"/>
                  </w14:solidFill>
                </w14:textFill>
              </w:rPr>
              <w:t>0.0192</w:t>
            </w:r>
          </w:p>
        </w:tc>
        <w:tc>
          <w:tcPr>
            <w:tcW w:w="1782" w:type="dxa"/>
            <w:shd w:val="clear" w:color="auto" w:fill="auto"/>
            <w:vAlign w:val="center"/>
          </w:tcPr>
          <w:p w14:paraId="3DE8DD0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shd w:val="clear" w:color="auto" w:fill="auto"/>
            <w:vAlign w:val="center"/>
          </w:tcPr>
          <w:p w14:paraId="0EEF1A8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389" w:type="dxa"/>
            <w:shd w:val="clear" w:color="auto" w:fill="auto"/>
            <w:vAlign w:val="center"/>
          </w:tcPr>
          <w:p w14:paraId="7D66146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21D9E21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78D28F95">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p>
        </w:tc>
        <w:tc>
          <w:tcPr>
            <w:tcW w:w="2154" w:type="dxa"/>
            <w:gridSpan w:val="2"/>
            <w:shd w:val="clear" w:color="auto" w:fill="auto"/>
            <w:vAlign w:val="center"/>
          </w:tcPr>
          <w:p w14:paraId="03B24209">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COD</w:t>
            </w:r>
          </w:p>
        </w:tc>
        <w:tc>
          <w:tcPr>
            <w:tcW w:w="1434" w:type="dxa"/>
            <w:shd w:val="clear" w:color="auto" w:fill="auto"/>
            <w:vAlign w:val="center"/>
          </w:tcPr>
          <w:p w14:paraId="5498015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069CF37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6B7B81C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shd w:val="clear" w:color="auto" w:fill="auto"/>
            <w:vAlign w:val="center"/>
          </w:tcPr>
          <w:p w14:paraId="7571EC08">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0.067</w:t>
            </w:r>
          </w:p>
        </w:tc>
        <w:tc>
          <w:tcPr>
            <w:tcW w:w="1782" w:type="dxa"/>
            <w:shd w:val="clear" w:color="auto" w:fill="auto"/>
            <w:vAlign w:val="center"/>
          </w:tcPr>
          <w:p w14:paraId="47BE237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shd w:val="clear" w:color="auto" w:fill="auto"/>
            <w:vAlign w:val="center"/>
          </w:tcPr>
          <w:p w14:paraId="14C79C82">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0.067</w:t>
            </w:r>
          </w:p>
        </w:tc>
        <w:tc>
          <w:tcPr>
            <w:tcW w:w="1389" w:type="dxa"/>
            <w:shd w:val="clear" w:color="auto" w:fill="auto"/>
            <w:vAlign w:val="center"/>
          </w:tcPr>
          <w:p w14:paraId="7EAEBE2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52478C7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1BFA3175">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p>
        </w:tc>
        <w:tc>
          <w:tcPr>
            <w:tcW w:w="2154" w:type="dxa"/>
            <w:gridSpan w:val="2"/>
            <w:shd w:val="clear" w:color="auto" w:fill="auto"/>
            <w:vAlign w:val="center"/>
          </w:tcPr>
          <w:p w14:paraId="7CA07E98">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SS</w:t>
            </w:r>
          </w:p>
        </w:tc>
        <w:tc>
          <w:tcPr>
            <w:tcW w:w="1434" w:type="dxa"/>
            <w:shd w:val="clear" w:color="auto" w:fill="auto"/>
            <w:vAlign w:val="center"/>
          </w:tcPr>
          <w:p w14:paraId="7109FB0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6490010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4F7B9C2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shd w:val="clear" w:color="auto" w:fill="auto"/>
            <w:vAlign w:val="center"/>
          </w:tcPr>
          <w:p w14:paraId="5D07586E">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0.029</w:t>
            </w:r>
          </w:p>
        </w:tc>
        <w:tc>
          <w:tcPr>
            <w:tcW w:w="1782" w:type="dxa"/>
            <w:shd w:val="clear" w:color="auto" w:fill="auto"/>
            <w:vAlign w:val="center"/>
          </w:tcPr>
          <w:p w14:paraId="1527231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shd w:val="clear" w:color="auto" w:fill="auto"/>
            <w:vAlign w:val="center"/>
          </w:tcPr>
          <w:p w14:paraId="4E20912A">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0.029</w:t>
            </w:r>
          </w:p>
        </w:tc>
        <w:tc>
          <w:tcPr>
            <w:tcW w:w="1389" w:type="dxa"/>
            <w:shd w:val="clear" w:color="auto" w:fill="auto"/>
            <w:vAlign w:val="center"/>
          </w:tcPr>
          <w:p w14:paraId="60A153C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7867A54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7CEAF4ED">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p>
        </w:tc>
        <w:tc>
          <w:tcPr>
            <w:tcW w:w="2154" w:type="dxa"/>
            <w:gridSpan w:val="2"/>
            <w:shd w:val="clear" w:color="auto" w:fill="auto"/>
            <w:vAlign w:val="center"/>
          </w:tcPr>
          <w:p w14:paraId="280F5D92">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氨氮</w:t>
            </w:r>
          </w:p>
        </w:tc>
        <w:tc>
          <w:tcPr>
            <w:tcW w:w="1434" w:type="dxa"/>
            <w:shd w:val="clear" w:color="auto" w:fill="auto"/>
            <w:vAlign w:val="center"/>
          </w:tcPr>
          <w:p w14:paraId="04EDF31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76CB7AF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494E3CE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shd w:val="clear" w:color="auto" w:fill="auto"/>
            <w:vAlign w:val="center"/>
          </w:tcPr>
          <w:p w14:paraId="20F1E698">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0.007</w:t>
            </w:r>
          </w:p>
        </w:tc>
        <w:tc>
          <w:tcPr>
            <w:tcW w:w="1782" w:type="dxa"/>
            <w:shd w:val="clear" w:color="auto" w:fill="auto"/>
            <w:vAlign w:val="center"/>
          </w:tcPr>
          <w:p w14:paraId="36526E5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shd w:val="clear" w:color="auto" w:fill="auto"/>
            <w:vAlign w:val="center"/>
          </w:tcPr>
          <w:p w14:paraId="48D9DD3D">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0.007</w:t>
            </w:r>
          </w:p>
        </w:tc>
        <w:tc>
          <w:tcPr>
            <w:tcW w:w="1389" w:type="dxa"/>
            <w:shd w:val="clear" w:color="auto" w:fill="auto"/>
            <w:vAlign w:val="center"/>
          </w:tcPr>
          <w:p w14:paraId="5113758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05F5EA9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6BB772A3">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p>
        </w:tc>
        <w:tc>
          <w:tcPr>
            <w:tcW w:w="2154" w:type="dxa"/>
            <w:gridSpan w:val="2"/>
            <w:shd w:val="clear" w:color="auto" w:fill="auto"/>
            <w:vAlign w:val="center"/>
          </w:tcPr>
          <w:p w14:paraId="4118F4EF">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TP</w:t>
            </w:r>
          </w:p>
        </w:tc>
        <w:tc>
          <w:tcPr>
            <w:tcW w:w="1434" w:type="dxa"/>
            <w:shd w:val="clear" w:color="auto" w:fill="auto"/>
            <w:vAlign w:val="center"/>
          </w:tcPr>
          <w:p w14:paraId="0CE1D53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529E1AA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189A17B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shd w:val="clear" w:color="auto" w:fill="auto"/>
            <w:vAlign w:val="center"/>
          </w:tcPr>
          <w:p w14:paraId="57164283">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0.001</w:t>
            </w:r>
          </w:p>
        </w:tc>
        <w:tc>
          <w:tcPr>
            <w:tcW w:w="1782" w:type="dxa"/>
            <w:shd w:val="clear" w:color="auto" w:fill="auto"/>
            <w:vAlign w:val="center"/>
          </w:tcPr>
          <w:p w14:paraId="169E376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shd w:val="clear" w:color="auto" w:fill="auto"/>
            <w:vAlign w:val="center"/>
          </w:tcPr>
          <w:p w14:paraId="719502E9">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0.001</w:t>
            </w:r>
          </w:p>
        </w:tc>
        <w:tc>
          <w:tcPr>
            <w:tcW w:w="1389" w:type="dxa"/>
            <w:shd w:val="clear" w:color="auto" w:fill="auto"/>
            <w:vAlign w:val="center"/>
          </w:tcPr>
          <w:p w14:paraId="765009B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7B4C981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1254DFE6">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p>
        </w:tc>
        <w:tc>
          <w:tcPr>
            <w:tcW w:w="2154" w:type="dxa"/>
            <w:gridSpan w:val="2"/>
            <w:shd w:val="clear" w:color="auto" w:fill="auto"/>
            <w:vAlign w:val="center"/>
          </w:tcPr>
          <w:p w14:paraId="52637208">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rPr>
              <w:t>TN</w:t>
            </w:r>
          </w:p>
        </w:tc>
        <w:tc>
          <w:tcPr>
            <w:tcW w:w="1434" w:type="dxa"/>
            <w:shd w:val="clear" w:color="auto" w:fill="auto"/>
            <w:vAlign w:val="center"/>
          </w:tcPr>
          <w:p w14:paraId="1A6582D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6EC4662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6983D67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shd w:val="clear" w:color="auto" w:fill="auto"/>
            <w:vAlign w:val="center"/>
          </w:tcPr>
          <w:p w14:paraId="456E4AAB">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0.0096</w:t>
            </w:r>
          </w:p>
        </w:tc>
        <w:tc>
          <w:tcPr>
            <w:tcW w:w="1782" w:type="dxa"/>
            <w:shd w:val="clear" w:color="auto" w:fill="auto"/>
            <w:vAlign w:val="center"/>
          </w:tcPr>
          <w:p w14:paraId="0139215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shd w:val="clear" w:color="auto" w:fill="auto"/>
            <w:vAlign w:val="center"/>
          </w:tcPr>
          <w:p w14:paraId="7498E6CE">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0.0096</w:t>
            </w:r>
          </w:p>
        </w:tc>
        <w:tc>
          <w:tcPr>
            <w:tcW w:w="1389" w:type="dxa"/>
            <w:shd w:val="clear" w:color="auto" w:fill="auto"/>
            <w:vAlign w:val="center"/>
          </w:tcPr>
          <w:p w14:paraId="4774921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29325E6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6D802F0B">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p>
        </w:tc>
        <w:tc>
          <w:tcPr>
            <w:tcW w:w="2154" w:type="dxa"/>
            <w:gridSpan w:val="2"/>
            <w:shd w:val="clear" w:color="auto" w:fill="auto"/>
            <w:vAlign w:val="center"/>
          </w:tcPr>
          <w:p w14:paraId="684EAE9F">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21"/>
                <w:highlight w:val="none"/>
                <w:lang w:val="en-US" w:eastAsia="zh-CN"/>
              </w:rPr>
              <w:t>BOD</w:t>
            </w:r>
            <w:r>
              <w:rPr>
                <w:rFonts w:hint="default" w:ascii="Times New Roman" w:hAnsi="Times New Roman" w:cs="Times New Roman"/>
                <w:color w:val="auto"/>
                <w:sz w:val="21"/>
                <w:szCs w:val="21"/>
                <w:highlight w:val="none"/>
                <w:vertAlign w:val="subscript"/>
                <w:lang w:val="en-US" w:eastAsia="zh-CN"/>
              </w:rPr>
              <w:t>5</w:t>
            </w:r>
          </w:p>
        </w:tc>
        <w:tc>
          <w:tcPr>
            <w:tcW w:w="1434" w:type="dxa"/>
            <w:shd w:val="clear" w:color="auto" w:fill="auto"/>
            <w:vAlign w:val="center"/>
          </w:tcPr>
          <w:p w14:paraId="15D7C0F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1167DCA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6EBA50E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shd w:val="clear" w:color="auto" w:fill="auto"/>
            <w:vAlign w:val="center"/>
          </w:tcPr>
          <w:p w14:paraId="294C5CE6">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0.038</w:t>
            </w:r>
          </w:p>
        </w:tc>
        <w:tc>
          <w:tcPr>
            <w:tcW w:w="1782" w:type="dxa"/>
            <w:shd w:val="clear" w:color="auto" w:fill="auto"/>
            <w:vAlign w:val="center"/>
          </w:tcPr>
          <w:p w14:paraId="303E495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shd w:val="clear" w:color="auto" w:fill="auto"/>
            <w:vAlign w:val="center"/>
          </w:tcPr>
          <w:p w14:paraId="65A89572">
            <w:pPr>
              <w:pStyle w:val="13"/>
              <w:keepNext w:val="0"/>
              <w:keepLines w:val="0"/>
              <w:suppressLineNumbers w:val="0"/>
              <w:adjustRightInd w:val="0"/>
              <w:snapToGrid w:val="0"/>
              <w:spacing w:before="0" w:beforeAutospacing="0" w:after="0" w:afterAutospacing="0"/>
              <w:ind w:left="0" w:leftChars="0" w:right="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color w:val="auto"/>
                <w:sz w:val="21"/>
                <w:szCs w:val="16"/>
                <w:highlight w:val="none"/>
                <w:lang w:val="en-US" w:eastAsia="zh-CN"/>
              </w:rPr>
              <w:t>0.038</w:t>
            </w:r>
          </w:p>
        </w:tc>
        <w:tc>
          <w:tcPr>
            <w:tcW w:w="1389" w:type="dxa"/>
            <w:shd w:val="clear" w:color="auto" w:fill="auto"/>
            <w:vAlign w:val="center"/>
          </w:tcPr>
          <w:p w14:paraId="5AABB77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5DE1A3EC">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restart"/>
            <w:vAlign w:val="center"/>
          </w:tcPr>
          <w:p w14:paraId="09D3DB25">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t>一般工业</w:t>
            </w:r>
          </w:p>
          <w:p w14:paraId="7906555B">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t>固体废物</w:t>
            </w:r>
          </w:p>
        </w:tc>
        <w:tc>
          <w:tcPr>
            <w:tcW w:w="2154" w:type="dxa"/>
            <w:gridSpan w:val="2"/>
            <w:shd w:val="clear" w:color="auto" w:fill="auto"/>
            <w:vAlign w:val="center"/>
          </w:tcPr>
          <w:p w14:paraId="38FDACD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除尘灰</w:t>
            </w:r>
          </w:p>
        </w:tc>
        <w:tc>
          <w:tcPr>
            <w:tcW w:w="1434" w:type="dxa"/>
            <w:shd w:val="clear" w:color="auto" w:fill="auto"/>
            <w:vAlign w:val="center"/>
          </w:tcPr>
          <w:p w14:paraId="5437986B">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4FA18C0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1B09AC0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shd w:val="clear" w:color="auto" w:fill="auto"/>
            <w:vAlign w:val="center"/>
          </w:tcPr>
          <w:p w14:paraId="304AA0D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209.7</w:t>
            </w:r>
            <w:r>
              <w:rPr>
                <w:rFonts w:hint="eastAsia" w:cs="Times New Roman"/>
                <w:color w:val="000000" w:themeColor="text1"/>
                <w:kern w:val="2"/>
                <w:sz w:val="21"/>
                <w:szCs w:val="24"/>
                <w:highlight w:val="none"/>
                <w:lang w:val="en-US" w:eastAsia="zh-CN" w:bidi="ar-SA"/>
                <w14:textFill>
                  <w14:solidFill>
                    <w14:schemeClr w14:val="tx1"/>
                  </w14:solidFill>
                </w14:textFill>
              </w:rPr>
              <w:t>2</w:t>
            </w:r>
          </w:p>
        </w:tc>
        <w:tc>
          <w:tcPr>
            <w:tcW w:w="1782" w:type="dxa"/>
            <w:shd w:val="clear" w:color="auto" w:fill="auto"/>
            <w:vAlign w:val="center"/>
          </w:tcPr>
          <w:p w14:paraId="2A4024D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shd w:val="clear" w:color="auto" w:fill="auto"/>
            <w:vAlign w:val="center"/>
          </w:tcPr>
          <w:p w14:paraId="2B70B6C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209.7</w:t>
            </w:r>
            <w:r>
              <w:rPr>
                <w:rFonts w:hint="eastAsia" w:cs="Times New Roman"/>
                <w:color w:val="000000" w:themeColor="text1"/>
                <w:kern w:val="2"/>
                <w:sz w:val="21"/>
                <w:szCs w:val="24"/>
                <w:highlight w:val="none"/>
                <w:lang w:val="en-US" w:eastAsia="zh-CN" w:bidi="ar-SA"/>
                <w14:textFill>
                  <w14:solidFill>
                    <w14:schemeClr w14:val="tx1"/>
                  </w14:solidFill>
                </w14:textFill>
              </w:rPr>
              <w:t>2</w:t>
            </w:r>
          </w:p>
        </w:tc>
        <w:tc>
          <w:tcPr>
            <w:tcW w:w="1389" w:type="dxa"/>
            <w:shd w:val="clear" w:color="auto" w:fill="auto"/>
            <w:vAlign w:val="center"/>
          </w:tcPr>
          <w:p w14:paraId="1C50F4A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4487A8D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148039E7">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p>
        </w:tc>
        <w:tc>
          <w:tcPr>
            <w:tcW w:w="2154" w:type="dxa"/>
            <w:gridSpan w:val="2"/>
            <w:shd w:val="clear" w:color="auto" w:fill="auto"/>
            <w:vAlign w:val="center"/>
          </w:tcPr>
          <w:p w14:paraId="2A533D76">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highlight w:val="none"/>
                <w:lang w:val="en-US" w:eastAsia="zh-CN"/>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废焦油</w:t>
            </w:r>
          </w:p>
        </w:tc>
        <w:tc>
          <w:tcPr>
            <w:tcW w:w="1434" w:type="dxa"/>
            <w:shd w:val="clear" w:color="auto" w:fill="auto"/>
            <w:vAlign w:val="center"/>
          </w:tcPr>
          <w:p w14:paraId="7195DD8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71DCFF4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0664621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shd w:val="clear" w:color="auto" w:fill="auto"/>
            <w:vAlign w:val="center"/>
          </w:tcPr>
          <w:p w14:paraId="6E419825">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14.5</w:t>
            </w:r>
          </w:p>
        </w:tc>
        <w:tc>
          <w:tcPr>
            <w:tcW w:w="1782" w:type="dxa"/>
            <w:shd w:val="clear" w:color="auto" w:fill="auto"/>
            <w:vAlign w:val="center"/>
          </w:tcPr>
          <w:p w14:paraId="18056DE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shd w:val="clear" w:color="auto" w:fill="auto"/>
            <w:vAlign w:val="center"/>
          </w:tcPr>
          <w:p w14:paraId="3040F628">
            <w:pPr>
              <w:keepNext w:val="0"/>
              <w:keepLines w:val="0"/>
              <w:suppressLineNumbers w:val="0"/>
              <w:spacing w:before="0" w:beforeAutospacing="0" w:after="0" w:afterAutospacing="0"/>
              <w:ind w:left="0" w:right="0"/>
              <w:jc w:val="cente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pPr>
            <w:r>
              <w:rPr>
                <w:rFonts w:hint="default" w:ascii="Times New Roman" w:hAnsi="Times New Roman" w:cs="Times New Roman"/>
                <w:color w:val="000000" w:themeColor="text1"/>
                <w:kern w:val="2"/>
                <w:sz w:val="21"/>
                <w:szCs w:val="24"/>
                <w:highlight w:val="none"/>
                <w:lang w:val="en-US" w:eastAsia="zh-CN" w:bidi="ar-SA"/>
                <w14:textFill>
                  <w14:solidFill>
                    <w14:schemeClr w14:val="tx1"/>
                  </w14:solidFill>
                </w14:textFill>
              </w:rPr>
              <w:t>14.5</w:t>
            </w:r>
          </w:p>
        </w:tc>
        <w:tc>
          <w:tcPr>
            <w:tcW w:w="1389" w:type="dxa"/>
            <w:shd w:val="clear" w:color="auto" w:fill="auto"/>
            <w:vAlign w:val="center"/>
          </w:tcPr>
          <w:p w14:paraId="486D495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59560F4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restart"/>
            <w:vAlign w:val="center"/>
          </w:tcPr>
          <w:p w14:paraId="42632363">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r>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t>危险废物</w:t>
            </w:r>
          </w:p>
        </w:tc>
        <w:tc>
          <w:tcPr>
            <w:tcW w:w="2154" w:type="dxa"/>
            <w:gridSpan w:val="2"/>
            <w:shd w:val="clear" w:color="auto" w:fill="auto"/>
            <w:vAlign w:val="center"/>
          </w:tcPr>
          <w:p w14:paraId="6A2466C3">
            <w:pPr>
              <w:pStyle w:val="151"/>
              <w:keepNext w:val="0"/>
              <w:keepLines w:val="0"/>
              <w:suppressLineNumbers w:val="0"/>
              <w:bidi w:val="0"/>
              <w:spacing w:beforeAutospacing="0" w:afterAutospacing="0" w:line="240" w:lineRule="auto"/>
              <w:ind w:left="0" w:right="113" w:rightChars="0" w:firstLine="0" w:firstLineChars="0"/>
              <w:jc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cs="Times New Roman"/>
                <w:color w:val="000000"/>
                <w:sz w:val="21"/>
                <w:szCs w:val="21"/>
                <w:highlight w:val="none"/>
              </w:rPr>
              <w:t>废</w:t>
            </w:r>
            <w:r>
              <w:rPr>
                <w:rFonts w:hint="default" w:ascii="Times New Roman" w:hAnsi="Times New Roman" w:cs="Times New Roman"/>
                <w:color w:val="000000"/>
                <w:sz w:val="21"/>
                <w:szCs w:val="21"/>
                <w:highlight w:val="none"/>
                <w:lang w:eastAsia="zh-CN"/>
              </w:rPr>
              <w:t>机油</w:t>
            </w:r>
          </w:p>
        </w:tc>
        <w:tc>
          <w:tcPr>
            <w:tcW w:w="1434" w:type="dxa"/>
            <w:shd w:val="clear" w:color="auto" w:fill="auto"/>
            <w:vAlign w:val="center"/>
          </w:tcPr>
          <w:p w14:paraId="79B2084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139E27C1">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1A6B49AC">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shd w:val="clear" w:color="auto" w:fill="auto"/>
            <w:vAlign w:val="center"/>
          </w:tcPr>
          <w:p w14:paraId="12ECABB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highlight w:val="none"/>
                <w:lang w:val="en-US" w:eastAsia="zh-CN"/>
              </w:rPr>
              <w:t>0.01</w:t>
            </w:r>
          </w:p>
        </w:tc>
        <w:tc>
          <w:tcPr>
            <w:tcW w:w="1782" w:type="dxa"/>
            <w:shd w:val="clear" w:color="auto" w:fill="auto"/>
            <w:vAlign w:val="center"/>
          </w:tcPr>
          <w:p w14:paraId="13CFC8F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shd w:val="clear" w:color="auto" w:fill="auto"/>
            <w:vAlign w:val="center"/>
          </w:tcPr>
          <w:p w14:paraId="7A07DF4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highlight w:val="none"/>
                <w:lang w:val="en-US" w:eastAsia="zh-CN"/>
              </w:rPr>
              <w:t>0.01</w:t>
            </w:r>
          </w:p>
        </w:tc>
        <w:tc>
          <w:tcPr>
            <w:tcW w:w="1389" w:type="dxa"/>
            <w:shd w:val="clear" w:color="auto" w:fill="auto"/>
            <w:vAlign w:val="center"/>
          </w:tcPr>
          <w:p w14:paraId="7543CC1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0F2AA98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75909325">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p>
        </w:tc>
        <w:tc>
          <w:tcPr>
            <w:tcW w:w="2154" w:type="dxa"/>
            <w:gridSpan w:val="2"/>
            <w:shd w:val="clear" w:color="auto" w:fill="auto"/>
            <w:vAlign w:val="center"/>
          </w:tcPr>
          <w:p w14:paraId="4F8CBC05">
            <w:pPr>
              <w:pStyle w:val="151"/>
              <w:keepNext w:val="0"/>
              <w:keepLines w:val="0"/>
              <w:suppressLineNumbers w:val="0"/>
              <w:bidi w:val="0"/>
              <w:spacing w:beforeAutospacing="0" w:afterAutospacing="0" w:line="240" w:lineRule="auto"/>
              <w:ind w:left="0" w:right="113" w:rightChars="0" w:firstLine="0" w:firstLineChars="0"/>
              <w:jc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cs="Times New Roman"/>
                <w:color w:val="000000"/>
                <w:sz w:val="21"/>
                <w:szCs w:val="21"/>
                <w:highlight w:val="none"/>
                <w:lang w:eastAsia="zh-CN"/>
              </w:rPr>
              <w:t>废机油桶</w:t>
            </w:r>
          </w:p>
        </w:tc>
        <w:tc>
          <w:tcPr>
            <w:tcW w:w="1434" w:type="dxa"/>
            <w:shd w:val="clear" w:color="auto" w:fill="auto"/>
            <w:vAlign w:val="center"/>
          </w:tcPr>
          <w:p w14:paraId="20280569">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1E785AC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31074CE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shd w:val="clear" w:color="auto" w:fill="auto"/>
            <w:vAlign w:val="center"/>
          </w:tcPr>
          <w:p w14:paraId="6D5D40BA">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0.001</w:t>
            </w:r>
          </w:p>
        </w:tc>
        <w:tc>
          <w:tcPr>
            <w:tcW w:w="1782" w:type="dxa"/>
            <w:shd w:val="clear" w:color="auto" w:fill="auto"/>
            <w:vAlign w:val="center"/>
          </w:tcPr>
          <w:p w14:paraId="138C625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shd w:val="clear" w:color="auto" w:fill="auto"/>
            <w:vAlign w:val="center"/>
          </w:tcPr>
          <w:p w14:paraId="5D5BA92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0.001</w:t>
            </w:r>
          </w:p>
        </w:tc>
        <w:tc>
          <w:tcPr>
            <w:tcW w:w="1389" w:type="dxa"/>
            <w:shd w:val="clear" w:color="auto" w:fill="auto"/>
            <w:vAlign w:val="center"/>
          </w:tcPr>
          <w:p w14:paraId="28DDF59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5B09C1B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0AD6703E">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p>
        </w:tc>
        <w:tc>
          <w:tcPr>
            <w:tcW w:w="2154" w:type="dxa"/>
            <w:gridSpan w:val="2"/>
            <w:shd w:val="clear" w:color="auto" w:fill="auto"/>
            <w:vAlign w:val="center"/>
          </w:tcPr>
          <w:p w14:paraId="59305ED2">
            <w:pPr>
              <w:pStyle w:val="151"/>
              <w:keepNext w:val="0"/>
              <w:keepLines w:val="0"/>
              <w:suppressLineNumbers w:val="0"/>
              <w:bidi w:val="0"/>
              <w:spacing w:beforeAutospacing="0" w:afterAutospacing="0" w:line="240" w:lineRule="auto"/>
              <w:ind w:left="0" w:right="113" w:rightChars="0" w:firstLine="0" w:firstLineChars="0"/>
              <w:jc w:val="center"/>
              <w:rPr>
                <w:rFonts w:hint="default" w:ascii="Times New Roman" w:hAnsi="Times New Roman" w:eastAsia="宋体" w:cs="Times New Roman"/>
                <w:color w:val="000000"/>
                <w:kern w:val="0"/>
                <w:sz w:val="21"/>
                <w:szCs w:val="21"/>
                <w:highlight w:val="none"/>
                <w:lang w:val="en-US" w:eastAsia="zh-CN" w:bidi="ar-SA"/>
              </w:rPr>
            </w:pPr>
            <w:r>
              <w:rPr>
                <w:rFonts w:hint="default" w:ascii="Times New Roman" w:hAnsi="Times New Roman" w:cs="Times New Roman"/>
                <w:color w:val="000000"/>
                <w:sz w:val="21"/>
                <w:szCs w:val="21"/>
                <w:highlight w:val="none"/>
              </w:rPr>
              <w:t>废</w:t>
            </w:r>
            <w:r>
              <w:rPr>
                <w:rFonts w:hint="default" w:ascii="Times New Roman" w:hAnsi="Times New Roman" w:cs="Times New Roman"/>
                <w:color w:val="000000"/>
                <w:sz w:val="21"/>
                <w:szCs w:val="21"/>
                <w:highlight w:val="none"/>
                <w:lang w:eastAsia="zh-CN"/>
              </w:rPr>
              <w:t>抹布及手套</w:t>
            </w:r>
          </w:p>
        </w:tc>
        <w:tc>
          <w:tcPr>
            <w:tcW w:w="1434" w:type="dxa"/>
            <w:shd w:val="clear" w:color="auto" w:fill="auto"/>
            <w:vAlign w:val="center"/>
          </w:tcPr>
          <w:p w14:paraId="681F55B0">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336B3FD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7C91B73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shd w:val="clear" w:color="auto" w:fill="auto"/>
            <w:vAlign w:val="center"/>
          </w:tcPr>
          <w:p w14:paraId="7C6C84B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0.001</w:t>
            </w:r>
          </w:p>
        </w:tc>
        <w:tc>
          <w:tcPr>
            <w:tcW w:w="1782" w:type="dxa"/>
            <w:shd w:val="clear" w:color="auto" w:fill="auto"/>
            <w:vAlign w:val="center"/>
          </w:tcPr>
          <w:p w14:paraId="2D63156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shd w:val="clear" w:color="auto" w:fill="auto"/>
            <w:vAlign w:val="center"/>
          </w:tcPr>
          <w:p w14:paraId="689F1084">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0.001</w:t>
            </w:r>
          </w:p>
        </w:tc>
        <w:tc>
          <w:tcPr>
            <w:tcW w:w="1389" w:type="dxa"/>
            <w:shd w:val="clear" w:color="auto" w:fill="auto"/>
            <w:vAlign w:val="center"/>
          </w:tcPr>
          <w:p w14:paraId="733E48C6">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r w14:paraId="7F971C8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175" w:type="dxa"/>
            <w:vMerge w:val="continue"/>
            <w:vAlign w:val="center"/>
          </w:tcPr>
          <w:p w14:paraId="05F0F661">
            <w:pPr>
              <w:pStyle w:val="67"/>
              <w:keepNext w:val="0"/>
              <w:keepLines w:val="0"/>
              <w:suppressLineNumbers w:val="0"/>
              <w:spacing w:before="0" w:beforeLines="0" w:beforeAutospacing="0" w:after="0" w:afterLines="0" w:afterAutospacing="0" w:line="240" w:lineRule="auto"/>
              <w:ind w:left="0" w:right="0"/>
              <w:rPr>
                <w:rFonts w:hint="default" w:ascii="Times New Roman" w:hAnsi="Times New Roman" w:eastAsia="宋体" w:cs="Times New Roman"/>
                <w:snapToGrid w:val="0"/>
                <w:color w:val="000000" w:themeColor="text1"/>
                <w:kern w:val="21"/>
                <w:szCs w:val="21"/>
                <w:highlight w:val="none"/>
                <w14:textFill>
                  <w14:solidFill>
                    <w14:schemeClr w14:val="tx1"/>
                  </w14:solidFill>
                </w14:textFill>
              </w:rPr>
            </w:pPr>
          </w:p>
        </w:tc>
        <w:tc>
          <w:tcPr>
            <w:tcW w:w="2154" w:type="dxa"/>
            <w:gridSpan w:val="2"/>
            <w:shd w:val="clear" w:color="auto" w:fill="auto"/>
            <w:vAlign w:val="center"/>
          </w:tcPr>
          <w:p w14:paraId="2A7D0275">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废活性炭</w:t>
            </w:r>
          </w:p>
        </w:tc>
        <w:tc>
          <w:tcPr>
            <w:tcW w:w="1434" w:type="dxa"/>
            <w:shd w:val="clear" w:color="auto" w:fill="auto"/>
            <w:vAlign w:val="center"/>
          </w:tcPr>
          <w:p w14:paraId="7C73CCE8">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291" w:type="dxa"/>
            <w:shd w:val="clear" w:color="auto" w:fill="auto"/>
            <w:vAlign w:val="center"/>
          </w:tcPr>
          <w:p w14:paraId="56B60F27">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722" w:type="dxa"/>
            <w:shd w:val="clear" w:color="auto" w:fill="auto"/>
            <w:vAlign w:val="center"/>
          </w:tcPr>
          <w:p w14:paraId="3C70576D">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578" w:type="dxa"/>
            <w:shd w:val="clear" w:color="auto" w:fill="auto"/>
            <w:vAlign w:val="center"/>
          </w:tcPr>
          <w:p w14:paraId="44AFB40E">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40</w:t>
            </w:r>
          </w:p>
        </w:tc>
        <w:tc>
          <w:tcPr>
            <w:tcW w:w="1782" w:type="dxa"/>
            <w:shd w:val="clear" w:color="auto" w:fill="auto"/>
            <w:vAlign w:val="center"/>
          </w:tcPr>
          <w:p w14:paraId="07B53B93">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c>
          <w:tcPr>
            <w:tcW w:w="1428" w:type="dxa"/>
            <w:shd w:val="clear" w:color="auto" w:fill="auto"/>
            <w:vAlign w:val="center"/>
          </w:tcPr>
          <w:p w14:paraId="33625F62">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cs="Times New Roman"/>
                <w:color w:val="000000" w:themeColor="text1"/>
                <w:highlight w:val="none"/>
                <w:lang w:val="en-US" w:eastAsia="zh-CN"/>
                <w14:textFill>
                  <w14:solidFill>
                    <w14:schemeClr w14:val="tx1"/>
                  </w14:solidFill>
                </w14:textFill>
              </w:rPr>
              <w:t>40</w:t>
            </w:r>
          </w:p>
        </w:tc>
        <w:tc>
          <w:tcPr>
            <w:tcW w:w="1389" w:type="dxa"/>
            <w:shd w:val="clear" w:color="auto" w:fill="auto"/>
            <w:vAlign w:val="center"/>
          </w:tcPr>
          <w:p w14:paraId="02A485AF">
            <w:pPr>
              <w:keepNext w:val="0"/>
              <w:keepLines w:val="0"/>
              <w:suppressLineNumbers w:val="0"/>
              <w:spacing w:before="0" w:beforeAutospacing="0" w:after="0" w:afterAutospacing="0"/>
              <w:ind w:left="0" w:right="0"/>
              <w:jc w:val="cente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pPr>
            <w:r>
              <w:rPr>
                <w:rFonts w:hint="default" w:ascii="Times New Roman" w:hAnsi="Times New Roman" w:eastAsia="宋体" w:cs="Times New Roman"/>
                <w:color w:val="000000" w:themeColor="text1"/>
                <w:kern w:val="2"/>
                <w:sz w:val="21"/>
                <w:szCs w:val="21"/>
                <w:highlight w:val="none"/>
                <w:lang w:val="en-US" w:eastAsia="zh-CN" w:bidi="ar-SA"/>
                <w14:textFill>
                  <w14:solidFill>
                    <w14:schemeClr w14:val="tx1"/>
                  </w14:solidFill>
                </w14:textFill>
              </w:rPr>
              <w:t>/</w:t>
            </w:r>
          </w:p>
        </w:tc>
      </w:tr>
    </w:tbl>
    <w:p w14:paraId="5D20A889">
      <w:pPr>
        <w:pStyle w:val="67"/>
        <w:spacing w:before="192" w:beforeLines="80" w:after="24"/>
        <w:jc w:val="left"/>
        <w:rPr>
          <w:color w:val="000000" w:themeColor="text1"/>
          <w:sz w:val="24"/>
          <w:szCs w:val="24"/>
          <w:highlight w:val="none"/>
          <w14:textFill>
            <w14:solidFill>
              <w14:schemeClr w14:val="tx1"/>
            </w14:solidFill>
          </w14:textFill>
        </w:rPr>
      </w:pPr>
      <w:r>
        <w:rPr>
          <w:rFonts w:hint="eastAsia" w:ascii="Times New Roman"/>
          <w:snapToGrid w:val="0"/>
          <w:color w:val="000000" w:themeColor="text1"/>
          <w:kern w:val="21"/>
          <w:highlight w:val="none"/>
          <w14:textFill>
            <w14:solidFill>
              <w14:schemeClr w14:val="tx1"/>
            </w14:solidFill>
          </w14:textFill>
        </w:rPr>
        <w:t>注：</w:t>
      </w:r>
      <w:r>
        <w:rPr>
          <w:rFonts w:ascii="Times New Roman"/>
          <w:snapToGrid w:val="0"/>
          <w:color w:val="000000" w:themeColor="text1"/>
          <w:spacing w:val="-16"/>
          <w:kern w:val="21"/>
          <w:highlight w:val="none"/>
          <w14:textFill>
            <w14:solidFill>
              <w14:schemeClr w14:val="tx1"/>
            </w14:solidFill>
          </w14:textFill>
        </w:rPr>
        <w:fldChar w:fldCharType="begin"/>
      </w:r>
      <w:r>
        <w:rPr>
          <w:rFonts w:ascii="Times New Roman"/>
          <w:snapToGrid w:val="0"/>
          <w:color w:val="000000" w:themeColor="text1"/>
          <w:spacing w:val="-16"/>
          <w:kern w:val="21"/>
          <w:highlight w:val="none"/>
          <w14:textFill>
            <w14:solidFill>
              <w14:schemeClr w14:val="tx1"/>
            </w14:solidFill>
          </w14:textFill>
        </w:rPr>
        <w:instrText xml:space="preserve"> = 6 \* GB3 \* MERGEFORMAT </w:instrText>
      </w:r>
      <w:r>
        <w:rPr>
          <w:rFonts w:ascii="Times New Roman"/>
          <w:snapToGrid w:val="0"/>
          <w:color w:val="000000" w:themeColor="text1"/>
          <w:spacing w:val="-16"/>
          <w:kern w:val="21"/>
          <w:highlight w:val="none"/>
          <w14:textFill>
            <w14:solidFill>
              <w14:schemeClr w14:val="tx1"/>
            </w14:solidFill>
          </w14:textFill>
        </w:rPr>
        <w:fldChar w:fldCharType="separate"/>
      </w:r>
      <w:r>
        <w:rPr>
          <w:rFonts w:hint="eastAsia" w:ascii="Times New Roman"/>
          <w:color w:val="000000" w:themeColor="text1"/>
          <w:highlight w:val="none"/>
          <w14:textFill>
            <w14:solidFill>
              <w14:schemeClr w14:val="tx1"/>
            </w14:solidFill>
          </w14:textFill>
        </w:rPr>
        <w:t>⑥</w:t>
      </w:r>
      <w:r>
        <w:rPr>
          <w:rFonts w:ascii="Times New Roman"/>
          <w:snapToGrid w:val="0"/>
          <w:color w:val="000000" w:themeColor="text1"/>
          <w:spacing w:val="-16"/>
          <w:kern w:val="21"/>
          <w:highlight w:val="none"/>
          <w14:textFill>
            <w14:solidFill>
              <w14:schemeClr w14:val="tx1"/>
            </w14:solidFill>
          </w14:textFill>
        </w:rPr>
        <w:fldChar w:fldCharType="end"/>
      </w:r>
      <w:r>
        <w:rPr>
          <w:rFonts w:ascii="Times New Roman"/>
          <w:snapToGrid w:val="0"/>
          <w:color w:val="000000" w:themeColor="text1"/>
          <w:spacing w:val="-16"/>
          <w:kern w:val="21"/>
          <w:highlight w:val="none"/>
          <w14:textFill>
            <w14:solidFill>
              <w14:schemeClr w14:val="tx1"/>
            </w14:solidFill>
          </w14:textFill>
        </w:rPr>
        <w:t>=</w:t>
      </w:r>
      <w:r>
        <w:rPr>
          <w:rFonts w:ascii="Times New Roman"/>
          <w:snapToGrid w:val="0"/>
          <w:color w:val="000000" w:themeColor="text1"/>
          <w:spacing w:val="-6"/>
          <w:kern w:val="21"/>
          <w:highlight w:val="none"/>
          <w14:textFill>
            <w14:solidFill>
              <w14:schemeClr w14:val="tx1"/>
            </w14:solidFill>
          </w14:textFill>
        </w:rPr>
        <w:fldChar w:fldCharType="begin"/>
      </w:r>
      <w:r>
        <w:rPr>
          <w:rFonts w:ascii="Times New Roman"/>
          <w:snapToGrid w:val="0"/>
          <w:color w:val="000000" w:themeColor="text1"/>
          <w:spacing w:val="-6"/>
          <w:kern w:val="21"/>
          <w:highlight w:val="none"/>
          <w14:textFill>
            <w14:solidFill>
              <w14:schemeClr w14:val="tx1"/>
            </w14:solidFill>
          </w14:textFill>
        </w:rPr>
        <w:instrText xml:space="preserve"> = 1 \* GB3 \* MERGEFORMAT </w:instrText>
      </w:r>
      <w:r>
        <w:rPr>
          <w:rFonts w:ascii="Times New Roman"/>
          <w:snapToGrid w:val="0"/>
          <w:color w:val="000000" w:themeColor="text1"/>
          <w:spacing w:val="-6"/>
          <w:kern w:val="21"/>
          <w:highlight w:val="none"/>
          <w14:textFill>
            <w14:solidFill>
              <w14:schemeClr w14:val="tx1"/>
            </w14:solidFill>
          </w14:textFill>
        </w:rPr>
        <w:fldChar w:fldCharType="separate"/>
      </w:r>
      <w:r>
        <w:rPr>
          <w:rFonts w:hint="eastAsia" w:ascii="Times New Roman"/>
          <w:color w:val="000000" w:themeColor="text1"/>
          <w:highlight w:val="none"/>
          <w14:textFill>
            <w14:solidFill>
              <w14:schemeClr w14:val="tx1"/>
            </w14:solidFill>
          </w14:textFill>
        </w:rPr>
        <w:t>①</w:t>
      </w:r>
      <w:r>
        <w:rPr>
          <w:rFonts w:ascii="Times New Roman"/>
          <w:snapToGrid w:val="0"/>
          <w:color w:val="000000" w:themeColor="text1"/>
          <w:spacing w:val="-6"/>
          <w:kern w:val="21"/>
          <w:highlight w:val="none"/>
          <w14:textFill>
            <w14:solidFill>
              <w14:schemeClr w14:val="tx1"/>
            </w14:solidFill>
          </w14:textFill>
        </w:rPr>
        <w:fldChar w:fldCharType="end"/>
      </w:r>
      <w:r>
        <w:rPr>
          <w:rFonts w:ascii="Times New Roman"/>
          <w:snapToGrid w:val="0"/>
          <w:color w:val="000000" w:themeColor="text1"/>
          <w:spacing w:val="-6"/>
          <w:kern w:val="21"/>
          <w:highlight w:val="none"/>
          <w14:textFill>
            <w14:solidFill>
              <w14:schemeClr w14:val="tx1"/>
            </w14:solidFill>
          </w14:textFill>
        </w:rPr>
        <w:t>+</w:t>
      </w:r>
      <w:r>
        <w:rPr>
          <w:rFonts w:ascii="Times New Roman"/>
          <w:snapToGrid w:val="0"/>
          <w:color w:val="000000" w:themeColor="text1"/>
          <w:spacing w:val="-6"/>
          <w:kern w:val="21"/>
          <w:highlight w:val="none"/>
          <w14:textFill>
            <w14:solidFill>
              <w14:schemeClr w14:val="tx1"/>
            </w14:solidFill>
          </w14:textFill>
        </w:rPr>
        <w:fldChar w:fldCharType="begin"/>
      </w:r>
      <w:r>
        <w:rPr>
          <w:rFonts w:ascii="Times New Roman"/>
          <w:snapToGrid w:val="0"/>
          <w:color w:val="000000" w:themeColor="text1"/>
          <w:spacing w:val="-6"/>
          <w:kern w:val="21"/>
          <w:highlight w:val="none"/>
          <w14:textFill>
            <w14:solidFill>
              <w14:schemeClr w14:val="tx1"/>
            </w14:solidFill>
          </w14:textFill>
        </w:rPr>
        <w:instrText xml:space="preserve"> = 3 \* GB3 \* MERGEFORMAT </w:instrText>
      </w:r>
      <w:r>
        <w:rPr>
          <w:rFonts w:ascii="Times New Roman"/>
          <w:snapToGrid w:val="0"/>
          <w:color w:val="000000" w:themeColor="text1"/>
          <w:spacing w:val="-6"/>
          <w:kern w:val="21"/>
          <w:highlight w:val="none"/>
          <w14:textFill>
            <w14:solidFill>
              <w14:schemeClr w14:val="tx1"/>
            </w14:solidFill>
          </w14:textFill>
        </w:rPr>
        <w:fldChar w:fldCharType="separate"/>
      </w:r>
      <w:r>
        <w:rPr>
          <w:rFonts w:hint="eastAsia" w:ascii="Times New Roman"/>
          <w:color w:val="000000" w:themeColor="text1"/>
          <w:highlight w:val="none"/>
          <w14:textFill>
            <w14:solidFill>
              <w14:schemeClr w14:val="tx1"/>
            </w14:solidFill>
          </w14:textFill>
        </w:rPr>
        <w:t>③</w:t>
      </w:r>
      <w:r>
        <w:rPr>
          <w:rFonts w:ascii="Times New Roman"/>
          <w:snapToGrid w:val="0"/>
          <w:color w:val="000000" w:themeColor="text1"/>
          <w:spacing w:val="-6"/>
          <w:kern w:val="21"/>
          <w:highlight w:val="none"/>
          <w14:textFill>
            <w14:solidFill>
              <w14:schemeClr w14:val="tx1"/>
            </w14:solidFill>
          </w14:textFill>
        </w:rPr>
        <w:fldChar w:fldCharType="end"/>
      </w:r>
      <w:r>
        <w:rPr>
          <w:rFonts w:ascii="Times New Roman"/>
          <w:snapToGrid w:val="0"/>
          <w:color w:val="000000" w:themeColor="text1"/>
          <w:spacing w:val="-6"/>
          <w:kern w:val="21"/>
          <w:highlight w:val="none"/>
          <w14:textFill>
            <w14:solidFill>
              <w14:schemeClr w14:val="tx1"/>
            </w14:solidFill>
          </w14:textFill>
        </w:rPr>
        <w:t>+</w:t>
      </w:r>
      <w:r>
        <w:rPr>
          <w:rFonts w:ascii="Times New Roman"/>
          <w:snapToGrid w:val="0"/>
          <w:color w:val="000000" w:themeColor="text1"/>
          <w:spacing w:val="-6"/>
          <w:kern w:val="21"/>
          <w:highlight w:val="none"/>
          <w14:textFill>
            <w14:solidFill>
              <w14:schemeClr w14:val="tx1"/>
            </w14:solidFill>
          </w14:textFill>
        </w:rPr>
        <w:fldChar w:fldCharType="begin"/>
      </w:r>
      <w:r>
        <w:rPr>
          <w:rFonts w:ascii="Times New Roman"/>
          <w:snapToGrid w:val="0"/>
          <w:color w:val="000000" w:themeColor="text1"/>
          <w:spacing w:val="-6"/>
          <w:kern w:val="21"/>
          <w:highlight w:val="none"/>
          <w14:textFill>
            <w14:solidFill>
              <w14:schemeClr w14:val="tx1"/>
            </w14:solidFill>
          </w14:textFill>
        </w:rPr>
        <w:instrText xml:space="preserve"> = 4 \* GB3 \* MERGEFORMAT </w:instrText>
      </w:r>
      <w:r>
        <w:rPr>
          <w:rFonts w:ascii="Times New Roman"/>
          <w:snapToGrid w:val="0"/>
          <w:color w:val="000000" w:themeColor="text1"/>
          <w:spacing w:val="-6"/>
          <w:kern w:val="21"/>
          <w:highlight w:val="none"/>
          <w14:textFill>
            <w14:solidFill>
              <w14:schemeClr w14:val="tx1"/>
            </w14:solidFill>
          </w14:textFill>
        </w:rPr>
        <w:fldChar w:fldCharType="separate"/>
      </w:r>
      <w:r>
        <w:rPr>
          <w:rFonts w:hint="eastAsia" w:ascii="Times New Roman"/>
          <w:color w:val="000000" w:themeColor="text1"/>
          <w:highlight w:val="none"/>
          <w14:textFill>
            <w14:solidFill>
              <w14:schemeClr w14:val="tx1"/>
            </w14:solidFill>
          </w14:textFill>
        </w:rPr>
        <w:t>④</w:t>
      </w:r>
      <w:r>
        <w:rPr>
          <w:rFonts w:ascii="Times New Roman"/>
          <w:snapToGrid w:val="0"/>
          <w:color w:val="000000" w:themeColor="text1"/>
          <w:spacing w:val="-6"/>
          <w:kern w:val="21"/>
          <w:highlight w:val="none"/>
          <w14:textFill>
            <w14:solidFill>
              <w14:schemeClr w14:val="tx1"/>
            </w14:solidFill>
          </w14:textFill>
        </w:rPr>
        <w:fldChar w:fldCharType="end"/>
      </w:r>
      <w:r>
        <w:rPr>
          <w:rFonts w:ascii="Times New Roman"/>
          <w:snapToGrid w:val="0"/>
          <w:color w:val="000000" w:themeColor="text1"/>
          <w:spacing w:val="-6"/>
          <w:kern w:val="21"/>
          <w:highlight w:val="none"/>
          <w14:textFill>
            <w14:solidFill>
              <w14:schemeClr w14:val="tx1"/>
            </w14:solidFill>
          </w14:textFill>
        </w:rPr>
        <w:t>-</w:t>
      </w:r>
      <w:r>
        <w:rPr>
          <w:rFonts w:ascii="Times New Roman"/>
          <w:snapToGrid w:val="0"/>
          <w:color w:val="000000" w:themeColor="text1"/>
          <w:spacing w:val="-16"/>
          <w:kern w:val="21"/>
          <w:highlight w:val="none"/>
          <w14:textFill>
            <w14:solidFill>
              <w14:schemeClr w14:val="tx1"/>
            </w14:solidFill>
          </w14:textFill>
        </w:rPr>
        <w:fldChar w:fldCharType="begin"/>
      </w:r>
      <w:r>
        <w:rPr>
          <w:rFonts w:ascii="Times New Roman"/>
          <w:snapToGrid w:val="0"/>
          <w:color w:val="000000" w:themeColor="text1"/>
          <w:spacing w:val="-16"/>
          <w:kern w:val="21"/>
          <w:highlight w:val="none"/>
          <w14:textFill>
            <w14:solidFill>
              <w14:schemeClr w14:val="tx1"/>
            </w14:solidFill>
          </w14:textFill>
        </w:rPr>
        <w:instrText xml:space="preserve"> = 5 \* GB3 \* MERGEFORMAT </w:instrText>
      </w:r>
      <w:r>
        <w:rPr>
          <w:rFonts w:ascii="Times New Roman"/>
          <w:snapToGrid w:val="0"/>
          <w:color w:val="000000" w:themeColor="text1"/>
          <w:spacing w:val="-16"/>
          <w:kern w:val="21"/>
          <w:highlight w:val="none"/>
          <w14:textFill>
            <w14:solidFill>
              <w14:schemeClr w14:val="tx1"/>
            </w14:solidFill>
          </w14:textFill>
        </w:rPr>
        <w:fldChar w:fldCharType="separate"/>
      </w:r>
      <w:r>
        <w:rPr>
          <w:rFonts w:hint="eastAsia" w:ascii="Times New Roman"/>
          <w:color w:val="000000" w:themeColor="text1"/>
          <w:highlight w:val="none"/>
          <w14:textFill>
            <w14:solidFill>
              <w14:schemeClr w14:val="tx1"/>
            </w14:solidFill>
          </w14:textFill>
        </w:rPr>
        <w:t>⑤</w:t>
      </w:r>
      <w:r>
        <w:rPr>
          <w:rFonts w:ascii="Times New Roman"/>
          <w:snapToGrid w:val="0"/>
          <w:color w:val="000000" w:themeColor="text1"/>
          <w:spacing w:val="-16"/>
          <w:kern w:val="21"/>
          <w:highlight w:val="none"/>
          <w14:textFill>
            <w14:solidFill>
              <w14:schemeClr w14:val="tx1"/>
            </w14:solidFill>
          </w14:textFill>
        </w:rPr>
        <w:fldChar w:fldCharType="end"/>
      </w:r>
      <w:r>
        <w:rPr>
          <w:rFonts w:hint="eastAsia" w:ascii="Times New Roman"/>
          <w:snapToGrid w:val="0"/>
          <w:color w:val="000000" w:themeColor="text1"/>
          <w:spacing w:val="-16"/>
          <w:kern w:val="21"/>
          <w:highlight w:val="none"/>
          <w14:textFill>
            <w14:solidFill>
              <w14:schemeClr w14:val="tx1"/>
            </w14:solidFill>
          </w14:textFill>
        </w:rPr>
        <w:t>；</w:t>
      </w:r>
      <w:r>
        <w:rPr>
          <w:rFonts w:ascii="Times New Roman"/>
          <w:snapToGrid w:val="0"/>
          <w:color w:val="000000" w:themeColor="text1"/>
          <w:spacing w:val="-6"/>
          <w:kern w:val="21"/>
          <w:highlight w:val="none"/>
          <w14:textFill>
            <w14:solidFill>
              <w14:schemeClr w14:val="tx1"/>
            </w14:solidFill>
          </w14:textFill>
        </w:rPr>
        <w:fldChar w:fldCharType="begin"/>
      </w:r>
      <w:r>
        <w:rPr>
          <w:rFonts w:ascii="Times New Roman"/>
          <w:snapToGrid w:val="0"/>
          <w:color w:val="000000" w:themeColor="text1"/>
          <w:spacing w:val="-6"/>
          <w:kern w:val="21"/>
          <w:highlight w:val="none"/>
          <w14:textFill>
            <w14:solidFill>
              <w14:schemeClr w14:val="tx1"/>
            </w14:solidFill>
          </w14:textFill>
        </w:rPr>
        <w:instrText xml:space="preserve"> = 7 \* GB3 \* MERGEFORMAT </w:instrText>
      </w:r>
      <w:r>
        <w:rPr>
          <w:rFonts w:ascii="Times New Roman"/>
          <w:snapToGrid w:val="0"/>
          <w:color w:val="000000" w:themeColor="text1"/>
          <w:spacing w:val="-6"/>
          <w:kern w:val="21"/>
          <w:highlight w:val="none"/>
          <w14:textFill>
            <w14:solidFill>
              <w14:schemeClr w14:val="tx1"/>
            </w14:solidFill>
          </w14:textFill>
        </w:rPr>
        <w:fldChar w:fldCharType="separate"/>
      </w:r>
      <w:r>
        <w:rPr>
          <w:rFonts w:hint="eastAsia" w:ascii="Times New Roman"/>
          <w:color w:val="000000" w:themeColor="text1"/>
          <w:highlight w:val="none"/>
          <w14:textFill>
            <w14:solidFill>
              <w14:schemeClr w14:val="tx1"/>
            </w14:solidFill>
          </w14:textFill>
        </w:rPr>
        <w:t>⑦</w:t>
      </w:r>
      <w:r>
        <w:rPr>
          <w:rFonts w:ascii="Times New Roman"/>
          <w:snapToGrid w:val="0"/>
          <w:color w:val="000000" w:themeColor="text1"/>
          <w:spacing w:val="-6"/>
          <w:kern w:val="21"/>
          <w:highlight w:val="none"/>
          <w14:textFill>
            <w14:solidFill>
              <w14:schemeClr w14:val="tx1"/>
            </w14:solidFill>
          </w14:textFill>
        </w:rPr>
        <w:fldChar w:fldCharType="end"/>
      </w:r>
      <w:r>
        <w:rPr>
          <w:rFonts w:ascii="Times New Roman"/>
          <w:snapToGrid w:val="0"/>
          <w:color w:val="000000" w:themeColor="text1"/>
          <w:spacing w:val="-6"/>
          <w:kern w:val="21"/>
          <w:highlight w:val="none"/>
          <w14:textFill>
            <w14:solidFill>
              <w14:schemeClr w14:val="tx1"/>
            </w14:solidFill>
          </w14:textFill>
        </w:rPr>
        <w:t>=</w:t>
      </w:r>
      <w:r>
        <w:rPr>
          <w:rFonts w:ascii="Times New Roman"/>
          <w:snapToGrid w:val="0"/>
          <w:color w:val="000000" w:themeColor="text1"/>
          <w:spacing w:val="-16"/>
          <w:kern w:val="21"/>
          <w:highlight w:val="none"/>
          <w14:textFill>
            <w14:solidFill>
              <w14:schemeClr w14:val="tx1"/>
            </w14:solidFill>
          </w14:textFill>
        </w:rPr>
        <w:fldChar w:fldCharType="begin"/>
      </w:r>
      <w:r>
        <w:rPr>
          <w:rFonts w:ascii="Times New Roman"/>
          <w:snapToGrid w:val="0"/>
          <w:color w:val="000000" w:themeColor="text1"/>
          <w:spacing w:val="-16"/>
          <w:kern w:val="21"/>
          <w:highlight w:val="none"/>
          <w14:textFill>
            <w14:solidFill>
              <w14:schemeClr w14:val="tx1"/>
            </w14:solidFill>
          </w14:textFill>
        </w:rPr>
        <w:instrText xml:space="preserve"> = 6 \* GB3 \* MERGEFORMAT </w:instrText>
      </w:r>
      <w:r>
        <w:rPr>
          <w:rFonts w:ascii="Times New Roman"/>
          <w:snapToGrid w:val="0"/>
          <w:color w:val="000000" w:themeColor="text1"/>
          <w:spacing w:val="-16"/>
          <w:kern w:val="21"/>
          <w:highlight w:val="none"/>
          <w14:textFill>
            <w14:solidFill>
              <w14:schemeClr w14:val="tx1"/>
            </w14:solidFill>
          </w14:textFill>
        </w:rPr>
        <w:fldChar w:fldCharType="separate"/>
      </w:r>
      <w:r>
        <w:rPr>
          <w:rFonts w:hint="eastAsia" w:ascii="Times New Roman"/>
          <w:color w:val="000000" w:themeColor="text1"/>
          <w:highlight w:val="none"/>
          <w14:textFill>
            <w14:solidFill>
              <w14:schemeClr w14:val="tx1"/>
            </w14:solidFill>
          </w14:textFill>
        </w:rPr>
        <w:t>⑥</w:t>
      </w:r>
      <w:r>
        <w:rPr>
          <w:rFonts w:ascii="Times New Roman"/>
          <w:snapToGrid w:val="0"/>
          <w:color w:val="000000" w:themeColor="text1"/>
          <w:spacing w:val="-16"/>
          <w:kern w:val="21"/>
          <w:highlight w:val="none"/>
          <w14:textFill>
            <w14:solidFill>
              <w14:schemeClr w14:val="tx1"/>
            </w14:solidFill>
          </w14:textFill>
        </w:rPr>
        <w:fldChar w:fldCharType="end"/>
      </w:r>
      <w:r>
        <w:rPr>
          <w:rFonts w:ascii="Times New Roman"/>
          <w:snapToGrid w:val="0"/>
          <w:color w:val="000000" w:themeColor="text1"/>
          <w:spacing w:val="-16"/>
          <w:kern w:val="21"/>
          <w:highlight w:val="none"/>
          <w14:textFill>
            <w14:solidFill>
              <w14:schemeClr w14:val="tx1"/>
            </w14:solidFill>
          </w14:textFill>
        </w:rPr>
        <w:t>-</w:t>
      </w:r>
      <w:r>
        <w:rPr>
          <w:rFonts w:ascii="Times New Roman"/>
          <w:snapToGrid w:val="0"/>
          <w:color w:val="000000" w:themeColor="text1"/>
          <w:spacing w:val="-6"/>
          <w:kern w:val="21"/>
          <w:highlight w:val="none"/>
          <w14:textFill>
            <w14:solidFill>
              <w14:schemeClr w14:val="tx1"/>
            </w14:solidFill>
          </w14:textFill>
        </w:rPr>
        <w:fldChar w:fldCharType="begin"/>
      </w:r>
      <w:r>
        <w:rPr>
          <w:rFonts w:ascii="Times New Roman"/>
          <w:snapToGrid w:val="0"/>
          <w:color w:val="000000" w:themeColor="text1"/>
          <w:spacing w:val="-6"/>
          <w:kern w:val="21"/>
          <w:highlight w:val="none"/>
          <w14:textFill>
            <w14:solidFill>
              <w14:schemeClr w14:val="tx1"/>
            </w14:solidFill>
          </w14:textFill>
        </w:rPr>
        <w:instrText xml:space="preserve"> = 1 \* GB3 \* MERGEFORMAT </w:instrText>
      </w:r>
      <w:r>
        <w:rPr>
          <w:rFonts w:ascii="Times New Roman"/>
          <w:snapToGrid w:val="0"/>
          <w:color w:val="000000" w:themeColor="text1"/>
          <w:spacing w:val="-6"/>
          <w:kern w:val="21"/>
          <w:highlight w:val="none"/>
          <w14:textFill>
            <w14:solidFill>
              <w14:schemeClr w14:val="tx1"/>
            </w14:solidFill>
          </w14:textFill>
        </w:rPr>
        <w:fldChar w:fldCharType="separate"/>
      </w:r>
      <w:r>
        <w:rPr>
          <w:rFonts w:hint="eastAsia" w:ascii="Times New Roman"/>
          <w:color w:val="000000" w:themeColor="text1"/>
          <w:highlight w:val="none"/>
          <w14:textFill>
            <w14:solidFill>
              <w14:schemeClr w14:val="tx1"/>
            </w14:solidFill>
          </w14:textFill>
        </w:rPr>
        <w:t>①</w:t>
      </w:r>
      <w:r>
        <w:rPr>
          <w:rFonts w:ascii="Times New Roman"/>
          <w:snapToGrid w:val="0"/>
          <w:color w:val="000000" w:themeColor="text1"/>
          <w:spacing w:val="-6"/>
          <w:kern w:val="21"/>
          <w:highlight w:val="none"/>
          <w14:textFill>
            <w14:solidFill>
              <w14:schemeClr w14:val="tx1"/>
            </w14:solidFill>
          </w14:textFill>
        </w:rPr>
        <w:fldChar w:fldCharType="end"/>
      </w:r>
    </w:p>
    <w:sectPr>
      <w:footerReference r:id="rId6" w:type="default"/>
      <w:pgSz w:w="16838" w:h="11906" w:orient="landscape"/>
      <w:pgMar w:top="1134" w:right="1701" w:bottom="1134" w:left="1701" w:header="851" w:footer="851"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1" w:fontKey="{99FA7D99-30B6-46E2-AB95-69598A089EBC}"/>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03" w:usb1="288F0000" w:usb2="00000006" w:usb3="00000000" w:csb0="00040001" w:csb1="00000000"/>
  </w:font>
  <w:font w:name="TimesNewRomanPSMT">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 w:name="Time new roman">
    <w:altName w:val="Times New Roman"/>
    <w:panose1 w:val="00000000000000000000"/>
    <w:charset w:val="00"/>
    <w:family w:val="auto"/>
    <w:pitch w:val="default"/>
    <w:sig w:usb0="00000000" w:usb1="00000000" w:usb2="00000000" w:usb3="00000000" w:csb0="00040001" w:csb1="00000000"/>
    <w:embedRegular r:id="rId2" w:fontKey="{939C187F-9603-4509-BDEC-03D3FF9CF7AC}"/>
  </w:font>
  <w:font w:name="Cambria Math">
    <w:panose1 w:val="02040503050406030204"/>
    <w:charset w:val="00"/>
    <w:family w:val="auto"/>
    <w:pitch w:val="default"/>
    <w:sig w:usb0="E00006FF" w:usb1="420024FF" w:usb2="02000000" w:usb3="00000000" w:csb0="2000019F" w:csb1="00000000"/>
    <w:embedRegular r:id="rId3" w:fontKey="{7321B3AE-38F6-479B-9511-807981C0517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487AB1">
    <w:pPr>
      <w:pStyle w:val="2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32E0758">
                          <w:pPr>
                            <w:pStyle w:val="2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32E0758">
                    <w:pPr>
                      <w:pStyle w:val="2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EF8F9A">
    <w:pPr>
      <w:pStyle w:val="22"/>
      <w:ind w:right="360" w:firstLine="360"/>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9474BAA">
                          <w:pPr>
                            <w:pStyle w:val="22"/>
                          </w:pPr>
                          <w:r>
                            <w:t xml:space="preserve">— </w:t>
                          </w:r>
                          <w:r>
                            <w:fldChar w:fldCharType="begin"/>
                          </w:r>
                          <w:r>
                            <w:instrText xml:space="preserve"> PAGE  \* MERGEFORMAT </w:instrText>
                          </w:r>
                          <w:r>
                            <w:fldChar w:fldCharType="separate"/>
                          </w:r>
                          <w:r>
                            <w:t>8</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59474BAA">
                    <w:pPr>
                      <w:pStyle w:val="22"/>
                    </w:pPr>
                    <w:r>
                      <w:t xml:space="preserve">— </w:t>
                    </w:r>
                    <w:r>
                      <w:fldChar w:fldCharType="begin"/>
                    </w:r>
                    <w:r>
                      <w:instrText xml:space="preserve"> PAGE  \* MERGEFORMAT </w:instrText>
                    </w:r>
                    <w:r>
                      <w:fldChar w:fldCharType="separate"/>
                    </w:r>
                    <w:r>
                      <w:t>8</w:t>
                    </w:r>
                    <w:r>
                      <w:fldChar w:fldCharType="end"/>
                    </w:r>
                    <w:r>
                      <w:t xml:space="preserve"> —</w:t>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4EBD7A5">
    <w:pPr>
      <w:pStyle w:val="22"/>
      <w:ind w:right="360" w:firstLine="360"/>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EE0FFFA">
                          <w:pPr>
                            <w:pStyle w:val="22"/>
                          </w:pPr>
                          <w:r>
                            <w:t xml:space="preserve">— </w:t>
                          </w:r>
                          <w:r>
                            <w:fldChar w:fldCharType="begin"/>
                          </w:r>
                          <w:r>
                            <w:instrText xml:space="preserve"> PAGE  \* MERGEFORMAT </w:instrText>
                          </w:r>
                          <w:r>
                            <w:fldChar w:fldCharType="separate"/>
                          </w:r>
                          <w:r>
                            <w:t>43</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OrREyAgAAY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f46tETICAABhBAAADgAAAAAAAAABACAAAAAfAQAAZHJzL2Uyb0RvYy54bWxQSwUG&#10;AAAAAAYABgBZAQAAwwUAAAAA&#10;">
              <v:fill on="f" focussize="0,0"/>
              <v:stroke on="f" weight="0.5pt"/>
              <v:imagedata o:title=""/>
              <o:lock v:ext="edit" aspectratio="f"/>
              <v:textbox inset="0mm,0mm,0mm,0mm" style="mso-fit-shape-to-text:t;">
                <w:txbxContent>
                  <w:p w14:paraId="4EE0FFFA">
                    <w:pPr>
                      <w:pStyle w:val="22"/>
                    </w:pPr>
                    <w:r>
                      <w:t xml:space="preserve">— </w:t>
                    </w:r>
                    <w:r>
                      <w:fldChar w:fldCharType="begin"/>
                    </w:r>
                    <w:r>
                      <w:instrText xml:space="preserve"> PAGE  \* MERGEFORMAT </w:instrText>
                    </w:r>
                    <w:r>
                      <w:fldChar w:fldCharType="separate"/>
                    </w:r>
                    <w:r>
                      <w:t>43</w:t>
                    </w:r>
                    <w:r>
                      <w:fldChar w:fldCharType="end"/>
                    </w:r>
                    <w: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BBA7A3">
    <w:pPr>
      <w:pStyle w:val="23"/>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68A4FFD"/>
    <w:multiLevelType w:val="multilevel"/>
    <w:tmpl w:val="B68A4FFD"/>
    <w:lvl w:ilvl="0" w:tentative="0">
      <w:start w:val="1"/>
      <w:numFmt w:val="decimal"/>
      <w:suff w:val="nothing"/>
      <w:lvlText w:val="%1、"/>
      <w:lvlJc w:val="left"/>
      <w:pPr>
        <w:ind w:left="0" w:firstLine="0"/>
      </w:pPr>
      <w:rPr>
        <w:rFonts w:hint="default" w:ascii="Times New Roman" w:hAnsi="Times New Roman" w:cs="Times New Roman"/>
      </w:rPr>
    </w:lvl>
    <w:lvl w:ilvl="1" w:tentative="0">
      <w:start w:val="1"/>
      <w:numFmt w:val="decimal"/>
      <w:lvlText w:val="%2."/>
      <w:lvlJc w:val="left"/>
      <w:pPr>
        <w:tabs>
          <w:tab w:val="left" w:pos="1440"/>
        </w:tabs>
        <w:ind w:left="1440" w:firstLine="65176"/>
      </w:pPr>
    </w:lvl>
    <w:lvl w:ilvl="2" w:tentative="0">
      <w:start w:val="1"/>
      <w:numFmt w:val="decimal"/>
      <w:lvlText w:val="%3."/>
      <w:lvlJc w:val="left"/>
      <w:pPr>
        <w:tabs>
          <w:tab w:val="left" w:pos="2160"/>
        </w:tabs>
        <w:ind w:left="2160" w:firstLine="65176"/>
      </w:pPr>
    </w:lvl>
    <w:lvl w:ilvl="3" w:tentative="0">
      <w:start w:val="1"/>
      <w:numFmt w:val="decimal"/>
      <w:lvlText w:val="%4."/>
      <w:lvlJc w:val="left"/>
      <w:pPr>
        <w:tabs>
          <w:tab w:val="left" w:pos="2880"/>
        </w:tabs>
        <w:ind w:left="2880" w:firstLine="65176"/>
      </w:pPr>
    </w:lvl>
    <w:lvl w:ilvl="4" w:tentative="0">
      <w:start w:val="1"/>
      <w:numFmt w:val="decimal"/>
      <w:lvlText w:val="%5."/>
      <w:lvlJc w:val="left"/>
      <w:pPr>
        <w:tabs>
          <w:tab w:val="left" w:pos="3600"/>
        </w:tabs>
        <w:ind w:left="3600" w:firstLine="65176"/>
      </w:pPr>
    </w:lvl>
    <w:lvl w:ilvl="5" w:tentative="0">
      <w:start w:val="1"/>
      <w:numFmt w:val="decimal"/>
      <w:lvlText w:val="%6."/>
      <w:lvlJc w:val="left"/>
      <w:pPr>
        <w:tabs>
          <w:tab w:val="left" w:pos="4320"/>
        </w:tabs>
        <w:ind w:left="4320" w:firstLine="65176"/>
      </w:pPr>
    </w:lvl>
    <w:lvl w:ilvl="6" w:tentative="0">
      <w:start w:val="1"/>
      <w:numFmt w:val="decimal"/>
      <w:lvlText w:val="%7."/>
      <w:lvlJc w:val="left"/>
      <w:pPr>
        <w:tabs>
          <w:tab w:val="left" w:pos="5040"/>
        </w:tabs>
        <w:ind w:left="5040" w:firstLine="65176"/>
      </w:pPr>
    </w:lvl>
    <w:lvl w:ilvl="7" w:tentative="0">
      <w:start w:val="1"/>
      <w:numFmt w:val="decimal"/>
      <w:lvlText w:val="%8."/>
      <w:lvlJc w:val="left"/>
      <w:pPr>
        <w:tabs>
          <w:tab w:val="left" w:pos="5760"/>
        </w:tabs>
        <w:ind w:left="5760" w:firstLine="65176"/>
      </w:pPr>
    </w:lvl>
    <w:lvl w:ilvl="8" w:tentative="0">
      <w:start w:val="1"/>
      <w:numFmt w:val="decimal"/>
      <w:lvlText w:val="%9."/>
      <w:lvlJc w:val="left"/>
      <w:pPr>
        <w:tabs>
          <w:tab w:val="left" w:pos="6480"/>
        </w:tabs>
        <w:ind w:left="6480" w:firstLine="65176"/>
      </w:pPr>
    </w:lvl>
  </w:abstractNum>
  <w:abstractNum w:abstractNumId="1">
    <w:nsid w:val="185D4E5F"/>
    <w:multiLevelType w:val="multilevel"/>
    <w:tmpl w:val="185D4E5F"/>
    <w:lvl w:ilvl="0" w:tentative="0">
      <w:start w:val="1"/>
      <w:numFmt w:val="decimal"/>
      <w:pStyle w:val="149"/>
      <w:lvlText w:val="表%1."/>
      <w:lvlJc w:val="left"/>
      <w:pPr>
        <w:ind w:left="-1470" w:hanging="420"/>
      </w:pPr>
    </w:lvl>
    <w:lvl w:ilvl="1" w:tentative="0">
      <w:start w:val="1"/>
      <w:numFmt w:val="lowerLetter"/>
      <w:lvlText w:val="%2)"/>
      <w:lvlJc w:val="left"/>
      <w:pPr>
        <w:ind w:left="-14910" w:hanging="420"/>
      </w:pPr>
    </w:lvl>
    <w:lvl w:ilvl="2" w:tentative="0">
      <w:start w:val="1"/>
      <w:numFmt w:val="lowerRoman"/>
      <w:lvlText w:val="%3."/>
      <w:lvlJc w:val="right"/>
      <w:pPr>
        <w:ind w:left="-14490" w:hanging="420"/>
      </w:pPr>
    </w:lvl>
    <w:lvl w:ilvl="3" w:tentative="0">
      <w:start w:val="1"/>
      <w:numFmt w:val="decimal"/>
      <w:lvlText w:val="%4."/>
      <w:lvlJc w:val="left"/>
      <w:pPr>
        <w:ind w:left="-14070" w:hanging="420"/>
      </w:pPr>
    </w:lvl>
    <w:lvl w:ilvl="4" w:tentative="0">
      <w:start w:val="1"/>
      <w:numFmt w:val="lowerLetter"/>
      <w:lvlText w:val="%5)"/>
      <w:lvlJc w:val="left"/>
      <w:pPr>
        <w:ind w:left="-13650" w:hanging="420"/>
      </w:pPr>
    </w:lvl>
    <w:lvl w:ilvl="5" w:tentative="0">
      <w:start w:val="1"/>
      <w:numFmt w:val="lowerRoman"/>
      <w:lvlText w:val="%6."/>
      <w:lvlJc w:val="right"/>
      <w:pPr>
        <w:ind w:left="-13230" w:hanging="420"/>
      </w:pPr>
    </w:lvl>
    <w:lvl w:ilvl="6" w:tentative="0">
      <w:start w:val="1"/>
      <w:numFmt w:val="decimal"/>
      <w:lvlText w:val="%7."/>
      <w:lvlJc w:val="left"/>
      <w:pPr>
        <w:ind w:left="-12810" w:hanging="420"/>
      </w:pPr>
    </w:lvl>
    <w:lvl w:ilvl="7" w:tentative="0">
      <w:start w:val="1"/>
      <w:numFmt w:val="lowerLetter"/>
      <w:lvlText w:val="%8)"/>
      <w:lvlJc w:val="left"/>
      <w:pPr>
        <w:ind w:left="-12390" w:hanging="420"/>
      </w:pPr>
    </w:lvl>
    <w:lvl w:ilvl="8" w:tentative="0">
      <w:start w:val="1"/>
      <w:numFmt w:val="lowerRoman"/>
      <w:lvlText w:val="%9."/>
      <w:lvlJc w:val="right"/>
      <w:pPr>
        <w:ind w:left="-11970" w:hanging="420"/>
      </w:pPr>
    </w:lvl>
  </w:abstractNum>
  <w:abstractNum w:abstractNumId="2">
    <w:nsid w:val="20201449"/>
    <w:multiLevelType w:val="singleLevel"/>
    <w:tmpl w:val="20201449"/>
    <w:lvl w:ilvl="0" w:tentative="0">
      <w:start w:val="1"/>
      <w:numFmt w:val="upperLetter"/>
      <w:suff w:val="nothing"/>
      <w:lvlText w:val="%1、"/>
      <w:lvlJc w:val="left"/>
    </w:lvl>
  </w:abstractNum>
  <w:abstractNum w:abstractNumId="3">
    <w:nsid w:val="43EC14CA"/>
    <w:multiLevelType w:val="singleLevel"/>
    <w:tmpl w:val="43EC14CA"/>
    <w:lvl w:ilvl="0" w:tentative="0">
      <w:start w:val="1"/>
      <w:numFmt w:val="bullet"/>
      <w:pStyle w:val="17"/>
      <w:lvlText w:val=""/>
      <w:lvlJc w:val="left"/>
      <w:pPr>
        <w:tabs>
          <w:tab w:val="left" w:pos="2040"/>
        </w:tabs>
        <w:ind w:left="2040" w:hanging="360"/>
      </w:pPr>
      <w:rPr>
        <w:rFonts w:hint="default" w:ascii="Wingdings" w:hAnsi="Wingdings"/>
      </w:rPr>
    </w:lvl>
  </w:abstractNum>
  <w:abstractNum w:abstractNumId="4">
    <w:nsid w:val="709711F9"/>
    <w:multiLevelType w:val="multilevel"/>
    <w:tmpl w:val="709711F9"/>
    <w:lvl w:ilvl="0" w:tentative="0">
      <w:start w:val="1"/>
      <w:numFmt w:val="chineseCountingThousand"/>
      <w:suff w:val="space"/>
      <w:lvlText w:val="第%1章"/>
      <w:lvlJc w:val="left"/>
      <w:rPr>
        <w:rFonts w:hint="default" w:ascii="Times New Roman" w:hAnsi="Times New Roman" w:eastAsia="黑体"/>
        <w:b w:val="0"/>
        <w:bCs w:val="0"/>
        <w:i w:val="0"/>
        <w:iCs w:val="0"/>
        <w:sz w:val="32"/>
        <w:szCs w:val="32"/>
      </w:rPr>
    </w:lvl>
    <w:lvl w:ilvl="1" w:tentative="0">
      <w:start w:val="1"/>
      <w:numFmt w:val="chineseCountingThousand"/>
      <w:suff w:val="space"/>
      <w:lvlText w:val="第%2节"/>
      <w:lvlJc w:val="left"/>
      <w:rPr>
        <w:rFonts w:hint="default" w:ascii="Times New Roman" w:hAnsi="Times New Roman" w:eastAsia="宋体"/>
        <w:b/>
        <w:bCs/>
        <w:i w:val="0"/>
        <w:iCs w:val="0"/>
        <w:caps w:val="0"/>
        <w:smallCaps w:val="0"/>
        <w:strike w:val="0"/>
        <w:dstrike w:val="0"/>
        <w:vanish w:val="0"/>
        <w:spacing w:val="0"/>
        <w:kern w:val="0"/>
        <w:position w:val="0"/>
        <w:sz w:val="28"/>
        <w:szCs w:val="28"/>
        <w:u w:val="none"/>
        <w:vertAlign w:val="baseline"/>
      </w:rPr>
    </w:lvl>
    <w:lvl w:ilvl="2" w:tentative="0">
      <w:start w:val="1"/>
      <w:numFmt w:val="chineseCountingThousand"/>
      <w:pStyle w:val="5"/>
      <w:suff w:val="space"/>
      <w:lvlText w:val="%3、"/>
      <w:lvlJc w:val="left"/>
      <w:rPr>
        <w:rFonts w:hint="default" w:ascii="Times New Roman" w:hAnsi="Times New Roman" w:eastAsia="宋体"/>
        <w:b/>
        <w:bCs/>
        <w:i w:val="0"/>
        <w:iCs w:val="0"/>
        <w:caps w:val="0"/>
        <w:smallCaps w:val="0"/>
        <w:strike w:val="0"/>
        <w:dstrike w:val="0"/>
        <w:vanish w:val="0"/>
        <w:spacing w:val="0"/>
        <w:kern w:val="0"/>
        <w:position w:val="0"/>
        <w:sz w:val="24"/>
        <w:szCs w:val="24"/>
        <w:u w:val="none"/>
        <w:vertAlign w:val="baseline"/>
      </w:rPr>
    </w:lvl>
    <w:lvl w:ilvl="3" w:tentative="0">
      <w:start w:val="1"/>
      <w:numFmt w:val="chineseCountingThousand"/>
      <w:suff w:val="space"/>
      <w:lvlText w:val="%4、"/>
      <w:lvlJc w:val="left"/>
      <w:rPr>
        <w:rFonts w:hint="eastAsia"/>
      </w:rPr>
    </w:lvl>
    <w:lvl w:ilvl="4" w:tentative="0">
      <w:start w:val="1"/>
      <w:numFmt w:val="lowerLetter"/>
      <w:lvlText w:val="(%5)"/>
      <w:lvlJc w:val="left"/>
      <w:rPr>
        <w:rFonts w:hint="eastAsia"/>
      </w:rPr>
    </w:lvl>
    <w:lvl w:ilvl="5" w:tentative="0">
      <w:start w:val="1"/>
      <w:numFmt w:val="lowerRoman"/>
      <w:lvlText w:val="(%6)"/>
      <w:lvlJc w:val="left"/>
      <w:rPr>
        <w:rFonts w:hint="eastAsia"/>
      </w:rPr>
    </w:lvl>
    <w:lvl w:ilvl="6" w:tentative="0">
      <w:start w:val="1"/>
      <w:numFmt w:val="decimal"/>
      <w:lvlText w:val="%7."/>
      <w:lvlJc w:val="left"/>
      <w:rPr>
        <w:rFonts w:hint="eastAsia"/>
      </w:rPr>
    </w:lvl>
    <w:lvl w:ilvl="7" w:tentative="0">
      <w:start w:val="1"/>
      <w:numFmt w:val="lowerLetter"/>
      <w:lvlText w:val="%8."/>
      <w:lvlJc w:val="left"/>
      <w:rPr>
        <w:rFonts w:hint="eastAsia"/>
      </w:rPr>
    </w:lvl>
    <w:lvl w:ilvl="8" w:tentative="0">
      <w:start w:val="1"/>
      <w:numFmt w:val="decimal"/>
      <w:pStyle w:val="103"/>
      <w:isLgl/>
      <w:suff w:val="space"/>
      <w:lvlText w:val="表 %1.%9"/>
      <w:lvlJc w:val="left"/>
      <w:rPr>
        <w:rFonts w:hint="eastAsia"/>
      </w:rPr>
    </w:lvl>
  </w:abstractNum>
  <w:num w:numId="1">
    <w:abstractNumId w:val="4"/>
  </w:num>
  <w:num w:numId="2">
    <w:abstractNumId w:val="3"/>
  </w:num>
  <w:num w:numId="3">
    <w:abstractNumId w:val="1"/>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TrueTypeFonts/>
  <w:saveSubsetFonts/>
  <w:bordersDoNotSurroundHeader w:val="0"/>
  <w:bordersDoNotSurroundFooter w:val="0"/>
  <w:doNotTrackMoves/>
  <w:documentProtection w:edit="trackedChanges" w:enforcement="0"/>
  <w:defaultTabStop w:val="420"/>
  <w:doNotHyphenateCaps/>
  <w:drawingGridVerticalSpacing w:val="156"/>
  <w:displayHorizontalDrawingGridEvery w:val="1"/>
  <w:displayVerticalDrawingGridEvery w:val="1"/>
  <w:noPunctuationKerning w:val="1"/>
  <w:characterSpacingControl w:val="compressPunctuation"/>
  <w:noLineBreaksAfter w:lang="zh-CN" w:val="([{·‘“〈《「『【〔〖﹝＄（．［｛￡￥"/>
  <w:noLineBreaksBefore w:lang="zh-CN" w:val="!),.:;?]}¨·ˇˉ―‖’”…∶、。〃々〉》」』】〕〗﹜﹞！＂％＇），．：；？］｀｜｝～￠"/>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3MTQ4MGJjOTZlNjQzZTNhMzM2MDdjMWJhODk5M2QifQ=="/>
    <w:docVar w:name="KSO_WPS_MARK_KEY" w:val="9d3926e3-8213-4082-9cdc-de121e3f26ec"/>
  </w:docVars>
  <w:rsids>
    <w:rsidRoot w:val="00A14947"/>
    <w:rsid w:val="00000D95"/>
    <w:rsid w:val="000030C4"/>
    <w:rsid w:val="00003151"/>
    <w:rsid w:val="00003153"/>
    <w:rsid w:val="000040FD"/>
    <w:rsid w:val="00004D77"/>
    <w:rsid w:val="000060B3"/>
    <w:rsid w:val="00006512"/>
    <w:rsid w:val="00006A1D"/>
    <w:rsid w:val="00007CD0"/>
    <w:rsid w:val="00010183"/>
    <w:rsid w:val="00010696"/>
    <w:rsid w:val="00010941"/>
    <w:rsid w:val="00010E3E"/>
    <w:rsid w:val="000149F7"/>
    <w:rsid w:val="00015E9F"/>
    <w:rsid w:val="00016025"/>
    <w:rsid w:val="00020433"/>
    <w:rsid w:val="0002060A"/>
    <w:rsid w:val="00020910"/>
    <w:rsid w:val="0002149B"/>
    <w:rsid w:val="000233D7"/>
    <w:rsid w:val="00023734"/>
    <w:rsid w:val="00023B5C"/>
    <w:rsid w:val="000242F8"/>
    <w:rsid w:val="00024360"/>
    <w:rsid w:val="00024E32"/>
    <w:rsid w:val="000256B9"/>
    <w:rsid w:val="00025ACD"/>
    <w:rsid w:val="00030A59"/>
    <w:rsid w:val="0003472B"/>
    <w:rsid w:val="00034A84"/>
    <w:rsid w:val="00036C73"/>
    <w:rsid w:val="00037012"/>
    <w:rsid w:val="000400F5"/>
    <w:rsid w:val="000413F2"/>
    <w:rsid w:val="0004364B"/>
    <w:rsid w:val="00043B14"/>
    <w:rsid w:val="00043E3B"/>
    <w:rsid w:val="00044BC7"/>
    <w:rsid w:val="00045B42"/>
    <w:rsid w:val="0004753A"/>
    <w:rsid w:val="00047755"/>
    <w:rsid w:val="00053050"/>
    <w:rsid w:val="00053362"/>
    <w:rsid w:val="000538FD"/>
    <w:rsid w:val="00053B2E"/>
    <w:rsid w:val="00054262"/>
    <w:rsid w:val="00054C25"/>
    <w:rsid w:val="000577D5"/>
    <w:rsid w:val="000611BF"/>
    <w:rsid w:val="00061B1F"/>
    <w:rsid w:val="00062CF5"/>
    <w:rsid w:val="000638C1"/>
    <w:rsid w:val="00063BCB"/>
    <w:rsid w:val="00063C7F"/>
    <w:rsid w:val="00063C9F"/>
    <w:rsid w:val="00066BC7"/>
    <w:rsid w:val="00070A49"/>
    <w:rsid w:val="0007153E"/>
    <w:rsid w:val="00072B34"/>
    <w:rsid w:val="0007334D"/>
    <w:rsid w:val="000733C4"/>
    <w:rsid w:val="000737FF"/>
    <w:rsid w:val="0007472D"/>
    <w:rsid w:val="00074783"/>
    <w:rsid w:val="0007565D"/>
    <w:rsid w:val="0007643D"/>
    <w:rsid w:val="000767E8"/>
    <w:rsid w:val="00077127"/>
    <w:rsid w:val="0008047D"/>
    <w:rsid w:val="0008070B"/>
    <w:rsid w:val="000809FF"/>
    <w:rsid w:val="000810AC"/>
    <w:rsid w:val="00081A02"/>
    <w:rsid w:val="00082231"/>
    <w:rsid w:val="00082273"/>
    <w:rsid w:val="000822ED"/>
    <w:rsid w:val="0008456B"/>
    <w:rsid w:val="00085376"/>
    <w:rsid w:val="00086CAB"/>
    <w:rsid w:val="00090ECE"/>
    <w:rsid w:val="00090F15"/>
    <w:rsid w:val="00091322"/>
    <w:rsid w:val="00091933"/>
    <w:rsid w:val="00091C11"/>
    <w:rsid w:val="00092D38"/>
    <w:rsid w:val="0009377B"/>
    <w:rsid w:val="000955DC"/>
    <w:rsid w:val="000959A8"/>
    <w:rsid w:val="00095E6C"/>
    <w:rsid w:val="000A0B2A"/>
    <w:rsid w:val="000A1F68"/>
    <w:rsid w:val="000A20C9"/>
    <w:rsid w:val="000A460D"/>
    <w:rsid w:val="000A4702"/>
    <w:rsid w:val="000B058F"/>
    <w:rsid w:val="000B0D0C"/>
    <w:rsid w:val="000B2CB2"/>
    <w:rsid w:val="000B2D8A"/>
    <w:rsid w:val="000B31BD"/>
    <w:rsid w:val="000B43A0"/>
    <w:rsid w:val="000B4467"/>
    <w:rsid w:val="000B4C93"/>
    <w:rsid w:val="000B4DB9"/>
    <w:rsid w:val="000B68F7"/>
    <w:rsid w:val="000B7CD9"/>
    <w:rsid w:val="000B7DFE"/>
    <w:rsid w:val="000C0379"/>
    <w:rsid w:val="000C07BB"/>
    <w:rsid w:val="000C09AC"/>
    <w:rsid w:val="000C1CF6"/>
    <w:rsid w:val="000C495D"/>
    <w:rsid w:val="000C5AB0"/>
    <w:rsid w:val="000C767F"/>
    <w:rsid w:val="000D02E6"/>
    <w:rsid w:val="000D1D72"/>
    <w:rsid w:val="000D20BA"/>
    <w:rsid w:val="000D30C3"/>
    <w:rsid w:val="000D32D7"/>
    <w:rsid w:val="000D33C6"/>
    <w:rsid w:val="000D365F"/>
    <w:rsid w:val="000D3A12"/>
    <w:rsid w:val="000D3B00"/>
    <w:rsid w:val="000D51DA"/>
    <w:rsid w:val="000D5A44"/>
    <w:rsid w:val="000D62E6"/>
    <w:rsid w:val="000D7358"/>
    <w:rsid w:val="000D7B86"/>
    <w:rsid w:val="000E008D"/>
    <w:rsid w:val="000E0C8D"/>
    <w:rsid w:val="000E172B"/>
    <w:rsid w:val="000E18B0"/>
    <w:rsid w:val="000E1A57"/>
    <w:rsid w:val="000E37B0"/>
    <w:rsid w:val="000E3ED2"/>
    <w:rsid w:val="000E642D"/>
    <w:rsid w:val="000E6636"/>
    <w:rsid w:val="000E6DA4"/>
    <w:rsid w:val="000E71C4"/>
    <w:rsid w:val="000F0106"/>
    <w:rsid w:val="000F3408"/>
    <w:rsid w:val="000F3CD8"/>
    <w:rsid w:val="000F3E37"/>
    <w:rsid w:val="000F4C03"/>
    <w:rsid w:val="000F575D"/>
    <w:rsid w:val="000F71B3"/>
    <w:rsid w:val="000F74CD"/>
    <w:rsid w:val="000F7671"/>
    <w:rsid w:val="001000DB"/>
    <w:rsid w:val="0010028F"/>
    <w:rsid w:val="001002B7"/>
    <w:rsid w:val="00100C70"/>
    <w:rsid w:val="00101B34"/>
    <w:rsid w:val="001056FA"/>
    <w:rsid w:val="00105D3C"/>
    <w:rsid w:val="001073E1"/>
    <w:rsid w:val="001078DF"/>
    <w:rsid w:val="00110B43"/>
    <w:rsid w:val="00111FB1"/>
    <w:rsid w:val="0011523A"/>
    <w:rsid w:val="001166FB"/>
    <w:rsid w:val="00116D95"/>
    <w:rsid w:val="00120459"/>
    <w:rsid w:val="0012128C"/>
    <w:rsid w:val="001217CA"/>
    <w:rsid w:val="00121B99"/>
    <w:rsid w:val="00122271"/>
    <w:rsid w:val="0012287A"/>
    <w:rsid w:val="00124AD8"/>
    <w:rsid w:val="001258BD"/>
    <w:rsid w:val="00125916"/>
    <w:rsid w:val="00125FBB"/>
    <w:rsid w:val="001310D1"/>
    <w:rsid w:val="001319D6"/>
    <w:rsid w:val="00131F42"/>
    <w:rsid w:val="00132529"/>
    <w:rsid w:val="0013270C"/>
    <w:rsid w:val="00132B68"/>
    <w:rsid w:val="001331C9"/>
    <w:rsid w:val="00133635"/>
    <w:rsid w:val="00133679"/>
    <w:rsid w:val="00134D05"/>
    <w:rsid w:val="00134F22"/>
    <w:rsid w:val="001357F1"/>
    <w:rsid w:val="0013687F"/>
    <w:rsid w:val="00137487"/>
    <w:rsid w:val="0013751F"/>
    <w:rsid w:val="0014074B"/>
    <w:rsid w:val="00140D9A"/>
    <w:rsid w:val="00140FA8"/>
    <w:rsid w:val="0014275B"/>
    <w:rsid w:val="00142D43"/>
    <w:rsid w:val="00142FEB"/>
    <w:rsid w:val="0014306A"/>
    <w:rsid w:val="00143619"/>
    <w:rsid w:val="001439E3"/>
    <w:rsid w:val="00143A2D"/>
    <w:rsid w:val="00143C36"/>
    <w:rsid w:val="00144990"/>
    <w:rsid w:val="00145A41"/>
    <w:rsid w:val="001465A0"/>
    <w:rsid w:val="001469C8"/>
    <w:rsid w:val="00146C1A"/>
    <w:rsid w:val="00146CC1"/>
    <w:rsid w:val="0015155E"/>
    <w:rsid w:val="00151675"/>
    <w:rsid w:val="00154255"/>
    <w:rsid w:val="00154F60"/>
    <w:rsid w:val="001551B1"/>
    <w:rsid w:val="00155FB7"/>
    <w:rsid w:val="001563CE"/>
    <w:rsid w:val="00156D38"/>
    <w:rsid w:val="00157435"/>
    <w:rsid w:val="00157D86"/>
    <w:rsid w:val="001613BB"/>
    <w:rsid w:val="00162DFB"/>
    <w:rsid w:val="001642CC"/>
    <w:rsid w:val="0016483A"/>
    <w:rsid w:val="00164F4F"/>
    <w:rsid w:val="00165D7B"/>
    <w:rsid w:val="00165EC1"/>
    <w:rsid w:val="001664A0"/>
    <w:rsid w:val="00167718"/>
    <w:rsid w:val="001701A3"/>
    <w:rsid w:val="0017504D"/>
    <w:rsid w:val="001762C2"/>
    <w:rsid w:val="0017671A"/>
    <w:rsid w:val="00176F22"/>
    <w:rsid w:val="0017732B"/>
    <w:rsid w:val="00177422"/>
    <w:rsid w:val="00177AE8"/>
    <w:rsid w:val="00177DB7"/>
    <w:rsid w:val="001808E9"/>
    <w:rsid w:val="00180B34"/>
    <w:rsid w:val="00180CF3"/>
    <w:rsid w:val="00182062"/>
    <w:rsid w:val="001822B4"/>
    <w:rsid w:val="001842DB"/>
    <w:rsid w:val="00184327"/>
    <w:rsid w:val="00184590"/>
    <w:rsid w:val="0018519F"/>
    <w:rsid w:val="0018575E"/>
    <w:rsid w:val="001870D1"/>
    <w:rsid w:val="0018781E"/>
    <w:rsid w:val="00187E8B"/>
    <w:rsid w:val="001901CB"/>
    <w:rsid w:val="0019094A"/>
    <w:rsid w:val="00190C4D"/>
    <w:rsid w:val="00191C0E"/>
    <w:rsid w:val="0019262D"/>
    <w:rsid w:val="00192C3A"/>
    <w:rsid w:val="00194142"/>
    <w:rsid w:val="001964E7"/>
    <w:rsid w:val="001A1B35"/>
    <w:rsid w:val="001A3011"/>
    <w:rsid w:val="001A341D"/>
    <w:rsid w:val="001A44D8"/>
    <w:rsid w:val="001A48A2"/>
    <w:rsid w:val="001A49FB"/>
    <w:rsid w:val="001A5D09"/>
    <w:rsid w:val="001A6257"/>
    <w:rsid w:val="001A6F61"/>
    <w:rsid w:val="001B0A44"/>
    <w:rsid w:val="001B0F66"/>
    <w:rsid w:val="001B2582"/>
    <w:rsid w:val="001B32A4"/>
    <w:rsid w:val="001B337B"/>
    <w:rsid w:val="001B40C8"/>
    <w:rsid w:val="001B6E28"/>
    <w:rsid w:val="001B72B8"/>
    <w:rsid w:val="001C06CC"/>
    <w:rsid w:val="001C0E47"/>
    <w:rsid w:val="001C149C"/>
    <w:rsid w:val="001C3374"/>
    <w:rsid w:val="001C4109"/>
    <w:rsid w:val="001C4D96"/>
    <w:rsid w:val="001C69B3"/>
    <w:rsid w:val="001C79B9"/>
    <w:rsid w:val="001C7D82"/>
    <w:rsid w:val="001D072C"/>
    <w:rsid w:val="001D0BF6"/>
    <w:rsid w:val="001D16FA"/>
    <w:rsid w:val="001D32CC"/>
    <w:rsid w:val="001D5595"/>
    <w:rsid w:val="001D669F"/>
    <w:rsid w:val="001D7874"/>
    <w:rsid w:val="001D7F22"/>
    <w:rsid w:val="001E0953"/>
    <w:rsid w:val="001E10B6"/>
    <w:rsid w:val="001E32A4"/>
    <w:rsid w:val="001E38A7"/>
    <w:rsid w:val="001E715A"/>
    <w:rsid w:val="001F035B"/>
    <w:rsid w:val="001F0F17"/>
    <w:rsid w:val="001F1088"/>
    <w:rsid w:val="001F22A1"/>
    <w:rsid w:val="001F3347"/>
    <w:rsid w:val="001F4666"/>
    <w:rsid w:val="001F5D0D"/>
    <w:rsid w:val="001F653D"/>
    <w:rsid w:val="001F69E4"/>
    <w:rsid w:val="001F73EB"/>
    <w:rsid w:val="00202358"/>
    <w:rsid w:val="00202E19"/>
    <w:rsid w:val="00203E4B"/>
    <w:rsid w:val="00204820"/>
    <w:rsid w:val="002064EC"/>
    <w:rsid w:val="00206E16"/>
    <w:rsid w:val="00211D22"/>
    <w:rsid w:val="002125B4"/>
    <w:rsid w:val="002155B8"/>
    <w:rsid w:val="0021596F"/>
    <w:rsid w:val="002160EF"/>
    <w:rsid w:val="0022158F"/>
    <w:rsid w:val="002218CB"/>
    <w:rsid w:val="002218E6"/>
    <w:rsid w:val="00222232"/>
    <w:rsid w:val="00222758"/>
    <w:rsid w:val="00224839"/>
    <w:rsid w:val="002249B2"/>
    <w:rsid w:val="00225851"/>
    <w:rsid w:val="00225B04"/>
    <w:rsid w:val="00226574"/>
    <w:rsid w:val="002278EC"/>
    <w:rsid w:val="00230EB0"/>
    <w:rsid w:val="002318EF"/>
    <w:rsid w:val="00231AE2"/>
    <w:rsid w:val="00231E7A"/>
    <w:rsid w:val="0023280E"/>
    <w:rsid w:val="0023285E"/>
    <w:rsid w:val="00233678"/>
    <w:rsid w:val="0023471C"/>
    <w:rsid w:val="00234B74"/>
    <w:rsid w:val="00236734"/>
    <w:rsid w:val="00236A51"/>
    <w:rsid w:val="00237260"/>
    <w:rsid w:val="0023763F"/>
    <w:rsid w:val="002377D1"/>
    <w:rsid w:val="00237839"/>
    <w:rsid w:val="00237ED4"/>
    <w:rsid w:val="00240532"/>
    <w:rsid w:val="00240A0C"/>
    <w:rsid w:val="002423A9"/>
    <w:rsid w:val="00242CB7"/>
    <w:rsid w:val="00243241"/>
    <w:rsid w:val="00243DCC"/>
    <w:rsid w:val="00244AF3"/>
    <w:rsid w:val="00244FED"/>
    <w:rsid w:val="002455B1"/>
    <w:rsid w:val="00246459"/>
    <w:rsid w:val="0024759E"/>
    <w:rsid w:val="002475C3"/>
    <w:rsid w:val="00247CB6"/>
    <w:rsid w:val="00247D97"/>
    <w:rsid w:val="002506BC"/>
    <w:rsid w:val="00251377"/>
    <w:rsid w:val="00254051"/>
    <w:rsid w:val="00254345"/>
    <w:rsid w:val="002578B6"/>
    <w:rsid w:val="00257EDE"/>
    <w:rsid w:val="00261504"/>
    <w:rsid w:val="00264557"/>
    <w:rsid w:val="00264F47"/>
    <w:rsid w:val="002656EE"/>
    <w:rsid w:val="002668ED"/>
    <w:rsid w:val="00267E5E"/>
    <w:rsid w:val="002704B9"/>
    <w:rsid w:val="002720A3"/>
    <w:rsid w:val="00272879"/>
    <w:rsid w:val="00273209"/>
    <w:rsid w:val="00276CCD"/>
    <w:rsid w:val="0027720F"/>
    <w:rsid w:val="00280350"/>
    <w:rsid w:val="002805AB"/>
    <w:rsid w:val="00281BC8"/>
    <w:rsid w:val="00281CE4"/>
    <w:rsid w:val="00282AEC"/>
    <w:rsid w:val="00283312"/>
    <w:rsid w:val="00283B86"/>
    <w:rsid w:val="00284204"/>
    <w:rsid w:val="0028442A"/>
    <w:rsid w:val="002847B0"/>
    <w:rsid w:val="0028736B"/>
    <w:rsid w:val="0028797F"/>
    <w:rsid w:val="00290287"/>
    <w:rsid w:val="002902C8"/>
    <w:rsid w:val="00290D35"/>
    <w:rsid w:val="00291773"/>
    <w:rsid w:val="00293271"/>
    <w:rsid w:val="002942FB"/>
    <w:rsid w:val="002A0773"/>
    <w:rsid w:val="002A08F7"/>
    <w:rsid w:val="002A0A5D"/>
    <w:rsid w:val="002A168C"/>
    <w:rsid w:val="002A35A3"/>
    <w:rsid w:val="002A3DC7"/>
    <w:rsid w:val="002A3EC3"/>
    <w:rsid w:val="002A5933"/>
    <w:rsid w:val="002A5E76"/>
    <w:rsid w:val="002A6DAF"/>
    <w:rsid w:val="002A6FD8"/>
    <w:rsid w:val="002A7041"/>
    <w:rsid w:val="002B09EE"/>
    <w:rsid w:val="002B0C21"/>
    <w:rsid w:val="002B1734"/>
    <w:rsid w:val="002B1E65"/>
    <w:rsid w:val="002B275F"/>
    <w:rsid w:val="002B392A"/>
    <w:rsid w:val="002B49E2"/>
    <w:rsid w:val="002B6853"/>
    <w:rsid w:val="002B75FF"/>
    <w:rsid w:val="002B7B00"/>
    <w:rsid w:val="002B7C44"/>
    <w:rsid w:val="002C2B17"/>
    <w:rsid w:val="002C3E38"/>
    <w:rsid w:val="002C408B"/>
    <w:rsid w:val="002C4373"/>
    <w:rsid w:val="002C462D"/>
    <w:rsid w:val="002C7729"/>
    <w:rsid w:val="002D0376"/>
    <w:rsid w:val="002D069E"/>
    <w:rsid w:val="002D07C7"/>
    <w:rsid w:val="002D082F"/>
    <w:rsid w:val="002D2426"/>
    <w:rsid w:val="002D26E8"/>
    <w:rsid w:val="002D38B4"/>
    <w:rsid w:val="002D3DD0"/>
    <w:rsid w:val="002D4637"/>
    <w:rsid w:val="002D49FD"/>
    <w:rsid w:val="002D5558"/>
    <w:rsid w:val="002D7B89"/>
    <w:rsid w:val="002E1F3A"/>
    <w:rsid w:val="002E248B"/>
    <w:rsid w:val="002E2914"/>
    <w:rsid w:val="002E298A"/>
    <w:rsid w:val="002E3631"/>
    <w:rsid w:val="002E4300"/>
    <w:rsid w:val="002E557E"/>
    <w:rsid w:val="002E62A1"/>
    <w:rsid w:val="002E7A49"/>
    <w:rsid w:val="002F1A7F"/>
    <w:rsid w:val="002F33D3"/>
    <w:rsid w:val="002F638A"/>
    <w:rsid w:val="002F63CE"/>
    <w:rsid w:val="002F775A"/>
    <w:rsid w:val="00300148"/>
    <w:rsid w:val="00301978"/>
    <w:rsid w:val="00301D03"/>
    <w:rsid w:val="00302446"/>
    <w:rsid w:val="0030332C"/>
    <w:rsid w:val="00304DB9"/>
    <w:rsid w:val="003051C2"/>
    <w:rsid w:val="003051FF"/>
    <w:rsid w:val="0030586F"/>
    <w:rsid w:val="00306F6A"/>
    <w:rsid w:val="00312296"/>
    <w:rsid w:val="003126D1"/>
    <w:rsid w:val="00314F0E"/>
    <w:rsid w:val="00315085"/>
    <w:rsid w:val="00315F8D"/>
    <w:rsid w:val="003171FB"/>
    <w:rsid w:val="0032000C"/>
    <w:rsid w:val="003200F5"/>
    <w:rsid w:val="0032139A"/>
    <w:rsid w:val="00321D8E"/>
    <w:rsid w:val="00321F1E"/>
    <w:rsid w:val="00322A10"/>
    <w:rsid w:val="0032350D"/>
    <w:rsid w:val="0032371B"/>
    <w:rsid w:val="003243AE"/>
    <w:rsid w:val="003246BA"/>
    <w:rsid w:val="0032522B"/>
    <w:rsid w:val="00325928"/>
    <w:rsid w:val="003264D2"/>
    <w:rsid w:val="003276D1"/>
    <w:rsid w:val="00327F52"/>
    <w:rsid w:val="00330BA0"/>
    <w:rsid w:val="00331DCF"/>
    <w:rsid w:val="00332863"/>
    <w:rsid w:val="00332D00"/>
    <w:rsid w:val="00334519"/>
    <w:rsid w:val="00335485"/>
    <w:rsid w:val="00335CA9"/>
    <w:rsid w:val="00335F80"/>
    <w:rsid w:val="0033684D"/>
    <w:rsid w:val="00336D9F"/>
    <w:rsid w:val="00337B42"/>
    <w:rsid w:val="00340303"/>
    <w:rsid w:val="00340A44"/>
    <w:rsid w:val="00340A7E"/>
    <w:rsid w:val="00340BF2"/>
    <w:rsid w:val="0034197D"/>
    <w:rsid w:val="00341B42"/>
    <w:rsid w:val="0034348F"/>
    <w:rsid w:val="00343D68"/>
    <w:rsid w:val="00344AF6"/>
    <w:rsid w:val="00344D50"/>
    <w:rsid w:val="003453FD"/>
    <w:rsid w:val="0034642A"/>
    <w:rsid w:val="00346C61"/>
    <w:rsid w:val="00346EA3"/>
    <w:rsid w:val="00347621"/>
    <w:rsid w:val="00350825"/>
    <w:rsid w:val="003511C6"/>
    <w:rsid w:val="00351703"/>
    <w:rsid w:val="00351CAF"/>
    <w:rsid w:val="003524F1"/>
    <w:rsid w:val="00353581"/>
    <w:rsid w:val="00356653"/>
    <w:rsid w:val="00357390"/>
    <w:rsid w:val="0035743F"/>
    <w:rsid w:val="00357BE2"/>
    <w:rsid w:val="00360503"/>
    <w:rsid w:val="00360669"/>
    <w:rsid w:val="0036170C"/>
    <w:rsid w:val="00361B1F"/>
    <w:rsid w:val="00362B94"/>
    <w:rsid w:val="00362F9A"/>
    <w:rsid w:val="00365B0E"/>
    <w:rsid w:val="00365E2A"/>
    <w:rsid w:val="00366E0F"/>
    <w:rsid w:val="00367E1B"/>
    <w:rsid w:val="00370239"/>
    <w:rsid w:val="00370403"/>
    <w:rsid w:val="003706C6"/>
    <w:rsid w:val="0037127D"/>
    <w:rsid w:val="0037215E"/>
    <w:rsid w:val="00372893"/>
    <w:rsid w:val="00373378"/>
    <w:rsid w:val="003740E3"/>
    <w:rsid w:val="003742B0"/>
    <w:rsid w:val="00374961"/>
    <w:rsid w:val="003755EE"/>
    <w:rsid w:val="00376610"/>
    <w:rsid w:val="00377B5E"/>
    <w:rsid w:val="003803A9"/>
    <w:rsid w:val="00381399"/>
    <w:rsid w:val="00381A72"/>
    <w:rsid w:val="00383AD0"/>
    <w:rsid w:val="00384676"/>
    <w:rsid w:val="00385479"/>
    <w:rsid w:val="00386100"/>
    <w:rsid w:val="003871A3"/>
    <w:rsid w:val="00390014"/>
    <w:rsid w:val="00390857"/>
    <w:rsid w:val="00390F98"/>
    <w:rsid w:val="00391CD2"/>
    <w:rsid w:val="003923C6"/>
    <w:rsid w:val="00392974"/>
    <w:rsid w:val="003934B9"/>
    <w:rsid w:val="00394174"/>
    <w:rsid w:val="0039428A"/>
    <w:rsid w:val="003965DC"/>
    <w:rsid w:val="0039716A"/>
    <w:rsid w:val="003977E6"/>
    <w:rsid w:val="00397A34"/>
    <w:rsid w:val="003A12FB"/>
    <w:rsid w:val="003A1E12"/>
    <w:rsid w:val="003A3053"/>
    <w:rsid w:val="003A3D34"/>
    <w:rsid w:val="003A3DEC"/>
    <w:rsid w:val="003A44C9"/>
    <w:rsid w:val="003A4BF3"/>
    <w:rsid w:val="003A4E6E"/>
    <w:rsid w:val="003A50C4"/>
    <w:rsid w:val="003A5E43"/>
    <w:rsid w:val="003B2E14"/>
    <w:rsid w:val="003B33BC"/>
    <w:rsid w:val="003B420D"/>
    <w:rsid w:val="003B5097"/>
    <w:rsid w:val="003B529D"/>
    <w:rsid w:val="003B65DE"/>
    <w:rsid w:val="003B6ECB"/>
    <w:rsid w:val="003B7713"/>
    <w:rsid w:val="003C077B"/>
    <w:rsid w:val="003C22AB"/>
    <w:rsid w:val="003C601D"/>
    <w:rsid w:val="003C6694"/>
    <w:rsid w:val="003C6A1B"/>
    <w:rsid w:val="003C6C16"/>
    <w:rsid w:val="003C7F71"/>
    <w:rsid w:val="003C7FC4"/>
    <w:rsid w:val="003D0D3D"/>
    <w:rsid w:val="003D1264"/>
    <w:rsid w:val="003D1441"/>
    <w:rsid w:val="003D203D"/>
    <w:rsid w:val="003D22D7"/>
    <w:rsid w:val="003D23C8"/>
    <w:rsid w:val="003D2420"/>
    <w:rsid w:val="003D2671"/>
    <w:rsid w:val="003D3335"/>
    <w:rsid w:val="003D5380"/>
    <w:rsid w:val="003D64AC"/>
    <w:rsid w:val="003D6537"/>
    <w:rsid w:val="003D794D"/>
    <w:rsid w:val="003E0138"/>
    <w:rsid w:val="003E1A66"/>
    <w:rsid w:val="003E2554"/>
    <w:rsid w:val="003E2B13"/>
    <w:rsid w:val="003E2D13"/>
    <w:rsid w:val="003E3058"/>
    <w:rsid w:val="003E341D"/>
    <w:rsid w:val="003E3F99"/>
    <w:rsid w:val="003E4073"/>
    <w:rsid w:val="003E42A7"/>
    <w:rsid w:val="003E50A7"/>
    <w:rsid w:val="003E6F0F"/>
    <w:rsid w:val="003E73D8"/>
    <w:rsid w:val="003E76A9"/>
    <w:rsid w:val="003F0809"/>
    <w:rsid w:val="003F0F93"/>
    <w:rsid w:val="003F1306"/>
    <w:rsid w:val="003F1765"/>
    <w:rsid w:val="003F1874"/>
    <w:rsid w:val="003F18FF"/>
    <w:rsid w:val="003F1FAA"/>
    <w:rsid w:val="003F2038"/>
    <w:rsid w:val="003F2043"/>
    <w:rsid w:val="003F41A6"/>
    <w:rsid w:val="003F56C2"/>
    <w:rsid w:val="003F6A72"/>
    <w:rsid w:val="003F6A8C"/>
    <w:rsid w:val="003F755C"/>
    <w:rsid w:val="003F78CF"/>
    <w:rsid w:val="00400C93"/>
    <w:rsid w:val="004022E1"/>
    <w:rsid w:val="00403AC9"/>
    <w:rsid w:val="004055EF"/>
    <w:rsid w:val="00406548"/>
    <w:rsid w:val="00406AD2"/>
    <w:rsid w:val="00406F01"/>
    <w:rsid w:val="00407659"/>
    <w:rsid w:val="00407E55"/>
    <w:rsid w:val="00411772"/>
    <w:rsid w:val="00411E15"/>
    <w:rsid w:val="00413FB0"/>
    <w:rsid w:val="00414EDB"/>
    <w:rsid w:val="00415124"/>
    <w:rsid w:val="0041588B"/>
    <w:rsid w:val="0041662F"/>
    <w:rsid w:val="004169A2"/>
    <w:rsid w:val="00416D50"/>
    <w:rsid w:val="00416FD5"/>
    <w:rsid w:val="004176A7"/>
    <w:rsid w:val="004176FD"/>
    <w:rsid w:val="00417771"/>
    <w:rsid w:val="00417772"/>
    <w:rsid w:val="0042052C"/>
    <w:rsid w:val="00420C28"/>
    <w:rsid w:val="00420E6A"/>
    <w:rsid w:val="0042158E"/>
    <w:rsid w:val="004219B9"/>
    <w:rsid w:val="00422590"/>
    <w:rsid w:val="00422946"/>
    <w:rsid w:val="0042442A"/>
    <w:rsid w:val="00424FFA"/>
    <w:rsid w:val="00425A9E"/>
    <w:rsid w:val="00425D5B"/>
    <w:rsid w:val="00425ED7"/>
    <w:rsid w:val="00426D6B"/>
    <w:rsid w:val="00427687"/>
    <w:rsid w:val="00431E6C"/>
    <w:rsid w:val="0043202D"/>
    <w:rsid w:val="00432138"/>
    <w:rsid w:val="00432377"/>
    <w:rsid w:val="00433CE7"/>
    <w:rsid w:val="00435623"/>
    <w:rsid w:val="00435943"/>
    <w:rsid w:val="0043635F"/>
    <w:rsid w:val="00436590"/>
    <w:rsid w:val="00436CCF"/>
    <w:rsid w:val="004405FF"/>
    <w:rsid w:val="00441433"/>
    <w:rsid w:val="004414F2"/>
    <w:rsid w:val="004423B3"/>
    <w:rsid w:val="0044276C"/>
    <w:rsid w:val="00442BAC"/>
    <w:rsid w:val="00442FE5"/>
    <w:rsid w:val="004468A4"/>
    <w:rsid w:val="00447274"/>
    <w:rsid w:val="00450A89"/>
    <w:rsid w:val="00450BA0"/>
    <w:rsid w:val="00450DC6"/>
    <w:rsid w:val="00452738"/>
    <w:rsid w:val="00455734"/>
    <w:rsid w:val="00455E4C"/>
    <w:rsid w:val="00456091"/>
    <w:rsid w:val="00456F3B"/>
    <w:rsid w:val="00457B1F"/>
    <w:rsid w:val="00460E61"/>
    <w:rsid w:val="00461CBC"/>
    <w:rsid w:val="00463463"/>
    <w:rsid w:val="00463D3F"/>
    <w:rsid w:val="00466321"/>
    <w:rsid w:val="00466BA2"/>
    <w:rsid w:val="004672F8"/>
    <w:rsid w:val="004716C7"/>
    <w:rsid w:val="004738EE"/>
    <w:rsid w:val="00474944"/>
    <w:rsid w:val="004749B2"/>
    <w:rsid w:val="00474CDD"/>
    <w:rsid w:val="00475167"/>
    <w:rsid w:val="00475540"/>
    <w:rsid w:val="00475E4D"/>
    <w:rsid w:val="004761FE"/>
    <w:rsid w:val="00476411"/>
    <w:rsid w:val="004768E6"/>
    <w:rsid w:val="00476D62"/>
    <w:rsid w:val="004841A9"/>
    <w:rsid w:val="00484B9B"/>
    <w:rsid w:val="004855F6"/>
    <w:rsid w:val="00485E82"/>
    <w:rsid w:val="004863E9"/>
    <w:rsid w:val="0048661E"/>
    <w:rsid w:val="00487C01"/>
    <w:rsid w:val="00491A8F"/>
    <w:rsid w:val="004930DF"/>
    <w:rsid w:val="00493329"/>
    <w:rsid w:val="00494670"/>
    <w:rsid w:val="00494935"/>
    <w:rsid w:val="00495FAC"/>
    <w:rsid w:val="00496269"/>
    <w:rsid w:val="00496CF1"/>
    <w:rsid w:val="00497DB3"/>
    <w:rsid w:val="004A23D8"/>
    <w:rsid w:val="004A2642"/>
    <w:rsid w:val="004A3823"/>
    <w:rsid w:val="004A51D0"/>
    <w:rsid w:val="004A72FB"/>
    <w:rsid w:val="004A7F7D"/>
    <w:rsid w:val="004B0122"/>
    <w:rsid w:val="004B14D6"/>
    <w:rsid w:val="004B2CA3"/>
    <w:rsid w:val="004B2CE5"/>
    <w:rsid w:val="004B2F01"/>
    <w:rsid w:val="004B49CE"/>
    <w:rsid w:val="004B4FBB"/>
    <w:rsid w:val="004B4FD7"/>
    <w:rsid w:val="004B5DF6"/>
    <w:rsid w:val="004B5FC2"/>
    <w:rsid w:val="004C0834"/>
    <w:rsid w:val="004C0F41"/>
    <w:rsid w:val="004C1194"/>
    <w:rsid w:val="004C18FF"/>
    <w:rsid w:val="004C2979"/>
    <w:rsid w:val="004C44FE"/>
    <w:rsid w:val="004C69FF"/>
    <w:rsid w:val="004C6F27"/>
    <w:rsid w:val="004D235E"/>
    <w:rsid w:val="004D30C7"/>
    <w:rsid w:val="004D32E5"/>
    <w:rsid w:val="004D4D42"/>
    <w:rsid w:val="004D67B4"/>
    <w:rsid w:val="004E01D0"/>
    <w:rsid w:val="004E13EC"/>
    <w:rsid w:val="004E19E3"/>
    <w:rsid w:val="004E20F9"/>
    <w:rsid w:val="004E305B"/>
    <w:rsid w:val="004E5490"/>
    <w:rsid w:val="004E57AF"/>
    <w:rsid w:val="004E5FFF"/>
    <w:rsid w:val="004E6946"/>
    <w:rsid w:val="004E7517"/>
    <w:rsid w:val="004E776E"/>
    <w:rsid w:val="004E7783"/>
    <w:rsid w:val="004E7833"/>
    <w:rsid w:val="004F0650"/>
    <w:rsid w:val="004F1394"/>
    <w:rsid w:val="004F1AD8"/>
    <w:rsid w:val="004F5884"/>
    <w:rsid w:val="004F62B7"/>
    <w:rsid w:val="004F63E1"/>
    <w:rsid w:val="00500794"/>
    <w:rsid w:val="00501627"/>
    <w:rsid w:val="0050199E"/>
    <w:rsid w:val="005039CB"/>
    <w:rsid w:val="00504CC4"/>
    <w:rsid w:val="0050558F"/>
    <w:rsid w:val="00505B1A"/>
    <w:rsid w:val="00505C3D"/>
    <w:rsid w:val="00506286"/>
    <w:rsid w:val="00506454"/>
    <w:rsid w:val="00506B23"/>
    <w:rsid w:val="00506D0E"/>
    <w:rsid w:val="0050796F"/>
    <w:rsid w:val="00507BB6"/>
    <w:rsid w:val="00510813"/>
    <w:rsid w:val="00510D9E"/>
    <w:rsid w:val="005111D3"/>
    <w:rsid w:val="005116B8"/>
    <w:rsid w:val="00511990"/>
    <w:rsid w:val="00511DE0"/>
    <w:rsid w:val="005136C7"/>
    <w:rsid w:val="00514276"/>
    <w:rsid w:val="00514870"/>
    <w:rsid w:val="00514B9B"/>
    <w:rsid w:val="0051516F"/>
    <w:rsid w:val="005155AE"/>
    <w:rsid w:val="0051674E"/>
    <w:rsid w:val="005178CF"/>
    <w:rsid w:val="00517F02"/>
    <w:rsid w:val="005205F2"/>
    <w:rsid w:val="00520649"/>
    <w:rsid w:val="00522F28"/>
    <w:rsid w:val="00524303"/>
    <w:rsid w:val="005246A6"/>
    <w:rsid w:val="00525623"/>
    <w:rsid w:val="005258A2"/>
    <w:rsid w:val="00525D59"/>
    <w:rsid w:val="00525D71"/>
    <w:rsid w:val="00526D74"/>
    <w:rsid w:val="005315C9"/>
    <w:rsid w:val="00531DEE"/>
    <w:rsid w:val="005324FF"/>
    <w:rsid w:val="00533480"/>
    <w:rsid w:val="00534D15"/>
    <w:rsid w:val="005373C9"/>
    <w:rsid w:val="00540124"/>
    <w:rsid w:val="005401AE"/>
    <w:rsid w:val="00541F18"/>
    <w:rsid w:val="0054268D"/>
    <w:rsid w:val="00542AD2"/>
    <w:rsid w:val="00542E07"/>
    <w:rsid w:val="00543C6F"/>
    <w:rsid w:val="0054441A"/>
    <w:rsid w:val="00544850"/>
    <w:rsid w:val="00545424"/>
    <w:rsid w:val="00545E2D"/>
    <w:rsid w:val="00546437"/>
    <w:rsid w:val="00550554"/>
    <w:rsid w:val="0055091C"/>
    <w:rsid w:val="00551900"/>
    <w:rsid w:val="00551FDA"/>
    <w:rsid w:val="00553234"/>
    <w:rsid w:val="00553B4A"/>
    <w:rsid w:val="00554A7B"/>
    <w:rsid w:val="00554A90"/>
    <w:rsid w:val="00554BBF"/>
    <w:rsid w:val="0055572C"/>
    <w:rsid w:val="005557C3"/>
    <w:rsid w:val="00555D77"/>
    <w:rsid w:val="0055643E"/>
    <w:rsid w:val="00556E95"/>
    <w:rsid w:val="005601CF"/>
    <w:rsid w:val="0056076D"/>
    <w:rsid w:val="0056106A"/>
    <w:rsid w:val="00561EEF"/>
    <w:rsid w:val="0056294A"/>
    <w:rsid w:val="00562BAA"/>
    <w:rsid w:val="005635C2"/>
    <w:rsid w:val="005641E0"/>
    <w:rsid w:val="00564377"/>
    <w:rsid w:val="00567825"/>
    <w:rsid w:val="00570113"/>
    <w:rsid w:val="00571EFE"/>
    <w:rsid w:val="005720AE"/>
    <w:rsid w:val="00572FA4"/>
    <w:rsid w:val="00572FEE"/>
    <w:rsid w:val="00573D54"/>
    <w:rsid w:val="00574020"/>
    <w:rsid w:val="00574502"/>
    <w:rsid w:val="005745DD"/>
    <w:rsid w:val="00574795"/>
    <w:rsid w:val="005752F8"/>
    <w:rsid w:val="005762A7"/>
    <w:rsid w:val="00576421"/>
    <w:rsid w:val="0057668C"/>
    <w:rsid w:val="00577582"/>
    <w:rsid w:val="00577EA6"/>
    <w:rsid w:val="00577ECF"/>
    <w:rsid w:val="00580189"/>
    <w:rsid w:val="00582353"/>
    <w:rsid w:val="005826AD"/>
    <w:rsid w:val="005826CE"/>
    <w:rsid w:val="005852D4"/>
    <w:rsid w:val="00585383"/>
    <w:rsid w:val="00585574"/>
    <w:rsid w:val="00585CBD"/>
    <w:rsid w:val="00587261"/>
    <w:rsid w:val="00590226"/>
    <w:rsid w:val="00590FC1"/>
    <w:rsid w:val="0059118A"/>
    <w:rsid w:val="00591196"/>
    <w:rsid w:val="00592223"/>
    <w:rsid w:val="005923D0"/>
    <w:rsid w:val="005946D3"/>
    <w:rsid w:val="00594D77"/>
    <w:rsid w:val="00595A9C"/>
    <w:rsid w:val="00596944"/>
    <w:rsid w:val="005969E4"/>
    <w:rsid w:val="005A06B7"/>
    <w:rsid w:val="005A09B7"/>
    <w:rsid w:val="005A1759"/>
    <w:rsid w:val="005A19F9"/>
    <w:rsid w:val="005A1BFE"/>
    <w:rsid w:val="005A2B93"/>
    <w:rsid w:val="005A566D"/>
    <w:rsid w:val="005A57FC"/>
    <w:rsid w:val="005A68A7"/>
    <w:rsid w:val="005A68EB"/>
    <w:rsid w:val="005A72A3"/>
    <w:rsid w:val="005A7547"/>
    <w:rsid w:val="005B1C72"/>
    <w:rsid w:val="005B2043"/>
    <w:rsid w:val="005B35AB"/>
    <w:rsid w:val="005B5F57"/>
    <w:rsid w:val="005B62F8"/>
    <w:rsid w:val="005B7060"/>
    <w:rsid w:val="005B7837"/>
    <w:rsid w:val="005C0B20"/>
    <w:rsid w:val="005C0B6A"/>
    <w:rsid w:val="005C0FB1"/>
    <w:rsid w:val="005C23C0"/>
    <w:rsid w:val="005C27B5"/>
    <w:rsid w:val="005C2DA8"/>
    <w:rsid w:val="005C2ED6"/>
    <w:rsid w:val="005C4CCB"/>
    <w:rsid w:val="005C68FE"/>
    <w:rsid w:val="005C6945"/>
    <w:rsid w:val="005C6A6B"/>
    <w:rsid w:val="005C7349"/>
    <w:rsid w:val="005C7E75"/>
    <w:rsid w:val="005D04CA"/>
    <w:rsid w:val="005D0665"/>
    <w:rsid w:val="005D1F48"/>
    <w:rsid w:val="005D2F34"/>
    <w:rsid w:val="005D331E"/>
    <w:rsid w:val="005D36AB"/>
    <w:rsid w:val="005D3CD1"/>
    <w:rsid w:val="005D42D8"/>
    <w:rsid w:val="005D54E8"/>
    <w:rsid w:val="005D5D4D"/>
    <w:rsid w:val="005D688E"/>
    <w:rsid w:val="005D68F6"/>
    <w:rsid w:val="005D6F31"/>
    <w:rsid w:val="005E084F"/>
    <w:rsid w:val="005E0F72"/>
    <w:rsid w:val="005E1444"/>
    <w:rsid w:val="005E1A78"/>
    <w:rsid w:val="005E2D94"/>
    <w:rsid w:val="005E41BE"/>
    <w:rsid w:val="005E6B48"/>
    <w:rsid w:val="005E7BC6"/>
    <w:rsid w:val="005F080D"/>
    <w:rsid w:val="005F56A4"/>
    <w:rsid w:val="005F722C"/>
    <w:rsid w:val="006010AD"/>
    <w:rsid w:val="00601CC8"/>
    <w:rsid w:val="00604709"/>
    <w:rsid w:val="0060733F"/>
    <w:rsid w:val="00611B12"/>
    <w:rsid w:val="0061234B"/>
    <w:rsid w:val="00613538"/>
    <w:rsid w:val="006146DB"/>
    <w:rsid w:val="00614A4A"/>
    <w:rsid w:val="00614AD6"/>
    <w:rsid w:val="00614DEF"/>
    <w:rsid w:val="00614F1E"/>
    <w:rsid w:val="00616137"/>
    <w:rsid w:val="00616724"/>
    <w:rsid w:val="00617CC3"/>
    <w:rsid w:val="00620B2E"/>
    <w:rsid w:val="00621458"/>
    <w:rsid w:val="0062199F"/>
    <w:rsid w:val="00622722"/>
    <w:rsid w:val="00622765"/>
    <w:rsid w:val="00624017"/>
    <w:rsid w:val="00626A47"/>
    <w:rsid w:val="00631209"/>
    <w:rsid w:val="00631988"/>
    <w:rsid w:val="00632455"/>
    <w:rsid w:val="006325BE"/>
    <w:rsid w:val="006329D5"/>
    <w:rsid w:val="00636FE4"/>
    <w:rsid w:val="006372DE"/>
    <w:rsid w:val="006377A6"/>
    <w:rsid w:val="00637A3D"/>
    <w:rsid w:val="00637DC6"/>
    <w:rsid w:val="006411EF"/>
    <w:rsid w:val="00644ACE"/>
    <w:rsid w:val="00645081"/>
    <w:rsid w:val="006515EC"/>
    <w:rsid w:val="00651D79"/>
    <w:rsid w:val="00656ABE"/>
    <w:rsid w:val="00657282"/>
    <w:rsid w:val="006601F8"/>
    <w:rsid w:val="0066022F"/>
    <w:rsid w:val="00662475"/>
    <w:rsid w:val="006668FB"/>
    <w:rsid w:val="00666C3D"/>
    <w:rsid w:val="006712C9"/>
    <w:rsid w:val="0067321F"/>
    <w:rsid w:val="00673FAF"/>
    <w:rsid w:val="006748B8"/>
    <w:rsid w:val="0067702F"/>
    <w:rsid w:val="006775C3"/>
    <w:rsid w:val="00680259"/>
    <w:rsid w:val="0068081F"/>
    <w:rsid w:val="00680953"/>
    <w:rsid w:val="00680E93"/>
    <w:rsid w:val="00683019"/>
    <w:rsid w:val="00686C80"/>
    <w:rsid w:val="00687076"/>
    <w:rsid w:val="00691A35"/>
    <w:rsid w:val="0069290A"/>
    <w:rsid w:val="006946A7"/>
    <w:rsid w:val="00694922"/>
    <w:rsid w:val="006950E9"/>
    <w:rsid w:val="00695245"/>
    <w:rsid w:val="00695A25"/>
    <w:rsid w:val="006962CB"/>
    <w:rsid w:val="00696CC0"/>
    <w:rsid w:val="006976E8"/>
    <w:rsid w:val="00697739"/>
    <w:rsid w:val="0069775A"/>
    <w:rsid w:val="00697813"/>
    <w:rsid w:val="00697BCF"/>
    <w:rsid w:val="00697BFE"/>
    <w:rsid w:val="006A10F4"/>
    <w:rsid w:val="006A2176"/>
    <w:rsid w:val="006A2CBE"/>
    <w:rsid w:val="006A3EE8"/>
    <w:rsid w:val="006A72BF"/>
    <w:rsid w:val="006B03F2"/>
    <w:rsid w:val="006B0A6A"/>
    <w:rsid w:val="006B37DC"/>
    <w:rsid w:val="006B3EFE"/>
    <w:rsid w:val="006B4F68"/>
    <w:rsid w:val="006B67F3"/>
    <w:rsid w:val="006B6830"/>
    <w:rsid w:val="006B7AC5"/>
    <w:rsid w:val="006C04E3"/>
    <w:rsid w:val="006C0592"/>
    <w:rsid w:val="006C19CF"/>
    <w:rsid w:val="006C272E"/>
    <w:rsid w:val="006C3914"/>
    <w:rsid w:val="006C4899"/>
    <w:rsid w:val="006C5479"/>
    <w:rsid w:val="006C5A89"/>
    <w:rsid w:val="006C5C34"/>
    <w:rsid w:val="006C66ED"/>
    <w:rsid w:val="006C70F4"/>
    <w:rsid w:val="006D063F"/>
    <w:rsid w:val="006D13B5"/>
    <w:rsid w:val="006D1849"/>
    <w:rsid w:val="006D4B21"/>
    <w:rsid w:val="006D4BD8"/>
    <w:rsid w:val="006D53D4"/>
    <w:rsid w:val="006E0985"/>
    <w:rsid w:val="006E0F59"/>
    <w:rsid w:val="006E12FF"/>
    <w:rsid w:val="006E1607"/>
    <w:rsid w:val="006E265B"/>
    <w:rsid w:val="006E30BD"/>
    <w:rsid w:val="006E38F4"/>
    <w:rsid w:val="006E4768"/>
    <w:rsid w:val="006E48E0"/>
    <w:rsid w:val="006E607E"/>
    <w:rsid w:val="006E643E"/>
    <w:rsid w:val="006E66EF"/>
    <w:rsid w:val="006F0701"/>
    <w:rsid w:val="006F1694"/>
    <w:rsid w:val="006F5003"/>
    <w:rsid w:val="006F6E93"/>
    <w:rsid w:val="006F75CD"/>
    <w:rsid w:val="007006A5"/>
    <w:rsid w:val="007009CA"/>
    <w:rsid w:val="007010FA"/>
    <w:rsid w:val="00701214"/>
    <w:rsid w:val="00701368"/>
    <w:rsid w:val="00701CC4"/>
    <w:rsid w:val="0070307B"/>
    <w:rsid w:val="007032BE"/>
    <w:rsid w:val="00703780"/>
    <w:rsid w:val="007037A2"/>
    <w:rsid w:val="007048CA"/>
    <w:rsid w:val="007051C7"/>
    <w:rsid w:val="00705BD9"/>
    <w:rsid w:val="00705DA0"/>
    <w:rsid w:val="00706596"/>
    <w:rsid w:val="00706C5D"/>
    <w:rsid w:val="00710774"/>
    <w:rsid w:val="0071226D"/>
    <w:rsid w:val="007141F0"/>
    <w:rsid w:val="00715009"/>
    <w:rsid w:val="007152FA"/>
    <w:rsid w:val="00715D6C"/>
    <w:rsid w:val="00715F36"/>
    <w:rsid w:val="00716896"/>
    <w:rsid w:val="00720027"/>
    <w:rsid w:val="00720497"/>
    <w:rsid w:val="007216F0"/>
    <w:rsid w:val="00721A0D"/>
    <w:rsid w:val="007225AB"/>
    <w:rsid w:val="00722678"/>
    <w:rsid w:val="007247E7"/>
    <w:rsid w:val="00725F1C"/>
    <w:rsid w:val="0072680A"/>
    <w:rsid w:val="00726C86"/>
    <w:rsid w:val="00730081"/>
    <w:rsid w:val="00732922"/>
    <w:rsid w:val="007341EF"/>
    <w:rsid w:val="00734C08"/>
    <w:rsid w:val="0073502C"/>
    <w:rsid w:val="00735736"/>
    <w:rsid w:val="00736A9A"/>
    <w:rsid w:val="00737180"/>
    <w:rsid w:val="00737461"/>
    <w:rsid w:val="00737AA9"/>
    <w:rsid w:val="00742B5D"/>
    <w:rsid w:val="00744FF1"/>
    <w:rsid w:val="0074504C"/>
    <w:rsid w:val="0075162E"/>
    <w:rsid w:val="00752FCA"/>
    <w:rsid w:val="00753083"/>
    <w:rsid w:val="0075377D"/>
    <w:rsid w:val="00754034"/>
    <w:rsid w:val="00754B66"/>
    <w:rsid w:val="00754FFE"/>
    <w:rsid w:val="007554E5"/>
    <w:rsid w:val="00755BF0"/>
    <w:rsid w:val="00755F81"/>
    <w:rsid w:val="00756556"/>
    <w:rsid w:val="007567B1"/>
    <w:rsid w:val="00757785"/>
    <w:rsid w:val="007579BE"/>
    <w:rsid w:val="00760BD7"/>
    <w:rsid w:val="007618C4"/>
    <w:rsid w:val="00762043"/>
    <w:rsid w:val="00762050"/>
    <w:rsid w:val="00763671"/>
    <w:rsid w:val="007645F4"/>
    <w:rsid w:val="00765332"/>
    <w:rsid w:val="0076638C"/>
    <w:rsid w:val="007676FA"/>
    <w:rsid w:val="00767980"/>
    <w:rsid w:val="00770B19"/>
    <w:rsid w:val="0077223B"/>
    <w:rsid w:val="00773B6B"/>
    <w:rsid w:val="0077463F"/>
    <w:rsid w:val="00774EED"/>
    <w:rsid w:val="00775088"/>
    <w:rsid w:val="00775182"/>
    <w:rsid w:val="007759AB"/>
    <w:rsid w:val="00775F27"/>
    <w:rsid w:val="0077645F"/>
    <w:rsid w:val="007766BA"/>
    <w:rsid w:val="007823DB"/>
    <w:rsid w:val="00782933"/>
    <w:rsid w:val="00782A7F"/>
    <w:rsid w:val="00782BF4"/>
    <w:rsid w:val="007833E2"/>
    <w:rsid w:val="007836EA"/>
    <w:rsid w:val="00783E06"/>
    <w:rsid w:val="0078467F"/>
    <w:rsid w:val="00784CDA"/>
    <w:rsid w:val="007855F2"/>
    <w:rsid w:val="00790254"/>
    <w:rsid w:val="007906C4"/>
    <w:rsid w:val="00790C2F"/>
    <w:rsid w:val="00790C4E"/>
    <w:rsid w:val="00791ECF"/>
    <w:rsid w:val="007940EA"/>
    <w:rsid w:val="007949EF"/>
    <w:rsid w:val="00794E0E"/>
    <w:rsid w:val="00795DA7"/>
    <w:rsid w:val="007967E8"/>
    <w:rsid w:val="007A0ABD"/>
    <w:rsid w:val="007A0B18"/>
    <w:rsid w:val="007A2170"/>
    <w:rsid w:val="007A22BF"/>
    <w:rsid w:val="007A3323"/>
    <w:rsid w:val="007A36D3"/>
    <w:rsid w:val="007A3906"/>
    <w:rsid w:val="007A49A5"/>
    <w:rsid w:val="007A53F3"/>
    <w:rsid w:val="007A6022"/>
    <w:rsid w:val="007A6879"/>
    <w:rsid w:val="007A6E12"/>
    <w:rsid w:val="007A6E6E"/>
    <w:rsid w:val="007B0FBC"/>
    <w:rsid w:val="007B340F"/>
    <w:rsid w:val="007B3AA5"/>
    <w:rsid w:val="007B4E10"/>
    <w:rsid w:val="007B611A"/>
    <w:rsid w:val="007B699F"/>
    <w:rsid w:val="007B6BF3"/>
    <w:rsid w:val="007B6D2A"/>
    <w:rsid w:val="007B72B8"/>
    <w:rsid w:val="007B7A58"/>
    <w:rsid w:val="007C027D"/>
    <w:rsid w:val="007C1F07"/>
    <w:rsid w:val="007C21B5"/>
    <w:rsid w:val="007C240B"/>
    <w:rsid w:val="007C2EA6"/>
    <w:rsid w:val="007C4F54"/>
    <w:rsid w:val="007C6080"/>
    <w:rsid w:val="007C716D"/>
    <w:rsid w:val="007C7DFC"/>
    <w:rsid w:val="007D0A28"/>
    <w:rsid w:val="007D1332"/>
    <w:rsid w:val="007D138D"/>
    <w:rsid w:val="007D23CE"/>
    <w:rsid w:val="007D45AD"/>
    <w:rsid w:val="007D4D17"/>
    <w:rsid w:val="007D5B76"/>
    <w:rsid w:val="007D6704"/>
    <w:rsid w:val="007D7260"/>
    <w:rsid w:val="007D73F5"/>
    <w:rsid w:val="007E050B"/>
    <w:rsid w:val="007E0F62"/>
    <w:rsid w:val="007E11C5"/>
    <w:rsid w:val="007E11F9"/>
    <w:rsid w:val="007E1229"/>
    <w:rsid w:val="007E24EB"/>
    <w:rsid w:val="007E2B6B"/>
    <w:rsid w:val="007E2D2A"/>
    <w:rsid w:val="007E4BD2"/>
    <w:rsid w:val="007E61C4"/>
    <w:rsid w:val="007E65EF"/>
    <w:rsid w:val="007F04AC"/>
    <w:rsid w:val="007F1B3E"/>
    <w:rsid w:val="007F1C67"/>
    <w:rsid w:val="007F1DB7"/>
    <w:rsid w:val="007F47CC"/>
    <w:rsid w:val="007F48BA"/>
    <w:rsid w:val="007F58B5"/>
    <w:rsid w:val="00801393"/>
    <w:rsid w:val="00801BAC"/>
    <w:rsid w:val="00802A90"/>
    <w:rsid w:val="00802AAB"/>
    <w:rsid w:val="00802F88"/>
    <w:rsid w:val="00803B77"/>
    <w:rsid w:val="00805336"/>
    <w:rsid w:val="00806870"/>
    <w:rsid w:val="0080696F"/>
    <w:rsid w:val="0081046C"/>
    <w:rsid w:val="00812580"/>
    <w:rsid w:val="0081293E"/>
    <w:rsid w:val="00812B16"/>
    <w:rsid w:val="00813759"/>
    <w:rsid w:val="008142EE"/>
    <w:rsid w:val="00815465"/>
    <w:rsid w:val="00815C1A"/>
    <w:rsid w:val="00817E9A"/>
    <w:rsid w:val="00821A70"/>
    <w:rsid w:val="0082320F"/>
    <w:rsid w:val="0082356E"/>
    <w:rsid w:val="008256A2"/>
    <w:rsid w:val="00826701"/>
    <w:rsid w:val="00826739"/>
    <w:rsid w:val="0082689C"/>
    <w:rsid w:val="00826CF5"/>
    <w:rsid w:val="008275D7"/>
    <w:rsid w:val="00827B50"/>
    <w:rsid w:val="008306BD"/>
    <w:rsid w:val="00831A80"/>
    <w:rsid w:val="00833743"/>
    <w:rsid w:val="008340A4"/>
    <w:rsid w:val="0083482B"/>
    <w:rsid w:val="00835641"/>
    <w:rsid w:val="00835CB8"/>
    <w:rsid w:val="00837EED"/>
    <w:rsid w:val="008406C1"/>
    <w:rsid w:val="008424AB"/>
    <w:rsid w:val="00844542"/>
    <w:rsid w:val="00846168"/>
    <w:rsid w:val="00847ADE"/>
    <w:rsid w:val="00847D13"/>
    <w:rsid w:val="00850289"/>
    <w:rsid w:val="00851438"/>
    <w:rsid w:val="00852589"/>
    <w:rsid w:val="0085481A"/>
    <w:rsid w:val="00854945"/>
    <w:rsid w:val="0085652D"/>
    <w:rsid w:val="008568E7"/>
    <w:rsid w:val="00860CB0"/>
    <w:rsid w:val="00860CD7"/>
    <w:rsid w:val="00863772"/>
    <w:rsid w:val="008650B3"/>
    <w:rsid w:val="00867109"/>
    <w:rsid w:val="0086784D"/>
    <w:rsid w:val="00867E51"/>
    <w:rsid w:val="00870538"/>
    <w:rsid w:val="008708FC"/>
    <w:rsid w:val="0087135F"/>
    <w:rsid w:val="0087199F"/>
    <w:rsid w:val="00871AD6"/>
    <w:rsid w:val="00872113"/>
    <w:rsid w:val="00872D94"/>
    <w:rsid w:val="00873982"/>
    <w:rsid w:val="00873CB7"/>
    <w:rsid w:val="00874DC8"/>
    <w:rsid w:val="0087518E"/>
    <w:rsid w:val="00875324"/>
    <w:rsid w:val="00876FE7"/>
    <w:rsid w:val="00880364"/>
    <w:rsid w:val="00881083"/>
    <w:rsid w:val="008811EB"/>
    <w:rsid w:val="00881379"/>
    <w:rsid w:val="00881A12"/>
    <w:rsid w:val="00884BC3"/>
    <w:rsid w:val="0088558F"/>
    <w:rsid w:val="008867BD"/>
    <w:rsid w:val="00887D1E"/>
    <w:rsid w:val="008904C8"/>
    <w:rsid w:val="008914CF"/>
    <w:rsid w:val="008914E7"/>
    <w:rsid w:val="00891592"/>
    <w:rsid w:val="00891E9E"/>
    <w:rsid w:val="00892849"/>
    <w:rsid w:val="00894A20"/>
    <w:rsid w:val="00894AB4"/>
    <w:rsid w:val="00896774"/>
    <w:rsid w:val="00896C50"/>
    <w:rsid w:val="00896EC4"/>
    <w:rsid w:val="008971A5"/>
    <w:rsid w:val="008A1303"/>
    <w:rsid w:val="008A13C4"/>
    <w:rsid w:val="008A1FAB"/>
    <w:rsid w:val="008A2F68"/>
    <w:rsid w:val="008A2F6C"/>
    <w:rsid w:val="008A3791"/>
    <w:rsid w:val="008A39BD"/>
    <w:rsid w:val="008A4189"/>
    <w:rsid w:val="008A44AE"/>
    <w:rsid w:val="008A5D4E"/>
    <w:rsid w:val="008A5D84"/>
    <w:rsid w:val="008B117F"/>
    <w:rsid w:val="008B25C2"/>
    <w:rsid w:val="008B3DF9"/>
    <w:rsid w:val="008B4FA6"/>
    <w:rsid w:val="008B5282"/>
    <w:rsid w:val="008B6E4B"/>
    <w:rsid w:val="008B703D"/>
    <w:rsid w:val="008B73F8"/>
    <w:rsid w:val="008B77FF"/>
    <w:rsid w:val="008B7C17"/>
    <w:rsid w:val="008C04B1"/>
    <w:rsid w:val="008C0A6D"/>
    <w:rsid w:val="008C1171"/>
    <w:rsid w:val="008C23B4"/>
    <w:rsid w:val="008C2D01"/>
    <w:rsid w:val="008C40E6"/>
    <w:rsid w:val="008C444E"/>
    <w:rsid w:val="008C79D9"/>
    <w:rsid w:val="008C7C64"/>
    <w:rsid w:val="008C7EE7"/>
    <w:rsid w:val="008D0F7A"/>
    <w:rsid w:val="008D207F"/>
    <w:rsid w:val="008D47C4"/>
    <w:rsid w:val="008D68E4"/>
    <w:rsid w:val="008D7D0B"/>
    <w:rsid w:val="008E0506"/>
    <w:rsid w:val="008E0A6C"/>
    <w:rsid w:val="008E0CFF"/>
    <w:rsid w:val="008E21EF"/>
    <w:rsid w:val="008E489F"/>
    <w:rsid w:val="008E48D0"/>
    <w:rsid w:val="008E5C1A"/>
    <w:rsid w:val="008E5D6B"/>
    <w:rsid w:val="008E649B"/>
    <w:rsid w:val="008E6A50"/>
    <w:rsid w:val="008E76F0"/>
    <w:rsid w:val="008F0687"/>
    <w:rsid w:val="008F1087"/>
    <w:rsid w:val="008F15FE"/>
    <w:rsid w:val="008F17FF"/>
    <w:rsid w:val="008F2D29"/>
    <w:rsid w:val="008F4EC1"/>
    <w:rsid w:val="008F50E7"/>
    <w:rsid w:val="008F5187"/>
    <w:rsid w:val="008F5BB2"/>
    <w:rsid w:val="008F60D8"/>
    <w:rsid w:val="008F75BF"/>
    <w:rsid w:val="00900B04"/>
    <w:rsid w:val="009020CD"/>
    <w:rsid w:val="00902727"/>
    <w:rsid w:val="0090312B"/>
    <w:rsid w:val="00903FFF"/>
    <w:rsid w:val="00904813"/>
    <w:rsid w:val="00904C81"/>
    <w:rsid w:val="009052E1"/>
    <w:rsid w:val="00907251"/>
    <w:rsid w:val="0090752E"/>
    <w:rsid w:val="00907B99"/>
    <w:rsid w:val="00910A9A"/>
    <w:rsid w:val="0091116C"/>
    <w:rsid w:val="00914C7C"/>
    <w:rsid w:val="009159FC"/>
    <w:rsid w:val="00915EB9"/>
    <w:rsid w:val="00915EC8"/>
    <w:rsid w:val="00916093"/>
    <w:rsid w:val="0091736D"/>
    <w:rsid w:val="00917B0F"/>
    <w:rsid w:val="00917B4A"/>
    <w:rsid w:val="009213A4"/>
    <w:rsid w:val="00922938"/>
    <w:rsid w:val="00922C9A"/>
    <w:rsid w:val="00922E88"/>
    <w:rsid w:val="00923001"/>
    <w:rsid w:val="00925C46"/>
    <w:rsid w:val="00926DF1"/>
    <w:rsid w:val="0093037A"/>
    <w:rsid w:val="009304C3"/>
    <w:rsid w:val="00931EB5"/>
    <w:rsid w:val="00935BFC"/>
    <w:rsid w:val="00936172"/>
    <w:rsid w:val="00936AC8"/>
    <w:rsid w:val="0094154D"/>
    <w:rsid w:val="009447AB"/>
    <w:rsid w:val="00950B23"/>
    <w:rsid w:val="0095155F"/>
    <w:rsid w:val="00951687"/>
    <w:rsid w:val="009523D2"/>
    <w:rsid w:val="00953B0F"/>
    <w:rsid w:val="00954429"/>
    <w:rsid w:val="009545FB"/>
    <w:rsid w:val="00955AF1"/>
    <w:rsid w:val="009560BD"/>
    <w:rsid w:val="009560CE"/>
    <w:rsid w:val="009561F0"/>
    <w:rsid w:val="009563CE"/>
    <w:rsid w:val="00956584"/>
    <w:rsid w:val="009568FC"/>
    <w:rsid w:val="0096037F"/>
    <w:rsid w:val="00960555"/>
    <w:rsid w:val="00960DCD"/>
    <w:rsid w:val="009628AC"/>
    <w:rsid w:val="009661F0"/>
    <w:rsid w:val="00966B48"/>
    <w:rsid w:val="0097019E"/>
    <w:rsid w:val="00972FE1"/>
    <w:rsid w:val="009738C9"/>
    <w:rsid w:val="00975109"/>
    <w:rsid w:val="0097546A"/>
    <w:rsid w:val="00975D0E"/>
    <w:rsid w:val="00976328"/>
    <w:rsid w:val="0097680D"/>
    <w:rsid w:val="0097705A"/>
    <w:rsid w:val="00982438"/>
    <w:rsid w:val="009829D5"/>
    <w:rsid w:val="00983518"/>
    <w:rsid w:val="0098404C"/>
    <w:rsid w:val="009850E2"/>
    <w:rsid w:val="00985283"/>
    <w:rsid w:val="00986E65"/>
    <w:rsid w:val="00986F95"/>
    <w:rsid w:val="009874D1"/>
    <w:rsid w:val="00991370"/>
    <w:rsid w:val="00993D3B"/>
    <w:rsid w:val="00994CF3"/>
    <w:rsid w:val="00995992"/>
    <w:rsid w:val="00996007"/>
    <w:rsid w:val="00996412"/>
    <w:rsid w:val="00996A5E"/>
    <w:rsid w:val="00996CE8"/>
    <w:rsid w:val="009A03E5"/>
    <w:rsid w:val="009A05B8"/>
    <w:rsid w:val="009A08CC"/>
    <w:rsid w:val="009A0F3B"/>
    <w:rsid w:val="009A1BB4"/>
    <w:rsid w:val="009A2628"/>
    <w:rsid w:val="009A3200"/>
    <w:rsid w:val="009A5A76"/>
    <w:rsid w:val="009A5D0C"/>
    <w:rsid w:val="009A5EA3"/>
    <w:rsid w:val="009A5F4A"/>
    <w:rsid w:val="009B0897"/>
    <w:rsid w:val="009B1F05"/>
    <w:rsid w:val="009B209C"/>
    <w:rsid w:val="009B2161"/>
    <w:rsid w:val="009B3FCF"/>
    <w:rsid w:val="009B6363"/>
    <w:rsid w:val="009B7761"/>
    <w:rsid w:val="009B787B"/>
    <w:rsid w:val="009B7BD9"/>
    <w:rsid w:val="009C2942"/>
    <w:rsid w:val="009C2987"/>
    <w:rsid w:val="009C48D8"/>
    <w:rsid w:val="009C4BA1"/>
    <w:rsid w:val="009C518A"/>
    <w:rsid w:val="009C6056"/>
    <w:rsid w:val="009C777E"/>
    <w:rsid w:val="009C7DD5"/>
    <w:rsid w:val="009C7E26"/>
    <w:rsid w:val="009D0486"/>
    <w:rsid w:val="009D050C"/>
    <w:rsid w:val="009D0745"/>
    <w:rsid w:val="009D1968"/>
    <w:rsid w:val="009D2AE4"/>
    <w:rsid w:val="009D392C"/>
    <w:rsid w:val="009D3C8C"/>
    <w:rsid w:val="009D51F7"/>
    <w:rsid w:val="009D6EF2"/>
    <w:rsid w:val="009D726F"/>
    <w:rsid w:val="009E0D71"/>
    <w:rsid w:val="009E227D"/>
    <w:rsid w:val="009E2F34"/>
    <w:rsid w:val="009E3406"/>
    <w:rsid w:val="009E4FEC"/>
    <w:rsid w:val="009E5019"/>
    <w:rsid w:val="009F0721"/>
    <w:rsid w:val="009F284B"/>
    <w:rsid w:val="009F3207"/>
    <w:rsid w:val="009F390D"/>
    <w:rsid w:val="009F4231"/>
    <w:rsid w:val="009F5750"/>
    <w:rsid w:val="009F6029"/>
    <w:rsid w:val="009F66FB"/>
    <w:rsid w:val="009F6D9B"/>
    <w:rsid w:val="009F7126"/>
    <w:rsid w:val="009F7D2B"/>
    <w:rsid w:val="00A01D1B"/>
    <w:rsid w:val="00A03D2C"/>
    <w:rsid w:val="00A04421"/>
    <w:rsid w:val="00A04F1B"/>
    <w:rsid w:val="00A0501B"/>
    <w:rsid w:val="00A05937"/>
    <w:rsid w:val="00A118C6"/>
    <w:rsid w:val="00A11A28"/>
    <w:rsid w:val="00A11C22"/>
    <w:rsid w:val="00A14947"/>
    <w:rsid w:val="00A1513F"/>
    <w:rsid w:val="00A15223"/>
    <w:rsid w:val="00A153B8"/>
    <w:rsid w:val="00A15C09"/>
    <w:rsid w:val="00A165DD"/>
    <w:rsid w:val="00A201CF"/>
    <w:rsid w:val="00A2070D"/>
    <w:rsid w:val="00A30546"/>
    <w:rsid w:val="00A30C95"/>
    <w:rsid w:val="00A30D50"/>
    <w:rsid w:val="00A327CF"/>
    <w:rsid w:val="00A32A83"/>
    <w:rsid w:val="00A34912"/>
    <w:rsid w:val="00A36502"/>
    <w:rsid w:val="00A368DB"/>
    <w:rsid w:val="00A423AA"/>
    <w:rsid w:val="00A4281F"/>
    <w:rsid w:val="00A42DBD"/>
    <w:rsid w:val="00A43800"/>
    <w:rsid w:val="00A43B12"/>
    <w:rsid w:val="00A43F40"/>
    <w:rsid w:val="00A443F8"/>
    <w:rsid w:val="00A44F25"/>
    <w:rsid w:val="00A4615A"/>
    <w:rsid w:val="00A4692E"/>
    <w:rsid w:val="00A46AC2"/>
    <w:rsid w:val="00A47354"/>
    <w:rsid w:val="00A47F5A"/>
    <w:rsid w:val="00A47F90"/>
    <w:rsid w:val="00A503EE"/>
    <w:rsid w:val="00A51018"/>
    <w:rsid w:val="00A51EEC"/>
    <w:rsid w:val="00A52F7C"/>
    <w:rsid w:val="00A53811"/>
    <w:rsid w:val="00A53EC6"/>
    <w:rsid w:val="00A54CB3"/>
    <w:rsid w:val="00A553CB"/>
    <w:rsid w:val="00A55470"/>
    <w:rsid w:val="00A558E9"/>
    <w:rsid w:val="00A55C0F"/>
    <w:rsid w:val="00A56437"/>
    <w:rsid w:val="00A564E2"/>
    <w:rsid w:val="00A567F2"/>
    <w:rsid w:val="00A57817"/>
    <w:rsid w:val="00A6046C"/>
    <w:rsid w:val="00A60611"/>
    <w:rsid w:val="00A61E07"/>
    <w:rsid w:val="00A6212E"/>
    <w:rsid w:val="00A6362B"/>
    <w:rsid w:val="00A63FD0"/>
    <w:rsid w:val="00A64190"/>
    <w:rsid w:val="00A66329"/>
    <w:rsid w:val="00A66699"/>
    <w:rsid w:val="00A67694"/>
    <w:rsid w:val="00A67C1F"/>
    <w:rsid w:val="00A72CD7"/>
    <w:rsid w:val="00A73062"/>
    <w:rsid w:val="00A735CA"/>
    <w:rsid w:val="00A73916"/>
    <w:rsid w:val="00A747F3"/>
    <w:rsid w:val="00A74901"/>
    <w:rsid w:val="00A74EE1"/>
    <w:rsid w:val="00A80B79"/>
    <w:rsid w:val="00A810C8"/>
    <w:rsid w:val="00A81957"/>
    <w:rsid w:val="00A82F0E"/>
    <w:rsid w:val="00A8305E"/>
    <w:rsid w:val="00A86E0F"/>
    <w:rsid w:val="00A8713F"/>
    <w:rsid w:val="00A873ED"/>
    <w:rsid w:val="00A87964"/>
    <w:rsid w:val="00A87F96"/>
    <w:rsid w:val="00A905EA"/>
    <w:rsid w:val="00A909E6"/>
    <w:rsid w:val="00A90A83"/>
    <w:rsid w:val="00A90BA1"/>
    <w:rsid w:val="00A91D46"/>
    <w:rsid w:val="00A91E05"/>
    <w:rsid w:val="00A9264C"/>
    <w:rsid w:val="00A93442"/>
    <w:rsid w:val="00A93611"/>
    <w:rsid w:val="00A9365F"/>
    <w:rsid w:val="00A95824"/>
    <w:rsid w:val="00A96242"/>
    <w:rsid w:val="00A971D8"/>
    <w:rsid w:val="00A97612"/>
    <w:rsid w:val="00A97A9A"/>
    <w:rsid w:val="00AA0405"/>
    <w:rsid w:val="00AA0671"/>
    <w:rsid w:val="00AA09F5"/>
    <w:rsid w:val="00AA10BF"/>
    <w:rsid w:val="00AA21E4"/>
    <w:rsid w:val="00AA2513"/>
    <w:rsid w:val="00AA2531"/>
    <w:rsid w:val="00AA299E"/>
    <w:rsid w:val="00AA3FD7"/>
    <w:rsid w:val="00AA4C16"/>
    <w:rsid w:val="00AB18F8"/>
    <w:rsid w:val="00AB1C79"/>
    <w:rsid w:val="00AB1E09"/>
    <w:rsid w:val="00AB2021"/>
    <w:rsid w:val="00AB366B"/>
    <w:rsid w:val="00AB3C36"/>
    <w:rsid w:val="00AB5330"/>
    <w:rsid w:val="00AB5901"/>
    <w:rsid w:val="00AB6B1D"/>
    <w:rsid w:val="00AB6FCD"/>
    <w:rsid w:val="00AB7747"/>
    <w:rsid w:val="00AB7D45"/>
    <w:rsid w:val="00AC14CE"/>
    <w:rsid w:val="00AC18D8"/>
    <w:rsid w:val="00AC1CFF"/>
    <w:rsid w:val="00AC1F5F"/>
    <w:rsid w:val="00AC2A56"/>
    <w:rsid w:val="00AC2DDF"/>
    <w:rsid w:val="00AC3889"/>
    <w:rsid w:val="00AC390B"/>
    <w:rsid w:val="00AC6179"/>
    <w:rsid w:val="00AC67A3"/>
    <w:rsid w:val="00AC7E88"/>
    <w:rsid w:val="00AD055E"/>
    <w:rsid w:val="00AD07D0"/>
    <w:rsid w:val="00AD1824"/>
    <w:rsid w:val="00AD1B70"/>
    <w:rsid w:val="00AD1BC8"/>
    <w:rsid w:val="00AD1DDE"/>
    <w:rsid w:val="00AD1F2F"/>
    <w:rsid w:val="00AD3913"/>
    <w:rsid w:val="00AD3A37"/>
    <w:rsid w:val="00AD4262"/>
    <w:rsid w:val="00AD47A7"/>
    <w:rsid w:val="00AD5176"/>
    <w:rsid w:val="00AD56F4"/>
    <w:rsid w:val="00AD6756"/>
    <w:rsid w:val="00AE132C"/>
    <w:rsid w:val="00AE30CB"/>
    <w:rsid w:val="00AE5D71"/>
    <w:rsid w:val="00AE7A3B"/>
    <w:rsid w:val="00AE7DAB"/>
    <w:rsid w:val="00AF003E"/>
    <w:rsid w:val="00AF0C12"/>
    <w:rsid w:val="00AF0CBF"/>
    <w:rsid w:val="00AF127E"/>
    <w:rsid w:val="00AF19CA"/>
    <w:rsid w:val="00AF257F"/>
    <w:rsid w:val="00AF33CF"/>
    <w:rsid w:val="00AF40D3"/>
    <w:rsid w:val="00AF4D50"/>
    <w:rsid w:val="00AF6179"/>
    <w:rsid w:val="00AF6308"/>
    <w:rsid w:val="00B0053D"/>
    <w:rsid w:val="00B0110C"/>
    <w:rsid w:val="00B01CD6"/>
    <w:rsid w:val="00B02669"/>
    <w:rsid w:val="00B02D7F"/>
    <w:rsid w:val="00B04D5F"/>
    <w:rsid w:val="00B059B1"/>
    <w:rsid w:val="00B110E9"/>
    <w:rsid w:val="00B1289E"/>
    <w:rsid w:val="00B1295A"/>
    <w:rsid w:val="00B1496C"/>
    <w:rsid w:val="00B16200"/>
    <w:rsid w:val="00B171D4"/>
    <w:rsid w:val="00B20A45"/>
    <w:rsid w:val="00B20DD6"/>
    <w:rsid w:val="00B219E5"/>
    <w:rsid w:val="00B227FA"/>
    <w:rsid w:val="00B22C5C"/>
    <w:rsid w:val="00B22D5F"/>
    <w:rsid w:val="00B24024"/>
    <w:rsid w:val="00B24F30"/>
    <w:rsid w:val="00B27DB6"/>
    <w:rsid w:val="00B30408"/>
    <w:rsid w:val="00B31ABF"/>
    <w:rsid w:val="00B31B6A"/>
    <w:rsid w:val="00B3248A"/>
    <w:rsid w:val="00B33677"/>
    <w:rsid w:val="00B33BE3"/>
    <w:rsid w:val="00B354F2"/>
    <w:rsid w:val="00B36728"/>
    <w:rsid w:val="00B3776A"/>
    <w:rsid w:val="00B40925"/>
    <w:rsid w:val="00B41E0F"/>
    <w:rsid w:val="00B4257C"/>
    <w:rsid w:val="00B42701"/>
    <w:rsid w:val="00B440B5"/>
    <w:rsid w:val="00B4416A"/>
    <w:rsid w:val="00B45008"/>
    <w:rsid w:val="00B458EE"/>
    <w:rsid w:val="00B46AA6"/>
    <w:rsid w:val="00B50177"/>
    <w:rsid w:val="00B50221"/>
    <w:rsid w:val="00B5099B"/>
    <w:rsid w:val="00B52F3D"/>
    <w:rsid w:val="00B53B5D"/>
    <w:rsid w:val="00B545A8"/>
    <w:rsid w:val="00B54E1F"/>
    <w:rsid w:val="00B55D81"/>
    <w:rsid w:val="00B55FC2"/>
    <w:rsid w:val="00B564EE"/>
    <w:rsid w:val="00B56666"/>
    <w:rsid w:val="00B576B2"/>
    <w:rsid w:val="00B57B59"/>
    <w:rsid w:val="00B6055E"/>
    <w:rsid w:val="00B606C4"/>
    <w:rsid w:val="00B625C8"/>
    <w:rsid w:val="00B62B19"/>
    <w:rsid w:val="00B62E2A"/>
    <w:rsid w:val="00B6317D"/>
    <w:rsid w:val="00B709DF"/>
    <w:rsid w:val="00B725FC"/>
    <w:rsid w:val="00B741A3"/>
    <w:rsid w:val="00B74223"/>
    <w:rsid w:val="00B74F39"/>
    <w:rsid w:val="00B750CF"/>
    <w:rsid w:val="00B7654F"/>
    <w:rsid w:val="00B7704F"/>
    <w:rsid w:val="00B7723F"/>
    <w:rsid w:val="00B80534"/>
    <w:rsid w:val="00B80E0B"/>
    <w:rsid w:val="00B8117B"/>
    <w:rsid w:val="00B81C4A"/>
    <w:rsid w:val="00B8433C"/>
    <w:rsid w:val="00B868D7"/>
    <w:rsid w:val="00B87087"/>
    <w:rsid w:val="00B87491"/>
    <w:rsid w:val="00B87E6C"/>
    <w:rsid w:val="00B87E92"/>
    <w:rsid w:val="00B9140D"/>
    <w:rsid w:val="00B93920"/>
    <w:rsid w:val="00B9429C"/>
    <w:rsid w:val="00B950EE"/>
    <w:rsid w:val="00B95DCD"/>
    <w:rsid w:val="00B964D8"/>
    <w:rsid w:val="00B97637"/>
    <w:rsid w:val="00BA291F"/>
    <w:rsid w:val="00BA29E9"/>
    <w:rsid w:val="00BA3B66"/>
    <w:rsid w:val="00BA471E"/>
    <w:rsid w:val="00BA4AF5"/>
    <w:rsid w:val="00BA5465"/>
    <w:rsid w:val="00BA6624"/>
    <w:rsid w:val="00BA7142"/>
    <w:rsid w:val="00BB232D"/>
    <w:rsid w:val="00BB237C"/>
    <w:rsid w:val="00BB41A3"/>
    <w:rsid w:val="00BB60B9"/>
    <w:rsid w:val="00BB634D"/>
    <w:rsid w:val="00BB6B3C"/>
    <w:rsid w:val="00BC01D6"/>
    <w:rsid w:val="00BC030B"/>
    <w:rsid w:val="00BC0BF5"/>
    <w:rsid w:val="00BC0E99"/>
    <w:rsid w:val="00BC12A2"/>
    <w:rsid w:val="00BC199F"/>
    <w:rsid w:val="00BC1DA0"/>
    <w:rsid w:val="00BC1E08"/>
    <w:rsid w:val="00BC32DC"/>
    <w:rsid w:val="00BC35B6"/>
    <w:rsid w:val="00BC5C16"/>
    <w:rsid w:val="00BC606E"/>
    <w:rsid w:val="00BC6871"/>
    <w:rsid w:val="00BC6CCA"/>
    <w:rsid w:val="00BC78E1"/>
    <w:rsid w:val="00BD14EC"/>
    <w:rsid w:val="00BD1B51"/>
    <w:rsid w:val="00BD246C"/>
    <w:rsid w:val="00BD27DA"/>
    <w:rsid w:val="00BD3275"/>
    <w:rsid w:val="00BD335B"/>
    <w:rsid w:val="00BD4596"/>
    <w:rsid w:val="00BD4E62"/>
    <w:rsid w:val="00BD5077"/>
    <w:rsid w:val="00BD5A77"/>
    <w:rsid w:val="00BD6269"/>
    <w:rsid w:val="00BE0E45"/>
    <w:rsid w:val="00BE1405"/>
    <w:rsid w:val="00BE2517"/>
    <w:rsid w:val="00BE2671"/>
    <w:rsid w:val="00BE28F6"/>
    <w:rsid w:val="00BE2ABF"/>
    <w:rsid w:val="00BE312D"/>
    <w:rsid w:val="00BE4BE4"/>
    <w:rsid w:val="00BE5C03"/>
    <w:rsid w:val="00BE67DD"/>
    <w:rsid w:val="00BE7BED"/>
    <w:rsid w:val="00BF0FD4"/>
    <w:rsid w:val="00BF1C20"/>
    <w:rsid w:val="00BF3281"/>
    <w:rsid w:val="00BF42FB"/>
    <w:rsid w:val="00BF552E"/>
    <w:rsid w:val="00BF6416"/>
    <w:rsid w:val="00BF7139"/>
    <w:rsid w:val="00C02489"/>
    <w:rsid w:val="00C02823"/>
    <w:rsid w:val="00C02C75"/>
    <w:rsid w:val="00C0414F"/>
    <w:rsid w:val="00C046B1"/>
    <w:rsid w:val="00C056EB"/>
    <w:rsid w:val="00C10578"/>
    <w:rsid w:val="00C11315"/>
    <w:rsid w:val="00C113B5"/>
    <w:rsid w:val="00C1264F"/>
    <w:rsid w:val="00C12981"/>
    <w:rsid w:val="00C135BC"/>
    <w:rsid w:val="00C136C7"/>
    <w:rsid w:val="00C15C95"/>
    <w:rsid w:val="00C1624B"/>
    <w:rsid w:val="00C16BF7"/>
    <w:rsid w:val="00C20B9F"/>
    <w:rsid w:val="00C24AFE"/>
    <w:rsid w:val="00C24DC6"/>
    <w:rsid w:val="00C250D8"/>
    <w:rsid w:val="00C254C4"/>
    <w:rsid w:val="00C2596A"/>
    <w:rsid w:val="00C25D7B"/>
    <w:rsid w:val="00C267A8"/>
    <w:rsid w:val="00C27537"/>
    <w:rsid w:val="00C27825"/>
    <w:rsid w:val="00C328FE"/>
    <w:rsid w:val="00C32BFC"/>
    <w:rsid w:val="00C32C95"/>
    <w:rsid w:val="00C33507"/>
    <w:rsid w:val="00C33A7C"/>
    <w:rsid w:val="00C33BB8"/>
    <w:rsid w:val="00C343B3"/>
    <w:rsid w:val="00C34929"/>
    <w:rsid w:val="00C36167"/>
    <w:rsid w:val="00C43A7D"/>
    <w:rsid w:val="00C4409D"/>
    <w:rsid w:val="00C4414C"/>
    <w:rsid w:val="00C44E72"/>
    <w:rsid w:val="00C45A06"/>
    <w:rsid w:val="00C46497"/>
    <w:rsid w:val="00C47E5B"/>
    <w:rsid w:val="00C50046"/>
    <w:rsid w:val="00C5055C"/>
    <w:rsid w:val="00C51512"/>
    <w:rsid w:val="00C51B38"/>
    <w:rsid w:val="00C52338"/>
    <w:rsid w:val="00C52783"/>
    <w:rsid w:val="00C53882"/>
    <w:rsid w:val="00C563C4"/>
    <w:rsid w:val="00C609E0"/>
    <w:rsid w:val="00C60E01"/>
    <w:rsid w:val="00C61AC9"/>
    <w:rsid w:val="00C61E4B"/>
    <w:rsid w:val="00C62BEA"/>
    <w:rsid w:val="00C64BFF"/>
    <w:rsid w:val="00C665CE"/>
    <w:rsid w:val="00C672EE"/>
    <w:rsid w:val="00C704E9"/>
    <w:rsid w:val="00C70B76"/>
    <w:rsid w:val="00C71026"/>
    <w:rsid w:val="00C719F6"/>
    <w:rsid w:val="00C73230"/>
    <w:rsid w:val="00C741DE"/>
    <w:rsid w:val="00C75EC1"/>
    <w:rsid w:val="00C763C9"/>
    <w:rsid w:val="00C76F83"/>
    <w:rsid w:val="00C7718A"/>
    <w:rsid w:val="00C7731D"/>
    <w:rsid w:val="00C80057"/>
    <w:rsid w:val="00C8057C"/>
    <w:rsid w:val="00C815BD"/>
    <w:rsid w:val="00C81D81"/>
    <w:rsid w:val="00C82232"/>
    <w:rsid w:val="00C82913"/>
    <w:rsid w:val="00C82EDC"/>
    <w:rsid w:val="00C83052"/>
    <w:rsid w:val="00C8667E"/>
    <w:rsid w:val="00C870FB"/>
    <w:rsid w:val="00C923BB"/>
    <w:rsid w:val="00C923F4"/>
    <w:rsid w:val="00C930EC"/>
    <w:rsid w:val="00C9345D"/>
    <w:rsid w:val="00C94253"/>
    <w:rsid w:val="00C95961"/>
    <w:rsid w:val="00C960CE"/>
    <w:rsid w:val="00C972B1"/>
    <w:rsid w:val="00CA22B2"/>
    <w:rsid w:val="00CA2989"/>
    <w:rsid w:val="00CA2CCE"/>
    <w:rsid w:val="00CA43FD"/>
    <w:rsid w:val="00CA54CC"/>
    <w:rsid w:val="00CA57E5"/>
    <w:rsid w:val="00CA7EF8"/>
    <w:rsid w:val="00CB0160"/>
    <w:rsid w:val="00CB1AB3"/>
    <w:rsid w:val="00CB4014"/>
    <w:rsid w:val="00CB4107"/>
    <w:rsid w:val="00CB4CB2"/>
    <w:rsid w:val="00CB530B"/>
    <w:rsid w:val="00CB67EB"/>
    <w:rsid w:val="00CB7EB6"/>
    <w:rsid w:val="00CC0A47"/>
    <w:rsid w:val="00CC489B"/>
    <w:rsid w:val="00CC4AFB"/>
    <w:rsid w:val="00CC5255"/>
    <w:rsid w:val="00CC7598"/>
    <w:rsid w:val="00CD0A8B"/>
    <w:rsid w:val="00CD149D"/>
    <w:rsid w:val="00CD2BCD"/>
    <w:rsid w:val="00CD3A4C"/>
    <w:rsid w:val="00CD3C4E"/>
    <w:rsid w:val="00CD48B3"/>
    <w:rsid w:val="00CD5452"/>
    <w:rsid w:val="00CD5F0E"/>
    <w:rsid w:val="00CD6A24"/>
    <w:rsid w:val="00CD76BD"/>
    <w:rsid w:val="00CE0250"/>
    <w:rsid w:val="00CE10E9"/>
    <w:rsid w:val="00CE2910"/>
    <w:rsid w:val="00CE2A15"/>
    <w:rsid w:val="00CE40E6"/>
    <w:rsid w:val="00CE5393"/>
    <w:rsid w:val="00CE5C4A"/>
    <w:rsid w:val="00CE5F16"/>
    <w:rsid w:val="00CF0E42"/>
    <w:rsid w:val="00CF2130"/>
    <w:rsid w:val="00CF2EF7"/>
    <w:rsid w:val="00CF340A"/>
    <w:rsid w:val="00CF36BE"/>
    <w:rsid w:val="00CF6000"/>
    <w:rsid w:val="00CF62EE"/>
    <w:rsid w:val="00D003F3"/>
    <w:rsid w:val="00D00423"/>
    <w:rsid w:val="00D00D27"/>
    <w:rsid w:val="00D00DFB"/>
    <w:rsid w:val="00D01246"/>
    <w:rsid w:val="00D0364F"/>
    <w:rsid w:val="00D04427"/>
    <w:rsid w:val="00D0519A"/>
    <w:rsid w:val="00D05332"/>
    <w:rsid w:val="00D06834"/>
    <w:rsid w:val="00D077B4"/>
    <w:rsid w:val="00D1097C"/>
    <w:rsid w:val="00D11091"/>
    <w:rsid w:val="00D1175B"/>
    <w:rsid w:val="00D12938"/>
    <w:rsid w:val="00D14A0D"/>
    <w:rsid w:val="00D209D4"/>
    <w:rsid w:val="00D211FA"/>
    <w:rsid w:val="00D21A1F"/>
    <w:rsid w:val="00D22D64"/>
    <w:rsid w:val="00D234AF"/>
    <w:rsid w:val="00D25237"/>
    <w:rsid w:val="00D25D9D"/>
    <w:rsid w:val="00D27AD3"/>
    <w:rsid w:val="00D308ED"/>
    <w:rsid w:val="00D31192"/>
    <w:rsid w:val="00D31337"/>
    <w:rsid w:val="00D31412"/>
    <w:rsid w:val="00D32582"/>
    <w:rsid w:val="00D345BC"/>
    <w:rsid w:val="00D36D86"/>
    <w:rsid w:val="00D37C0B"/>
    <w:rsid w:val="00D428AA"/>
    <w:rsid w:val="00D42AA0"/>
    <w:rsid w:val="00D42AC3"/>
    <w:rsid w:val="00D436FE"/>
    <w:rsid w:val="00D444E1"/>
    <w:rsid w:val="00D44D25"/>
    <w:rsid w:val="00D4547D"/>
    <w:rsid w:val="00D456C5"/>
    <w:rsid w:val="00D46158"/>
    <w:rsid w:val="00D4620F"/>
    <w:rsid w:val="00D475AF"/>
    <w:rsid w:val="00D47F14"/>
    <w:rsid w:val="00D5025B"/>
    <w:rsid w:val="00D50A34"/>
    <w:rsid w:val="00D522E1"/>
    <w:rsid w:val="00D52A21"/>
    <w:rsid w:val="00D53EFA"/>
    <w:rsid w:val="00D53FD6"/>
    <w:rsid w:val="00D541A0"/>
    <w:rsid w:val="00D548A6"/>
    <w:rsid w:val="00D578D2"/>
    <w:rsid w:val="00D61360"/>
    <w:rsid w:val="00D6152C"/>
    <w:rsid w:val="00D61657"/>
    <w:rsid w:val="00D616D0"/>
    <w:rsid w:val="00D6185B"/>
    <w:rsid w:val="00D61A7C"/>
    <w:rsid w:val="00D6271B"/>
    <w:rsid w:val="00D6275C"/>
    <w:rsid w:val="00D63266"/>
    <w:rsid w:val="00D64E56"/>
    <w:rsid w:val="00D67BC7"/>
    <w:rsid w:val="00D70F64"/>
    <w:rsid w:val="00D70FBA"/>
    <w:rsid w:val="00D71658"/>
    <w:rsid w:val="00D7343D"/>
    <w:rsid w:val="00D73F66"/>
    <w:rsid w:val="00D8084D"/>
    <w:rsid w:val="00D847F5"/>
    <w:rsid w:val="00D878FA"/>
    <w:rsid w:val="00D87BAC"/>
    <w:rsid w:val="00D91563"/>
    <w:rsid w:val="00D915D7"/>
    <w:rsid w:val="00D91721"/>
    <w:rsid w:val="00D93EF0"/>
    <w:rsid w:val="00D94763"/>
    <w:rsid w:val="00D94A7C"/>
    <w:rsid w:val="00D94E11"/>
    <w:rsid w:val="00D95896"/>
    <w:rsid w:val="00D959BE"/>
    <w:rsid w:val="00D96A86"/>
    <w:rsid w:val="00D974A7"/>
    <w:rsid w:val="00DA2C30"/>
    <w:rsid w:val="00DA6887"/>
    <w:rsid w:val="00DA6CCA"/>
    <w:rsid w:val="00DB178F"/>
    <w:rsid w:val="00DB1AE3"/>
    <w:rsid w:val="00DB1F3D"/>
    <w:rsid w:val="00DB2983"/>
    <w:rsid w:val="00DB3EEA"/>
    <w:rsid w:val="00DB3FE7"/>
    <w:rsid w:val="00DB416B"/>
    <w:rsid w:val="00DB5EBF"/>
    <w:rsid w:val="00DC001D"/>
    <w:rsid w:val="00DC044D"/>
    <w:rsid w:val="00DC0F4A"/>
    <w:rsid w:val="00DC1257"/>
    <w:rsid w:val="00DC1BA7"/>
    <w:rsid w:val="00DC2027"/>
    <w:rsid w:val="00DC2354"/>
    <w:rsid w:val="00DC35B4"/>
    <w:rsid w:val="00DC3767"/>
    <w:rsid w:val="00DC3DC0"/>
    <w:rsid w:val="00DC464D"/>
    <w:rsid w:val="00DC48C0"/>
    <w:rsid w:val="00DC4BAF"/>
    <w:rsid w:val="00DC5170"/>
    <w:rsid w:val="00DC5B2B"/>
    <w:rsid w:val="00DC7533"/>
    <w:rsid w:val="00DC7B23"/>
    <w:rsid w:val="00DD0E12"/>
    <w:rsid w:val="00DD2835"/>
    <w:rsid w:val="00DD318D"/>
    <w:rsid w:val="00DD494A"/>
    <w:rsid w:val="00DD54F9"/>
    <w:rsid w:val="00DD6A5C"/>
    <w:rsid w:val="00DD7801"/>
    <w:rsid w:val="00DD7BF9"/>
    <w:rsid w:val="00DE0AB1"/>
    <w:rsid w:val="00DE11FB"/>
    <w:rsid w:val="00DE1F6F"/>
    <w:rsid w:val="00DE237E"/>
    <w:rsid w:val="00DE2BFE"/>
    <w:rsid w:val="00DE347A"/>
    <w:rsid w:val="00DE5247"/>
    <w:rsid w:val="00DE58B2"/>
    <w:rsid w:val="00DE5FD3"/>
    <w:rsid w:val="00DE7C90"/>
    <w:rsid w:val="00DF07F7"/>
    <w:rsid w:val="00DF0D7C"/>
    <w:rsid w:val="00DF1208"/>
    <w:rsid w:val="00DF2E12"/>
    <w:rsid w:val="00DF38AE"/>
    <w:rsid w:val="00DF39EE"/>
    <w:rsid w:val="00DF41D7"/>
    <w:rsid w:val="00DF484A"/>
    <w:rsid w:val="00DF514A"/>
    <w:rsid w:val="00DF5918"/>
    <w:rsid w:val="00DF6690"/>
    <w:rsid w:val="00DF6804"/>
    <w:rsid w:val="00DF6A40"/>
    <w:rsid w:val="00DF7224"/>
    <w:rsid w:val="00DF74CB"/>
    <w:rsid w:val="00E01672"/>
    <w:rsid w:val="00E0358D"/>
    <w:rsid w:val="00E035B4"/>
    <w:rsid w:val="00E03C76"/>
    <w:rsid w:val="00E03D99"/>
    <w:rsid w:val="00E04323"/>
    <w:rsid w:val="00E05F53"/>
    <w:rsid w:val="00E061DC"/>
    <w:rsid w:val="00E070A2"/>
    <w:rsid w:val="00E11C66"/>
    <w:rsid w:val="00E12FE1"/>
    <w:rsid w:val="00E13799"/>
    <w:rsid w:val="00E14CAF"/>
    <w:rsid w:val="00E16D36"/>
    <w:rsid w:val="00E17E25"/>
    <w:rsid w:val="00E2159D"/>
    <w:rsid w:val="00E21BCE"/>
    <w:rsid w:val="00E228F6"/>
    <w:rsid w:val="00E22C7F"/>
    <w:rsid w:val="00E2309B"/>
    <w:rsid w:val="00E23271"/>
    <w:rsid w:val="00E2356C"/>
    <w:rsid w:val="00E2437E"/>
    <w:rsid w:val="00E259F8"/>
    <w:rsid w:val="00E25D7F"/>
    <w:rsid w:val="00E264FD"/>
    <w:rsid w:val="00E2656A"/>
    <w:rsid w:val="00E30452"/>
    <w:rsid w:val="00E31770"/>
    <w:rsid w:val="00E33901"/>
    <w:rsid w:val="00E33BE3"/>
    <w:rsid w:val="00E35CC0"/>
    <w:rsid w:val="00E412D0"/>
    <w:rsid w:val="00E422F7"/>
    <w:rsid w:val="00E44820"/>
    <w:rsid w:val="00E51CEC"/>
    <w:rsid w:val="00E52209"/>
    <w:rsid w:val="00E52BC7"/>
    <w:rsid w:val="00E530D4"/>
    <w:rsid w:val="00E54FDB"/>
    <w:rsid w:val="00E55863"/>
    <w:rsid w:val="00E56322"/>
    <w:rsid w:val="00E57857"/>
    <w:rsid w:val="00E60982"/>
    <w:rsid w:val="00E6165B"/>
    <w:rsid w:val="00E61C6B"/>
    <w:rsid w:val="00E62C62"/>
    <w:rsid w:val="00E63EF2"/>
    <w:rsid w:val="00E654C1"/>
    <w:rsid w:val="00E65584"/>
    <w:rsid w:val="00E65D97"/>
    <w:rsid w:val="00E67D38"/>
    <w:rsid w:val="00E67F7F"/>
    <w:rsid w:val="00E72A5A"/>
    <w:rsid w:val="00E73354"/>
    <w:rsid w:val="00E81657"/>
    <w:rsid w:val="00E822F7"/>
    <w:rsid w:val="00E839F2"/>
    <w:rsid w:val="00E849F9"/>
    <w:rsid w:val="00E87A0D"/>
    <w:rsid w:val="00E87B29"/>
    <w:rsid w:val="00E87BB1"/>
    <w:rsid w:val="00E9242D"/>
    <w:rsid w:val="00E957F1"/>
    <w:rsid w:val="00E9645E"/>
    <w:rsid w:val="00E96A14"/>
    <w:rsid w:val="00E97F5A"/>
    <w:rsid w:val="00EA09B7"/>
    <w:rsid w:val="00EA0E9C"/>
    <w:rsid w:val="00EA20C6"/>
    <w:rsid w:val="00EA2500"/>
    <w:rsid w:val="00EA5314"/>
    <w:rsid w:val="00EB02A3"/>
    <w:rsid w:val="00EB03D7"/>
    <w:rsid w:val="00EB0A4C"/>
    <w:rsid w:val="00EB0BBD"/>
    <w:rsid w:val="00EB0CDB"/>
    <w:rsid w:val="00EB2CB3"/>
    <w:rsid w:val="00EB3308"/>
    <w:rsid w:val="00EB38FF"/>
    <w:rsid w:val="00EB5255"/>
    <w:rsid w:val="00EB5466"/>
    <w:rsid w:val="00EB54B0"/>
    <w:rsid w:val="00EB5635"/>
    <w:rsid w:val="00EB5C47"/>
    <w:rsid w:val="00EB6446"/>
    <w:rsid w:val="00EB7C2B"/>
    <w:rsid w:val="00EB7D02"/>
    <w:rsid w:val="00EC027D"/>
    <w:rsid w:val="00EC0988"/>
    <w:rsid w:val="00EC43D6"/>
    <w:rsid w:val="00EC46B7"/>
    <w:rsid w:val="00EC646F"/>
    <w:rsid w:val="00EC73E5"/>
    <w:rsid w:val="00EC7938"/>
    <w:rsid w:val="00ED0639"/>
    <w:rsid w:val="00ED2256"/>
    <w:rsid w:val="00ED31F2"/>
    <w:rsid w:val="00ED3C61"/>
    <w:rsid w:val="00ED3CB5"/>
    <w:rsid w:val="00ED43A9"/>
    <w:rsid w:val="00ED5DDF"/>
    <w:rsid w:val="00ED5E43"/>
    <w:rsid w:val="00EE0A65"/>
    <w:rsid w:val="00EE3147"/>
    <w:rsid w:val="00EE3683"/>
    <w:rsid w:val="00EE5CE1"/>
    <w:rsid w:val="00EF006A"/>
    <w:rsid w:val="00EF13C0"/>
    <w:rsid w:val="00EF1669"/>
    <w:rsid w:val="00EF1983"/>
    <w:rsid w:val="00EF33D1"/>
    <w:rsid w:val="00EF3C02"/>
    <w:rsid w:val="00EF3C76"/>
    <w:rsid w:val="00EF4755"/>
    <w:rsid w:val="00EF4DC9"/>
    <w:rsid w:val="00EF53DA"/>
    <w:rsid w:val="00EF5E46"/>
    <w:rsid w:val="00EF629E"/>
    <w:rsid w:val="00EF6DDF"/>
    <w:rsid w:val="00EF701F"/>
    <w:rsid w:val="00EF7033"/>
    <w:rsid w:val="00EF7135"/>
    <w:rsid w:val="00F0055F"/>
    <w:rsid w:val="00F00E0C"/>
    <w:rsid w:val="00F0239F"/>
    <w:rsid w:val="00F027DB"/>
    <w:rsid w:val="00F02BFB"/>
    <w:rsid w:val="00F04078"/>
    <w:rsid w:val="00F04A4C"/>
    <w:rsid w:val="00F04A8B"/>
    <w:rsid w:val="00F07A26"/>
    <w:rsid w:val="00F1185C"/>
    <w:rsid w:val="00F11E01"/>
    <w:rsid w:val="00F12273"/>
    <w:rsid w:val="00F144E2"/>
    <w:rsid w:val="00F14A7A"/>
    <w:rsid w:val="00F17E5F"/>
    <w:rsid w:val="00F208EA"/>
    <w:rsid w:val="00F2117F"/>
    <w:rsid w:val="00F2146E"/>
    <w:rsid w:val="00F21543"/>
    <w:rsid w:val="00F21B70"/>
    <w:rsid w:val="00F21FCA"/>
    <w:rsid w:val="00F22985"/>
    <w:rsid w:val="00F22B5A"/>
    <w:rsid w:val="00F2329E"/>
    <w:rsid w:val="00F236EC"/>
    <w:rsid w:val="00F24952"/>
    <w:rsid w:val="00F26BD5"/>
    <w:rsid w:val="00F273A4"/>
    <w:rsid w:val="00F27475"/>
    <w:rsid w:val="00F278A4"/>
    <w:rsid w:val="00F27EAE"/>
    <w:rsid w:val="00F3173F"/>
    <w:rsid w:val="00F330C1"/>
    <w:rsid w:val="00F3383E"/>
    <w:rsid w:val="00F354A6"/>
    <w:rsid w:val="00F36646"/>
    <w:rsid w:val="00F36C5B"/>
    <w:rsid w:val="00F375EF"/>
    <w:rsid w:val="00F40AC4"/>
    <w:rsid w:val="00F40B9B"/>
    <w:rsid w:val="00F4104C"/>
    <w:rsid w:val="00F4107E"/>
    <w:rsid w:val="00F43BF5"/>
    <w:rsid w:val="00F45F34"/>
    <w:rsid w:val="00F465A7"/>
    <w:rsid w:val="00F468D6"/>
    <w:rsid w:val="00F469BF"/>
    <w:rsid w:val="00F478B1"/>
    <w:rsid w:val="00F47D03"/>
    <w:rsid w:val="00F50AD7"/>
    <w:rsid w:val="00F50B7C"/>
    <w:rsid w:val="00F50BA3"/>
    <w:rsid w:val="00F51376"/>
    <w:rsid w:val="00F51488"/>
    <w:rsid w:val="00F54E60"/>
    <w:rsid w:val="00F55090"/>
    <w:rsid w:val="00F550E6"/>
    <w:rsid w:val="00F559D0"/>
    <w:rsid w:val="00F56FAD"/>
    <w:rsid w:val="00F574B5"/>
    <w:rsid w:val="00F60106"/>
    <w:rsid w:val="00F6032A"/>
    <w:rsid w:val="00F64D88"/>
    <w:rsid w:val="00F658B6"/>
    <w:rsid w:val="00F66729"/>
    <w:rsid w:val="00F677FB"/>
    <w:rsid w:val="00F700FC"/>
    <w:rsid w:val="00F70366"/>
    <w:rsid w:val="00F74345"/>
    <w:rsid w:val="00F77921"/>
    <w:rsid w:val="00F80A0A"/>
    <w:rsid w:val="00F81662"/>
    <w:rsid w:val="00F81A36"/>
    <w:rsid w:val="00F82B19"/>
    <w:rsid w:val="00F86DE1"/>
    <w:rsid w:val="00F90218"/>
    <w:rsid w:val="00F9157F"/>
    <w:rsid w:val="00F9212D"/>
    <w:rsid w:val="00F922C2"/>
    <w:rsid w:val="00F9235F"/>
    <w:rsid w:val="00F94766"/>
    <w:rsid w:val="00F9549B"/>
    <w:rsid w:val="00F95FB7"/>
    <w:rsid w:val="00F963CF"/>
    <w:rsid w:val="00F965DA"/>
    <w:rsid w:val="00FA04DB"/>
    <w:rsid w:val="00FA1864"/>
    <w:rsid w:val="00FA2670"/>
    <w:rsid w:val="00FA28FD"/>
    <w:rsid w:val="00FA406A"/>
    <w:rsid w:val="00FA5100"/>
    <w:rsid w:val="00FA64A1"/>
    <w:rsid w:val="00FA738F"/>
    <w:rsid w:val="00FB0C42"/>
    <w:rsid w:val="00FB0C52"/>
    <w:rsid w:val="00FB3675"/>
    <w:rsid w:val="00FB3E7B"/>
    <w:rsid w:val="00FB4097"/>
    <w:rsid w:val="00FB4339"/>
    <w:rsid w:val="00FB503A"/>
    <w:rsid w:val="00FB516C"/>
    <w:rsid w:val="00FB6ED3"/>
    <w:rsid w:val="00FC1A6D"/>
    <w:rsid w:val="00FC21F1"/>
    <w:rsid w:val="00FC22A5"/>
    <w:rsid w:val="00FC32B4"/>
    <w:rsid w:val="00FC4625"/>
    <w:rsid w:val="00FC64D7"/>
    <w:rsid w:val="00FC6FE4"/>
    <w:rsid w:val="00FD0236"/>
    <w:rsid w:val="00FD0E39"/>
    <w:rsid w:val="00FD18F4"/>
    <w:rsid w:val="00FD3ACB"/>
    <w:rsid w:val="00FD54DB"/>
    <w:rsid w:val="00FD54F9"/>
    <w:rsid w:val="00FD554B"/>
    <w:rsid w:val="00FD619F"/>
    <w:rsid w:val="00FD68E7"/>
    <w:rsid w:val="00FD743A"/>
    <w:rsid w:val="00FD7B0B"/>
    <w:rsid w:val="00FE00C6"/>
    <w:rsid w:val="00FE15A1"/>
    <w:rsid w:val="00FE331E"/>
    <w:rsid w:val="00FE3D5D"/>
    <w:rsid w:val="00FE5971"/>
    <w:rsid w:val="00FE72E8"/>
    <w:rsid w:val="00FE7A3B"/>
    <w:rsid w:val="00FF128C"/>
    <w:rsid w:val="00FF310C"/>
    <w:rsid w:val="00FF4784"/>
    <w:rsid w:val="00FF50AC"/>
    <w:rsid w:val="00FF6233"/>
    <w:rsid w:val="00FF7E06"/>
    <w:rsid w:val="012810B4"/>
    <w:rsid w:val="01290F7E"/>
    <w:rsid w:val="013E2686"/>
    <w:rsid w:val="015D1E09"/>
    <w:rsid w:val="016215E9"/>
    <w:rsid w:val="018E53BB"/>
    <w:rsid w:val="01D029AF"/>
    <w:rsid w:val="01FB2226"/>
    <w:rsid w:val="020C51AF"/>
    <w:rsid w:val="02117D9A"/>
    <w:rsid w:val="02437912"/>
    <w:rsid w:val="0246777B"/>
    <w:rsid w:val="02580FFA"/>
    <w:rsid w:val="02697903"/>
    <w:rsid w:val="02D0374B"/>
    <w:rsid w:val="02F96569"/>
    <w:rsid w:val="02FE0C2D"/>
    <w:rsid w:val="03537505"/>
    <w:rsid w:val="036F4D79"/>
    <w:rsid w:val="038A468A"/>
    <w:rsid w:val="03E75194"/>
    <w:rsid w:val="03EA7B21"/>
    <w:rsid w:val="04277C63"/>
    <w:rsid w:val="04486FA6"/>
    <w:rsid w:val="045D1075"/>
    <w:rsid w:val="047B1719"/>
    <w:rsid w:val="04B64A7E"/>
    <w:rsid w:val="04C609C8"/>
    <w:rsid w:val="04CC6077"/>
    <w:rsid w:val="05104473"/>
    <w:rsid w:val="05467D5B"/>
    <w:rsid w:val="0548762F"/>
    <w:rsid w:val="05663F59"/>
    <w:rsid w:val="05730E48"/>
    <w:rsid w:val="05790336"/>
    <w:rsid w:val="05BA44E3"/>
    <w:rsid w:val="05D81EC4"/>
    <w:rsid w:val="05E15B0A"/>
    <w:rsid w:val="05F55118"/>
    <w:rsid w:val="05F83EAE"/>
    <w:rsid w:val="063E7D85"/>
    <w:rsid w:val="06A05249"/>
    <w:rsid w:val="06EC5E91"/>
    <w:rsid w:val="06F43A2F"/>
    <w:rsid w:val="07245FD3"/>
    <w:rsid w:val="07293586"/>
    <w:rsid w:val="07295285"/>
    <w:rsid w:val="072B7CB6"/>
    <w:rsid w:val="073F2CB4"/>
    <w:rsid w:val="07636392"/>
    <w:rsid w:val="07770C56"/>
    <w:rsid w:val="078A2181"/>
    <w:rsid w:val="07D7113E"/>
    <w:rsid w:val="07FB495C"/>
    <w:rsid w:val="080C0FE9"/>
    <w:rsid w:val="082463FC"/>
    <w:rsid w:val="084762C4"/>
    <w:rsid w:val="086D0FF4"/>
    <w:rsid w:val="08E93645"/>
    <w:rsid w:val="08F97C9D"/>
    <w:rsid w:val="091522D3"/>
    <w:rsid w:val="092217DD"/>
    <w:rsid w:val="092303EE"/>
    <w:rsid w:val="093A7294"/>
    <w:rsid w:val="097E3F67"/>
    <w:rsid w:val="09880BAD"/>
    <w:rsid w:val="09CA7245"/>
    <w:rsid w:val="09EC1A68"/>
    <w:rsid w:val="0A263993"/>
    <w:rsid w:val="0A2A6360"/>
    <w:rsid w:val="0A2D3AC2"/>
    <w:rsid w:val="0AA755DF"/>
    <w:rsid w:val="0AB46BC4"/>
    <w:rsid w:val="0AC94A31"/>
    <w:rsid w:val="0AF344BB"/>
    <w:rsid w:val="0AF34FA6"/>
    <w:rsid w:val="0B120D44"/>
    <w:rsid w:val="0B186678"/>
    <w:rsid w:val="0B8B2A81"/>
    <w:rsid w:val="0B963927"/>
    <w:rsid w:val="0BC63728"/>
    <w:rsid w:val="0BCA246D"/>
    <w:rsid w:val="0BD27BF6"/>
    <w:rsid w:val="0BD73A5B"/>
    <w:rsid w:val="0C0F70F9"/>
    <w:rsid w:val="0C3B3C7D"/>
    <w:rsid w:val="0C47182B"/>
    <w:rsid w:val="0C4B0BAD"/>
    <w:rsid w:val="0C4C524C"/>
    <w:rsid w:val="0C767D54"/>
    <w:rsid w:val="0C8B44A0"/>
    <w:rsid w:val="0CAB2EAE"/>
    <w:rsid w:val="0D044784"/>
    <w:rsid w:val="0D621C7D"/>
    <w:rsid w:val="0D832C8F"/>
    <w:rsid w:val="0D897D4E"/>
    <w:rsid w:val="0DA03D74"/>
    <w:rsid w:val="0DA17CFF"/>
    <w:rsid w:val="0DA47D15"/>
    <w:rsid w:val="0DA77418"/>
    <w:rsid w:val="0DB65840"/>
    <w:rsid w:val="0DED3F7D"/>
    <w:rsid w:val="0E73034D"/>
    <w:rsid w:val="0E75024E"/>
    <w:rsid w:val="0E8327C4"/>
    <w:rsid w:val="0E9126F2"/>
    <w:rsid w:val="0E937A10"/>
    <w:rsid w:val="0EA21BDD"/>
    <w:rsid w:val="0EB8307C"/>
    <w:rsid w:val="0EC50FF9"/>
    <w:rsid w:val="0F13775A"/>
    <w:rsid w:val="0F5F45FE"/>
    <w:rsid w:val="0F6459AD"/>
    <w:rsid w:val="0F752676"/>
    <w:rsid w:val="0F892DBD"/>
    <w:rsid w:val="0F942581"/>
    <w:rsid w:val="0F9A112B"/>
    <w:rsid w:val="0FDD771D"/>
    <w:rsid w:val="0FF85513"/>
    <w:rsid w:val="0FFA71A6"/>
    <w:rsid w:val="10130B2C"/>
    <w:rsid w:val="10136D8A"/>
    <w:rsid w:val="101637E3"/>
    <w:rsid w:val="1039630F"/>
    <w:rsid w:val="106D2F64"/>
    <w:rsid w:val="109757DA"/>
    <w:rsid w:val="109D1882"/>
    <w:rsid w:val="109E3C76"/>
    <w:rsid w:val="10A0102D"/>
    <w:rsid w:val="10B63710"/>
    <w:rsid w:val="10B746F2"/>
    <w:rsid w:val="10C7094A"/>
    <w:rsid w:val="10EF12A7"/>
    <w:rsid w:val="10F10820"/>
    <w:rsid w:val="11020FDA"/>
    <w:rsid w:val="111C2F7A"/>
    <w:rsid w:val="11665CA1"/>
    <w:rsid w:val="11766619"/>
    <w:rsid w:val="11F07FC5"/>
    <w:rsid w:val="120606BD"/>
    <w:rsid w:val="122132A5"/>
    <w:rsid w:val="124037F5"/>
    <w:rsid w:val="124E024F"/>
    <w:rsid w:val="12A543A7"/>
    <w:rsid w:val="12A66A07"/>
    <w:rsid w:val="12B23DFB"/>
    <w:rsid w:val="12C2254C"/>
    <w:rsid w:val="12DF65E9"/>
    <w:rsid w:val="130C2772"/>
    <w:rsid w:val="131F693F"/>
    <w:rsid w:val="13723C23"/>
    <w:rsid w:val="137338B8"/>
    <w:rsid w:val="13873AD6"/>
    <w:rsid w:val="139307D9"/>
    <w:rsid w:val="13951726"/>
    <w:rsid w:val="13A7230D"/>
    <w:rsid w:val="13AB6E65"/>
    <w:rsid w:val="13F63ECB"/>
    <w:rsid w:val="141F26DD"/>
    <w:rsid w:val="141F5885"/>
    <w:rsid w:val="14360736"/>
    <w:rsid w:val="14396509"/>
    <w:rsid w:val="14504752"/>
    <w:rsid w:val="146124BC"/>
    <w:rsid w:val="14650C46"/>
    <w:rsid w:val="146B6E96"/>
    <w:rsid w:val="146D70B2"/>
    <w:rsid w:val="148F3B59"/>
    <w:rsid w:val="148F67AE"/>
    <w:rsid w:val="14C842E9"/>
    <w:rsid w:val="14DD2C3C"/>
    <w:rsid w:val="14F835C4"/>
    <w:rsid w:val="14FA4CEC"/>
    <w:rsid w:val="152118C2"/>
    <w:rsid w:val="152A2DB3"/>
    <w:rsid w:val="1587449F"/>
    <w:rsid w:val="15912FF3"/>
    <w:rsid w:val="15D373E9"/>
    <w:rsid w:val="15D46F3B"/>
    <w:rsid w:val="15DE18EA"/>
    <w:rsid w:val="15E057FC"/>
    <w:rsid w:val="16087E1D"/>
    <w:rsid w:val="161348F3"/>
    <w:rsid w:val="161D2209"/>
    <w:rsid w:val="164A3AD6"/>
    <w:rsid w:val="166536DC"/>
    <w:rsid w:val="169D08E8"/>
    <w:rsid w:val="16A07112"/>
    <w:rsid w:val="16EB42BE"/>
    <w:rsid w:val="17701D14"/>
    <w:rsid w:val="17735226"/>
    <w:rsid w:val="1783300B"/>
    <w:rsid w:val="183F41D3"/>
    <w:rsid w:val="185540E5"/>
    <w:rsid w:val="1881238F"/>
    <w:rsid w:val="189664AC"/>
    <w:rsid w:val="189F624C"/>
    <w:rsid w:val="18BC127D"/>
    <w:rsid w:val="18BF1EA7"/>
    <w:rsid w:val="18E35B95"/>
    <w:rsid w:val="18EC43F5"/>
    <w:rsid w:val="18F14E0E"/>
    <w:rsid w:val="1900310D"/>
    <w:rsid w:val="19085824"/>
    <w:rsid w:val="190A1635"/>
    <w:rsid w:val="19151AC7"/>
    <w:rsid w:val="1933548F"/>
    <w:rsid w:val="1934019F"/>
    <w:rsid w:val="193B4FD2"/>
    <w:rsid w:val="19862C19"/>
    <w:rsid w:val="198B7ED4"/>
    <w:rsid w:val="19DF48FF"/>
    <w:rsid w:val="19F07170"/>
    <w:rsid w:val="1A09212D"/>
    <w:rsid w:val="1A1C66C0"/>
    <w:rsid w:val="1A2753D8"/>
    <w:rsid w:val="1A42393B"/>
    <w:rsid w:val="1A99356C"/>
    <w:rsid w:val="1AAD45DE"/>
    <w:rsid w:val="1B045DCF"/>
    <w:rsid w:val="1B046F80"/>
    <w:rsid w:val="1B0E2C71"/>
    <w:rsid w:val="1B157B5C"/>
    <w:rsid w:val="1B3267B5"/>
    <w:rsid w:val="1B3528C4"/>
    <w:rsid w:val="1B40161D"/>
    <w:rsid w:val="1B441859"/>
    <w:rsid w:val="1B4B5C73"/>
    <w:rsid w:val="1B6606B1"/>
    <w:rsid w:val="1B684DA0"/>
    <w:rsid w:val="1BB8267A"/>
    <w:rsid w:val="1BF522B5"/>
    <w:rsid w:val="1C204A0A"/>
    <w:rsid w:val="1C220EAA"/>
    <w:rsid w:val="1C4B37D1"/>
    <w:rsid w:val="1C5E7925"/>
    <w:rsid w:val="1CCC27D8"/>
    <w:rsid w:val="1CFD070F"/>
    <w:rsid w:val="1D0600A4"/>
    <w:rsid w:val="1D2F0709"/>
    <w:rsid w:val="1D353D47"/>
    <w:rsid w:val="1D37451A"/>
    <w:rsid w:val="1D587BA4"/>
    <w:rsid w:val="1D5F6196"/>
    <w:rsid w:val="1D6132A5"/>
    <w:rsid w:val="1D7E5E8C"/>
    <w:rsid w:val="1D8E56D5"/>
    <w:rsid w:val="1DC3770F"/>
    <w:rsid w:val="1DC45998"/>
    <w:rsid w:val="1DD1603E"/>
    <w:rsid w:val="1DD65CC8"/>
    <w:rsid w:val="1E2F6A56"/>
    <w:rsid w:val="1E5D3CF4"/>
    <w:rsid w:val="1E6F2058"/>
    <w:rsid w:val="1E7A43DA"/>
    <w:rsid w:val="1E884867"/>
    <w:rsid w:val="1EB441C2"/>
    <w:rsid w:val="1EC57AEB"/>
    <w:rsid w:val="1EDA1028"/>
    <w:rsid w:val="1F0028D1"/>
    <w:rsid w:val="1F492925"/>
    <w:rsid w:val="1F9A7648"/>
    <w:rsid w:val="1FE7539E"/>
    <w:rsid w:val="200E0542"/>
    <w:rsid w:val="20671BE0"/>
    <w:rsid w:val="20905CA5"/>
    <w:rsid w:val="20963CB8"/>
    <w:rsid w:val="20A81A1B"/>
    <w:rsid w:val="20B07FB6"/>
    <w:rsid w:val="20B646FB"/>
    <w:rsid w:val="20B66BBF"/>
    <w:rsid w:val="20B827B6"/>
    <w:rsid w:val="20CE712B"/>
    <w:rsid w:val="20DA037C"/>
    <w:rsid w:val="20E83ABC"/>
    <w:rsid w:val="21012092"/>
    <w:rsid w:val="210E4CBD"/>
    <w:rsid w:val="2117610B"/>
    <w:rsid w:val="2133019A"/>
    <w:rsid w:val="213B74B1"/>
    <w:rsid w:val="21507EF7"/>
    <w:rsid w:val="215A2310"/>
    <w:rsid w:val="215E4EE8"/>
    <w:rsid w:val="215F3821"/>
    <w:rsid w:val="21664821"/>
    <w:rsid w:val="21732503"/>
    <w:rsid w:val="21820181"/>
    <w:rsid w:val="21BE5BEE"/>
    <w:rsid w:val="21D012F2"/>
    <w:rsid w:val="21D27B04"/>
    <w:rsid w:val="21D40771"/>
    <w:rsid w:val="21DE318A"/>
    <w:rsid w:val="21EF5B80"/>
    <w:rsid w:val="21FC7E92"/>
    <w:rsid w:val="22576990"/>
    <w:rsid w:val="2268299B"/>
    <w:rsid w:val="22A85759"/>
    <w:rsid w:val="22BD7457"/>
    <w:rsid w:val="22C745EF"/>
    <w:rsid w:val="22E456C8"/>
    <w:rsid w:val="22E5535D"/>
    <w:rsid w:val="22E63D24"/>
    <w:rsid w:val="22F47480"/>
    <w:rsid w:val="23481E59"/>
    <w:rsid w:val="23690525"/>
    <w:rsid w:val="236C5D86"/>
    <w:rsid w:val="238560D7"/>
    <w:rsid w:val="238E797D"/>
    <w:rsid w:val="23940028"/>
    <w:rsid w:val="23DE1C48"/>
    <w:rsid w:val="23ED3B3C"/>
    <w:rsid w:val="23F91733"/>
    <w:rsid w:val="23FB7503"/>
    <w:rsid w:val="240210CD"/>
    <w:rsid w:val="24165E61"/>
    <w:rsid w:val="242F2EB1"/>
    <w:rsid w:val="243007C2"/>
    <w:rsid w:val="249B102A"/>
    <w:rsid w:val="24B144FD"/>
    <w:rsid w:val="24B81DB3"/>
    <w:rsid w:val="24BF09F7"/>
    <w:rsid w:val="24C85C3F"/>
    <w:rsid w:val="24E3577E"/>
    <w:rsid w:val="252B148B"/>
    <w:rsid w:val="252D53FE"/>
    <w:rsid w:val="25511349"/>
    <w:rsid w:val="25565E93"/>
    <w:rsid w:val="255A1166"/>
    <w:rsid w:val="257F09F3"/>
    <w:rsid w:val="258508CC"/>
    <w:rsid w:val="259224A6"/>
    <w:rsid w:val="259501CB"/>
    <w:rsid w:val="25B36086"/>
    <w:rsid w:val="25BF34E6"/>
    <w:rsid w:val="25BF4DAD"/>
    <w:rsid w:val="25D56931"/>
    <w:rsid w:val="25E847EB"/>
    <w:rsid w:val="25EC2D81"/>
    <w:rsid w:val="260919F7"/>
    <w:rsid w:val="262E5023"/>
    <w:rsid w:val="266A5519"/>
    <w:rsid w:val="267E7EE2"/>
    <w:rsid w:val="26803749"/>
    <w:rsid w:val="268C7144"/>
    <w:rsid w:val="26AB3DF2"/>
    <w:rsid w:val="26BB40A7"/>
    <w:rsid w:val="26F97B50"/>
    <w:rsid w:val="26FD3074"/>
    <w:rsid w:val="27633CD4"/>
    <w:rsid w:val="276500BD"/>
    <w:rsid w:val="277057A2"/>
    <w:rsid w:val="2774529A"/>
    <w:rsid w:val="277D7C93"/>
    <w:rsid w:val="27895B59"/>
    <w:rsid w:val="27C93C5B"/>
    <w:rsid w:val="27DD2B2D"/>
    <w:rsid w:val="280D5870"/>
    <w:rsid w:val="281062DD"/>
    <w:rsid w:val="28153BB7"/>
    <w:rsid w:val="281F22FE"/>
    <w:rsid w:val="28247630"/>
    <w:rsid w:val="288B2282"/>
    <w:rsid w:val="288D78CB"/>
    <w:rsid w:val="28C013B8"/>
    <w:rsid w:val="28C57065"/>
    <w:rsid w:val="28EE2D47"/>
    <w:rsid w:val="28F416F8"/>
    <w:rsid w:val="29206EB8"/>
    <w:rsid w:val="29296C4B"/>
    <w:rsid w:val="293A3114"/>
    <w:rsid w:val="29445476"/>
    <w:rsid w:val="29595666"/>
    <w:rsid w:val="29874881"/>
    <w:rsid w:val="29C410CB"/>
    <w:rsid w:val="29E325E0"/>
    <w:rsid w:val="2A3F3258"/>
    <w:rsid w:val="2A452503"/>
    <w:rsid w:val="2A4D52E1"/>
    <w:rsid w:val="2ACB46DB"/>
    <w:rsid w:val="2AE128D7"/>
    <w:rsid w:val="2B3537B7"/>
    <w:rsid w:val="2B645176"/>
    <w:rsid w:val="2B824D9A"/>
    <w:rsid w:val="2BA936A8"/>
    <w:rsid w:val="2BB62C95"/>
    <w:rsid w:val="2C315A5A"/>
    <w:rsid w:val="2C4874CC"/>
    <w:rsid w:val="2C4B1C25"/>
    <w:rsid w:val="2C9B6892"/>
    <w:rsid w:val="2CAB5B1D"/>
    <w:rsid w:val="2CB01DDA"/>
    <w:rsid w:val="2D1239B3"/>
    <w:rsid w:val="2D1F6E84"/>
    <w:rsid w:val="2D7B32DE"/>
    <w:rsid w:val="2D856BEC"/>
    <w:rsid w:val="2D9E56F5"/>
    <w:rsid w:val="2DD357DE"/>
    <w:rsid w:val="2DDF47CA"/>
    <w:rsid w:val="2E022D4D"/>
    <w:rsid w:val="2E055E4A"/>
    <w:rsid w:val="2E667F96"/>
    <w:rsid w:val="2E8226AB"/>
    <w:rsid w:val="2E8B0630"/>
    <w:rsid w:val="2EB35B9C"/>
    <w:rsid w:val="2EE87054"/>
    <w:rsid w:val="2F1C3757"/>
    <w:rsid w:val="2F997E2F"/>
    <w:rsid w:val="2FB83131"/>
    <w:rsid w:val="2FC105A1"/>
    <w:rsid w:val="2FCC4F5D"/>
    <w:rsid w:val="2FD065E6"/>
    <w:rsid w:val="2FD86E9B"/>
    <w:rsid w:val="2FD96870"/>
    <w:rsid w:val="2FEF49C8"/>
    <w:rsid w:val="30004911"/>
    <w:rsid w:val="302213BC"/>
    <w:rsid w:val="3044101E"/>
    <w:rsid w:val="30580BC9"/>
    <w:rsid w:val="309F1E6B"/>
    <w:rsid w:val="30C10112"/>
    <w:rsid w:val="30E32FEA"/>
    <w:rsid w:val="310B651C"/>
    <w:rsid w:val="311D7312"/>
    <w:rsid w:val="311E2ED7"/>
    <w:rsid w:val="31495D3E"/>
    <w:rsid w:val="315619EE"/>
    <w:rsid w:val="315736D8"/>
    <w:rsid w:val="315C449C"/>
    <w:rsid w:val="316513E5"/>
    <w:rsid w:val="31725842"/>
    <w:rsid w:val="317C228B"/>
    <w:rsid w:val="31901C05"/>
    <w:rsid w:val="31AA329C"/>
    <w:rsid w:val="31B82709"/>
    <w:rsid w:val="31D05482"/>
    <w:rsid w:val="31E22A36"/>
    <w:rsid w:val="31E77F3D"/>
    <w:rsid w:val="32044820"/>
    <w:rsid w:val="32101C9E"/>
    <w:rsid w:val="321F4E14"/>
    <w:rsid w:val="32342B66"/>
    <w:rsid w:val="323E39E4"/>
    <w:rsid w:val="32400B34"/>
    <w:rsid w:val="326D7548"/>
    <w:rsid w:val="327B4C25"/>
    <w:rsid w:val="329E6876"/>
    <w:rsid w:val="32BD7A85"/>
    <w:rsid w:val="32D95527"/>
    <w:rsid w:val="33030EB6"/>
    <w:rsid w:val="333015F2"/>
    <w:rsid w:val="333D2965"/>
    <w:rsid w:val="3341378C"/>
    <w:rsid w:val="334B6320"/>
    <w:rsid w:val="33590AD6"/>
    <w:rsid w:val="336143E6"/>
    <w:rsid w:val="339E2566"/>
    <w:rsid w:val="33A057A6"/>
    <w:rsid w:val="33D934D4"/>
    <w:rsid w:val="33EB0FE6"/>
    <w:rsid w:val="33FE2F6A"/>
    <w:rsid w:val="340E07E5"/>
    <w:rsid w:val="34235BF7"/>
    <w:rsid w:val="342866FA"/>
    <w:rsid w:val="34530351"/>
    <w:rsid w:val="34670FD0"/>
    <w:rsid w:val="348334BA"/>
    <w:rsid w:val="348A6249"/>
    <w:rsid w:val="34D66156"/>
    <w:rsid w:val="350535BC"/>
    <w:rsid w:val="350E3B42"/>
    <w:rsid w:val="352073D1"/>
    <w:rsid w:val="354F34AA"/>
    <w:rsid w:val="355D6244"/>
    <w:rsid w:val="355E55B1"/>
    <w:rsid w:val="358C5FA8"/>
    <w:rsid w:val="358D2CB9"/>
    <w:rsid w:val="35C15DF1"/>
    <w:rsid w:val="35CB37E1"/>
    <w:rsid w:val="36074A7F"/>
    <w:rsid w:val="36145188"/>
    <w:rsid w:val="361F4F56"/>
    <w:rsid w:val="36923549"/>
    <w:rsid w:val="36A772E4"/>
    <w:rsid w:val="36B75FBF"/>
    <w:rsid w:val="36B97711"/>
    <w:rsid w:val="36BD0C45"/>
    <w:rsid w:val="36D64360"/>
    <w:rsid w:val="36FF6242"/>
    <w:rsid w:val="37327D67"/>
    <w:rsid w:val="37515F68"/>
    <w:rsid w:val="37747040"/>
    <w:rsid w:val="37783C57"/>
    <w:rsid w:val="37840143"/>
    <w:rsid w:val="37DE7F62"/>
    <w:rsid w:val="37E00298"/>
    <w:rsid w:val="381270FD"/>
    <w:rsid w:val="38211DDE"/>
    <w:rsid w:val="383C0884"/>
    <w:rsid w:val="38930407"/>
    <w:rsid w:val="38AF29FE"/>
    <w:rsid w:val="38B302F9"/>
    <w:rsid w:val="38B57157"/>
    <w:rsid w:val="38B60571"/>
    <w:rsid w:val="38C316CD"/>
    <w:rsid w:val="38F12CD3"/>
    <w:rsid w:val="38F82B3F"/>
    <w:rsid w:val="38F94775"/>
    <w:rsid w:val="39005802"/>
    <w:rsid w:val="39216B01"/>
    <w:rsid w:val="392971ED"/>
    <w:rsid w:val="39325651"/>
    <w:rsid w:val="39340341"/>
    <w:rsid w:val="393A4915"/>
    <w:rsid w:val="395619C1"/>
    <w:rsid w:val="39993E3C"/>
    <w:rsid w:val="39BC1FB5"/>
    <w:rsid w:val="3A2321ED"/>
    <w:rsid w:val="3A2D4A6A"/>
    <w:rsid w:val="3A3132C3"/>
    <w:rsid w:val="3A3F02FA"/>
    <w:rsid w:val="3A470DDA"/>
    <w:rsid w:val="3A727012"/>
    <w:rsid w:val="3A872856"/>
    <w:rsid w:val="3A936E05"/>
    <w:rsid w:val="3AAA39B4"/>
    <w:rsid w:val="3AAC1B2E"/>
    <w:rsid w:val="3AFA4934"/>
    <w:rsid w:val="3B375D87"/>
    <w:rsid w:val="3B3763D1"/>
    <w:rsid w:val="3B435641"/>
    <w:rsid w:val="3B5953EB"/>
    <w:rsid w:val="3B694A1D"/>
    <w:rsid w:val="3B8406BA"/>
    <w:rsid w:val="3BC71477"/>
    <w:rsid w:val="3BC76709"/>
    <w:rsid w:val="3BD27FDA"/>
    <w:rsid w:val="3BE56C87"/>
    <w:rsid w:val="3BE654B1"/>
    <w:rsid w:val="3C021B39"/>
    <w:rsid w:val="3C2F6E1E"/>
    <w:rsid w:val="3C326232"/>
    <w:rsid w:val="3C346676"/>
    <w:rsid w:val="3C4F64BA"/>
    <w:rsid w:val="3C573A8F"/>
    <w:rsid w:val="3CA9008B"/>
    <w:rsid w:val="3CB37378"/>
    <w:rsid w:val="3CB835C5"/>
    <w:rsid w:val="3CB9392B"/>
    <w:rsid w:val="3CC0389D"/>
    <w:rsid w:val="3CDA245A"/>
    <w:rsid w:val="3CDF5129"/>
    <w:rsid w:val="3CEC1737"/>
    <w:rsid w:val="3CF8256F"/>
    <w:rsid w:val="3D0531E3"/>
    <w:rsid w:val="3D1B0128"/>
    <w:rsid w:val="3D1E06B7"/>
    <w:rsid w:val="3D203A4F"/>
    <w:rsid w:val="3D6F7AE9"/>
    <w:rsid w:val="3DCB6A74"/>
    <w:rsid w:val="3E056EA8"/>
    <w:rsid w:val="3E215623"/>
    <w:rsid w:val="3E265A58"/>
    <w:rsid w:val="3E5F540E"/>
    <w:rsid w:val="3E7C2083"/>
    <w:rsid w:val="3E8E4943"/>
    <w:rsid w:val="3EB6242B"/>
    <w:rsid w:val="3ED73274"/>
    <w:rsid w:val="3EDA0523"/>
    <w:rsid w:val="3EE55913"/>
    <w:rsid w:val="3F0538C0"/>
    <w:rsid w:val="3F0A1B31"/>
    <w:rsid w:val="3F780536"/>
    <w:rsid w:val="3F8F215A"/>
    <w:rsid w:val="3FA1087D"/>
    <w:rsid w:val="3FA27361"/>
    <w:rsid w:val="3FA330D9"/>
    <w:rsid w:val="3FA624AC"/>
    <w:rsid w:val="3FBB5EF5"/>
    <w:rsid w:val="3FBE59B9"/>
    <w:rsid w:val="3FCA4B09"/>
    <w:rsid w:val="3FDD2F01"/>
    <w:rsid w:val="40204729"/>
    <w:rsid w:val="40463C67"/>
    <w:rsid w:val="40535768"/>
    <w:rsid w:val="40774C91"/>
    <w:rsid w:val="407A6407"/>
    <w:rsid w:val="40FC63F3"/>
    <w:rsid w:val="40FF3D6D"/>
    <w:rsid w:val="4122692C"/>
    <w:rsid w:val="41411018"/>
    <w:rsid w:val="41683412"/>
    <w:rsid w:val="4200449D"/>
    <w:rsid w:val="421A3297"/>
    <w:rsid w:val="423A3BCC"/>
    <w:rsid w:val="424E57D2"/>
    <w:rsid w:val="42A8653E"/>
    <w:rsid w:val="42B26C49"/>
    <w:rsid w:val="433A6FE6"/>
    <w:rsid w:val="43480868"/>
    <w:rsid w:val="4350713C"/>
    <w:rsid w:val="436456F5"/>
    <w:rsid w:val="436653E0"/>
    <w:rsid w:val="436A288B"/>
    <w:rsid w:val="43761230"/>
    <w:rsid w:val="43C4431A"/>
    <w:rsid w:val="43CF26F8"/>
    <w:rsid w:val="43ED173E"/>
    <w:rsid w:val="44335A97"/>
    <w:rsid w:val="443C3D27"/>
    <w:rsid w:val="445C3BAF"/>
    <w:rsid w:val="446A68AD"/>
    <w:rsid w:val="44782D86"/>
    <w:rsid w:val="447B0A98"/>
    <w:rsid w:val="44B951CC"/>
    <w:rsid w:val="44CD14E0"/>
    <w:rsid w:val="44DB4751"/>
    <w:rsid w:val="44DD279B"/>
    <w:rsid w:val="44F20B0B"/>
    <w:rsid w:val="452E5F4C"/>
    <w:rsid w:val="453E18DA"/>
    <w:rsid w:val="45412A5B"/>
    <w:rsid w:val="454A058C"/>
    <w:rsid w:val="45612018"/>
    <w:rsid w:val="458019B5"/>
    <w:rsid w:val="458614D2"/>
    <w:rsid w:val="458946E9"/>
    <w:rsid w:val="458C6B61"/>
    <w:rsid w:val="4597723C"/>
    <w:rsid w:val="45A47C0E"/>
    <w:rsid w:val="45CC15DB"/>
    <w:rsid w:val="45D9530F"/>
    <w:rsid w:val="460743C1"/>
    <w:rsid w:val="464511E4"/>
    <w:rsid w:val="464A59BB"/>
    <w:rsid w:val="46577FD6"/>
    <w:rsid w:val="465D33FD"/>
    <w:rsid w:val="4675525E"/>
    <w:rsid w:val="46AD5C5F"/>
    <w:rsid w:val="46D955A7"/>
    <w:rsid w:val="46E0403D"/>
    <w:rsid w:val="46F677AD"/>
    <w:rsid w:val="47133957"/>
    <w:rsid w:val="47185DB6"/>
    <w:rsid w:val="47325F6B"/>
    <w:rsid w:val="47555600"/>
    <w:rsid w:val="479D7445"/>
    <w:rsid w:val="47A07E0C"/>
    <w:rsid w:val="47AB6FCE"/>
    <w:rsid w:val="47F72214"/>
    <w:rsid w:val="48196C7E"/>
    <w:rsid w:val="48203489"/>
    <w:rsid w:val="484935B2"/>
    <w:rsid w:val="486657D3"/>
    <w:rsid w:val="4870272E"/>
    <w:rsid w:val="489D100D"/>
    <w:rsid w:val="48B90C3F"/>
    <w:rsid w:val="48F86953"/>
    <w:rsid w:val="493648F6"/>
    <w:rsid w:val="494B3812"/>
    <w:rsid w:val="4968786D"/>
    <w:rsid w:val="4989182E"/>
    <w:rsid w:val="4989333F"/>
    <w:rsid w:val="499E41D1"/>
    <w:rsid w:val="49AF4E76"/>
    <w:rsid w:val="49BC54C3"/>
    <w:rsid w:val="49C965CB"/>
    <w:rsid w:val="49DC7715"/>
    <w:rsid w:val="4A023139"/>
    <w:rsid w:val="4A150968"/>
    <w:rsid w:val="4A275032"/>
    <w:rsid w:val="4A2B5779"/>
    <w:rsid w:val="4A7B576F"/>
    <w:rsid w:val="4A7C3BA7"/>
    <w:rsid w:val="4A935002"/>
    <w:rsid w:val="4ACE3700"/>
    <w:rsid w:val="4AF561A9"/>
    <w:rsid w:val="4B094738"/>
    <w:rsid w:val="4B1B3EED"/>
    <w:rsid w:val="4B36357D"/>
    <w:rsid w:val="4B3F63AB"/>
    <w:rsid w:val="4B5932AF"/>
    <w:rsid w:val="4BB07C37"/>
    <w:rsid w:val="4BBF1667"/>
    <w:rsid w:val="4BC7781D"/>
    <w:rsid w:val="4BF83930"/>
    <w:rsid w:val="4C0E0739"/>
    <w:rsid w:val="4C254AA8"/>
    <w:rsid w:val="4C324162"/>
    <w:rsid w:val="4C4A0649"/>
    <w:rsid w:val="4C527C04"/>
    <w:rsid w:val="4C5B7215"/>
    <w:rsid w:val="4C7E5ECA"/>
    <w:rsid w:val="4C876AA5"/>
    <w:rsid w:val="4C9A3AC9"/>
    <w:rsid w:val="4CA2538D"/>
    <w:rsid w:val="4CB36932"/>
    <w:rsid w:val="4CBD046C"/>
    <w:rsid w:val="4CD0539C"/>
    <w:rsid w:val="4CDE5035"/>
    <w:rsid w:val="4CF029F8"/>
    <w:rsid w:val="4CF213BF"/>
    <w:rsid w:val="4CFD207A"/>
    <w:rsid w:val="4D0E00FB"/>
    <w:rsid w:val="4D176606"/>
    <w:rsid w:val="4D207734"/>
    <w:rsid w:val="4D3F6B37"/>
    <w:rsid w:val="4D73171E"/>
    <w:rsid w:val="4D752558"/>
    <w:rsid w:val="4D855F63"/>
    <w:rsid w:val="4DC967FE"/>
    <w:rsid w:val="4DE65204"/>
    <w:rsid w:val="4DEC4FB0"/>
    <w:rsid w:val="4E075D8A"/>
    <w:rsid w:val="4E3E6DEE"/>
    <w:rsid w:val="4E92070B"/>
    <w:rsid w:val="4E9751B5"/>
    <w:rsid w:val="4EA17E2B"/>
    <w:rsid w:val="4EC00FAD"/>
    <w:rsid w:val="4EC339EA"/>
    <w:rsid w:val="4ED141EC"/>
    <w:rsid w:val="4EF76272"/>
    <w:rsid w:val="4EFC5B14"/>
    <w:rsid w:val="4EFF5B7A"/>
    <w:rsid w:val="4F294349"/>
    <w:rsid w:val="4F58775A"/>
    <w:rsid w:val="4F932AC0"/>
    <w:rsid w:val="4F9843DC"/>
    <w:rsid w:val="4FA66815"/>
    <w:rsid w:val="4FC62A8C"/>
    <w:rsid w:val="4FE20F0D"/>
    <w:rsid w:val="4FE51552"/>
    <w:rsid w:val="4FEB0AE2"/>
    <w:rsid w:val="4FF26A8A"/>
    <w:rsid w:val="500D4CCA"/>
    <w:rsid w:val="501B5B65"/>
    <w:rsid w:val="50467217"/>
    <w:rsid w:val="50504C4B"/>
    <w:rsid w:val="50584DAC"/>
    <w:rsid w:val="506B2AEC"/>
    <w:rsid w:val="509C6E7C"/>
    <w:rsid w:val="50D25184"/>
    <w:rsid w:val="50E36C49"/>
    <w:rsid w:val="51095E03"/>
    <w:rsid w:val="510D16D0"/>
    <w:rsid w:val="511730A2"/>
    <w:rsid w:val="51205B10"/>
    <w:rsid w:val="512651A9"/>
    <w:rsid w:val="5162104E"/>
    <w:rsid w:val="51624BA2"/>
    <w:rsid w:val="518E0501"/>
    <w:rsid w:val="51C361EB"/>
    <w:rsid w:val="51D11D27"/>
    <w:rsid w:val="521B4F95"/>
    <w:rsid w:val="524B6B95"/>
    <w:rsid w:val="52552958"/>
    <w:rsid w:val="5256749B"/>
    <w:rsid w:val="52807674"/>
    <w:rsid w:val="52967B7F"/>
    <w:rsid w:val="52D03D8D"/>
    <w:rsid w:val="53385317"/>
    <w:rsid w:val="53A039CC"/>
    <w:rsid w:val="53A1505A"/>
    <w:rsid w:val="53AC6661"/>
    <w:rsid w:val="53BF4E06"/>
    <w:rsid w:val="53C26D59"/>
    <w:rsid w:val="53D53F36"/>
    <w:rsid w:val="53E06483"/>
    <w:rsid w:val="54063E08"/>
    <w:rsid w:val="54265306"/>
    <w:rsid w:val="543437E8"/>
    <w:rsid w:val="5435659E"/>
    <w:rsid w:val="54407B50"/>
    <w:rsid w:val="546C28FD"/>
    <w:rsid w:val="547B58FE"/>
    <w:rsid w:val="548E182E"/>
    <w:rsid w:val="54AF45A2"/>
    <w:rsid w:val="54C3456D"/>
    <w:rsid w:val="54F73313"/>
    <w:rsid w:val="54F80955"/>
    <w:rsid w:val="55474E28"/>
    <w:rsid w:val="555170A7"/>
    <w:rsid w:val="55841841"/>
    <w:rsid w:val="5587536D"/>
    <w:rsid w:val="559B174B"/>
    <w:rsid w:val="55CB540B"/>
    <w:rsid w:val="55CE0CF4"/>
    <w:rsid w:val="561C5C67"/>
    <w:rsid w:val="56343E36"/>
    <w:rsid w:val="56510A85"/>
    <w:rsid w:val="566E677D"/>
    <w:rsid w:val="56A706BB"/>
    <w:rsid w:val="56AA55AD"/>
    <w:rsid w:val="56AD3EC1"/>
    <w:rsid w:val="56B22A9C"/>
    <w:rsid w:val="56CE6835"/>
    <w:rsid w:val="56F573B6"/>
    <w:rsid w:val="57072B0D"/>
    <w:rsid w:val="574736F9"/>
    <w:rsid w:val="575150B1"/>
    <w:rsid w:val="57957137"/>
    <w:rsid w:val="57AC2A2F"/>
    <w:rsid w:val="57B72A76"/>
    <w:rsid w:val="57C3426C"/>
    <w:rsid w:val="57CE1F93"/>
    <w:rsid w:val="57D367F9"/>
    <w:rsid w:val="57F24C6F"/>
    <w:rsid w:val="57F40A57"/>
    <w:rsid w:val="58022C3B"/>
    <w:rsid w:val="582F21AE"/>
    <w:rsid w:val="58417026"/>
    <w:rsid w:val="58712FF1"/>
    <w:rsid w:val="58831FCD"/>
    <w:rsid w:val="588743D1"/>
    <w:rsid w:val="5887701A"/>
    <w:rsid w:val="588A1F06"/>
    <w:rsid w:val="58D85297"/>
    <w:rsid w:val="58DE3013"/>
    <w:rsid w:val="59135AA2"/>
    <w:rsid w:val="592F3F03"/>
    <w:rsid w:val="59324EDD"/>
    <w:rsid w:val="593B2BFD"/>
    <w:rsid w:val="59480B21"/>
    <w:rsid w:val="597C07CB"/>
    <w:rsid w:val="59C0439F"/>
    <w:rsid w:val="59F27AC0"/>
    <w:rsid w:val="5A0A1CCD"/>
    <w:rsid w:val="5A502D85"/>
    <w:rsid w:val="5A647BDD"/>
    <w:rsid w:val="5A6C7600"/>
    <w:rsid w:val="5A765B75"/>
    <w:rsid w:val="5AA341F7"/>
    <w:rsid w:val="5AB864BE"/>
    <w:rsid w:val="5ABE2233"/>
    <w:rsid w:val="5AC05A36"/>
    <w:rsid w:val="5AE35EFA"/>
    <w:rsid w:val="5AE541A8"/>
    <w:rsid w:val="5AE83D36"/>
    <w:rsid w:val="5AFB7B6B"/>
    <w:rsid w:val="5B0B44FC"/>
    <w:rsid w:val="5B340D27"/>
    <w:rsid w:val="5B505B2C"/>
    <w:rsid w:val="5B547C51"/>
    <w:rsid w:val="5B605516"/>
    <w:rsid w:val="5B6E1EEF"/>
    <w:rsid w:val="5B726F99"/>
    <w:rsid w:val="5BA428EF"/>
    <w:rsid w:val="5BA83B7C"/>
    <w:rsid w:val="5BCE7A03"/>
    <w:rsid w:val="5BDF5D95"/>
    <w:rsid w:val="5BFE7528"/>
    <w:rsid w:val="5C31448F"/>
    <w:rsid w:val="5C8A1451"/>
    <w:rsid w:val="5C905D20"/>
    <w:rsid w:val="5CC323EB"/>
    <w:rsid w:val="5CD330A9"/>
    <w:rsid w:val="5CD35D81"/>
    <w:rsid w:val="5CDD3C76"/>
    <w:rsid w:val="5D0143CA"/>
    <w:rsid w:val="5D3A2E77"/>
    <w:rsid w:val="5D861F38"/>
    <w:rsid w:val="5DEA21A7"/>
    <w:rsid w:val="5DF04B89"/>
    <w:rsid w:val="5E0C65C1"/>
    <w:rsid w:val="5E1B45C5"/>
    <w:rsid w:val="5E2467F1"/>
    <w:rsid w:val="5E2D02C6"/>
    <w:rsid w:val="5E344903"/>
    <w:rsid w:val="5E3A5FFB"/>
    <w:rsid w:val="5E787A26"/>
    <w:rsid w:val="5E8F7AE5"/>
    <w:rsid w:val="5E955F83"/>
    <w:rsid w:val="5EDF745E"/>
    <w:rsid w:val="5EEE49D1"/>
    <w:rsid w:val="5F1A2B43"/>
    <w:rsid w:val="5F223BC2"/>
    <w:rsid w:val="5F2D3CB4"/>
    <w:rsid w:val="5F6F6A29"/>
    <w:rsid w:val="5F8F6B6E"/>
    <w:rsid w:val="5F954394"/>
    <w:rsid w:val="5FAB005C"/>
    <w:rsid w:val="5FB837BB"/>
    <w:rsid w:val="5FC80781"/>
    <w:rsid w:val="5FDC1FC3"/>
    <w:rsid w:val="5FE32110"/>
    <w:rsid w:val="601C5968"/>
    <w:rsid w:val="603D2C13"/>
    <w:rsid w:val="606D13C6"/>
    <w:rsid w:val="6077540C"/>
    <w:rsid w:val="60883EF9"/>
    <w:rsid w:val="60BD0047"/>
    <w:rsid w:val="60CC405A"/>
    <w:rsid w:val="60CE4002"/>
    <w:rsid w:val="612260FC"/>
    <w:rsid w:val="612B51A7"/>
    <w:rsid w:val="614D13CA"/>
    <w:rsid w:val="61534454"/>
    <w:rsid w:val="61786679"/>
    <w:rsid w:val="6199628F"/>
    <w:rsid w:val="61BA30AD"/>
    <w:rsid w:val="61C0017A"/>
    <w:rsid w:val="61D62B6D"/>
    <w:rsid w:val="61E215D8"/>
    <w:rsid w:val="621B3775"/>
    <w:rsid w:val="62364782"/>
    <w:rsid w:val="623E0D13"/>
    <w:rsid w:val="625C6612"/>
    <w:rsid w:val="627D587D"/>
    <w:rsid w:val="62950339"/>
    <w:rsid w:val="62F555D7"/>
    <w:rsid w:val="62F8564F"/>
    <w:rsid w:val="62FF0CEC"/>
    <w:rsid w:val="63015CA5"/>
    <w:rsid w:val="63440544"/>
    <w:rsid w:val="6394356A"/>
    <w:rsid w:val="63A0423C"/>
    <w:rsid w:val="63B41EBE"/>
    <w:rsid w:val="63C24D92"/>
    <w:rsid w:val="63C61B2C"/>
    <w:rsid w:val="63D40BE9"/>
    <w:rsid w:val="63F93351"/>
    <w:rsid w:val="63FC2C34"/>
    <w:rsid w:val="64102431"/>
    <w:rsid w:val="645F01E2"/>
    <w:rsid w:val="647B624F"/>
    <w:rsid w:val="64A5243A"/>
    <w:rsid w:val="64B67287"/>
    <w:rsid w:val="64F13BAE"/>
    <w:rsid w:val="64F531DE"/>
    <w:rsid w:val="65057B23"/>
    <w:rsid w:val="65143FAD"/>
    <w:rsid w:val="6526661E"/>
    <w:rsid w:val="65304DD8"/>
    <w:rsid w:val="65373578"/>
    <w:rsid w:val="654900FB"/>
    <w:rsid w:val="65532D27"/>
    <w:rsid w:val="6638635D"/>
    <w:rsid w:val="669A3EF5"/>
    <w:rsid w:val="66AC7169"/>
    <w:rsid w:val="66AE5B30"/>
    <w:rsid w:val="670E25DC"/>
    <w:rsid w:val="671F124A"/>
    <w:rsid w:val="673F58BB"/>
    <w:rsid w:val="677A33C6"/>
    <w:rsid w:val="677C34FF"/>
    <w:rsid w:val="678D070C"/>
    <w:rsid w:val="67B217A3"/>
    <w:rsid w:val="681F6961"/>
    <w:rsid w:val="6832506A"/>
    <w:rsid w:val="68486C54"/>
    <w:rsid w:val="68610A2F"/>
    <w:rsid w:val="686F6E01"/>
    <w:rsid w:val="6872079A"/>
    <w:rsid w:val="68805514"/>
    <w:rsid w:val="68AA1606"/>
    <w:rsid w:val="68B914D8"/>
    <w:rsid w:val="68C930BE"/>
    <w:rsid w:val="69117181"/>
    <w:rsid w:val="692D1AE1"/>
    <w:rsid w:val="692D4EA0"/>
    <w:rsid w:val="69316E2F"/>
    <w:rsid w:val="694E2071"/>
    <w:rsid w:val="69681AFA"/>
    <w:rsid w:val="69766163"/>
    <w:rsid w:val="697A3B33"/>
    <w:rsid w:val="6993489C"/>
    <w:rsid w:val="69A578CA"/>
    <w:rsid w:val="69A872DA"/>
    <w:rsid w:val="69B828F1"/>
    <w:rsid w:val="69C1430F"/>
    <w:rsid w:val="69D44760"/>
    <w:rsid w:val="69F85C3D"/>
    <w:rsid w:val="69FA3BC2"/>
    <w:rsid w:val="6A0C162C"/>
    <w:rsid w:val="6A1E17AB"/>
    <w:rsid w:val="6A520EC7"/>
    <w:rsid w:val="6A995DBF"/>
    <w:rsid w:val="6A9F256B"/>
    <w:rsid w:val="6AA50158"/>
    <w:rsid w:val="6AF87E20"/>
    <w:rsid w:val="6B2D21E8"/>
    <w:rsid w:val="6B322639"/>
    <w:rsid w:val="6B7A2F8F"/>
    <w:rsid w:val="6B9B71D6"/>
    <w:rsid w:val="6BA15802"/>
    <w:rsid w:val="6BD85D34"/>
    <w:rsid w:val="6C083654"/>
    <w:rsid w:val="6C0C6CE4"/>
    <w:rsid w:val="6C141B92"/>
    <w:rsid w:val="6C4A7483"/>
    <w:rsid w:val="6C636C38"/>
    <w:rsid w:val="6D01750D"/>
    <w:rsid w:val="6D102502"/>
    <w:rsid w:val="6D1062F9"/>
    <w:rsid w:val="6D194538"/>
    <w:rsid w:val="6D497313"/>
    <w:rsid w:val="6D9B2527"/>
    <w:rsid w:val="6DB34098"/>
    <w:rsid w:val="6DB545B6"/>
    <w:rsid w:val="6DC41C0E"/>
    <w:rsid w:val="6DE02FB4"/>
    <w:rsid w:val="6DFB2C85"/>
    <w:rsid w:val="6E0252EB"/>
    <w:rsid w:val="6E193A7F"/>
    <w:rsid w:val="6E1B145E"/>
    <w:rsid w:val="6E514CED"/>
    <w:rsid w:val="6E562015"/>
    <w:rsid w:val="6E74564B"/>
    <w:rsid w:val="6E9A19C7"/>
    <w:rsid w:val="6EA04ECD"/>
    <w:rsid w:val="6EA711FC"/>
    <w:rsid w:val="6EB02F99"/>
    <w:rsid w:val="6EB563D5"/>
    <w:rsid w:val="6EBD1966"/>
    <w:rsid w:val="6ED92677"/>
    <w:rsid w:val="6EF235B1"/>
    <w:rsid w:val="6EF94940"/>
    <w:rsid w:val="6F225983"/>
    <w:rsid w:val="6F346779"/>
    <w:rsid w:val="6F370FC4"/>
    <w:rsid w:val="6F425C90"/>
    <w:rsid w:val="6F90175F"/>
    <w:rsid w:val="6FC11EA3"/>
    <w:rsid w:val="6FC50FC5"/>
    <w:rsid w:val="6FFC5590"/>
    <w:rsid w:val="700E47B4"/>
    <w:rsid w:val="70122199"/>
    <w:rsid w:val="7045721B"/>
    <w:rsid w:val="70476C49"/>
    <w:rsid w:val="7053007F"/>
    <w:rsid w:val="70553DF8"/>
    <w:rsid w:val="706D1DD0"/>
    <w:rsid w:val="70856B87"/>
    <w:rsid w:val="70866438"/>
    <w:rsid w:val="709760D6"/>
    <w:rsid w:val="70986086"/>
    <w:rsid w:val="70AC019F"/>
    <w:rsid w:val="70D527EE"/>
    <w:rsid w:val="70F0003F"/>
    <w:rsid w:val="710E28C7"/>
    <w:rsid w:val="711E4D19"/>
    <w:rsid w:val="713D2F01"/>
    <w:rsid w:val="71482EC0"/>
    <w:rsid w:val="7158344A"/>
    <w:rsid w:val="715B5300"/>
    <w:rsid w:val="71645191"/>
    <w:rsid w:val="718B61C0"/>
    <w:rsid w:val="71934FA8"/>
    <w:rsid w:val="71CB12E6"/>
    <w:rsid w:val="71D04764"/>
    <w:rsid w:val="71D27F8A"/>
    <w:rsid w:val="722116F1"/>
    <w:rsid w:val="72462B0B"/>
    <w:rsid w:val="72553024"/>
    <w:rsid w:val="72603A4B"/>
    <w:rsid w:val="72693C88"/>
    <w:rsid w:val="726F75AB"/>
    <w:rsid w:val="72EE3C21"/>
    <w:rsid w:val="72F24638"/>
    <w:rsid w:val="73122968"/>
    <w:rsid w:val="731F5D5E"/>
    <w:rsid w:val="73517D90"/>
    <w:rsid w:val="73685DD0"/>
    <w:rsid w:val="73C51AD5"/>
    <w:rsid w:val="73EA06CF"/>
    <w:rsid w:val="741E1E64"/>
    <w:rsid w:val="741E793C"/>
    <w:rsid w:val="74554810"/>
    <w:rsid w:val="745E3944"/>
    <w:rsid w:val="748D0748"/>
    <w:rsid w:val="749F7D37"/>
    <w:rsid w:val="74C652C4"/>
    <w:rsid w:val="74DF0CD4"/>
    <w:rsid w:val="75100533"/>
    <w:rsid w:val="752403DF"/>
    <w:rsid w:val="75720710"/>
    <w:rsid w:val="757C1E26"/>
    <w:rsid w:val="75C4385E"/>
    <w:rsid w:val="761B5373"/>
    <w:rsid w:val="76211CFF"/>
    <w:rsid w:val="7635099D"/>
    <w:rsid w:val="763A43F3"/>
    <w:rsid w:val="7646563A"/>
    <w:rsid w:val="766A30C6"/>
    <w:rsid w:val="76767E7A"/>
    <w:rsid w:val="76EA2457"/>
    <w:rsid w:val="770943CA"/>
    <w:rsid w:val="77624B86"/>
    <w:rsid w:val="77762421"/>
    <w:rsid w:val="777C0999"/>
    <w:rsid w:val="77841865"/>
    <w:rsid w:val="77846D70"/>
    <w:rsid w:val="77975BED"/>
    <w:rsid w:val="77B56B1F"/>
    <w:rsid w:val="77C627D4"/>
    <w:rsid w:val="78003D06"/>
    <w:rsid w:val="78022363"/>
    <w:rsid w:val="780F09F4"/>
    <w:rsid w:val="78244A1F"/>
    <w:rsid w:val="782B3690"/>
    <w:rsid w:val="784A1D68"/>
    <w:rsid w:val="789E75CA"/>
    <w:rsid w:val="78A90480"/>
    <w:rsid w:val="78B05DDA"/>
    <w:rsid w:val="78D45AB3"/>
    <w:rsid w:val="78DE5CD7"/>
    <w:rsid w:val="78EF290F"/>
    <w:rsid w:val="796B5D3E"/>
    <w:rsid w:val="79716D30"/>
    <w:rsid w:val="79740499"/>
    <w:rsid w:val="79B24069"/>
    <w:rsid w:val="79D34B43"/>
    <w:rsid w:val="79E5119E"/>
    <w:rsid w:val="7A320D06"/>
    <w:rsid w:val="7A36248D"/>
    <w:rsid w:val="7A364017"/>
    <w:rsid w:val="7A3C3F19"/>
    <w:rsid w:val="7A4F7B0A"/>
    <w:rsid w:val="7A65344B"/>
    <w:rsid w:val="7A8265E1"/>
    <w:rsid w:val="7A88207D"/>
    <w:rsid w:val="7AE63EBE"/>
    <w:rsid w:val="7AE74C21"/>
    <w:rsid w:val="7B0363F4"/>
    <w:rsid w:val="7B322D2D"/>
    <w:rsid w:val="7B686D42"/>
    <w:rsid w:val="7B6E0463"/>
    <w:rsid w:val="7B841746"/>
    <w:rsid w:val="7BDD1298"/>
    <w:rsid w:val="7C3A6597"/>
    <w:rsid w:val="7C6C5AC7"/>
    <w:rsid w:val="7C6D4F31"/>
    <w:rsid w:val="7CC6544B"/>
    <w:rsid w:val="7CE8099C"/>
    <w:rsid w:val="7D0239FF"/>
    <w:rsid w:val="7D2F59D0"/>
    <w:rsid w:val="7D3E79C1"/>
    <w:rsid w:val="7D5E40CD"/>
    <w:rsid w:val="7DA16716"/>
    <w:rsid w:val="7DCD56F2"/>
    <w:rsid w:val="7E077F79"/>
    <w:rsid w:val="7E2547CF"/>
    <w:rsid w:val="7E5D7D7C"/>
    <w:rsid w:val="7E724DC2"/>
    <w:rsid w:val="7EB919F5"/>
    <w:rsid w:val="7EC01A44"/>
    <w:rsid w:val="7EDC3936"/>
    <w:rsid w:val="7EF14E95"/>
    <w:rsid w:val="7F001CE7"/>
    <w:rsid w:val="7F076C05"/>
    <w:rsid w:val="7F361298"/>
    <w:rsid w:val="7F487930"/>
    <w:rsid w:val="7FC43E30"/>
    <w:rsid w:val="7FE16674"/>
    <w:rsid w:val="7FE47E50"/>
    <w:rsid w:val="7FF500C7"/>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99" w:semiHidden="0" w:name="heading 2"/>
    <w:lsdException w:qFormat="1" w:unhideWhenUsed="0" w:uiPriority="99"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99" w:name="toc 1"/>
    <w:lsdException w:qFormat="1" w:unhideWhenUsed="0" w:uiPriority="99" w:name="toc 2"/>
    <w:lsdException w:qFormat="1" w:unhideWhenUsed="0" w:uiPriority="99" w:name="toc 3"/>
    <w:lsdException w:qFormat="1" w:unhideWhenUsed="0" w:uiPriority="99" w:name="toc 4"/>
    <w:lsdException w:qFormat="1" w:unhideWhenUsed="0" w:uiPriority="99" w:name="toc 5"/>
    <w:lsdException w:qFormat="1" w:unhideWhenUsed="0" w:uiPriority="99" w:name="toc 6"/>
    <w:lsdException w:qFormat="1" w:unhideWhenUsed="0" w:uiPriority="99" w:name="toc 7"/>
    <w:lsdException w:qFormat="1" w:unhideWhenUsed="0" w:uiPriority="99" w:name="toc 8"/>
    <w:lsdException w:qFormat="1" w:unhideWhenUsed="0" w:uiPriority="99" w:name="toc 9"/>
    <w:lsdException w:qFormat="1" w:unhideWhenUsed="0" w:uiPriority="99" w:semiHidden="0" w:name="Normal Indent"/>
    <w:lsdException w:uiPriority="99" w:name="footnote text"/>
    <w:lsdException w:qFormat="1" w:unhideWhenUsed="0" w:uiPriority="99" w:name="annotation text"/>
    <w:lsdException w:qFormat="1" w:unhideWhenUsed="0" w:uiPriority="99" w:semiHidden="0" w:name="header"/>
    <w:lsdException w:qFormat="1" w:unhideWhenUsed="0" w:uiPriority="99" w:semiHidden="0" w:name="footer"/>
    <w:lsdException w:uiPriority="99" w:name="index heading"/>
    <w:lsdException w:qFormat="1" w:unhideWhenUsed="0" w:uiPriority="0" w:semiHidden="0" w:name="caption"/>
    <w:lsdException w:qFormat="1" w:unhideWhenUsed="0" w:uiPriority="99" w:name="table of figures"/>
    <w:lsdException w:uiPriority="99" w:name="envelope address"/>
    <w:lsdException w:uiPriority="99" w:name="envelope return"/>
    <w:lsdException w:uiPriority="99" w:name="footnote reference"/>
    <w:lsdException w:qFormat="1" w:unhideWhenUsed="0"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0" w:name="table of authorities"/>
    <w:lsdException w:uiPriority="99" w:name="macro"/>
    <w:lsdException w:uiPriority="99" w:name="toa heading"/>
    <w:lsdException w:qFormat="1" w:unhideWhenUsed="0" w:uiPriority="99" w:semiHidden="0" w:name="List"/>
    <w:lsdException w:uiPriority="0"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iPriority="99" w:name="List Bullet 5"/>
    <w:lsdException w:uiPriority="99" w:name="List Number 2"/>
    <w:lsdException w:uiPriority="99" w:name="List Number 3"/>
    <w:lsdException w:uiPriority="99" w:name="List Number 4"/>
    <w:lsdException w:uiPriority="99" w:name="List Number 5"/>
    <w:lsdException w:qFormat="1" w:unhideWhenUsed="0" w:uiPriority="99"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99" w:semiHidden="0" w:name="Body Text Indent"/>
    <w:lsdException w:uiPriority="99" w:name="List Continue"/>
    <w:lsdException w:uiPriority="0" w:name="List Continue 2"/>
    <w:lsdException w:uiPriority="0" w:name="List Continue 3"/>
    <w:lsdException w:uiPriority="0" w:name="List Continue 4"/>
    <w:lsdException w:uiPriority="0" w:name="List Continue 5"/>
    <w:lsdException w:uiPriority="99" w:name="Message Header"/>
    <w:lsdException w:qFormat="1" w:unhideWhenUsed="0" w:uiPriority="0" w:semiHidden="0" w:name="Subtitle"/>
    <w:lsdException w:uiPriority="99" w:name="Salutation"/>
    <w:lsdException w:qFormat="1" w:unhideWhenUsed="0" w:uiPriority="99" w:semiHidden="0" w:name="Date"/>
    <w:lsdException w:qFormat="1" w:unhideWhenUsed="0" w:uiPriority="99" w:semiHidden="0" w:name="Body Text First Indent"/>
    <w:lsdException w:qFormat="1" w:unhideWhenUsed="0" w:uiPriority="99" w:semiHidden="0" w:name="Body Text First Indent 2"/>
    <w:lsdException w:uiPriority="99" w:name="Note Heading"/>
    <w:lsdException w:qFormat="1" w:uiPriority="0"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qFormat="1" w:unhideWhenUsed="0" w:uiPriority="99" w:semiHidden="0" w:name="FollowedHyperlink"/>
    <w:lsdException w:qFormat="1" w:unhideWhenUsed="0" w:uiPriority="99" w:semiHidden="0" w:name="Strong"/>
    <w:lsdException w:qFormat="1" w:unhideWhenUsed="0" w:uiPriority="0" w:semiHidden="0" w:name="Emphasis"/>
    <w:lsdException w:qFormat="1" w:unhideWhenUsed="0"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9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link w:val="56"/>
    <w:qFormat/>
    <w:uiPriority w:val="9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4">
    <w:name w:val="heading 2"/>
    <w:basedOn w:val="1"/>
    <w:next w:val="1"/>
    <w:link w:val="57"/>
    <w:qFormat/>
    <w:uiPriority w:val="99"/>
    <w:pPr>
      <w:keepNext/>
      <w:keepLines/>
      <w:spacing w:before="260" w:after="260" w:line="416" w:lineRule="auto"/>
      <w:outlineLvl w:val="1"/>
    </w:pPr>
    <w:rPr>
      <w:rFonts w:ascii="Cambria" w:hAnsi="Cambria" w:cs="Cambria"/>
      <w:b/>
      <w:bCs/>
      <w:sz w:val="32"/>
      <w:szCs w:val="32"/>
    </w:rPr>
  </w:style>
  <w:style w:type="paragraph" w:styleId="5">
    <w:name w:val="heading 3"/>
    <w:basedOn w:val="1"/>
    <w:next w:val="1"/>
    <w:link w:val="58"/>
    <w:qFormat/>
    <w:uiPriority w:val="99"/>
    <w:pPr>
      <w:widowControl/>
      <w:numPr>
        <w:ilvl w:val="2"/>
        <w:numId w:val="1"/>
      </w:numPr>
      <w:spacing w:beforeLines="50" w:afterLines="50"/>
      <w:jc w:val="left"/>
      <w:outlineLvl w:val="2"/>
    </w:pPr>
    <w:rPr>
      <w:rFonts w:ascii="Calibri" w:hAnsi="Calibri" w:cs="Calibri"/>
      <w:b/>
      <w:bCs/>
      <w:kern w:val="0"/>
    </w:rPr>
  </w:style>
  <w:style w:type="paragraph" w:styleId="6">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44">
    <w:name w:val="Default Paragraph Font"/>
    <w:semiHidden/>
    <w:unhideWhenUsed/>
    <w:qFormat/>
    <w:uiPriority w:val="1"/>
  </w:style>
  <w:style w:type="table" w:default="1" w:styleId="41">
    <w:name w:val="Normal Table"/>
    <w:semiHidden/>
    <w:unhideWhenUsed/>
    <w:qFormat/>
    <w:uiPriority w:val="99"/>
    <w:pPr>
      <w:keepNext w:val="0"/>
      <w:keepLines w:val="0"/>
      <w:widowControl/>
      <w:suppressLineNumbers w:val="0"/>
      <w:spacing w:before="0" w:beforeAutospacing="0" w:after="0" w:afterAutospacing="0"/>
      <w:ind w:left="0" w:right="0"/>
    </w:pPr>
    <w:rPr>
      <w:rFonts w:hint="default" w:ascii="Times New Roman" w:hAnsi="Times New Roman" w:cs="Times New Roman"/>
      <w:sz w:val="20"/>
      <w:szCs w:val="20"/>
    </w:rPr>
    <w:tblPr>
      <w:tblCellMar>
        <w:top w:w="0" w:type="dxa"/>
        <w:left w:w="108" w:type="dxa"/>
        <w:bottom w:w="0" w:type="dxa"/>
        <w:right w:w="108" w:type="dxa"/>
      </w:tblCellMar>
    </w:tblPr>
  </w:style>
  <w:style w:type="paragraph" w:styleId="2">
    <w:name w:val="Body Text First Indent 2"/>
    <w:basedOn w:val="1"/>
    <w:next w:val="1"/>
    <w:link w:val="84"/>
    <w:qFormat/>
    <w:uiPriority w:val="99"/>
    <w:pPr>
      <w:spacing w:after="120"/>
      <w:ind w:left="420" w:leftChars="200" w:firstLine="420" w:firstLineChars="200"/>
    </w:pPr>
  </w:style>
  <w:style w:type="paragraph" w:styleId="7">
    <w:name w:val="toc 7"/>
    <w:basedOn w:val="1"/>
    <w:next w:val="1"/>
    <w:semiHidden/>
    <w:qFormat/>
    <w:uiPriority w:val="99"/>
    <w:pPr>
      <w:ind w:left="1260"/>
      <w:jc w:val="left"/>
    </w:pPr>
    <w:rPr>
      <w:rFonts w:ascii="Calibri" w:hAnsi="Calibri" w:cs="Calibri"/>
      <w:sz w:val="18"/>
      <w:szCs w:val="18"/>
    </w:rPr>
  </w:style>
  <w:style w:type="paragraph" w:styleId="8">
    <w:name w:val="Normal Indent"/>
    <w:basedOn w:val="1"/>
    <w:link w:val="92"/>
    <w:qFormat/>
    <w:uiPriority w:val="99"/>
    <w:pPr>
      <w:ind w:firstLine="420"/>
    </w:pPr>
    <w:rPr>
      <w:rFonts w:ascii="Calibri" w:hAnsi="Calibri"/>
      <w:sz w:val="22"/>
      <w:szCs w:val="22"/>
    </w:rPr>
  </w:style>
  <w:style w:type="paragraph" w:styleId="9">
    <w:name w:val="caption"/>
    <w:basedOn w:val="1"/>
    <w:next w:val="1"/>
    <w:qFormat/>
    <w:uiPriority w:val="0"/>
    <w:rPr>
      <w:rFonts w:ascii="Cambria" w:hAnsi="Cambria" w:eastAsia="黑体"/>
      <w:sz w:val="20"/>
      <w:szCs w:val="20"/>
    </w:rPr>
  </w:style>
  <w:style w:type="paragraph" w:styleId="10">
    <w:name w:val="Document Map"/>
    <w:basedOn w:val="1"/>
    <w:link w:val="85"/>
    <w:semiHidden/>
    <w:qFormat/>
    <w:uiPriority w:val="99"/>
    <w:rPr>
      <w:rFonts w:ascii="宋体" w:cs="宋体"/>
      <w:sz w:val="18"/>
      <w:szCs w:val="18"/>
    </w:rPr>
  </w:style>
  <w:style w:type="paragraph" w:styleId="11">
    <w:name w:val="annotation text"/>
    <w:basedOn w:val="1"/>
    <w:link w:val="65"/>
    <w:semiHidden/>
    <w:qFormat/>
    <w:uiPriority w:val="99"/>
    <w:pPr>
      <w:jc w:val="left"/>
    </w:pPr>
    <w:rPr>
      <w:kern w:val="0"/>
      <w:sz w:val="24"/>
      <w:szCs w:val="24"/>
    </w:rPr>
  </w:style>
  <w:style w:type="paragraph" w:styleId="12">
    <w:name w:val="Body Text"/>
    <w:basedOn w:val="1"/>
    <w:link w:val="64"/>
    <w:qFormat/>
    <w:uiPriority w:val="99"/>
    <w:pPr>
      <w:widowControl/>
      <w:snapToGrid w:val="0"/>
      <w:spacing w:before="60" w:after="160" w:line="259" w:lineRule="auto"/>
      <w:ind w:right="113"/>
    </w:pPr>
    <w:rPr>
      <w:kern w:val="0"/>
      <w:sz w:val="18"/>
      <w:szCs w:val="18"/>
    </w:rPr>
  </w:style>
  <w:style w:type="paragraph" w:styleId="13">
    <w:name w:val="Body Text Indent"/>
    <w:basedOn w:val="1"/>
    <w:link w:val="73"/>
    <w:qFormat/>
    <w:uiPriority w:val="99"/>
    <w:pPr>
      <w:spacing w:after="120"/>
      <w:ind w:left="420" w:leftChars="200"/>
    </w:pPr>
    <w:rPr>
      <w:kern w:val="0"/>
      <w:sz w:val="24"/>
      <w:szCs w:val="24"/>
    </w:rPr>
  </w:style>
  <w:style w:type="paragraph" w:styleId="14">
    <w:name w:val="toc 5"/>
    <w:basedOn w:val="1"/>
    <w:next w:val="1"/>
    <w:semiHidden/>
    <w:qFormat/>
    <w:uiPriority w:val="99"/>
    <w:pPr>
      <w:ind w:left="840"/>
      <w:jc w:val="left"/>
    </w:pPr>
    <w:rPr>
      <w:rFonts w:ascii="Calibri" w:hAnsi="Calibri" w:cs="Calibri"/>
      <w:sz w:val="18"/>
      <w:szCs w:val="18"/>
    </w:rPr>
  </w:style>
  <w:style w:type="paragraph" w:styleId="15">
    <w:name w:val="toc 3"/>
    <w:basedOn w:val="1"/>
    <w:next w:val="1"/>
    <w:semiHidden/>
    <w:qFormat/>
    <w:uiPriority w:val="99"/>
    <w:pPr>
      <w:ind w:left="420"/>
      <w:jc w:val="left"/>
    </w:pPr>
    <w:rPr>
      <w:rFonts w:ascii="Calibri" w:hAnsi="Calibri" w:cs="Calibri"/>
      <w:i/>
      <w:iCs/>
      <w:sz w:val="20"/>
      <w:szCs w:val="20"/>
    </w:rPr>
  </w:style>
  <w:style w:type="paragraph" w:styleId="16">
    <w:name w:val="Plain Text"/>
    <w:basedOn w:val="1"/>
    <w:link w:val="86"/>
    <w:qFormat/>
    <w:uiPriority w:val="99"/>
    <w:rPr>
      <w:rFonts w:ascii="宋体" w:hAnsi="Courier New" w:cs="宋体"/>
      <w:sz w:val="24"/>
      <w:szCs w:val="24"/>
    </w:rPr>
  </w:style>
  <w:style w:type="paragraph" w:styleId="17">
    <w:name w:val="List Bullet 5"/>
    <w:basedOn w:val="1"/>
    <w:semiHidden/>
    <w:unhideWhenUsed/>
    <w:qFormat/>
    <w:uiPriority w:val="99"/>
    <w:pPr>
      <w:numPr>
        <w:ilvl w:val="0"/>
        <w:numId w:val="2"/>
      </w:numPr>
    </w:pPr>
  </w:style>
  <w:style w:type="paragraph" w:styleId="18">
    <w:name w:val="toc 8"/>
    <w:basedOn w:val="1"/>
    <w:next w:val="1"/>
    <w:semiHidden/>
    <w:qFormat/>
    <w:uiPriority w:val="99"/>
    <w:pPr>
      <w:ind w:left="1470"/>
      <w:jc w:val="left"/>
    </w:pPr>
    <w:rPr>
      <w:rFonts w:ascii="Calibri" w:hAnsi="Calibri" w:cs="Calibri"/>
      <w:sz w:val="18"/>
      <w:szCs w:val="18"/>
    </w:rPr>
  </w:style>
  <w:style w:type="paragraph" w:styleId="19">
    <w:name w:val="Date"/>
    <w:basedOn w:val="1"/>
    <w:next w:val="1"/>
    <w:link w:val="60"/>
    <w:qFormat/>
    <w:uiPriority w:val="99"/>
    <w:pPr>
      <w:ind w:left="100" w:leftChars="2500"/>
    </w:pPr>
    <w:rPr>
      <w:kern w:val="0"/>
      <w:sz w:val="24"/>
      <w:szCs w:val="24"/>
    </w:rPr>
  </w:style>
  <w:style w:type="paragraph" w:styleId="20">
    <w:name w:val="Body Text Indent 2"/>
    <w:basedOn w:val="1"/>
    <w:link w:val="88"/>
    <w:qFormat/>
    <w:uiPriority w:val="99"/>
    <w:pPr>
      <w:spacing w:after="120" w:line="480" w:lineRule="auto"/>
      <w:ind w:left="420" w:leftChars="200"/>
    </w:pPr>
  </w:style>
  <w:style w:type="paragraph" w:styleId="21">
    <w:name w:val="Balloon Text"/>
    <w:basedOn w:val="1"/>
    <w:link w:val="69"/>
    <w:semiHidden/>
    <w:qFormat/>
    <w:uiPriority w:val="99"/>
    <w:rPr>
      <w:kern w:val="0"/>
      <w:sz w:val="18"/>
      <w:szCs w:val="18"/>
    </w:rPr>
  </w:style>
  <w:style w:type="paragraph" w:styleId="22">
    <w:name w:val="footer"/>
    <w:basedOn w:val="1"/>
    <w:link w:val="59"/>
    <w:qFormat/>
    <w:uiPriority w:val="99"/>
    <w:pPr>
      <w:tabs>
        <w:tab w:val="center" w:pos="4153"/>
        <w:tab w:val="right" w:pos="8306"/>
      </w:tabs>
      <w:snapToGrid w:val="0"/>
      <w:jc w:val="left"/>
    </w:pPr>
    <w:rPr>
      <w:kern w:val="0"/>
      <w:sz w:val="18"/>
      <w:szCs w:val="18"/>
    </w:rPr>
  </w:style>
  <w:style w:type="paragraph" w:styleId="23">
    <w:name w:val="header"/>
    <w:basedOn w:val="1"/>
    <w:next w:val="24"/>
    <w:link w:val="71"/>
    <w:qFormat/>
    <w:uiPriority w:val="99"/>
    <w:pPr>
      <w:pBdr>
        <w:bottom w:val="single" w:color="auto" w:sz="6" w:space="1"/>
      </w:pBdr>
      <w:tabs>
        <w:tab w:val="center" w:pos="4153"/>
        <w:tab w:val="right" w:pos="8306"/>
      </w:tabs>
      <w:snapToGrid w:val="0"/>
      <w:jc w:val="center"/>
    </w:pPr>
    <w:rPr>
      <w:kern w:val="0"/>
      <w:sz w:val="18"/>
      <w:szCs w:val="18"/>
    </w:rPr>
  </w:style>
  <w:style w:type="paragraph" w:customStyle="1" w:styleId="24">
    <w:name w:val="样式5"/>
    <w:basedOn w:val="25"/>
    <w:next w:val="1"/>
    <w:qFormat/>
    <w:uiPriority w:val="0"/>
    <w:pPr>
      <w:snapToGrid w:val="0"/>
      <w:spacing w:line="360" w:lineRule="auto"/>
      <w:ind w:firstLine="510"/>
    </w:pPr>
  </w:style>
  <w:style w:type="paragraph" w:customStyle="1" w:styleId="25">
    <w:name w:val="正文1"/>
    <w:basedOn w:val="26"/>
    <w:qFormat/>
    <w:uiPriority w:val="99"/>
    <w:pPr>
      <w:widowControl w:val="0"/>
      <w:adjustRightInd w:val="0"/>
      <w:spacing w:line="315" w:lineRule="atLeast"/>
      <w:jc w:val="both"/>
      <w:textAlignment w:val="baseline"/>
    </w:pPr>
    <w:rPr>
      <w:rFonts w:ascii="宋体" w:hAnsi="Times New Roman" w:eastAsia="宋体" w:cs="宋体"/>
      <w:sz w:val="24"/>
      <w:szCs w:val="24"/>
      <w:lang w:val="en-US" w:eastAsia="zh-CN" w:bidi="ar-SA"/>
    </w:rPr>
  </w:style>
  <w:style w:type="paragraph" w:customStyle="1" w:styleId="26">
    <w:name w:val="正 文"/>
    <w:basedOn w:val="1"/>
    <w:qFormat/>
    <w:uiPriority w:val="0"/>
    <w:pPr>
      <w:adjustRightInd w:val="0"/>
      <w:snapToGrid w:val="0"/>
      <w:spacing w:line="360" w:lineRule="auto"/>
      <w:ind w:firstLine="480" w:firstLineChars="200"/>
    </w:pPr>
    <w:rPr>
      <w:sz w:val="24"/>
      <w:lang w:val="zh-CN"/>
    </w:rPr>
  </w:style>
  <w:style w:type="paragraph" w:styleId="27">
    <w:name w:val="toc 1"/>
    <w:basedOn w:val="1"/>
    <w:next w:val="1"/>
    <w:semiHidden/>
    <w:qFormat/>
    <w:uiPriority w:val="99"/>
    <w:pPr>
      <w:tabs>
        <w:tab w:val="right" w:leader="dot" w:pos="8296"/>
      </w:tabs>
      <w:spacing w:before="120" w:after="120"/>
      <w:jc w:val="center"/>
    </w:pPr>
    <w:rPr>
      <w:rFonts w:ascii="Calibri" w:hAnsi="Calibri" w:cs="Calibri"/>
      <w:b/>
      <w:bCs/>
      <w:sz w:val="44"/>
      <w:szCs w:val="44"/>
    </w:rPr>
  </w:style>
  <w:style w:type="paragraph" w:styleId="28">
    <w:name w:val="toc 4"/>
    <w:basedOn w:val="1"/>
    <w:next w:val="1"/>
    <w:semiHidden/>
    <w:qFormat/>
    <w:uiPriority w:val="99"/>
    <w:pPr>
      <w:ind w:left="630"/>
      <w:jc w:val="left"/>
    </w:pPr>
    <w:rPr>
      <w:rFonts w:ascii="Calibri" w:hAnsi="Calibri" w:cs="Calibri"/>
      <w:sz w:val="18"/>
      <w:szCs w:val="18"/>
    </w:rPr>
  </w:style>
  <w:style w:type="paragraph" w:styleId="29">
    <w:name w:val="List"/>
    <w:basedOn w:val="1"/>
    <w:qFormat/>
    <w:uiPriority w:val="99"/>
    <w:pPr>
      <w:ind w:left="200" w:hanging="200" w:hangingChars="200"/>
    </w:pPr>
  </w:style>
  <w:style w:type="paragraph" w:styleId="30">
    <w:name w:val="toc 6"/>
    <w:basedOn w:val="1"/>
    <w:next w:val="1"/>
    <w:semiHidden/>
    <w:qFormat/>
    <w:uiPriority w:val="99"/>
    <w:pPr>
      <w:ind w:left="1050"/>
      <w:jc w:val="left"/>
    </w:pPr>
    <w:rPr>
      <w:rFonts w:ascii="Calibri" w:hAnsi="Calibri" w:cs="Calibri"/>
      <w:sz w:val="18"/>
      <w:szCs w:val="18"/>
    </w:rPr>
  </w:style>
  <w:style w:type="paragraph" w:styleId="31">
    <w:name w:val="Body Text Indent 3"/>
    <w:basedOn w:val="1"/>
    <w:link w:val="89"/>
    <w:qFormat/>
    <w:uiPriority w:val="99"/>
    <w:pPr>
      <w:spacing w:line="500" w:lineRule="exact"/>
      <w:ind w:firstLine="570"/>
    </w:pPr>
    <w:rPr>
      <w:sz w:val="24"/>
      <w:szCs w:val="24"/>
    </w:rPr>
  </w:style>
  <w:style w:type="paragraph" w:styleId="32">
    <w:name w:val="table of figures"/>
    <w:basedOn w:val="1"/>
    <w:next w:val="1"/>
    <w:semiHidden/>
    <w:qFormat/>
    <w:uiPriority w:val="99"/>
    <w:pPr>
      <w:adjustRightInd w:val="0"/>
      <w:snapToGrid w:val="0"/>
      <w:spacing w:beforeLines="25" w:afterLines="25" w:line="360" w:lineRule="auto"/>
      <w:ind w:left="200" w:leftChars="200" w:hanging="200" w:hangingChars="200"/>
    </w:pPr>
    <w:rPr>
      <w:sz w:val="24"/>
      <w:szCs w:val="24"/>
    </w:rPr>
  </w:style>
  <w:style w:type="paragraph" w:styleId="33">
    <w:name w:val="toc 2"/>
    <w:basedOn w:val="1"/>
    <w:next w:val="1"/>
    <w:semiHidden/>
    <w:qFormat/>
    <w:uiPriority w:val="99"/>
    <w:pPr>
      <w:ind w:left="210"/>
      <w:jc w:val="left"/>
    </w:pPr>
    <w:rPr>
      <w:rFonts w:ascii="Calibri" w:hAnsi="Calibri" w:cs="Calibri"/>
      <w:smallCaps/>
      <w:sz w:val="20"/>
      <w:szCs w:val="20"/>
    </w:rPr>
  </w:style>
  <w:style w:type="paragraph" w:styleId="34">
    <w:name w:val="toc 9"/>
    <w:basedOn w:val="1"/>
    <w:next w:val="1"/>
    <w:semiHidden/>
    <w:qFormat/>
    <w:uiPriority w:val="99"/>
    <w:pPr>
      <w:ind w:left="1680"/>
      <w:jc w:val="left"/>
    </w:pPr>
    <w:rPr>
      <w:rFonts w:ascii="Calibri" w:hAnsi="Calibri" w:cs="Calibri"/>
      <w:sz w:val="18"/>
      <w:szCs w:val="18"/>
    </w:rPr>
  </w:style>
  <w:style w:type="paragraph" w:styleId="35">
    <w:name w:val="Body Text 2"/>
    <w:basedOn w:val="1"/>
    <w:unhideWhenUsed/>
    <w:qFormat/>
    <w:uiPriority w:val="0"/>
    <w:pPr>
      <w:spacing w:after="120" w:line="480" w:lineRule="auto"/>
    </w:pPr>
  </w:style>
  <w:style w:type="paragraph" w:styleId="36">
    <w:name w:val="HTML Preformatted"/>
    <w:basedOn w:val="1"/>
    <w:link w:val="136"/>
    <w:qFormat/>
    <w:uiPriority w:val="99"/>
    <w:rPr>
      <w:rFonts w:ascii="Courier New" w:hAnsi="Courier New" w:cs="Courier New"/>
      <w:sz w:val="20"/>
      <w:szCs w:val="20"/>
    </w:rPr>
  </w:style>
  <w:style w:type="paragraph" w:styleId="37">
    <w:name w:val="Normal (Web)"/>
    <w:basedOn w:val="1"/>
    <w:link w:val="62"/>
    <w:qFormat/>
    <w:uiPriority w:val="99"/>
    <w:pPr>
      <w:widowControl/>
      <w:spacing w:before="100" w:beforeAutospacing="1" w:after="100" w:afterAutospacing="1"/>
      <w:jc w:val="left"/>
    </w:pPr>
    <w:rPr>
      <w:rFonts w:ascii="宋体" w:hAnsi="宋体"/>
      <w:kern w:val="0"/>
      <w:sz w:val="24"/>
      <w:szCs w:val="24"/>
    </w:rPr>
  </w:style>
  <w:style w:type="paragraph" w:styleId="38">
    <w:name w:val="Title"/>
    <w:basedOn w:val="1"/>
    <w:next w:val="1"/>
    <w:link w:val="90"/>
    <w:qFormat/>
    <w:uiPriority w:val="99"/>
    <w:pPr>
      <w:spacing w:line="360" w:lineRule="auto"/>
      <w:jc w:val="left"/>
      <w:outlineLvl w:val="1"/>
    </w:pPr>
    <w:rPr>
      <w:rFonts w:ascii="Cambria" w:hAnsi="Cambria" w:cs="Cambria"/>
      <w:b/>
      <w:bCs/>
      <w:sz w:val="24"/>
      <w:szCs w:val="24"/>
    </w:rPr>
  </w:style>
  <w:style w:type="paragraph" w:styleId="39">
    <w:name w:val="annotation subject"/>
    <w:basedOn w:val="11"/>
    <w:next w:val="11"/>
    <w:link w:val="70"/>
    <w:semiHidden/>
    <w:qFormat/>
    <w:uiPriority w:val="99"/>
    <w:rPr>
      <w:b/>
      <w:bCs/>
      <w:kern w:val="2"/>
    </w:rPr>
  </w:style>
  <w:style w:type="paragraph" w:styleId="40">
    <w:name w:val="Body Text First Indent"/>
    <w:basedOn w:val="12"/>
    <w:next w:val="32"/>
    <w:link w:val="91"/>
    <w:qFormat/>
    <w:uiPriority w:val="99"/>
    <w:pPr>
      <w:ind w:firstLine="420" w:firstLineChars="100"/>
    </w:pPr>
  </w:style>
  <w:style w:type="table" w:styleId="42">
    <w:name w:val="Table Grid"/>
    <w:basedOn w:val="41"/>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43">
    <w:name w:val="Table Theme"/>
    <w:basedOn w:val="41"/>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5">
    <w:name w:val="Strong"/>
    <w:qFormat/>
    <w:uiPriority w:val="99"/>
    <w:rPr>
      <w:b/>
      <w:bCs/>
    </w:rPr>
  </w:style>
  <w:style w:type="character" w:styleId="46">
    <w:name w:val="page number"/>
    <w:basedOn w:val="44"/>
    <w:qFormat/>
    <w:uiPriority w:val="99"/>
  </w:style>
  <w:style w:type="character" w:styleId="47">
    <w:name w:val="FollowedHyperlink"/>
    <w:qFormat/>
    <w:uiPriority w:val="99"/>
    <w:rPr>
      <w:color w:val="auto"/>
      <w:u w:val="none"/>
    </w:rPr>
  </w:style>
  <w:style w:type="character" w:styleId="48">
    <w:name w:val="Emphasis"/>
    <w:basedOn w:val="44"/>
    <w:qFormat/>
    <w:uiPriority w:val="0"/>
    <w:rPr>
      <w:i/>
    </w:rPr>
  </w:style>
  <w:style w:type="character" w:styleId="49">
    <w:name w:val="Hyperlink"/>
    <w:qFormat/>
    <w:uiPriority w:val="99"/>
    <w:rPr>
      <w:color w:val="0000FF"/>
      <w:u w:val="single"/>
    </w:rPr>
  </w:style>
  <w:style w:type="character" w:styleId="50">
    <w:name w:val="annotation reference"/>
    <w:semiHidden/>
    <w:qFormat/>
    <w:uiPriority w:val="99"/>
    <w:rPr>
      <w:sz w:val="21"/>
      <w:szCs w:val="21"/>
    </w:rPr>
  </w:style>
  <w:style w:type="paragraph" w:customStyle="1" w:styleId="51">
    <w:name w:val="Default"/>
    <w:basedOn w:val="52"/>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customStyle="1" w:styleId="52">
    <w:name w:val="纯文本1"/>
    <w:basedOn w:val="1"/>
    <w:qFormat/>
    <w:uiPriority w:val="0"/>
    <w:pPr>
      <w:adjustRightInd w:val="0"/>
    </w:pPr>
    <w:rPr>
      <w:rFonts w:ascii="宋体" w:hAnsi="Courier New"/>
      <w:szCs w:val="20"/>
    </w:rPr>
  </w:style>
  <w:style w:type="paragraph" w:customStyle="1" w:styleId="53">
    <w:name w:val="标题 段落4级"/>
    <w:next w:val="11"/>
    <w:qFormat/>
    <w:uiPriority w:val="0"/>
    <w:pPr>
      <w:spacing w:line="500" w:lineRule="exact"/>
      <w:outlineLvl w:val="3"/>
    </w:pPr>
    <w:rPr>
      <w:rFonts w:ascii="Calibri" w:hAnsi="Calibri" w:eastAsia="仿宋_GB2312" w:cs="Calibri"/>
      <w:b/>
      <w:kern w:val="2"/>
      <w:sz w:val="28"/>
      <w:szCs w:val="24"/>
      <w:lang w:val="en-US" w:eastAsia="zh-CN" w:bidi="ar-SA"/>
    </w:rPr>
  </w:style>
  <w:style w:type="paragraph" w:customStyle="1" w:styleId="54">
    <w:name w:val="样式 正文文本缩进 + 行距: 1.5 倍行距"/>
    <w:basedOn w:val="1"/>
    <w:qFormat/>
    <w:uiPriority w:val="0"/>
    <w:pPr>
      <w:spacing w:after="120"/>
      <w:ind w:left="90" w:leftChars="32" w:firstLine="560" w:firstLineChars="200"/>
    </w:pPr>
    <w:rPr>
      <w:rFonts w:cs="宋体"/>
    </w:rPr>
  </w:style>
  <w:style w:type="paragraph" w:customStyle="1" w:styleId="55">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56">
    <w:name w:val="标题 1 字符"/>
    <w:link w:val="3"/>
    <w:qFormat/>
    <w:uiPriority w:val="99"/>
    <w:rPr>
      <w:rFonts w:eastAsia="黑体"/>
      <w:b/>
      <w:bCs/>
      <w:color w:val="000000"/>
      <w:kern w:val="44"/>
      <w:sz w:val="30"/>
      <w:szCs w:val="30"/>
    </w:rPr>
  </w:style>
  <w:style w:type="character" w:customStyle="1" w:styleId="57">
    <w:name w:val="标题 2 字符"/>
    <w:link w:val="4"/>
    <w:qFormat/>
    <w:uiPriority w:val="99"/>
    <w:rPr>
      <w:rFonts w:ascii="Cambria" w:hAnsi="Cambria" w:eastAsia="宋体" w:cs="Cambria"/>
      <w:b/>
      <w:bCs/>
      <w:kern w:val="2"/>
      <w:sz w:val="32"/>
      <w:szCs w:val="32"/>
    </w:rPr>
  </w:style>
  <w:style w:type="character" w:customStyle="1" w:styleId="58">
    <w:name w:val="标题 3 字符"/>
    <w:link w:val="5"/>
    <w:qFormat/>
    <w:uiPriority w:val="99"/>
    <w:rPr>
      <w:rFonts w:ascii="Calibri" w:hAnsi="Calibri" w:eastAsia="宋体" w:cs="Calibri"/>
      <w:b/>
      <w:bCs/>
      <w:sz w:val="21"/>
      <w:szCs w:val="21"/>
    </w:rPr>
  </w:style>
  <w:style w:type="character" w:customStyle="1" w:styleId="59">
    <w:name w:val="页脚 字符1"/>
    <w:link w:val="22"/>
    <w:qFormat/>
    <w:uiPriority w:val="99"/>
    <w:rPr>
      <w:sz w:val="18"/>
      <w:szCs w:val="18"/>
    </w:rPr>
  </w:style>
  <w:style w:type="character" w:customStyle="1" w:styleId="60">
    <w:name w:val="日期 字符1"/>
    <w:link w:val="19"/>
    <w:qFormat/>
    <w:uiPriority w:val="99"/>
    <w:rPr>
      <w:rFonts w:ascii="Times New Roman" w:hAnsi="Times New Roman" w:eastAsia="宋体" w:cs="Times New Roman"/>
      <w:sz w:val="24"/>
      <w:szCs w:val="24"/>
    </w:rPr>
  </w:style>
  <w:style w:type="character" w:customStyle="1" w:styleId="61">
    <w:name w:val="页脚 字符"/>
    <w:basedOn w:val="44"/>
    <w:qFormat/>
    <w:uiPriority w:val="99"/>
  </w:style>
  <w:style w:type="character" w:customStyle="1" w:styleId="62">
    <w:name w:val="普通(网站) 字符"/>
    <w:link w:val="37"/>
    <w:qFormat/>
    <w:uiPriority w:val="99"/>
    <w:rPr>
      <w:rFonts w:ascii="宋体" w:hAnsi="宋体" w:eastAsia="宋体" w:cs="宋体"/>
      <w:sz w:val="24"/>
      <w:szCs w:val="24"/>
    </w:rPr>
  </w:style>
  <w:style w:type="character" w:customStyle="1" w:styleId="63">
    <w:name w:val="正文文本 字符1"/>
    <w:semiHidden/>
    <w:qFormat/>
    <w:uiPriority w:val="99"/>
    <w:rPr>
      <w:rFonts w:ascii="Times New Roman" w:hAnsi="Times New Roman" w:eastAsia="宋体" w:cs="Times New Roman"/>
      <w:sz w:val="24"/>
      <w:szCs w:val="24"/>
    </w:rPr>
  </w:style>
  <w:style w:type="character" w:customStyle="1" w:styleId="64">
    <w:name w:val="正文文本 字符"/>
    <w:link w:val="12"/>
    <w:qFormat/>
    <w:uiPriority w:val="99"/>
    <w:rPr>
      <w:sz w:val="18"/>
      <w:szCs w:val="18"/>
    </w:rPr>
  </w:style>
  <w:style w:type="character" w:customStyle="1" w:styleId="65">
    <w:name w:val="批注文字 字符"/>
    <w:link w:val="11"/>
    <w:qFormat/>
    <w:uiPriority w:val="99"/>
    <w:rPr>
      <w:rFonts w:ascii="Times New Roman" w:hAnsi="Times New Roman" w:eastAsia="宋体" w:cs="Times New Roman"/>
      <w:sz w:val="24"/>
      <w:szCs w:val="24"/>
    </w:rPr>
  </w:style>
  <w:style w:type="character" w:customStyle="1" w:styleId="66">
    <w:name w:val="表格 Char"/>
    <w:link w:val="67"/>
    <w:qFormat/>
    <w:uiPriority w:val="99"/>
    <w:rPr>
      <w:rFonts w:ascii="宋体" w:cs="宋体"/>
      <w:sz w:val="21"/>
      <w:szCs w:val="21"/>
    </w:rPr>
  </w:style>
  <w:style w:type="paragraph" w:customStyle="1" w:styleId="67">
    <w:name w:val="表格"/>
    <w:basedOn w:val="1"/>
    <w:next w:val="1"/>
    <w:link w:val="66"/>
    <w:qFormat/>
    <w:uiPriority w:val="99"/>
    <w:pPr>
      <w:adjustRightInd w:val="0"/>
      <w:snapToGrid w:val="0"/>
      <w:spacing w:beforeLines="10" w:afterLines="10" w:line="259" w:lineRule="auto"/>
      <w:jc w:val="center"/>
    </w:pPr>
    <w:rPr>
      <w:rFonts w:ascii="宋体"/>
      <w:kern w:val="0"/>
    </w:rPr>
  </w:style>
  <w:style w:type="character" w:customStyle="1" w:styleId="68">
    <w:name w:val="日期 字符"/>
    <w:semiHidden/>
    <w:qFormat/>
    <w:uiPriority w:val="99"/>
    <w:rPr>
      <w:rFonts w:ascii="Times New Roman" w:hAnsi="Times New Roman" w:eastAsia="宋体" w:cs="Times New Roman"/>
      <w:sz w:val="24"/>
      <w:szCs w:val="24"/>
    </w:rPr>
  </w:style>
  <w:style w:type="character" w:customStyle="1" w:styleId="69">
    <w:name w:val="批注框文本 字符"/>
    <w:link w:val="21"/>
    <w:semiHidden/>
    <w:qFormat/>
    <w:uiPriority w:val="99"/>
    <w:rPr>
      <w:rFonts w:ascii="Times New Roman" w:hAnsi="Times New Roman" w:eastAsia="宋体" w:cs="Times New Roman"/>
      <w:sz w:val="18"/>
      <w:szCs w:val="18"/>
    </w:rPr>
  </w:style>
  <w:style w:type="character" w:customStyle="1" w:styleId="70">
    <w:name w:val="批注主题 字符"/>
    <w:link w:val="39"/>
    <w:semiHidden/>
    <w:qFormat/>
    <w:uiPriority w:val="99"/>
    <w:rPr>
      <w:rFonts w:ascii="Times New Roman" w:hAnsi="Times New Roman" w:eastAsia="宋体" w:cs="Times New Roman"/>
      <w:b/>
      <w:bCs/>
      <w:kern w:val="2"/>
      <w:sz w:val="24"/>
      <w:szCs w:val="24"/>
    </w:rPr>
  </w:style>
  <w:style w:type="character" w:customStyle="1" w:styleId="71">
    <w:name w:val="页眉 字符"/>
    <w:link w:val="23"/>
    <w:qFormat/>
    <w:uiPriority w:val="99"/>
    <w:rPr>
      <w:sz w:val="18"/>
      <w:szCs w:val="18"/>
    </w:rPr>
  </w:style>
  <w:style w:type="character" w:customStyle="1" w:styleId="72">
    <w:name w:val="批注文字 字符1"/>
    <w:semiHidden/>
    <w:qFormat/>
    <w:uiPriority w:val="99"/>
    <w:rPr>
      <w:rFonts w:ascii="Times New Roman" w:hAnsi="Times New Roman" w:eastAsia="宋体" w:cs="Times New Roman"/>
      <w:sz w:val="24"/>
      <w:szCs w:val="24"/>
    </w:rPr>
  </w:style>
  <w:style w:type="character" w:customStyle="1" w:styleId="73">
    <w:name w:val="正文文本缩进 字符"/>
    <w:link w:val="13"/>
    <w:qFormat/>
    <w:uiPriority w:val="99"/>
    <w:rPr>
      <w:rFonts w:ascii="Times New Roman" w:hAnsi="Times New Roman" w:eastAsia="宋体" w:cs="Times New Roman"/>
      <w:sz w:val="24"/>
      <w:szCs w:val="24"/>
    </w:rPr>
  </w:style>
  <w:style w:type="character" w:customStyle="1" w:styleId="74">
    <w:name w:val="Header Char1"/>
    <w:semiHidden/>
    <w:qFormat/>
    <w:uiPriority w:val="99"/>
    <w:rPr>
      <w:sz w:val="18"/>
      <w:szCs w:val="18"/>
    </w:rPr>
  </w:style>
  <w:style w:type="character" w:customStyle="1" w:styleId="75">
    <w:name w:val="Footer Char1"/>
    <w:semiHidden/>
    <w:qFormat/>
    <w:uiPriority w:val="99"/>
    <w:rPr>
      <w:sz w:val="18"/>
      <w:szCs w:val="18"/>
    </w:rPr>
  </w:style>
  <w:style w:type="character" w:customStyle="1" w:styleId="76">
    <w:name w:val="Body Text Char1"/>
    <w:semiHidden/>
    <w:qFormat/>
    <w:uiPriority w:val="99"/>
    <w:rPr>
      <w:szCs w:val="21"/>
    </w:rPr>
  </w:style>
  <w:style w:type="character" w:customStyle="1" w:styleId="77">
    <w:name w:val="Balloon Text Char1"/>
    <w:semiHidden/>
    <w:qFormat/>
    <w:uiPriority w:val="99"/>
    <w:rPr>
      <w:sz w:val="0"/>
      <w:szCs w:val="0"/>
    </w:rPr>
  </w:style>
  <w:style w:type="character" w:customStyle="1" w:styleId="78">
    <w:name w:val="Comment Text Char1"/>
    <w:semiHidden/>
    <w:qFormat/>
    <w:uiPriority w:val="99"/>
    <w:rPr>
      <w:szCs w:val="21"/>
    </w:rPr>
  </w:style>
  <w:style w:type="character" w:customStyle="1" w:styleId="79">
    <w:name w:val="Comment Subject Char1"/>
    <w:semiHidden/>
    <w:qFormat/>
    <w:uiPriority w:val="99"/>
    <w:rPr>
      <w:rFonts w:ascii="Times New Roman" w:hAnsi="Times New Roman" w:eastAsia="宋体" w:cs="Times New Roman"/>
      <w:b/>
      <w:bCs/>
      <w:sz w:val="24"/>
      <w:szCs w:val="21"/>
    </w:rPr>
  </w:style>
  <w:style w:type="character" w:customStyle="1" w:styleId="80">
    <w:name w:val="Date Char1"/>
    <w:semiHidden/>
    <w:qFormat/>
    <w:uiPriority w:val="99"/>
    <w:rPr>
      <w:szCs w:val="21"/>
    </w:rPr>
  </w:style>
  <w:style w:type="character" w:customStyle="1" w:styleId="81">
    <w:name w:val="Body Text Indent Char1"/>
    <w:semiHidden/>
    <w:qFormat/>
    <w:uiPriority w:val="99"/>
    <w:rPr>
      <w:szCs w:val="21"/>
    </w:rPr>
  </w:style>
  <w:style w:type="paragraph" w:customStyle="1" w:styleId="82">
    <w:name w:val="正文_10"/>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83">
    <w:name w:val="普通(网站)2"/>
    <w:basedOn w:val="1"/>
    <w:qFormat/>
    <w:uiPriority w:val="99"/>
    <w:pPr>
      <w:widowControl/>
      <w:spacing w:before="100" w:beforeAutospacing="1" w:after="100" w:afterAutospacing="1"/>
      <w:jc w:val="left"/>
    </w:pPr>
    <w:rPr>
      <w:rFonts w:ascii="宋体" w:hAnsi="宋体" w:cs="宋体"/>
      <w:sz w:val="24"/>
      <w:szCs w:val="24"/>
    </w:rPr>
  </w:style>
  <w:style w:type="character" w:customStyle="1" w:styleId="84">
    <w:name w:val="正文文本首行缩进 2 字符"/>
    <w:link w:val="2"/>
    <w:qFormat/>
    <w:uiPriority w:val="99"/>
    <w:rPr>
      <w:rFonts w:ascii="Times New Roman" w:hAnsi="Times New Roman" w:eastAsia="宋体" w:cs="Times New Roman"/>
      <w:kern w:val="2"/>
      <w:sz w:val="24"/>
      <w:szCs w:val="24"/>
    </w:rPr>
  </w:style>
  <w:style w:type="character" w:customStyle="1" w:styleId="85">
    <w:name w:val="文档结构图 字符"/>
    <w:link w:val="10"/>
    <w:qFormat/>
    <w:uiPriority w:val="99"/>
    <w:rPr>
      <w:rFonts w:ascii="宋体" w:cs="宋体"/>
      <w:kern w:val="2"/>
      <w:sz w:val="18"/>
      <w:szCs w:val="18"/>
    </w:rPr>
  </w:style>
  <w:style w:type="character" w:customStyle="1" w:styleId="86">
    <w:name w:val="纯文本 字符"/>
    <w:link w:val="16"/>
    <w:qFormat/>
    <w:uiPriority w:val="99"/>
    <w:rPr>
      <w:rFonts w:ascii="宋体" w:hAnsi="Courier New" w:cs="宋体"/>
      <w:kern w:val="2"/>
      <w:sz w:val="21"/>
      <w:szCs w:val="21"/>
    </w:rPr>
  </w:style>
  <w:style w:type="character" w:customStyle="1" w:styleId="87">
    <w:name w:val="纯文本 Char"/>
    <w:qFormat/>
    <w:uiPriority w:val="99"/>
    <w:rPr>
      <w:rFonts w:ascii="宋体" w:hAnsi="Courier New" w:cs="宋体"/>
      <w:kern w:val="2"/>
      <w:sz w:val="21"/>
      <w:szCs w:val="21"/>
    </w:rPr>
  </w:style>
  <w:style w:type="character" w:customStyle="1" w:styleId="88">
    <w:name w:val="正文文本缩进 2 字符"/>
    <w:link w:val="20"/>
    <w:qFormat/>
    <w:uiPriority w:val="99"/>
    <w:rPr>
      <w:kern w:val="2"/>
      <w:sz w:val="24"/>
      <w:szCs w:val="24"/>
    </w:rPr>
  </w:style>
  <w:style w:type="character" w:customStyle="1" w:styleId="89">
    <w:name w:val="正文文本缩进 3 字符"/>
    <w:link w:val="31"/>
    <w:qFormat/>
    <w:uiPriority w:val="99"/>
    <w:rPr>
      <w:kern w:val="2"/>
      <w:sz w:val="24"/>
      <w:szCs w:val="24"/>
    </w:rPr>
  </w:style>
  <w:style w:type="character" w:customStyle="1" w:styleId="90">
    <w:name w:val="标题 字符"/>
    <w:link w:val="38"/>
    <w:qFormat/>
    <w:uiPriority w:val="99"/>
    <w:rPr>
      <w:rFonts w:ascii="Cambria" w:hAnsi="Cambria" w:cs="Cambria"/>
      <w:b/>
      <w:bCs/>
      <w:kern w:val="2"/>
      <w:sz w:val="32"/>
      <w:szCs w:val="32"/>
    </w:rPr>
  </w:style>
  <w:style w:type="character" w:customStyle="1" w:styleId="91">
    <w:name w:val="正文文本首行缩进 字符"/>
    <w:link w:val="40"/>
    <w:qFormat/>
    <w:uiPriority w:val="99"/>
    <w:rPr>
      <w:kern w:val="2"/>
      <w:sz w:val="24"/>
      <w:szCs w:val="24"/>
    </w:rPr>
  </w:style>
  <w:style w:type="character" w:customStyle="1" w:styleId="92">
    <w:name w:val="正文缩进 字符"/>
    <w:link w:val="8"/>
    <w:qFormat/>
    <w:uiPriority w:val="99"/>
    <w:rPr>
      <w:rFonts w:ascii="Calibri" w:hAnsi="Calibri" w:cs="Calibri"/>
      <w:kern w:val="2"/>
      <w:sz w:val="22"/>
      <w:szCs w:val="22"/>
    </w:rPr>
  </w:style>
  <w:style w:type="character" w:customStyle="1" w:styleId="93">
    <w:name w:val="4正文 Char Char"/>
    <w:link w:val="94"/>
    <w:qFormat/>
    <w:uiPriority w:val="99"/>
  </w:style>
  <w:style w:type="paragraph" w:customStyle="1" w:styleId="94">
    <w:name w:val="4正文"/>
    <w:basedOn w:val="1"/>
    <w:link w:val="93"/>
    <w:qFormat/>
    <w:uiPriority w:val="99"/>
    <w:pPr>
      <w:ind w:firstLine="480"/>
    </w:pPr>
    <w:rPr>
      <w:kern w:val="0"/>
      <w:sz w:val="20"/>
      <w:szCs w:val="20"/>
    </w:rPr>
  </w:style>
  <w:style w:type="character" w:customStyle="1" w:styleId="95">
    <w:name w:val="正文-ls Char"/>
    <w:link w:val="96"/>
    <w:qFormat/>
    <w:uiPriority w:val="99"/>
    <w:rPr>
      <w:rFonts w:hAnsi="宋体"/>
      <w:sz w:val="24"/>
      <w:szCs w:val="24"/>
    </w:rPr>
  </w:style>
  <w:style w:type="paragraph" w:customStyle="1" w:styleId="96">
    <w:name w:val="正文-ls"/>
    <w:basedOn w:val="1"/>
    <w:link w:val="95"/>
    <w:qFormat/>
    <w:uiPriority w:val="99"/>
    <w:pPr>
      <w:spacing w:line="360" w:lineRule="auto"/>
      <w:ind w:firstLine="200" w:firstLineChars="200"/>
    </w:pPr>
    <w:rPr>
      <w:rFonts w:hAnsi="宋体"/>
      <w:kern w:val="0"/>
      <w:sz w:val="24"/>
      <w:szCs w:val="24"/>
    </w:rPr>
  </w:style>
  <w:style w:type="paragraph" w:customStyle="1" w:styleId="97">
    <w:name w:val="无悬挂正文5号"/>
    <w:basedOn w:val="1"/>
    <w:qFormat/>
    <w:uiPriority w:val="99"/>
    <w:pPr>
      <w:widowControl/>
      <w:jc w:val="center"/>
    </w:pPr>
    <w:rPr>
      <w:kern w:val="0"/>
      <w:sz w:val="20"/>
      <w:szCs w:val="20"/>
    </w:rPr>
  </w:style>
  <w:style w:type="paragraph" w:customStyle="1" w:styleId="98">
    <w:name w:val="六表内容"/>
    <w:basedOn w:val="1"/>
    <w:qFormat/>
    <w:uiPriority w:val="99"/>
    <w:pPr>
      <w:spacing w:line="340" w:lineRule="exact"/>
      <w:jc w:val="center"/>
    </w:pPr>
    <w:rPr>
      <w:rFonts w:ascii="宋体" w:hAnsi="宋体" w:cs="宋体"/>
      <w:color w:val="000000"/>
      <w:spacing w:val="-20"/>
      <w:kern w:val="0"/>
    </w:rPr>
  </w:style>
  <w:style w:type="paragraph" w:styleId="99">
    <w:name w:val="List Paragraph"/>
    <w:basedOn w:val="1"/>
    <w:qFormat/>
    <w:uiPriority w:val="99"/>
    <w:pPr>
      <w:ind w:firstLine="420" w:firstLineChars="200"/>
    </w:pPr>
  </w:style>
  <w:style w:type="paragraph" w:customStyle="1" w:styleId="100">
    <w:name w:val="样式 样式 样式 首行缩进:  1 字符 + 首行缩进:  2 字符2 + 首行缩进:  2 字符"/>
    <w:basedOn w:val="1"/>
    <w:qFormat/>
    <w:uiPriority w:val="99"/>
    <w:pPr>
      <w:spacing w:line="360" w:lineRule="auto"/>
      <w:ind w:firstLine="480" w:firstLineChars="200"/>
    </w:pPr>
    <w:rPr>
      <w:rFonts w:ascii="宋体" w:hAnsi="宋体" w:cs="宋体"/>
      <w:sz w:val="24"/>
      <w:szCs w:val="24"/>
    </w:rPr>
  </w:style>
  <w:style w:type="paragraph" w:customStyle="1" w:styleId="101">
    <w:name w:val="简单回函地址"/>
    <w:basedOn w:val="1"/>
    <w:qFormat/>
    <w:uiPriority w:val="99"/>
    <w:pPr>
      <w:adjustRightInd w:val="0"/>
      <w:spacing w:line="312" w:lineRule="atLeast"/>
      <w:textAlignment w:val="baseline"/>
    </w:pPr>
    <w:rPr>
      <w:rFonts w:ascii="Calibri" w:hAnsi="Calibri" w:cs="Calibri"/>
      <w:kern w:val="0"/>
    </w:rPr>
  </w:style>
  <w:style w:type="paragraph" w:customStyle="1" w:styleId="102">
    <w:name w:val="Char Char1 Char Char Char Char"/>
    <w:basedOn w:val="1"/>
    <w:qFormat/>
    <w:uiPriority w:val="99"/>
  </w:style>
  <w:style w:type="paragraph" w:customStyle="1" w:styleId="103">
    <w:name w:val="图表标题"/>
    <w:basedOn w:val="1"/>
    <w:qFormat/>
    <w:uiPriority w:val="99"/>
    <w:pPr>
      <w:numPr>
        <w:ilvl w:val="8"/>
        <w:numId w:val="1"/>
      </w:numPr>
      <w:spacing w:afterLines="50"/>
      <w:jc w:val="center"/>
    </w:pPr>
    <w:rPr>
      <w:rFonts w:ascii="Calibri" w:hAnsi="Calibri" w:eastAsia="黑体" w:cs="Calibri"/>
    </w:rPr>
  </w:style>
  <w:style w:type="paragraph" w:customStyle="1" w:styleId="104">
    <w:name w:val="样式 标题 3 + 左侧:  5.1 毫米 首行缩进:  0 毫米"/>
    <w:basedOn w:val="5"/>
    <w:qFormat/>
    <w:uiPriority w:val="99"/>
    <w:pPr>
      <w:spacing w:beforeLines="0" w:afterLines="0"/>
      <w:ind w:firstLine="480" w:firstLineChars="200"/>
    </w:pPr>
    <w:rPr>
      <w:rFonts w:ascii="Times New Roman" w:cs="Times New Roman"/>
    </w:rPr>
  </w:style>
  <w:style w:type="paragraph" w:customStyle="1" w:styleId="105">
    <w:name w:val="样式 样式 样式 首行缩进:  1 厘米 行距: 固定值 25 磅 + Times New Roman 首行缩进:  0.85 ...1"/>
    <w:basedOn w:val="1"/>
    <w:qFormat/>
    <w:uiPriority w:val="99"/>
    <w:pPr>
      <w:adjustRightInd w:val="0"/>
      <w:snapToGrid w:val="0"/>
      <w:spacing w:line="360" w:lineRule="auto"/>
      <w:ind w:firstLine="200" w:firstLineChars="200"/>
    </w:pPr>
    <w:rPr>
      <w:kern w:val="24"/>
      <w:sz w:val="24"/>
      <w:szCs w:val="24"/>
    </w:rPr>
  </w:style>
  <w:style w:type="character" w:customStyle="1" w:styleId="106">
    <w:name w:val="fontstyle01"/>
    <w:qFormat/>
    <w:uiPriority w:val="99"/>
    <w:rPr>
      <w:rFonts w:ascii="新宋体" w:hAnsi="新宋体" w:eastAsia="新宋体" w:cs="新宋体"/>
      <w:color w:val="000000"/>
      <w:sz w:val="32"/>
      <w:szCs w:val="32"/>
    </w:rPr>
  </w:style>
  <w:style w:type="character" w:customStyle="1" w:styleId="107">
    <w:name w:val="fontstyle21"/>
    <w:qFormat/>
    <w:uiPriority w:val="99"/>
    <w:rPr>
      <w:rFonts w:ascii="TimesNewRomanPSMT" w:eastAsia="TimesNewRomanPSMT" w:cs="TimesNewRomanPSMT"/>
      <w:color w:val="000000"/>
      <w:sz w:val="32"/>
      <w:szCs w:val="32"/>
    </w:rPr>
  </w:style>
  <w:style w:type="paragraph" w:customStyle="1" w:styleId="108">
    <w:name w:val="样式"/>
    <w:qFormat/>
    <w:uiPriority w:val="99"/>
    <w:pPr>
      <w:widowControl w:val="0"/>
      <w:autoSpaceDE w:val="0"/>
      <w:autoSpaceDN w:val="0"/>
      <w:adjustRightInd w:val="0"/>
    </w:pPr>
    <w:rPr>
      <w:rFonts w:ascii="宋体" w:hAnsi="宋体" w:eastAsia="宋体" w:cs="宋体"/>
      <w:sz w:val="24"/>
      <w:szCs w:val="24"/>
      <w:lang w:val="en-US" w:eastAsia="zh-CN" w:bidi="ar-SA"/>
    </w:rPr>
  </w:style>
  <w:style w:type="character" w:customStyle="1" w:styleId="109">
    <w:name w:val="bsharetext"/>
    <w:basedOn w:val="44"/>
    <w:qFormat/>
    <w:uiPriority w:val="99"/>
  </w:style>
  <w:style w:type="character" w:customStyle="1" w:styleId="110">
    <w:name w:val="页脚 Char1"/>
    <w:qFormat/>
    <w:uiPriority w:val="99"/>
    <w:rPr>
      <w:rFonts w:ascii="Calibri" w:hAnsi="Calibri" w:cs="Calibri"/>
    </w:rPr>
  </w:style>
  <w:style w:type="character" w:customStyle="1" w:styleId="111">
    <w:name w:val="hover27"/>
    <w:basedOn w:val="44"/>
    <w:qFormat/>
    <w:uiPriority w:val="99"/>
  </w:style>
  <w:style w:type="character" w:customStyle="1" w:styleId="112">
    <w:name w:val="页眉 Char1"/>
    <w:qFormat/>
    <w:uiPriority w:val="99"/>
    <w:rPr>
      <w:rFonts w:ascii="Calibri" w:hAnsi="Calibri" w:cs="Calibri"/>
    </w:rPr>
  </w:style>
  <w:style w:type="paragraph" w:customStyle="1" w:styleId="113">
    <w:name w:val="第一章表标头"/>
    <w:basedOn w:val="1"/>
    <w:qFormat/>
    <w:uiPriority w:val="99"/>
    <w:pPr>
      <w:tabs>
        <w:tab w:val="left" w:pos="360"/>
        <w:tab w:val="left" w:pos="420"/>
        <w:tab w:val="left" w:pos="2269"/>
      </w:tabs>
      <w:adjustRightInd w:val="0"/>
      <w:snapToGrid w:val="0"/>
      <w:spacing w:line="480" w:lineRule="exact"/>
      <w:ind w:left="420" w:hanging="420" w:firstLineChars="200"/>
      <w:jc w:val="center"/>
    </w:pPr>
    <w:rPr>
      <w:rFonts w:ascii="黑体" w:eastAsia="黑体" w:cs="黑体"/>
      <w:sz w:val="24"/>
      <w:szCs w:val="24"/>
    </w:rPr>
  </w:style>
  <w:style w:type="character" w:customStyle="1" w:styleId="114">
    <w:name w:val="表头名 Char Char1"/>
    <w:link w:val="115"/>
    <w:qFormat/>
    <w:uiPriority w:val="99"/>
    <w:rPr>
      <w:rFonts w:ascii="宋体" w:eastAsia="宋体" w:cs="宋体"/>
      <w:b/>
      <w:bCs/>
      <w:kern w:val="24"/>
      <w:sz w:val="28"/>
      <w:szCs w:val="28"/>
    </w:rPr>
  </w:style>
  <w:style w:type="paragraph" w:customStyle="1" w:styleId="115">
    <w:name w:val="表头"/>
    <w:basedOn w:val="8"/>
    <w:link w:val="114"/>
    <w:qFormat/>
    <w:uiPriority w:val="99"/>
    <w:pPr>
      <w:tabs>
        <w:tab w:val="left" w:pos="6840"/>
      </w:tabs>
      <w:topLinePunct/>
      <w:adjustRightInd w:val="0"/>
      <w:spacing w:line="529" w:lineRule="exact"/>
      <w:jc w:val="center"/>
    </w:pPr>
    <w:rPr>
      <w:rFonts w:ascii="宋体"/>
      <w:b/>
      <w:bCs/>
      <w:kern w:val="24"/>
      <w:sz w:val="28"/>
      <w:szCs w:val="28"/>
    </w:rPr>
  </w:style>
  <w:style w:type="paragraph" w:customStyle="1" w:styleId="116">
    <w:name w:val="6-表头"/>
    <w:basedOn w:val="1"/>
    <w:qFormat/>
    <w:uiPriority w:val="99"/>
    <w:pPr>
      <w:autoSpaceDE w:val="0"/>
      <w:autoSpaceDN w:val="0"/>
      <w:jc w:val="center"/>
    </w:pPr>
    <w:rPr>
      <w:b/>
      <w:bCs/>
      <w:color w:val="0000FF"/>
      <w:sz w:val="24"/>
      <w:szCs w:val="24"/>
    </w:rPr>
  </w:style>
  <w:style w:type="paragraph" w:customStyle="1" w:styleId="117">
    <w:name w:val="Char Char Char Char Char Char Char Char Char Char Char Char Char"/>
    <w:basedOn w:val="2"/>
    <w:qFormat/>
    <w:uiPriority w:val="99"/>
    <w:pPr>
      <w:widowControl/>
      <w:adjustRightInd w:val="0"/>
      <w:snapToGrid w:val="0"/>
      <w:spacing w:line="360" w:lineRule="auto"/>
      <w:ind w:left="0" w:leftChars="0" w:firstLine="200"/>
      <w:jc w:val="left"/>
    </w:pPr>
    <w:rPr>
      <w:rFonts w:ascii="宋体" w:cs="宋体"/>
      <w:kern w:val="0"/>
      <w:sz w:val="24"/>
      <w:szCs w:val="24"/>
    </w:rPr>
  </w:style>
  <w:style w:type="paragraph" w:customStyle="1" w:styleId="118">
    <w:name w:val="标准正文"/>
    <w:basedOn w:val="1"/>
    <w:qFormat/>
    <w:uiPriority w:val="99"/>
    <w:pPr>
      <w:spacing w:line="360" w:lineRule="auto"/>
      <w:ind w:firstLine="480" w:firstLineChars="200"/>
      <w:jc w:val="left"/>
    </w:pPr>
    <w:rPr>
      <w:sz w:val="22"/>
      <w:szCs w:val="22"/>
    </w:rPr>
  </w:style>
  <w:style w:type="character" w:customStyle="1" w:styleId="119">
    <w:name w:val="font61"/>
    <w:qFormat/>
    <w:uiPriority w:val="99"/>
    <w:rPr>
      <w:rFonts w:ascii="宋体" w:hAnsi="宋体" w:eastAsia="宋体" w:cs="宋体"/>
      <w:color w:val="000000"/>
      <w:sz w:val="32"/>
      <w:szCs w:val="32"/>
      <w:u w:val="none"/>
    </w:rPr>
  </w:style>
  <w:style w:type="character" w:customStyle="1" w:styleId="120">
    <w:name w:val="font41"/>
    <w:qFormat/>
    <w:uiPriority w:val="99"/>
    <w:rPr>
      <w:rFonts w:ascii="宋体" w:hAnsi="宋体" w:eastAsia="宋体" w:cs="宋体"/>
      <w:color w:val="000000"/>
      <w:sz w:val="22"/>
      <w:szCs w:val="22"/>
      <w:u w:val="none"/>
      <w:vertAlign w:val="superscript"/>
    </w:rPr>
  </w:style>
  <w:style w:type="character" w:customStyle="1" w:styleId="121">
    <w:name w:val="font31"/>
    <w:qFormat/>
    <w:uiPriority w:val="99"/>
    <w:rPr>
      <w:rFonts w:ascii="宋体" w:hAnsi="宋体" w:eastAsia="宋体" w:cs="宋体"/>
      <w:color w:val="000000"/>
      <w:sz w:val="22"/>
      <w:szCs w:val="22"/>
      <w:u w:val="none"/>
    </w:rPr>
  </w:style>
  <w:style w:type="character" w:customStyle="1" w:styleId="122">
    <w:name w:val="fontstyle31"/>
    <w:qFormat/>
    <w:uiPriority w:val="99"/>
    <w:rPr>
      <w:rFonts w:ascii="Times New Roman" w:hAnsi="Times New Roman" w:cs="Times New Roman"/>
      <w:b/>
      <w:bCs/>
      <w:color w:val="000000"/>
      <w:sz w:val="24"/>
      <w:szCs w:val="24"/>
    </w:rPr>
  </w:style>
  <w:style w:type="character" w:customStyle="1" w:styleId="123">
    <w:name w:val="fontstyle11"/>
    <w:qFormat/>
    <w:uiPriority w:val="99"/>
    <w:rPr>
      <w:rFonts w:ascii="宋体" w:hAnsi="宋体" w:eastAsia="宋体" w:cs="宋体"/>
      <w:color w:val="000000"/>
      <w:sz w:val="24"/>
      <w:szCs w:val="24"/>
    </w:rPr>
  </w:style>
  <w:style w:type="paragraph" w:customStyle="1" w:styleId="124">
    <w:name w:val="Char Char Char Char Char Char Char Char Char Char Char Char Char1"/>
    <w:basedOn w:val="2"/>
    <w:qFormat/>
    <w:uiPriority w:val="99"/>
    <w:pPr>
      <w:widowControl/>
      <w:adjustRightInd w:val="0"/>
      <w:snapToGrid w:val="0"/>
      <w:spacing w:after="0" w:line="360" w:lineRule="auto"/>
      <w:ind w:left="0" w:leftChars="0" w:firstLine="200"/>
      <w:jc w:val="left"/>
    </w:pPr>
    <w:rPr>
      <w:rFonts w:ascii="宋体" w:cs="宋体"/>
      <w:kern w:val="0"/>
      <w:sz w:val="24"/>
      <w:szCs w:val="24"/>
    </w:rPr>
  </w:style>
  <w:style w:type="character" w:customStyle="1" w:styleId="125">
    <w:name w:val="font21"/>
    <w:basedOn w:val="44"/>
    <w:qFormat/>
    <w:uiPriority w:val="99"/>
    <w:rPr>
      <w:rFonts w:ascii="宋体" w:hAnsi="宋体" w:eastAsia="宋体" w:cs="宋体"/>
      <w:color w:val="000000"/>
      <w:sz w:val="21"/>
      <w:szCs w:val="21"/>
      <w:u w:val="none"/>
    </w:rPr>
  </w:style>
  <w:style w:type="table" w:customStyle="1" w:styleId="126">
    <w:name w:val="网格型9"/>
    <w:qFormat/>
    <w:uiPriority w:val="9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27">
    <w:name w:val="font51"/>
    <w:qFormat/>
    <w:uiPriority w:val="99"/>
    <w:rPr>
      <w:rFonts w:ascii="Arial" w:hAnsi="Arial" w:cs="Arial"/>
      <w:color w:val="000000"/>
      <w:sz w:val="24"/>
      <w:szCs w:val="24"/>
      <w:u w:val="none"/>
    </w:rPr>
  </w:style>
  <w:style w:type="character" w:customStyle="1" w:styleId="128">
    <w:name w:val="font71"/>
    <w:qFormat/>
    <w:uiPriority w:val="99"/>
    <w:rPr>
      <w:rFonts w:ascii="Times New Roman" w:hAnsi="Times New Roman" w:cs="Times New Roman"/>
      <w:color w:val="000000"/>
      <w:sz w:val="21"/>
      <w:szCs w:val="21"/>
      <w:u w:val="none"/>
    </w:rPr>
  </w:style>
  <w:style w:type="character" w:customStyle="1" w:styleId="129">
    <w:name w:val="font81"/>
    <w:qFormat/>
    <w:uiPriority w:val="99"/>
    <w:rPr>
      <w:rFonts w:ascii="宋体" w:hAnsi="宋体" w:eastAsia="宋体" w:cs="宋体"/>
      <w:color w:val="000000"/>
      <w:sz w:val="16"/>
      <w:szCs w:val="16"/>
      <w:u w:val="none"/>
    </w:rPr>
  </w:style>
  <w:style w:type="character" w:customStyle="1" w:styleId="130">
    <w:name w:val="font11"/>
    <w:qFormat/>
    <w:uiPriority w:val="99"/>
    <w:rPr>
      <w:rFonts w:ascii="宋体" w:hAnsi="宋体" w:eastAsia="宋体" w:cs="宋体"/>
      <w:color w:val="000000"/>
      <w:sz w:val="21"/>
      <w:szCs w:val="21"/>
      <w:u w:val="none"/>
    </w:rPr>
  </w:style>
  <w:style w:type="paragraph" w:customStyle="1" w:styleId="131">
    <w:name w:val="Table Paragraph"/>
    <w:basedOn w:val="1"/>
    <w:qFormat/>
    <w:uiPriority w:val="99"/>
    <w:pPr>
      <w:jc w:val="left"/>
    </w:pPr>
    <w:rPr>
      <w:rFonts w:ascii="Calibri" w:hAnsi="Calibri" w:cs="Calibri"/>
      <w:kern w:val="0"/>
      <w:sz w:val="22"/>
      <w:szCs w:val="22"/>
      <w:lang w:eastAsia="en-US"/>
    </w:rPr>
  </w:style>
  <w:style w:type="paragraph" w:customStyle="1" w:styleId="132">
    <w:name w:val="_Style 10"/>
    <w:basedOn w:val="1"/>
    <w:qFormat/>
    <w:uiPriority w:val="99"/>
    <w:pPr>
      <w:adjustRightInd w:val="0"/>
      <w:spacing w:line="360" w:lineRule="atLeast"/>
      <w:jc w:val="left"/>
      <w:textAlignment w:val="baseline"/>
    </w:pPr>
    <w:rPr>
      <w:rFonts w:ascii="Tahoma" w:hAnsi="Tahoma" w:cs="Tahoma"/>
      <w:kern w:val="0"/>
      <w:sz w:val="24"/>
      <w:szCs w:val="24"/>
    </w:rPr>
  </w:style>
  <w:style w:type="character" w:customStyle="1" w:styleId="133">
    <w:name w:val="Char Char"/>
    <w:qFormat/>
    <w:uiPriority w:val="99"/>
    <w:rPr>
      <w:rFonts w:ascii="宋体" w:hAnsi="Courier New" w:cs="宋体"/>
      <w:kern w:val="2"/>
      <w:sz w:val="21"/>
      <w:szCs w:val="21"/>
    </w:rPr>
  </w:style>
  <w:style w:type="paragraph" w:customStyle="1" w:styleId="134">
    <w:name w:val="样式4"/>
    <w:basedOn w:val="1"/>
    <w:next w:val="1"/>
    <w:qFormat/>
    <w:uiPriority w:val="99"/>
    <w:pPr>
      <w:spacing w:line="440" w:lineRule="exact"/>
    </w:pPr>
    <w:rPr>
      <w:sz w:val="24"/>
      <w:szCs w:val="24"/>
    </w:rPr>
  </w:style>
  <w:style w:type="paragraph" w:customStyle="1" w:styleId="135">
    <w:name w:val="Char Char Char1 Char Char Char Char Char Char Char Char Char Char Char Char Char Char Char Char Char Char Char"/>
    <w:basedOn w:val="1"/>
    <w:qFormat/>
    <w:uiPriority w:val="99"/>
    <w:pPr>
      <w:spacing w:line="360" w:lineRule="auto"/>
      <w:ind w:firstLine="200" w:firstLineChars="200"/>
    </w:pPr>
    <w:rPr>
      <w:rFonts w:ascii="宋体" w:hAnsi="宋体" w:cs="宋体"/>
      <w:sz w:val="24"/>
      <w:szCs w:val="24"/>
    </w:rPr>
  </w:style>
  <w:style w:type="character" w:customStyle="1" w:styleId="136">
    <w:name w:val="HTML 预设格式 字符"/>
    <w:link w:val="36"/>
    <w:qFormat/>
    <w:uiPriority w:val="99"/>
    <w:rPr>
      <w:rFonts w:ascii="Courier New" w:hAnsi="Courier New" w:cs="Courier New"/>
      <w:kern w:val="2"/>
    </w:rPr>
  </w:style>
  <w:style w:type="paragraph" w:customStyle="1" w:styleId="137">
    <w:name w:val="123456"/>
    <w:basedOn w:val="1"/>
    <w:qFormat/>
    <w:uiPriority w:val="99"/>
    <w:pPr>
      <w:spacing w:line="360" w:lineRule="auto"/>
      <w:ind w:firstLine="200" w:firstLineChars="200"/>
    </w:pPr>
    <w:rPr>
      <w:sz w:val="24"/>
      <w:szCs w:val="24"/>
    </w:rPr>
  </w:style>
  <w:style w:type="paragraph" w:customStyle="1" w:styleId="138">
    <w:name w:val="0正文"/>
    <w:basedOn w:val="13"/>
    <w:link w:val="139"/>
    <w:qFormat/>
    <w:uiPriority w:val="99"/>
    <w:pPr>
      <w:widowControl/>
      <w:spacing w:after="0" w:line="360" w:lineRule="auto"/>
      <w:ind w:left="0" w:leftChars="0" w:firstLine="200" w:firstLineChars="200"/>
      <w:jc w:val="left"/>
    </w:pPr>
  </w:style>
  <w:style w:type="character" w:customStyle="1" w:styleId="139">
    <w:name w:val="0正文 Char"/>
    <w:link w:val="138"/>
    <w:qFormat/>
    <w:uiPriority w:val="99"/>
    <w:rPr>
      <w:sz w:val="24"/>
      <w:szCs w:val="24"/>
    </w:rPr>
  </w:style>
  <w:style w:type="paragraph" w:customStyle="1" w:styleId="140">
    <w:name w:val="表格内容（冰）"/>
    <w:basedOn w:val="1"/>
    <w:qFormat/>
    <w:uiPriority w:val="99"/>
    <w:pPr>
      <w:adjustRightInd w:val="0"/>
      <w:snapToGrid w:val="0"/>
      <w:jc w:val="center"/>
    </w:pPr>
  </w:style>
  <w:style w:type="paragraph" w:customStyle="1" w:styleId="141">
    <w:name w:val="Char4 Char Char Char Char Char Char1"/>
    <w:basedOn w:val="1"/>
    <w:qFormat/>
    <w:uiPriority w:val="99"/>
    <w:pPr>
      <w:spacing w:line="360" w:lineRule="auto"/>
      <w:ind w:firstLine="200" w:firstLineChars="200"/>
    </w:pPr>
    <w:rPr>
      <w:rFonts w:ascii="Calibri" w:hAnsi="Calibri" w:cs="Calibri"/>
    </w:rPr>
  </w:style>
  <w:style w:type="paragraph" w:customStyle="1" w:styleId="142">
    <w:name w:val="表格内容"/>
    <w:basedOn w:val="115"/>
    <w:qFormat/>
    <w:uiPriority w:val="99"/>
    <w:pPr>
      <w:tabs>
        <w:tab w:val="left" w:pos="2340"/>
        <w:tab w:val="clear" w:pos="6840"/>
      </w:tabs>
      <w:snapToGrid w:val="0"/>
      <w:jc w:val="center"/>
    </w:pPr>
  </w:style>
  <w:style w:type="paragraph" w:customStyle="1" w:styleId="143">
    <w:name w:val="列出段落2"/>
    <w:basedOn w:val="1"/>
    <w:qFormat/>
    <w:uiPriority w:val="99"/>
    <w:pPr>
      <w:adjustRightInd w:val="0"/>
      <w:snapToGrid w:val="0"/>
      <w:spacing w:line="360" w:lineRule="auto"/>
      <w:ind w:firstLine="420" w:firstLineChars="200"/>
    </w:pPr>
    <w:rPr>
      <w:sz w:val="24"/>
      <w:szCs w:val="24"/>
    </w:rPr>
  </w:style>
  <w:style w:type="character" w:customStyle="1" w:styleId="144">
    <w:name w:val="项目正文，无格式 Char"/>
    <w:link w:val="145"/>
    <w:qFormat/>
    <w:uiPriority w:val="99"/>
    <w:rPr>
      <w:kern w:val="2"/>
      <w:sz w:val="18"/>
      <w:szCs w:val="18"/>
    </w:rPr>
  </w:style>
  <w:style w:type="paragraph" w:customStyle="1" w:styleId="145">
    <w:name w:val="项目正文，无格式"/>
    <w:basedOn w:val="1"/>
    <w:link w:val="144"/>
    <w:qFormat/>
    <w:uiPriority w:val="99"/>
    <w:pPr>
      <w:jc w:val="center"/>
    </w:pPr>
    <w:rPr>
      <w:sz w:val="18"/>
      <w:szCs w:val="18"/>
    </w:rPr>
  </w:style>
  <w:style w:type="paragraph" w:customStyle="1" w:styleId="146">
    <w:name w:val="0正文表内"/>
    <w:basedOn w:val="1"/>
    <w:next w:val="1"/>
    <w:qFormat/>
    <w:uiPriority w:val="99"/>
    <w:pPr>
      <w:spacing w:line="360" w:lineRule="auto"/>
      <w:jc w:val="left"/>
    </w:pPr>
  </w:style>
  <w:style w:type="paragraph" w:styleId="147">
    <w:name w:val="No Spacing"/>
    <w:basedOn w:val="1"/>
    <w:link w:val="148"/>
    <w:qFormat/>
    <w:uiPriority w:val="99"/>
    <w:rPr>
      <w:rFonts w:ascii="Times New Roman" w:hAnsi="Times New Roman" w:eastAsia="宋体" w:cs="Times New Roman"/>
      <w:kern w:val="2"/>
      <w:sz w:val="22"/>
      <w:szCs w:val="22"/>
      <w:lang w:val="en-US" w:eastAsia="zh-CN" w:bidi="ar-SA"/>
    </w:rPr>
  </w:style>
  <w:style w:type="character" w:customStyle="1" w:styleId="148">
    <w:name w:val="无间隔 字符"/>
    <w:link w:val="147"/>
    <w:qFormat/>
    <w:uiPriority w:val="99"/>
    <w:rPr>
      <w:kern w:val="2"/>
      <w:sz w:val="22"/>
      <w:szCs w:val="22"/>
      <w:lang w:bidi="ar-SA"/>
    </w:rPr>
  </w:style>
  <w:style w:type="paragraph" w:customStyle="1" w:styleId="149">
    <w:name w:val="表头111"/>
    <w:basedOn w:val="1"/>
    <w:qFormat/>
    <w:uiPriority w:val="0"/>
    <w:pPr>
      <w:numPr>
        <w:ilvl w:val="0"/>
        <w:numId w:val="3"/>
      </w:numPr>
      <w:ind w:left="420"/>
      <w:jc w:val="center"/>
    </w:pPr>
    <w:rPr>
      <w:b/>
      <w:sz w:val="24"/>
    </w:rPr>
  </w:style>
  <w:style w:type="paragraph" w:customStyle="1" w:styleId="150">
    <w:name w:val="表格标题"/>
    <w:basedOn w:val="1"/>
    <w:next w:val="1"/>
    <w:qFormat/>
    <w:uiPriority w:val="0"/>
    <w:pPr>
      <w:adjustRightInd w:val="0"/>
      <w:spacing w:line="360" w:lineRule="auto"/>
      <w:jc w:val="center"/>
    </w:pPr>
    <w:rPr>
      <w:b/>
      <w:kern w:val="0"/>
      <w:szCs w:val="28"/>
    </w:rPr>
  </w:style>
  <w:style w:type="paragraph" w:customStyle="1" w:styleId="151">
    <w:name w:val="表格文字"/>
    <w:basedOn w:val="40"/>
    <w:qFormat/>
    <w:uiPriority w:val="0"/>
    <w:pPr>
      <w:jc w:val="center"/>
    </w:pPr>
  </w:style>
  <w:style w:type="paragraph" w:customStyle="1" w:styleId="152">
    <w:name w:val="Char Char1 Char Char Char Char Char Char Char Char Char Char Char Char Char Char Char Char Char Char Char Char1 Char"/>
    <w:basedOn w:val="1"/>
    <w:qFormat/>
    <w:uiPriority w:val="0"/>
    <w:pPr>
      <w:spacing w:line="360" w:lineRule="auto"/>
      <w:ind w:firstLine="200" w:firstLineChars="200"/>
    </w:pPr>
    <w:rPr>
      <w:rFonts w:ascii="宋体" w:hAnsi="宋体" w:cs="宋体"/>
      <w:sz w:val="24"/>
      <w:szCs w:val="24"/>
    </w:rPr>
  </w:style>
  <w:style w:type="paragraph" w:customStyle="1" w:styleId="153">
    <w:name w:val="谏壁正文chen"/>
    <w:basedOn w:val="1"/>
    <w:qFormat/>
    <w:uiPriority w:val="0"/>
    <w:pPr>
      <w:spacing w:line="360" w:lineRule="auto"/>
      <w:ind w:firstLine="200" w:firstLineChars="200"/>
    </w:pPr>
    <w:rPr>
      <w:sz w:val="24"/>
    </w:rPr>
  </w:style>
  <w:style w:type="paragraph" w:customStyle="1" w:styleId="154">
    <w:name w:val="WPSOffice手动目录 1"/>
    <w:qFormat/>
    <w:uiPriority w:val="0"/>
    <w:rPr>
      <w:rFonts w:ascii="Calibri" w:hAnsi="Calibri" w:eastAsia="Calibri" w:cs="Times New Roman"/>
      <w:lang w:val="en-US" w:eastAsia="zh-CN" w:bidi="ar-SA"/>
    </w:rPr>
  </w:style>
  <w:style w:type="paragraph" w:customStyle="1" w:styleId="155">
    <w:name w:val="表格文字我要的"/>
    <w:basedOn w:val="1"/>
    <w:qFormat/>
    <w:uiPriority w:val="0"/>
    <w:pPr>
      <w:adjustRightInd/>
      <w:snapToGrid/>
      <w:spacing w:line="240" w:lineRule="auto"/>
      <w:ind w:firstLine="0" w:firstLineChars="0"/>
      <w:jc w:val="center"/>
    </w:pPr>
    <w:rPr>
      <w:kern w:val="0"/>
      <w:sz w:val="21"/>
      <w:szCs w:val="21"/>
    </w:rPr>
  </w:style>
  <w:style w:type="paragraph" w:customStyle="1" w:styleId="156">
    <w:name w:val="Table Text"/>
    <w:basedOn w:val="1"/>
    <w:semiHidden/>
    <w:qFormat/>
    <w:uiPriority w:val="0"/>
    <w:rPr>
      <w:rFonts w:ascii="宋体" w:hAnsi="宋体" w:eastAsia="宋体" w:cs="宋体"/>
      <w:sz w:val="20"/>
      <w:szCs w:val="20"/>
      <w:lang w:val="en-US" w:eastAsia="en-US" w:bidi="ar-SA"/>
    </w:rPr>
  </w:style>
  <w:style w:type="table" w:customStyle="1" w:styleId="157">
    <w:name w:val="Table Normal"/>
    <w:semiHidden/>
    <w:unhideWhenUsed/>
    <w:qFormat/>
    <w:uiPriority w:val="0"/>
    <w:tblPr>
      <w:tblCellMar>
        <w:top w:w="0" w:type="dxa"/>
        <w:left w:w="0" w:type="dxa"/>
        <w:bottom w:w="0" w:type="dxa"/>
        <w:right w:w="0" w:type="dxa"/>
      </w:tblCellMar>
    </w:tblPr>
  </w:style>
  <w:style w:type="paragraph" w:customStyle="1" w:styleId="158">
    <w:name w:val="正文(首行缩进)"/>
    <w:basedOn w:val="1"/>
    <w:semiHidden/>
    <w:qFormat/>
    <w:uiPriority w:val="0"/>
    <w:pPr>
      <w:spacing w:line="360" w:lineRule="auto"/>
      <w:ind w:firstLine="540" w:firstLineChars="225"/>
    </w:pPr>
    <w:rPr>
      <w:snapToGrid w:val="0"/>
      <w:color w:val="000000"/>
      <w:kern w:val="0"/>
      <w:sz w:val="24"/>
      <w:szCs w:val="24"/>
    </w:rPr>
  </w:style>
  <w:style w:type="paragraph" w:customStyle="1" w:styleId="159">
    <w:name w:val="环评正文"/>
    <w:basedOn w:val="1"/>
    <w:qFormat/>
    <w:uiPriority w:val="0"/>
    <w:pPr>
      <w:autoSpaceDE w:val="0"/>
      <w:autoSpaceDN w:val="0"/>
      <w:adjustRightInd w:val="0"/>
      <w:snapToGrid w:val="0"/>
      <w:spacing w:line="360" w:lineRule="auto"/>
      <w:ind w:firstLine="200" w:firstLineChars="200"/>
      <w:jc w:val="left"/>
    </w:pPr>
    <w:rPr>
      <w:kern w:val="0"/>
      <w:sz w:val="24"/>
    </w:rPr>
  </w:style>
  <w:style w:type="paragraph" w:customStyle="1" w:styleId="160">
    <w:name w:val="管线正文"/>
    <w:basedOn w:val="1"/>
    <w:qFormat/>
    <w:uiPriority w:val="0"/>
    <w:pPr>
      <w:adjustRightInd/>
      <w:snapToGrid/>
      <w:spacing w:line="360" w:lineRule="auto"/>
      <w:ind w:firstLine="482"/>
      <w:textAlignment w:val="baseline"/>
    </w:pPr>
    <w:rPr>
      <w:kern w:val="0"/>
      <w:sz w:val="24"/>
    </w:rPr>
  </w:style>
  <w:style w:type="paragraph" w:customStyle="1" w:styleId="161">
    <w:name w:val="图表文字"/>
    <w:qFormat/>
    <w:uiPriority w:val="0"/>
    <w:pPr>
      <w:widowControl w:val="0"/>
      <w:jc w:val="center"/>
    </w:pPr>
    <w:rPr>
      <w:rFonts w:ascii="Times New Roman" w:hAnsi="Times New Roman" w:eastAsia="宋体" w:cs="Times New Roman"/>
      <w:snapToGrid w:val="0"/>
      <w:kern w:val="2"/>
      <w:sz w:val="21"/>
      <w:szCs w:val="24"/>
      <w:lang w:val="en-US" w:eastAsia="zh-CN" w:bidi="ar-SA"/>
    </w:rPr>
  </w:style>
  <w:style w:type="paragraph" w:customStyle="1" w:styleId="162">
    <w:name w:val="样式 样式 样式 四号 左侧:  1.53 厘米 + 首行缩进:  2 字符 + 居中 左侧:  2 字符 首行缩进:  2..."/>
    <w:basedOn w:val="1"/>
    <w:next w:val="1"/>
    <w:qFormat/>
    <w:uiPriority w:val="0"/>
    <w:pPr>
      <w:adjustRightInd w:val="0"/>
      <w:ind w:left="200" w:leftChars="200"/>
      <w:jc w:val="center"/>
    </w:pPr>
    <w:rPr>
      <w:rFonts w:ascii="Calibri" w:hAnsi="Calibri"/>
      <w:w w:val="90"/>
      <w:sz w:val="28"/>
      <w:szCs w:val="20"/>
    </w:rPr>
  </w:style>
  <w:style w:type="paragraph" w:customStyle="1" w:styleId="163">
    <w:name w:val="管道表格内容"/>
    <w:basedOn w:val="1"/>
    <w:qFormat/>
    <w:uiPriority w:val="0"/>
    <w:pPr>
      <w:adjustRightInd w:val="0"/>
      <w:snapToGrid w:val="0"/>
      <w:jc w:val="center"/>
    </w:pPr>
    <w:rPr>
      <w:rFonts w:hAnsi="宋体"/>
      <w:szCs w:val="21"/>
    </w:rPr>
  </w:style>
  <w:style w:type="paragraph" w:styleId="164">
    <w:name w:val="Quote"/>
    <w:basedOn w:val="147"/>
    <w:next w:val="1"/>
    <w:qFormat/>
    <w:uiPriority w:val="0"/>
    <w:pPr>
      <w:ind w:firstLine="200" w:firstLineChars="200"/>
      <w:jc w:val="both"/>
    </w:pPr>
    <w:rPr>
      <w:iCs/>
      <w:color w:val="3F3F3F"/>
    </w:rPr>
  </w:style>
  <w:style w:type="paragraph" w:customStyle="1" w:styleId="165">
    <w:name w:val="表1"/>
    <w:next w:val="1"/>
    <w:qFormat/>
    <w:uiPriority w:val="0"/>
    <w:pPr>
      <w:adjustRightInd w:val="0"/>
      <w:snapToGrid w:val="0"/>
      <w:jc w:val="center"/>
    </w:pPr>
    <w:rPr>
      <w:rFonts w:ascii="Times New Roman" w:hAnsi="Times New Roman" w:eastAsia="宋体" w:cs="Times New Roman"/>
      <w:sz w:val="21"/>
      <w:lang w:val="en-US" w:eastAsia="zh-CN" w:bidi="ar-SA"/>
    </w:rPr>
  </w:style>
  <w:style w:type="paragraph" w:customStyle="1" w:styleId="166">
    <w:name w:val="图标标题"/>
    <w:basedOn w:val="1"/>
    <w:qFormat/>
    <w:uiPriority w:val="0"/>
    <w:pPr>
      <w:adjustRightInd w:val="0"/>
      <w:snapToGrid w:val="0"/>
      <w:jc w:val="center"/>
    </w:pPr>
    <w:rPr>
      <w:b/>
      <w:bCs/>
    </w:rPr>
  </w:style>
  <w:style w:type="paragraph" w:customStyle="1" w:styleId="167">
    <w:name w:val="报告表格1"/>
    <w:basedOn w:val="168"/>
    <w:qFormat/>
    <w:uiPriority w:val="0"/>
    <w:pPr>
      <w:autoSpaceDE w:val="0"/>
      <w:autoSpaceDN w:val="0"/>
      <w:snapToGrid/>
      <w:spacing w:before="40" w:after="40"/>
    </w:pPr>
    <w:rPr>
      <w:b/>
      <w:color w:val="000000" w:themeColor="text1"/>
      <w:sz w:val="36"/>
      <w:szCs w:val="36"/>
      <w14:textFill>
        <w14:solidFill>
          <w14:schemeClr w14:val="tx1"/>
        </w14:solidFill>
      </w14:textFill>
    </w:rPr>
  </w:style>
  <w:style w:type="paragraph" w:customStyle="1" w:styleId="168">
    <w:name w:val="报告表 格"/>
    <w:basedOn w:val="1"/>
    <w:qFormat/>
    <w:uiPriority w:val="0"/>
    <w:pPr>
      <w:adjustRightInd w:val="0"/>
      <w:snapToGrid w:val="0"/>
      <w:jc w:val="center"/>
    </w:pPr>
    <w:rPr>
      <w:bCs/>
      <w:szCs w:val="21"/>
    </w:rPr>
  </w:style>
  <w:style w:type="character" w:customStyle="1" w:styleId="169">
    <w:name w:val="font01"/>
    <w:basedOn w:val="44"/>
    <w:qFormat/>
    <w:uiPriority w:val="0"/>
    <w:rPr>
      <w:rFonts w:hint="default" w:ascii="Arial" w:hAnsi="Arial" w:cs="Arial"/>
      <w:color w:val="000000"/>
      <w:sz w:val="20"/>
      <w:szCs w:val="20"/>
      <w:u w:val="none"/>
    </w:rPr>
  </w:style>
  <w:style w:type="paragraph" w:customStyle="1" w:styleId="170">
    <w:name w:val="报告正文1"/>
    <w:basedOn w:val="164"/>
    <w:qFormat/>
    <w:uiPriority w:val="0"/>
    <w:pPr>
      <w:kinsoku/>
      <w:spacing w:line="360" w:lineRule="auto"/>
    </w:pPr>
  </w:style>
  <w:style w:type="paragraph" w:customStyle="1" w:styleId="171">
    <w:name w:val="000000"/>
    <w:basedOn w:val="172"/>
    <w:qFormat/>
    <w:uiPriority w:val="0"/>
    <w:pPr>
      <w:spacing w:line="240" w:lineRule="auto"/>
      <w:ind w:firstLine="0" w:firstLineChars="0"/>
      <w:jc w:val="center"/>
    </w:pPr>
    <w:rPr>
      <w:rFonts w:ascii="Times New Roman" w:hAnsi="Times New Roman" w:eastAsia="宋体"/>
      <w:b/>
      <w:sz w:val="21"/>
    </w:rPr>
  </w:style>
  <w:style w:type="paragraph" w:customStyle="1" w:styleId="172">
    <w:name w:val="1正文"/>
    <w:qFormat/>
    <w:uiPriority w:val="0"/>
    <w:pPr>
      <w:widowControl/>
      <w:spacing w:line="360" w:lineRule="auto"/>
      <w:ind w:firstLine="200" w:firstLineChars="200"/>
      <w:jc w:val="both"/>
    </w:pPr>
    <w:rPr>
      <w:rFonts w:ascii="Calibri" w:hAnsi="Calibri" w:eastAsia="宋体" w:cs="Times New Roman"/>
      <w:kern w:val="0"/>
      <w:sz w:val="24"/>
      <w:szCs w:val="20"/>
      <w:lang w:val="en-GB" w:eastAsia="zh-CN" w:bidi="ar-SA"/>
    </w:rPr>
  </w:style>
  <w:style w:type="paragraph" w:customStyle="1" w:styleId="173">
    <w:name w:val="表格式"/>
    <w:basedOn w:val="29"/>
    <w:qFormat/>
    <w:uiPriority w:val="99"/>
    <w:pPr>
      <w:spacing w:beforeLines="50" w:afterLines="50" w:line="240" w:lineRule="exact"/>
      <w:ind w:left="0" w:firstLine="0" w:firstLineChars="0"/>
      <w:jc w:val="center"/>
    </w:pPr>
  </w:style>
  <w:style w:type="paragraph" w:customStyle="1" w:styleId="174">
    <w:name w:val="1_正文"/>
    <w:basedOn w:val="1"/>
    <w:qFormat/>
    <w:uiPriority w:val="0"/>
    <w:pPr>
      <w:adjustRightInd w:val="0"/>
      <w:snapToGrid w:val="0"/>
      <w:spacing w:line="360" w:lineRule="auto"/>
      <w:ind w:firstLine="480" w:firstLineChars="200"/>
    </w:pPr>
    <w:rPr>
      <w:color w:val="000000"/>
      <w:sz w:val="24"/>
      <w:szCs w:val="21"/>
    </w:rPr>
  </w:style>
  <w:style w:type="paragraph" w:customStyle="1" w:styleId="175">
    <w:name w:val="_Style 15"/>
    <w:basedOn w:val="1"/>
    <w:qFormat/>
    <w:uiPriority w:val="0"/>
    <w:pPr>
      <w:ind w:firstLine="420" w:firstLineChars="200"/>
    </w:pPr>
  </w:style>
  <w:style w:type="paragraph" w:customStyle="1" w:styleId="176">
    <w:name w:val="表格标题样式"/>
    <w:basedOn w:val="1"/>
    <w:qFormat/>
    <w:uiPriority w:val="0"/>
    <w:pPr>
      <w:adjustRightInd w:val="0"/>
      <w:snapToGrid w:val="0"/>
      <w:ind w:left="1890" w:hanging="420"/>
      <w:jc w:val="center"/>
    </w:pPr>
    <w:rPr>
      <w:rFonts w:asciiTheme="minorHAnsi" w:hAnsiTheme="minorHAnsi" w:eastAsiaTheme="minorEastAsia" w:cstheme="minorBidi"/>
      <w:b/>
      <w:color w:val="000000"/>
      <w:szCs w:val="21"/>
    </w:rPr>
  </w:style>
  <w:style w:type="paragraph" w:customStyle="1" w:styleId="177">
    <w:name w:val="其他正文"/>
    <w:qFormat/>
    <w:uiPriority w:val="0"/>
    <w:pPr>
      <w:keepNext/>
      <w:overflowPunct w:val="0"/>
      <w:autoSpaceDE w:val="0"/>
      <w:autoSpaceDN w:val="0"/>
      <w:spacing w:line="360" w:lineRule="auto"/>
      <w:ind w:firstLine="720" w:firstLineChars="200"/>
      <w:jc w:val="both"/>
      <w:outlineLvl w:val="0"/>
    </w:pPr>
    <w:rPr>
      <w:rFonts w:ascii="Times New Roman" w:hAnsi="Times New Roman" w:eastAsia="宋体" w:cs="Times New Roman"/>
      <w:bCs/>
      <w:color w:val="000000"/>
      <w:kern w:val="44"/>
      <w:sz w:val="24"/>
      <w:szCs w:val="30"/>
      <w:lang w:val="en-US" w:eastAsia="zh-CN" w:bidi="ar-SA"/>
    </w:rPr>
  </w:style>
</w:styles>
</file>

<file path=word/_rels/document.xml.rels><?xml version="1.0" encoding="UTF-8" standalone="yes"?>
<Relationships xmlns="http://schemas.openxmlformats.org/package/2006/relationships"><Relationship Id="rId98" Type="http://schemas.openxmlformats.org/officeDocument/2006/relationships/fontTable" Target="fontTable.xml"/><Relationship Id="rId97" Type="http://schemas.openxmlformats.org/officeDocument/2006/relationships/numbering" Target="numbering.xml"/><Relationship Id="rId96" Type="http://schemas.openxmlformats.org/officeDocument/2006/relationships/customXml" Target="../customXml/item1.xml"/><Relationship Id="rId95" Type="http://schemas.openxmlformats.org/officeDocument/2006/relationships/image" Target="media/image39.jpeg"/><Relationship Id="rId94" Type="http://schemas.openxmlformats.org/officeDocument/2006/relationships/image" Target="media/image38.wmf"/><Relationship Id="rId93" Type="http://schemas.openxmlformats.org/officeDocument/2006/relationships/oleObject" Target="embeddings/oleObject49.bin"/><Relationship Id="rId92" Type="http://schemas.openxmlformats.org/officeDocument/2006/relationships/image" Target="media/image37.wmf"/><Relationship Id="rId91" Type="http://schemas.openxmlformats.org/officeDocument/2006/relationships/oleObject" Target="embeddings/oleObject48.bin"/><Relationship Id="rId90" Type="http://schemas.openxmlformats.org/officeDocument/2006/relationships/image" Target="media/image36.wmf"/><Relationship Id="rId9" Type="http://schemas.openxmlformats.org/officeDocument/2006/relationships/oleObject" Target="embeddings/oleObject1.bin"/><Relationship Id="rId89" Type="http://schemas.openxmlformats.org/officeDocument/2006/relationships/oleObject" Target="embeddings/oleObject47.bin"/><Relationship Id="rId88" Type="http://schemas.openxmlformats.org/officeDocument/2006/relationships/image" Target="media/image35.wmf"/><Relationship Id="rId87" Type="http://schemas.openxmlformats.org/officeDocument/2006/relationships/oleObject" Target="embeddings/oleObject46.bin"/><Relationship Id="rId86" Type="http://schemas.openxmlformats.org/officeDocument/2006/relationships/image" Target="media/image34.wmf"/><Relationship Id="rId85" Type="http://schemas.openxmlformats.org/officeDocument/2006/relationships/oleObject" Target="embeddings/oleObject45.bin"/><Relationship Id="rId84" Type="http://schemas.openxmlformats.org/officeDocument/2006/relationships/image" Target="media/image33.wmf"/><Relationship Id="rId83" Type="http://schemas.openxmlformats.org/officeDocument/2006/relationships/oleObject" Target="embeddings/oleObject44.bin"/><Relationship Id="rId82" Type="http://schemas.openxmlformats.org/officeDocument/2006/relationships/image" Target="media/image32.wmf"/><Relationship Id="rId81" Type="http://schemas.openxmlformats.org/officeDocument/2006/relationships/oleObject" Target="embeddings/oleObject43.bin"/><Relationship Id="rId80" Type="http://schemas.openxmlformats.org/officeDocument/2006/relationships/oleObject" Target="embeddings/oleObject42.bin"/><Relationship Id="rId8" Type="http://schemas.openxmlformats.org/officeDocument/2006/relationships/image" Target="media/image1.png"/><Relationship Id="rId79" Type="http://schemas.openxmlformats.org/officeDocument/2006/relationships/oleObject" Target="embeddings/oleObject41.bin"/><Relationship Id="rId78" Type="http://schemas.openxmlformats.org/officeDocument/2006/relationships/image" Target="media/image31.wmf"/><Relationship Id="rId77" Type="http://schemas.openxmlformats.org/officeDocument/2006/relationships/oleObject" Target="embeddings/oleObject40.bin"/><Relationship Id="rId76" Type="http://schemas.openxmlformats.org/officeDocument/2006/relationships/oleObject" Target="embeddings/oleObject39.bin"/><Relationship Id="rId75" Type="http://schemas.openxmlformats.org/officeDocument/2006/relationships/image" Target="media/image30.wmf"/><Relationship Id="rId74" Type="http://schemas.openxmlformats.org/officeDocument/2006/relationships/oleObject" Target="embeddings/oleObject38.bin"/><Relationship Id="rId73" Type="http://schemas.openxmlformats.org/officeDocument/2006/relationships/image" Target="media/image29.wmf"/><Relationship Id="rId72" Type="http://schemas.openxmlformats.org/officeDocument/2006/relationships/oleObject" Target="embeddings/oleObject37.bin"/><Relationship Id="rId71" Type="http://schemas.openxmlformats.org/officeDocument/2006/relationships/image" Target="media/image28.wmf"/><Relationship Id="rId70" Type="http://schemas.openxmlformats.org/officeDocument/2006/relationships/oleObject" Target="embeddings/oleObject36.bin"/><Relationship Id="rId7" Type="http://schemas.openxmlformats.org/officeDocument/2006/relationships/theme" Target="theme/theme1.xml"/><Relationship Id="rId69" Type="http://schemas.openxmlformats.org/officeDocument/2006/relationships/oleObject" Target="embeddings/oleObject35.bin"/><Relationship Id="rId68" Type="http://schemas.openxmlformats.org/officeDocument/2006/relationships/image" Target="media/image27.wmf"/><Relationship Id="rId67" Type="http://schemas.openxmlformats.org/officeDocument/2006/relationships/oleObject" Target="embeddings/oleObject34.bin"/><Relationship Id="rId66" Type="http://schemas.openxmlformats.org/officeDocument/2006/relationships/oleObject" Target="embeddings/oleObject33.bin"/><Relationship Id="rId65" Type="http://schemas.openxmlformats.org/officeDocument/2006/relationships/oleObject" Target="embeddings/oleObject32.bin"/><Relationship Id="rId64" Type="http://schemas.openxmlformats.org/officeDocument/2006/relationships/image" Target="media/image26.wmf"/><Relationship Id="rId63" Type="http://schemas.openxmlformats.org/officeDocument/2006/relationships/oleObject" Target="embeddings/oleObject31.bin"/><Relationship Id="rId62" Type="http://schemas.openxmlformats.org/officeDocument/2006/relationships/oleObject" Target="embeddings/oleObject30.bin"/><Relationship Id="rId61" Type="http://schemas.openxmlformats.org/officeDocument/2006/relationships/oleObject" Target="embeddings/oleObject29.bin"/><Relationship Id="rId60" Type="http://schemas.openxmlformats.org/officeDocument/2006/relationships/image" Target="media/image25.wmf"/><Relationship Id="rId6" Type="http://schemas.openxmlformats.org/officeDocument/2006/relationships/footer" Target="footer3.xml"/><Relationship Id="rId59" Type="http://schemas.openxmlformats.org/officeDocument/2006/relationships/oleObject" Target="embeddings/oleObject28.bin"/><Relationship Id="rId58" Type="http://schemas.openxmlformats.org/officeDocument/2006/relationships/image" Target="media/image24.wmf"/><Relationship Id="rId57" Type="http://schemas.openxmlformats.org/officeDocument/2006/relationships/oleObject" Target="embeddings/oleObject27.bin"/><Relationship Id="rId56" Type="http://schemas.openxmlformats.org/officeDocument/2006/relationships/oleObject" Target="embeddings/oleObject26.bin"/><Relationship Id="rId55" Type="http://schemas.openxmlformats.org/officeDocument/2006/relationships/oleObject" Target="embeddings/oleObject25.bin"/><Relationship Id="rId54" Type="http://schemas.openxmlformats.org/officeDocument/2006/relationships/image" Target="media/image23.wmf"/><Relationship Id="rId53" Type="http://schemas.openxmlformats.org/officeDocument/2006/relationships/oleObject" Target="embeddings/oleObject24.bin"/><Relationship Id="rId52" Type="http://schemas.openxmlformats.org/officeDocument/2006/relationships/image" Target="media/image22.wmf"/><Relationship Id="rId51" Type="http://schemas.openxmlformats.org/officeDocument/2006/relationships/oleObject" Target="embeddings/oleObject23.bin"/><Relationship Id="rId50" Type="http://schemas.openxmlformats.org/officeDocument/2006/relationships/oleObject" Target="embeddings/oleObject22.bin"/><Relationship Id="rId5" Type="http://schemas.openxmlformats.org/officeDocument/2006/relationships/footer" Target="footer2.xml"/><Relationship Id="rId49" Type="http://schemas.openxmlformats.org/officeDocument/2006/relationships/image" Target="media/image21.wmf"/><Relationship Id="rId48" Type="http://schemas.openxmlformats.org/officeDocument/2006/relationships/oleObject" Target="embeddings/oleObject21.bin"/><Relationship Id="rId47" Type="http://schemas.openxmlformats.org/officeDocument/2006/relationships/image" Target="media/image20.wmf"/><Relationship Id="rId46" Type="http://schemas.openxmlformats.org/officeDocument/2006/relationships/oleObject" Target="embeddings/oleObject20.bin"/><Relationship Id="rId45" Type="http://schemas.openxmlformats.org/officeDocument/2006/relationships/image" Target="media/image19.wmf"/><Relationship Id="rId44" Type="http://schemas.openxmlformats.org/officeDocument/2006/relationships/oleObject" Target="embeddings/oleObject19.bin"/><Relationship Id="rId43" Type="http://schemas.openxmlformats.org/officeDocument/2006/relationships/image" Target="media/image18.wmf"/><Relationship Id="rId42" Type="http://schemas.openxmlformats.org/officeDocument/2006/relationships/oleObject" Target="embeddings/oleObject18.bin"/><Relationship Id="rId41" Type="http://schemas.openxmlformats.org/officeDocument/2006/relationships/image" Target="media/image17.wmf"/><Relationship Id="rId40" Type="http://schemas.openxmlformats.org/officeDocument/2006/relationships/oleObject" Target="embeddings/oleObject17.bin"/><Relationship Id="rId4" Type="http://schemas.openxmlformats.org/officeDocument/2006/relationships/header" Target="header1.xml"/><Relationship Id="rId39" Type="http://schemas.openxmlformats.org/officeDocument/2006/relationships/image" Target="media/image16.wmf"/><Relationship Id="rId38" Type="http://schemas.openxmlformats.org/officeDocument/2006/relationships/oleObject" Target="embeddings/oleObject16.bin"/><Relationship Id="rId37" Type="http://schemas.openxmlformats.org/officeDocument/2006/relationships/image" Target="media/image15.wmf"/><Relationship Id="rId36" Type="http://schemas.openxmlformats.org/officeDocument/2006/relationships/oleObject" Target="embeddings/oleObject15.bin"/><Relationship Id="rId35" Type="http://schemas.openxmlformats.org/officeDocument/2006/relationships/image" Target="media/image14.wmf"/><Relationship Id="rId34" Type="http://schemas.openxmlformats.org/officeDocument/2006/relationships/oleObject" Target="embeddings/oleObject14.bin"/><Relationship Id="rId33" Type="http://schemas.openxmlformats.org/officeDocument/2006/relationships/image" Target="media/image13.wmf"/><Relationship Id="rId32" Type="http://schemas.openxmlformats.org/officeDocument/2006/relationships/oleObject" Target="embeddings/oleObject13.bin"/><Relationship Id="rId31" Type="http://schemas.openxmlformats.org/officeDocument/2006/relationships/image" Target="media/image12.wmf"/><Relationship Id="rId30" Type="http://schemas.openxmlformats.org/officeDocument/2006/relationships/oleObject" Target="embeddings/oleObject12.bin"/><Relationship Id="rId3" Type="http://schemas.openxmlformats.org/officeDocument/2006/relationships/footer" Target="footer1.xml"/><Relationship Id="rId29" Type="http://schemas.openxmlformats.org/officeDocument/2006/relationships/image" Target="media/image11.wmf"/><Relationship Id="rId28" Type="http://schemas.openxmlformats.org/officeDocument/2006/relationships/oleObject" Target="embeddings/oleObject11.bin"/><Relationship Id="rId27" Type="http://schemas.openxmlformats.org/officeDocument/2006/relationships/image" Target="media/image10.wmf"/><Relationship Id="rId26" Type="http://schemas.openxmlformats.org/officeDocument/2006/relationships/oleObject" Target="embeddings/oleObject10.bin"/><Relationship Id="rId25" Type="http://schemas.openxmlformats.org/officeDocument/2006/relationships/image" Target="media/image9.wmf"/><Relationship Id="rId24" Type="http://schemas.openxmlformats.org/officeDocument/2006/relationships/oleObject" Target="embeddings/oleObject9.bin"/><Relationship Id="rId23" Type="http://schemas.openxmlformats.org/officeDocument/2006/relationships/image" Target="media/image8.wmf"/><Relationship Id="rId22" Type="http://schemas.openxmlformats.org/officeDocument/2006/relationships/oleObject" Target="embeddings/oleObject8.bin"/><Relationship Id="rId21" Type="http://schemas.openxmlformats.org/officeDocument/2006/relationships/image" Target="media/image7.wmf"/><Relationship Id="rId20" Type="http://schemas.openxmlformats.org/officeDocument/2006/relationships/oleObject" Target="embeddings/oleObject7.bin"/><Relationship Id="rId2" Type="http://schemas.openxmlformats.org/officeDocument/2006/relationships/settings" Target="settings.xml"/><Relationship Id="rId19" Type="http://schemas.openxmlformats.org/officeDocument/2006/relationships/image" Target="media/image6.wmf"/><Relationship Id="rId18" Type="http://schemas.openxmlformats.org/officeDocument/2006/relationships/oleObject" Target="embeddings/oleObject6.bin"/><Relationship Id="rId17" Type="http://schemas.openxmlformats.org/officeDocument/2006/relationships/oleObject" Target="embeddings/oleObject5.bin"/><Relationship Id="rId16" Type="http://schemas.openxmlformats.org/officeDocument/2006/relationships/image" Target="media/image5.wmf"/><Relationship Id="rId15" Type="http://schemas.openxmlformats.org/officeDocument/2006/relationships/oleObject" Target="embeddings/oleObject4.bin"/><Relationship Id="rId14" Type="http://schemas.openxmlformats.org/officeDocument/2006/relationships/image" Target="media/image4.wmf"/><Relationship Id="rId13" Type="http://schemas.openxmlformats.org/officeDocument/2006/relationships/oleObject" Target="embeddings/oleObject3.bin"/><Relationship Id="rId12" Type="http://schemas.openxmlformats.org/officeDocument/2006/relationships/image" Target="media/image3.wmf"/><Relationship Id="rId11" Type="http://schemas.openxmlformats.org/officeDocument/2006/relationships/oleObject" Target="embeddings/oleObject2.bin"/><Relationship Id="rId10" Type="http://schemas.openxmlformats.org/officeDocument/2006/relationships/image" Target="media/image2.wmf"/><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微软公司</Company>
  <Pages>44</Pages>
  <Words>25391</Words>
  <Characters>29292</Characters>
  <Lines>1</Lines>
  <Paragraphs>1</Paragraphs>
  <TotalTime>12</TotalTime>
  <ScaleCrop>false</ScaleCrop>
  <LinksUpToDate>false</LinksUpToDate>
  <CharactersWithSpaces>29688</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2021-10-25T01:46:00Z</dcterms:created>
  <dc:creator>lhj</dc:creator>
  <cp:lastModifiedBy>D董D</cp:lastModifiedBy>
  <cp:lastPrinted>2021-05-08T08:02:00Z</cp:lastPrinted>
  <dcterms:modified xsi:type="dcterms:W3CDTF">2025-07-30T03:13:09Z</dcterms:modified>
  <dc:title>附件2</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7E1AFC2771D34FC9B6D4A006DD237D84_13</vt:lpwstr>
  </property>
  <property fmtid="{D5CDD505-2E9C-101B-9397-08002B2CF9AE}" pid="4" name="commondata">
    <vt:lpwstr>eyJoZGlkIjoiYTA0YWE1YzAxZTgxOTdiNjMxM2VjMTFiZThlODgxY2EifQ==</vt:lpwstr>
  </property>
  <property fmtid="{D5CDD505-2E9C-101B-9397-08002B2CF9AE}" pid="5" name="KSOTemplateDocerSaveRecord">
    <vt:lpwstr>eyJoZGlkIjoiMTA4ZDFhMDI3YWNkMzBkYjgzZDMyMmFkOTIyNGEwYmUiLCJ1c2VySWQiOiI2OTY2MDY1OTAifQ==</vt:lpwstr>
  </property>
</Properties>
</file>