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16984">
      <w:pPr>
        <w:rPr>
          <w:rFonts w:ascii="仿宋_GB2312" w:hAnsi="仿宋_GB2312" w:eastAsia="仿宋_GB2312" w:cs="仿宋_GB2312"/>
          <w:color w:val="auto"/>
          <w:sz w:val="36"/>
          <w:szCs w:val="36"/>
        </w:rPr>
      </w:pPr>
    </w:p>
    <w:p w14:paraId="2612EED6">
      <w:pPr>
        <w:rPr>
          <w:rFonts w:ascii="仿宋_GB2312" w:hAnsi="仿宋_GB2312" w:eastAsia="仿宋_GB2312" w:cs="仿宋_GB2312"/>
          <w:color w:val="auto"/>
          <w:sz w:val="36"/>
          <w:szCs w:val="36"/>
        </w:rPr>
      </w:pPr>
    </w:p>
    <w:p w14:paraId="2F1B04D6">
      <w:pPr>
        <w:rPr>
          <w:rFonts w:ascii="仿宋_GB2312" w:hAnsi="仿宋_GB2312" w:eastAsia="仿宋_GB2312" w:cs="仿宋_GB2312"/>
          <w:color w:val="auto"/>
          <w:sz w:val="36"/>
          <w:szCs w:val="36"/>
        </w:rPr>
      </w:pPr>
    </w:p>
    <w:p w14:paraId="2758B717">
      <w:pPr>
        <w:rPr>
          <w:rFonts w:ascii="仿宋_GB2312" w:hAnsi="仿宋_GB2312" w:eastAsia="仿宋_GB2312" w:cs="仿宋_GB2312"/>
          <w:b w:val="0"/>
          <w:bCs w:val="0"/>
          <w:color w:val="auto"/>
          <w:sz w:val="36"/>
          <w:szCs w:val="36"/>
        </w:rPr>
      </w:pPr>
    </w:p>
    <w:p w14:paraId="7A01100D">
      <w:pPr>
        <w:rPr>
          <w:rFonts w:hint="eastAsia" w:ascii="仿宋_GB2312" w:hAnsi="仿宋_GB2312" w:eastAsia="仿宋_GB2312" w:cs="仿宋_GB2312"/>
          <w:b w:val="0"/>
          <w:bCs w:val="0"/>
          <w:color w:val="auto"/>
          <w:sz w:val="36"/>
          <w:szCs w:val="36"/>
        </w:rPr>
      </w:pPr>
    </w:p>
    <w:p w14:paraId="5C73ADAF">
      <w:pPr>
        <w:adjustRightInd w:val="0"/>
        <w:snapToGrid w:val="0"/>
        <w:jc w:val="center"/>
        <w:outlineLvl w:val="0"/>
        <w:rPr>
          <w:rFonts w:hint="default" w:ascii="宋体" w:hAnsi="宋体" w:eastAsia="宋体" w:cs="宋体"/>
          <w:b/>
          <w:bCs w:val="0"/>
          <w:color w:val="auto"/>
          <w:sz w:val="72"/>
          <w:szCs w:val="72"/>
          <w:highlight w:val="none"/>
        </w:rPr>
      </w:pPr>
      <w:bookmarkStart w:id="0" w:name="_Toc1592"/>
      <w:r>
        <w:rPr>
          <w:rFonts w:hint="default" w:ascii="宋体" w:hAnsi="宋体" w:eastAsia="宋体" w:cs="宋体"/>
          <w:b/>
          <w:bCs w:val="0"/>
          <w:color w:val="auto"/>
          <w:sz w:val="72"/>
          <w:szCs w:val="72"/>
          <w:highlight w:val="none"/>
        </w:rPr>
        <w:t>建设项目环境影响报告表</w:t>
      </w:r>
      <w:bookmarkEnd w:id="0"/>
    </w:p>
    <w:p w14:paraId="1A689073">
      <w:pPr>
        <w:adjustRightInd w:val="0"/>
        <w:snapToGrid w:val="0"/>
        <w:spacing w:before="192" w:beforeLines="80"/>
        <w:jc w:val="center"/>
        <w:rPr>
          <w:rFonts w:hint="default" w:ascii="Times New Roman" w:hAnsi="Times New Roman" w:eastAsia="楷体_GB2312" w:cs="Times New Roman"/>
          <w:bCs/>
          <w:color w:val="000000"/>
          <w:sz w:val="48"/>
          <w:szCs w:val="48"/>
        </w:rPr>
      </w:pPr>
      <w:r>
        <w:rPr>
          <w:rFonts w:hint="default" w:ascii="Times New Roman" w:hAnsi="Times New Roman" w:eastAsia="楷体_GB2312" w:cs="Times New Roman"/>
          <w:bCs/>
          <w:color w:val="000000"/>
          <w:sz w:val="48"/>
          <w:szCs w:val="48"/>
        </w:rPr>
        <w:t>（污染影响类）</w:t>
      </w:r>
    </w:p>
    <w:p w14:paraId="55D1E814">
      <w:pPr>
        <w:adjustRightInd w:val="0"/>
        <w:snapToGrid w:val="0"/>
        <w:spacing w:before="192" w:beforeLines="80"/>
        <w:jc w:val="center"/>
        <w:rPr>
          <w:rFonts w:hint="default" w:ascii="Times New Roman" w:hAnsi="Times New Roman" w:eastAsia="楷体_GB2312" w:cs="Times New Roman"/>
          <w:bCs/>
          <w:color w:val="000000"/>
          <w:sz w:val="48"/>
          <w:szCs w:val="48"/>
        </w:rPr>
      </w:pPr>
    </w:p>
    <w:p w14:paraId="5DC0C957">
      <w:pPr>
        <w:jc w:val="center"/>
        <w:rPr>
          <w:rFonts w:hint="default" w:ascii="Times New Roman" w:hAnsi="Times New Roman" w:eastAsia="仿宋" w:cs="Times New Roman"/>
          <w:color w:val="000000"/>
          <w:sz w:val="52"/>
          <w:szCs w:val="52"/>
        </w:rPr>
      </w:pPr>
    </w:p>
    <w:p w14:paraId="581DBB72">
      <w:pPr>
        <w:ind w:firstLine="1040"/>
        <w:rPr>
          <w:rFonts w:hint="default" w:ascii="Times New Roman" w:hAnsi="Times New Roman" w:eastAsia="仿宋" w:cs="Times New Roman"/>
          <w:color w:val="000000"/>
          <w:sz w:val="44"/>
          <w:szCs w:val="44"/>
        </w:rPr>
      </w:pPr>
    </w:p>
    <w:p w14:paraId="503875B7">
      <w:pPr>
        <w:ind w:firstLine="1040"/>
        <w:rPr>
          <w:rFonts w:hint="default" w:ascii="Times New Roman" w:hAnsi="Times New Roman" w:eastAsia="仿宋" w:cs="Times New Roman"/>
          <w:color w:val="000000"/>
          <w:sz w:val="44"/>
          <w:szCs w:val="44"/>
        </w:rPr>
      </w:pPr>
    </w:p>
    <w:p w14:paraId="54C83493">
      <w:pPr>
        <w:ind w:firstLine="1040"/>
        <w:rPr>
          <w:rFonts w:hint="default" w:ascii="Times New Roman" w:hAnsi="Times New Roman" w:eastAsia="仿宋" w:cs="Times New Roman"/>
          <w:color w:val="000000"/>
          <w:sz w:val="44"/>
          <w:szCs w:val="44"/>
        </w:rPr>
      </w:pPr>
    </w:p>
    <w:p w14:paraId="4C26C2A3">
      <w:pPr>
        <w:ind w:firstLine="1040"/>
        <w:rPr>
          <w:rFonts w:hint="default" w:ascii="Times New Roman" w:hAnsi="Times New Roman" w:eastAsia="仿宋" w:cs="Times New Roman"/>
          <w:color w:val="000000"/>
          <w:sz w:val="44"/>
          <w:szCs w:val="44"/>
        </w:rPr>
      </w:pPr>
    </w:p>
    <w:p w14:paraId="67B8335D">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lang w:val="en-US" w:eastAsia="zh-CN"/>
        </w:rPr>
      </w:pPr>
      <w:r>
        <w:rPr>
          <w:rFonts w:hint="default" w:ascii="Times New Roman" w:hAnsi="Times New Roman" w:eastAsia="仿宋_GB2312" w:cs="Times New Roman"/>
          <w:color w:val="000000"/>
          <w:sz w:val="36"/>
          <w:szCs w:val="36"/>
        </w:rPr>
        <w:t>项目名称：</w:t>
      </w:r>
      <w:r>
        <w:rPr>
          <w:rFonts w:hint="default"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电力护套管建设</w:t>
      </w:r>
      <w:r>
        <w:rPr>
          <w:rFonts w:hint="default" w:ascii="Times New Roman" w:hAnsi="Times New Roman" w:eastAsia="仿宋_GB2312" w:cs="Times New Roman"/>
          <w:color w:val="000000"/>
          <w:sz w:val="36"/>
          <w:szCs w:val="36"/>
          <w:u w:val="single"/>
          <w:lang w:val="en-US" w:eastAsia="zh-CN"/>
        </w:rPr>
        <w:t xml:space="preserve">项目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 xml:space="preserve">  </w:t>
      </w:r>
    </w:p>
    <w:p w14:paraId="263B967E">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lang w:val="en-US"/>
        </w:rPr>
      </w:pPr>
      <w:r>
        <w:rPr>
          <w:rFonts w:hint="default" w:ascii="Times New Roman" w:hAnsi="Times New Roman" w:eastAsia="仿宋_GB2312" w:cs="Times New Roman"/>
          <w:color w:val="000000"/>
          <w:sz w:val="36"/>
          <w:szCs w:val="36"/>
        </w:rPr>
        <w:t>建设单位（盖章）：</w:t>
      </w:r>
      <w:r>
        <w:rPr>
          <w:rFonts w:hint="default" w:ascii="Times New Roman" w:hAnsi="Times New Roman" w:eastAsia="仿宋_GB2312" w:cs="Times New Roman"/>
          <w:color w:val="000000"/>
          <w:sz w:val="36"/>
          <w:szCs w:val="36"/>
          <w:u w:val="single"/>
          <w:lang w:val="en-US" w:eastAsia="zh-CN"/>
        </w:rPr>
        <w:t xml:space="preserve"> </w:t>
      </w:r>
      <w:r>
        <w:rPr>
          <w:rFonts w:hint="eastAsia" w:ascii="Times New Roman" w:hAnsi="Times New Roman" w:eastAsia="仿宋_GB2312" w:cs="Times New Roman"/>
          <w:color w:val="000000"/>
          <w:sz w:val="36"/>
          <w:szCs w:val="36"/>
          <w:u w:val="single"/>
          <w:lang w:val="en-US" w:eastAsia="zh-CN"/>
        </w:rPr>
        <w:t xml:space="preserve">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陕西</w:t>
      </w:r>
      <w:r>
        <w:rPr>
          <w:rFonts w:hint="eastAsia" w:eastAsia="仿宋_GB2312" w:cs="Times New Roman"/>
          <w:color w:val="000000"/>
          <w:sz w:val="36"/>
          <w:szCs w:val="36"/>
          <w:u w:val="single"/>
          <w:lang w:val="en-US" w:eastAsia="zh-CN"/>
        </w:rPr>
        <w:t>聚鑫弘科技</w:t>
      </w:r>
      <w:r>
        <w:rPr>
          <w:rFonts w:hint="default" w:ascii="Times New Roman" w:hAnsi="Times New Roman" w:eastAsia="仿宋_GB2312" w:cs="Times New Roman"/>
          <w:color w:val="000000"/>
          <w:sz w:val="36"/>
          <w:szCs w:val="36"/>
          <w:u w:val="single"/>
          <w:lang w:val="en-US" w:eastAsia="zh-CN"/>
        </w:rPr>
        <w:t xml:space="preserve">有限公司 </w:t>
      </w:r>
      <w:r>
        <w:rPr>
          <w:rFonts w:hint="eastAsia"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lang w:val="en-US" w:eastAsia="zh-CN"/>
        </w:rPr>
        <w:t xml:space="preserve"> </w:t>
      </w:r>
    </w:p>
    <w:p w14:paraId="4B103312">
      <w:pPr>
        <w:adjustRightInd w:val="0"/>
        <w:snapToGrid w:val="0"/>
        <w:spacing w:line="288" w:lineRule="auto"/>
        <w:ind w:left="0" w:leftChars="0" w:firstLine="0" w:firstLineChars="0"/>
        <w:rPr>
          <w:rFonts w:hint="default" w:ascii="Times New Roman" w:hAnsi="Times New Roman" w:eastAsia="仿宋_GB2312" w:cs="Times New Roman"/>
          <w:color w:val="000000"/>
          <w:sz w:val="36"/>
          <w:szCs w:val="36"/>
          <w:u w:val="single"/>
        </w:rPr>
      </w:pPr>
      <w:r>
        <w:rPr>
          <w:rFonts w:hint="default" w:ascii="Times New Roman" w:hAnsi="Times New Roman" w:eastAsia="仿宋_GB2312" w:cs="Times New Roman"/>
          <w:color w:val="000000"/>
          <w:sz w:val="36"/>
          <w:szCs w:val="36"/>
        </w:rPr>
        <w:t>编制日期：</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二〇二五年</w:t>
      </w:r>
      <w:r>
        <w:rPr>
          <w:rFonts w:hint="eastAsia" w:eastAsia="仿宋_GB2312" w:cs="Times New Roman"/>
          <w:color w:val="000000"/>
          <w:sz w:val="36"/>
          <w:szCs w:val="36"/>
          <w:u w:val="single"/>
          <w:lang w:val="en-US" w:eastAsia="zh-CN"/>
        </w:rPr>
        <w:t>七</w:t>
      </w:r>
      <w:r>
        <w:rPr>
          <w:rFonts w:hint="default" w:ascii="Times New Roman" w:hAnsi="Times New Roman" w:eastAsia="仿宋_GB2312" w:cs="Times New Roman"/>
          <w:color w:val="000000"/>
          <w:sz w:val="36"/>
          <w:szCs w:val="36"/>
          <w:u w:val="single"/>
          <w:lang w:val="en-US" w:eastAsia="zh-CN"/>
        </w:rPr>
        <w:t>月</w:t>
      </w:r>
      <w:r>
        <w:rPr>
          <w:rFonts w:hint="default" w:ascii="Times New Roman" w:hAnsi="Times New Roman" w:eastAsia="仿宋_GB2312" w:cs="Times New Roman"/>
          <w:color w:val="000000"/>
          <w:sz w:val="36"/>
          <w:szCs w:val="36"/>
          <w:u w:val="single"/>
        </w:rPr>
        <w:t xml:space="preserve">    </w:t>
      </w:r>
      <w:r>
        <w:rPr>
          <w:rFonts w:hint="default" w:ascii="Times New Roman" w:hAnsi="Times New Roman" w:eastAsia="仿宋_GB2312" w:cs="Times New Roman"/>
          <w:color w:val="000000"/>
          <w:sz w:val="36"/>
          <w:szCs w:val="36"/>
          <w:u w:val="single"/>
          <w:lang w:val="en-US" w:eastAsia="zh-CN"/>
        </w:rPr>
        <w:t xml:space="preserve">       </w:t>
      </w:r>
      <w:r>
        <w:rPr>
          <w:rFonts w:hint="default" w:ascii="Times New Roman" w:hAnsi="Times New Roman" w:eastAsia="仿宋_GB2312" w:cs="Times New Roman"/>
          <w:color w:val="000000"/>
          <w:sz w:val="36"/>
          <w:szCs w:val="36"/>
          <w:u w:val="single"/>
        </w:rPr>
        <w:t xml:space="preserve"> </w:t>
      </w:r>
    </w:p>
    <w:p w14:paraId="059AB033">
      <w:pPr>
        <w:adjustRightInd w:val="0"/>
        <w:snapToGrid w:val="0"/>
        <w:spacing w:line="288" w:lineRule="auto"/>
        <w:ind w:firstLine="1040"/>
        <w:rPr>
          <w:rFonts w:hint="default" w:ascii="Times New Roman" w:hAnsi="Times New Roman" w:eastAsia="仿宋_GB2312" w:cs="Times New Roman"/>
          <w:color w:val="000000"/>
          <w:sz w:val="36"/>
          <w:szCs w:val="36"/>
          <w:u w:val="single"/>
        </w:rPr>
      </w:pPr>
      <w:bookmarkStart w:id="1" w:name="_Hlk57884087"/>
    </w:p>
    <w:p w14:paraId="050E88E1">
      <w:pPr>
        <w:adjustRightInd w:val="0"/>
        <w:snapToGrid w:val="0"/>
        <w:spacing w:line="288" w:lineRule="auto"/>
        <w:ind w:firstLine="1040"/>
        <w:rPr>
          <w:rFonts w:hint="default" w:ascii="Times New Roman" w:hAnsi="Times New Roman" w:eastAsia="仿宋_GB2312" w:cs="Times New Roman"/>
          <w:color w:val="000000"/>
          <w:sz w:val="36"/>
          <w:szCs w:val="36"/>
        </w:rPr>
      </w:pPr>
    </w:p>
    <w:p w14:paraId="2866B651">
      <w:pPr>
        <w:adjustRightInd w:val="0"/>
        <w:snapToGrid w:val="0"/>
        <w:spacing w:line="288" w:lineRule="auto"/>
        <w:ind w:firstLine="1040"/>
        <w:rPr>
          <w:rFonts w:hint="default" w:ascii="Times New Roman" w:hAnsi="Times New Roman" w:eastAsia="仿宋_GB2312" w:cs="Times New Roman"/>
          <w:color w:val="000000"/>
          <w:sz w:val="36"/>
          <w:szCs w:val="36"/>
        </w:rPr>
      </w:pPr>
    </w:p>
    <w:p w14:paraId="284527CD">
      <w:pPr>
        <w:adjustRightInd w:val="0"/>
        <w:snapToGrid w:val="0"/>
        <w:spacing w:line="288" w:lineRule="auto"/>
        <w:ind w:firstLine="1040"/>
        <w:rPr>
          <w:rFonts w:hint="default" w:ascii="Times New Roman" w:hAnsi="Times New Roman" w:eastAsia="仿宋_GB2312" w:cs="Times New Roman"/>
          <w:color w:val="000000"/>
          <w:sz w:val="36"/>
          <w:szCs w:val="36"/>
        </w:rPr>
      </w:pPr>
    </w:p>
    <w:p w14:paraId="4D57250E">
      <w:pPr>
        <w:adjustRightInd w:val="0"/>
        <w:snapToGrid w:val="0"/>
        <w:spacing w:line="288" w:lineRule="auto"/>
        <w:ind w:firstLine="1040"/>
        <w:rPr>
          <w:rFonts w:hint="default" w:ascii="Times New Roman" w:hAnsi="Times New Roman" w:eastAsia="仿宋_GB2312" w:cs="Times New Roman"/>
          <w:color w:val="000000"/>
          <w:sz w:val="36"/>
          <w:szCs w:val="36"/>
        </w:rPr>
      </w:pPr>
    </w:p>
    <w:bookmarkEnd w:id="1"/>
    <w:p w14:paraId="1F437055">
      <w:pPr>
        <w:adjustRightInd w:val="0"/>
        <w:snapToGrid w:val="0"/>
        <w:spacing w:line="288" w:lineRule="auto"/>
        <w:jc w:val="center"/>
        <w:rPr>
          <w:rFonts w:hint="eastAsia" w:ascii="黑体" w:hAnsi="黑体" w:eastAsia="黑体"/>
          <w:snapToGrid w:val="0"/>
          <w:color w:val="auto"/>
          <w:sz w:val="30"/>
          <w:szCs w:val="30"/>
        </w:rPr>
      </w:pPr>
      <w:r>
        <w:rPr>
          <w:rFonts w:hint="default" w:ascii="Times New Roman" w:hAnsi="Times New Roman" w:eastAsia="楷体_GB2312" w:cs="Times New Roman"/>
          <w:color w:val="000000"/>
          <w:sz w:val="36"/>
          <w:szCs w:val="36"/>
        </w:rPr>
        <w:t>中华人民共和国生态环境部制</w:t>
      </w:r>
    </w:p>
    <w:p w14:paraId="78B51879">
      <w:pPr>
        <w:rPr>
          <w:rFonts w:hint="eastAsia" w:ascii="黑体" w:hAnsi="黑体" w:eastAsia="黑体"/>
          <w:snapToGrid w:val="0"/>
          <w:color w:val="auto"/>
          <w:sz w:val="30"/>
          <w:szCs w:val="30"/>
        </w:rPr>
      </w:pPr>
      <w:r>
        <w:rPr>
          <w:rFonts w:hint="eastAsia" w:ascii="黑体" w:hAnsi="黑体" w:eastAsia="黑体"/>
          <w:snapToGrid w:val="0"/>
          <w:color w:val="auto"/>
          <w:sz w:val="30"/>
          <w:szCs w:val="30"/>
        </w:rPr>
        <w:br w:type="page"/>
      </w:r>
    </w:p>
    <w:p w14:paraId="6BFB0270">
      <w:pPr>
        <w:pStyle w:val="22"/>
        <w:numPr>
          <w:ilvl w:val="0"/>
          <w:numId w:val="0"/>
        </w:numPr>
        <w:jc w:val="center"/>
        <w:outlineLvl w:val="0"/>
        <w:rPr>
          <w:rFonts w:hint="eastAsia" w:ascii="黑体" w:hAnsi="黑体" w:eastAsia="黑体"/>
          <w:snapToGrid w:val="0"/>
          <w:color w:val="auto"/>
          <w:sz w:val="30"/>
          <w:szCs w:val="30"/>
          <w:lang w:eastAsia="zh-CN"/>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4473DBAF">
      <w:pPr>
        <w:pStyle w:val="22"/>
        <w:numPr>
          <w:ilvl w:val="0"/>
          <w:numId w:val="0"/>
        </w:numPr>
        <w:jc w:val="center"/>
        <w:outlineLvl w:val="0"/>
        <w:rPr>
          <w:rFonts w:hint="eastAsia" w:ascii="黑体" w:hAnsi="黑体" w:eastAsia="黑体"/>
          <w:snapToGrid w:val="0"/>
          <w:color w:val="auto"/>
          <w:sz w:val="30"/>
          <w:szCs w:val="30"/>
          <w:lang w:eastAsia="zh-CN"/>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7F467E58">
      <w:pPr>
        <w:pStyle w:val="22"/>
        <w:numPr>
          <w:ilvl w:val="0"/>
          <w:numId w:val="0"/>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lang w:eastAsia="zh-CN"/>
        </w:rPr>
        <w:t>一、</w:t>
      </w:r>
      <w:r>
        <w:rPr>
          <w:rFonts w:hint="eastAsia" w:ascii="黑体" w:hAnsi="黑体" w:eastAsia="黑体"/>
          <w:snapToGrid w:val="0"/>
          <w:color w:val="auto"/>
          <w:sz w:val="30"/>
          <w:szCs w:val="30"/>
        </w:rPr>
        <w:t>建设项目基本情况</w:t>
      </w:r>
    </w:p>
    <w:tbl>
      <w:tblPr>
        <w:tblStyle w:val="25"/>
        <w:tblW w:w="51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28"/>
        <w:gridCol w:w="2492"/>
        <w:gridCol w:w="1674"/>
        <w:gridCol w:w="3235"/>
      </w:tblGrid>
      <w:tr w14:paraId="7401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946" w:type="pct"/>
            <w:noWrap w:val="0"/>
            <w:tcMar>
              <w:top w:w="16" w:type="dxa"/>
              <w:left w:w="16" w:type="dxa"/>
              <w:right w:w="16" w:type="dxa"/>
            </w:tcMar>
            <w:vAlign w:val="center"/>
          </w:tcPr>
          <w:p w14:paraId="1D099F23">
            <w:pPr>
              <w:adjustRightInd w:val="0"/>
              <w:snapToGrid w:val="0"/>
              <w:jc w:val="center"/>
              <w:rPr>
                <w:color w:val="auto"/>
                <w:sz w:val="24"/>
              </w:rPr>
            </w:pPr>
            <w:r>
              <w:rPr>
                <w:color w:val="auto"/>
                <w:sz w:val="24"/>
              </w:rPr>
              <w:t>建设项目名称</w:t>
            </w:r>
          </w:p>
        </w:tc>
        <w:tc>
          <w:tcPr>
            <w:tcW w:w="4053" w:type="pct"/>
            <w:gridSpan w:val="3"/>
            <w:noWrap w:val="0"/>
            <w:vAlign w:val="center"/>
          </w:tcPr>
          <w:p w14:paraId="71226DDE">
            <w:pPr>
              <w:adjustRightInd w:val="0"/>
              <w:snapToGrid w:val="0"/>
              <w:jc w:val="center"/>
              <w:rPr>
                <w:rFonts w:hint="eastAsia" w:eastAsia="宋体"/>
                <w:color w:val="auto"/>
                <w:sz w:val="24"/>
                <w:highlight w:val="none"/>
                <w:lang w:eastAsia="zh-CN"/>
              </w:rPr>
            </w:pPr>
            <w:r>
              <w:rPr>
                <w:rFonts w:hint="eastAsia"/>
                <w:color w:val="auto"/>
                <w:sz w:val="24"/>
                <w:highlight w:val="none"/>
                <w:lang w:eastAsia="zh-CN"/>
              </w:rPr>
              <w:t>电力护套管建设</w:t>
            </w:r>
            <w:r>
              <w:rPr>
                <w:rFonts w:hint="eastAsia" w:eastAsia="宋体"/>
                <w:color w:val="auto"/>
                <w:sz w:val="24"/>
                <w:highlight w:val="none"/>
                <w:lang w:eastAsia="zh-CN"/>
              </w:rPr>
              <w:t>项目</w:t>
            </w:r>
          </w:p>
        </w:tc>
      </w:tr>
      <w:tr w14:paraId="505AC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946" w:type="pct"/>
            <w:noWrap w:val="0"/>
            <w:tcMar>
              <w:top w:w="16" w:type="dxa"/>
              <w:left w:w="16" w:type="dxa"/>
              <w:right w:w="16" w:type="dxa"/>
            </w:tcMar>
            <w:vAlign w:val="center"/>
          </w:tcPr>
          <w:p w14:paraId="3A04DD02">
            <w:pPr>
              <w:adjustRightInd w:val="0"/>
              <w:snapToGrid w:val="0"/>
              <w:jc w:val="center"/>
              <w:rPr>
                <w:color w:val="auto"/>
                <w:sz w:val="24"/>
              </w:rPr>
            </w:pPr>
            <w:r>
              <w:rPr>
                <w:color w:val="auto"/>
                <w:sz w:val="24"/>
              </w:rPr>
              <w:t>项目代码</w:t>
            </w:r>
          </w:p>
        </w:tc>
        <w:tc>
          <w:tcPr>
            <w:tcW w:w="4053" w:type="pct"/>
            <w:gridSpan w:val="3"/>
            <w:noWrap w:val="0"/>
            <w:vAlign w:val="center"/>
          </w:tcPr>
          <w:p w14:paraId="479067D1">
            <w:pPr>
              <w:keepNext w:val="0"/>
              <w:keepLines w:val="0"/>
              <w:widowControl/>
              <w:suppressLineNumbers w:val="0"/>
              <w:jc w:val="center"/>
              <w:rPr>
                <w:rFonts w:hint="default" w:eastAsia="宋体"/>
                <w:color w:val="auto"/>
                <w:sz w:val="24"/>
                <w:highlight w:val="none"/>
                <w:lang w:val="en-US" w:eastAsia="zh-CN"/>
              </w:rPr>
            </w:pPr>
            <w:r>
              <w:rPr>
                <w:rFonts w:hint="default" w:ascii="Times New Roman" w:hAnsi="Times New Roman" w:eastAsia="宋体" w:cs="Times New Roman"/>
                <w:color w:val="auto"/>
                <w:sz w:val="24"/>
                <w:highlight w:val="none"/>
                <w:lang w:val="en-US" w:eastAsia="zh-CN"/>
              </w:rPr>
              <w:t>2505-611206-04-01-167150</w:t>
            </w:r>
          </w:p>
        </w:tc>
      </w:tr>
      <w:tr w14:paraId="16FC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946" w:type="pct"/>
            <w:noWrap w:val="0"/>
            <w:tcMar>
              <w:top w:w="16" w:type="dxa"/>
              <w:left w:w="16" w:type="dxa"/>
              <w:right w:w="16" w:type="dxa"/>
            </w:tcMar>
            <w:vAlign w:val="center"/>
          </w:tcPr>
          <w:p w14:paraId="7EF9A581">
            <w:pPr>
              <w:adjustRightInd w:val="0"/>
              <w:snapToGrid w:val="0"/>
              <w:jc w:val="center"/>
              <w:rPr>
                <w:color w:val="auto"/>
                <w:sz w:val="24"/>
              </w:rPr>
            </w:pPr>
            <w:r>
              <w:rPr>
                <w:color w:val="auto"/>
                <w:sz w:val="24"/>
              </w:rPr>
              <w:t>建设单位联系人</w:t>
            </w:r>
          </w:p>
        </w:tc>
        <w:tc>
          <w:tcPr>
            <w:tcW w:w="1364" w:type="pct"/>
            <w:noWrap w:val="0"/>
            <w:vAlign w:val="center"/>
          </w:tcPr>
          <w:p w14:paraId="25698D68">
            <w:pPr>
              <w:adjustRightInd w:val="0"/>
              <w:snapToGrid w:val="0"/>
              <w:jc w:val="center"/>
              <w:rPr>
                <w:rFonts w:hint="eastAsia" w:eastAsia="宋体"/>
                <w:color w:val="auto"/>
                <w:sz w:val="24"/>
                <w:highlight w:val="none"/>
                <w:lang w:eastAsia="zh-CN"/>
              </w:rPr>
            </w:pPr>
            <w:r>
              <w:rPr>
                <w:rFonts w:hint="eastAsia"/>
                <w:color w:val="auto"/>
                <w:sz w:val="24"/>
                <w:highlight w:val="none"/>
                <w:lang w:eastAsia="zh-CN"/>
              </w:rPr>
              <w:t>傅红芳</w:t>
            </w:r>
          </w:p>
        </w:tc>
        <w:tc>
          <w:tcPr>
            <w:tcW w:w="916" w:type="pct"/>
            <w:noWrap w:val="0"/>
            <w:vAlign w:val="center"/>
          </w:tcPr>
          <w:p w14:paraId="418CC8D2">
            <w:pPr>
              <w:adjustRightInd w:val="0"/>
              <w:snapToGrid w:val="0"/>
              <w:jc w:val="center"/>
              <w:rPr>
                <w:color w:val="auto"/>
                <w:sz w:val="24"/>
                <w:highlight w:val="none"/>
              </w:rPr>
            </w:pPr>
            <w:r>
              <w:rPr>
                <w:color w:val="auto"/>
                <w:sz w:val="24"/>
                <w:highlight w:val="none"/>
              </w:rPr>
              <w:t>联系方式</w:t>
            </w:r>
          </w:p>
        </w:tc>
        <w:tc>
          <w:tcPr>
            <w:tcW w:w="1772" w:type="pct"/>
            <w:noWrap w:val="0"/>
            <w:vAlign w:val="center"/>
          </w:tcPr>
          <w:p w14:paraId="05E85111">
            <w:pPr>
              <w:adjustRightInd w:val="0"/>
              <w:snapToGrid w:val="0"/>
              <w:jc w:val="center"/>
              <w:rPr>
                <w:rFonts w:hint="default" w:eastAsia="宋体"/>
                <w:color w:val="auto"/>
                <w:sz w:val="24"/>
                <w:highlight w:val="none"/>
                <w:lang w:val="en-US" w:eastAsia="zh-CN"/>
              </w:rPr>
            </w:pPr>
            <w:r>
              <w:rPr>
                <w:rFonts w:hint="eastAsia"/>
                <w:color w:val="auto"/>
                <w:sz w:val="24"/>
                <w:highlight w:val="none"/>
              </w:rPr>
              <w:t>1</w:t>
            </w:r>
            <w:r>
              <w:rPr>
                <w:rFonts w:hint="eastAsia"/>
                <w:color w:val="auto"/>
                <w:sz w:val="24"/>
                <w:highlight w:val="none"/>
                <w:lang w:val="en-US" w:eastAsia="zh-CN"/>
              </w:rPr>
              <w:t>5067528738</w:t>
            </w:r>
          </w:p>
        </w:tc>
      </w:tr>
      <w:tr w14:paraId="2089A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946" w:type="pct"/>
            <w:noWrap w:val="0"/>
            <w:tcMar>
              <w:top w:w="16" w:type="dxa"/>
              <w:left w:w="16" w:type="dxa"/>
              <w:right w:w="16" w:type="dxa"/>
            </w:tcMar>
            <w:vAlign w:val="center"/>
          </w:tcPr>
          <w:p w14:paraId="3DC75E48">
            <w:pPr>
              <w:adjustRightInd w:val="0"/>
              <w:snapToGrid w:val="0"/>
              <w:jc w:val="center"/>
              <w:rPr>
                <w:color w:val="auto"/>
                <w:sz w:val="24"/>
              </w:rPr>
            </w:pPr>
            <w:r>
              <w:rPr>
                <w:color w:val="auto"/>
                <w:sz w:val="24"/>
              </w:rPr>
              <w:t>建设地点</w:t>
            </w:r>
          </w:p>
        </w:tc>
        <w:tc>
          <w:tcPr>
            <w:tcW w:w="4053" w:type="pct"/>
            <w:gridSpan w:val="3"/>
            <w:noWrap w:val="0"/>
            <w:vAlign w:val="center"/>
          </w:tcPr>
          <w:p w14:paraId="2592176A">
            <w:pPr>
              <w:keepNext w:val="0"/>
              <w:keepLines w:val="0"/>
              <w:widowControl/>
              <w:suppressLineNumbers w:val="0"/>
              <w:jc w:val="center"/>
              <w:rPr>
                <w:rFonts w:hint="eastAsia" w:eastAsia="宋体"/>
                <w:color w:val="auto"/>
                <w:sz w:val="24"/>
                <w:highlight w:val="yellow"/>
                <w:lang w:eastAsia="zh-CN"/>
              </w:rPr>
            </w:pPr>
            <w:r>
              <w:rPr>
                <w:rFonts w:hint="eastAsia" w:ascii="Times New Roman" w:hAnsi="Times New Roman" w:eastAsia="宋体" w:cs="Times New Roman"/>
                <w:color w:val="auto"/>
                <w:sz w:val="24"/>
                <w:highlight w:val="none"/>
                <w:lang w:val="en-US" w:eastAsia="zh-CN"/>
              </w:rPr>
              <w:t>陕西省西咸新区泾河新城工业密集区永乐园区南北大道23号</w:t>
            </w:r>
          </w:p>
        </w:tc>
      </w:tr>
      <w:tr w14:paraId="39614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46" w:type="pct"/>
            <w:noWrap w:val="0"/>
            <w:tcMar>
              <w:top w:w="16" w:type="dxa"/>
              <w:left w:w="16" w:type="dxa"/>
              <w:right w:w="16" w:type="dxa"/>
            </w:tcMar>
            <w:vAlign w:val="center"/>
          </w:tcPr>
          <w:p w14:paraId="2EB0E559">
            <w:pPr>
              <w:adjustRightInd w:val="0"/>
              <w:snapToGrid w:val="0"/>
              <w:jc w:val="center"/>
              <w:rPr>
                <w:color w:val="auto"/>
                <w:sz w:val="24"/>
              </w:rPr>
            </w:pPr>
            <w:r>
              <w:rPr>
                <w:color w:val="auto"/>
                <w:sz w:val="24"/>
              </w:rPr>
              <w:t>地理坐标</w:t>
            </w:r>
          </w:p>
        </w:tc>
        <w:tc>
          <w:tcPr>
            <w:tcW w:w="4053" w:type="pct"/>
            <w:gridSpan w:val="3"/>
            <w:noWrap w:val="0"/>
            <w:vAlign w:val="center"/>
          </w:tcPr>
          <w:p w14:paraId="19E92DF4">
            <w:pPr>
              <w:ind w:firstLine="420"/>
              <w:jc w:val="center"/>
              <w:rPr>
                <w:color w:val="auto"/>
                <w:sz w:val="24"/>
                <w:highlight w:val="yellow"/>
              </w:rPr>
            </w:pPr>
            <w:r>
              <w:rPr>
                <w:color w:val="auto"/>
                <w:sz w:val="24"/>
                <w:highlight w:val="none"/>
              </w:rPr>
              <w:t>（</w:t>
            </w:r>
            <w:r>
              <w:rPr>
                <w:color w:val="auto"/>
                <w:sz w:val="24"/>
                <w:highlight w:val="none"/>
                <w:u w:val="single"/>
              </w:rPr>
              <w:t xml:space="preserve"> 10</w:t>
            </w:r>
            <w:r>
              <w:rPr>
                <w:rFonts w:hint="eastAsia"/>
                <w:color w:val="auto"/>
                <w:sz w:val="24"/>
                <w:highlight w:val="none"/>
                <w:u w:val="single"/>
                <w:lang w:val="en-US" w:eastAsia="zh-CN"/>
              </w:rPr>
              <w:t>8</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56</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40.10</w:t>
            </w:r>
            <w:r>
              <w:rPr>
                <w:color w:val="auto"/>
                <w:sz w:val="24"/>
                <w:highlight w:val="none"/>
                <w:u w:val="single"/>
              </w:rPr>
              <w:t xml:space="preserve"> </w:t>
            </w:r>
            <w:r>
              <w:rPr>
                <w:color w:val="auto"/>
                <w:sz w:val="24"/>
                <w:highlight w:val="none"/>
              </w:rPr>
              <w:t>秒，</w:t>
            </w:r>
            <w:r>
              <w:rPr>
                <w:color w:val="auto"/>
                <w:sz w:val="24"/>
                <w:highlight w:val="none"/>
                <w:u w:val="single"/>
              </w:rPr>
              <w:t xml:space="preserve"> 34 </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32</w:t>
            </w:r>
            <w:r>
              <w:rPr>
                <w:color w:val="auto"/>
                <w:sz w:val="24"/>
                <w:highlight w:val="none"/>
                <w:u w:val="single"/>
              </w:rPr>
              <w:t xml:space="preserve"> </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4.60</w:t>
            </w:r>
            <w:r>
              <w:rPr>
                <w:color w:val="auto"/>
                <w:sz w:val="24"/>
                <w:highlight w:val="none"/>
                <w:u w:val="single"/>
              </w:rPr>
              <w:t xml:space="preserve"> </w:t>
            </w:r>
            <w:r>
              <w:rPr>
                <w:color w:val="auto"/>
                <w:sz w:val="24"/>
                <w:highlight w:val="none"/>
              </w:rPr>
              <w:t>秒）</w:t>
            </w:r>
          </w:p>
        </w:tc>
      </w:tr>
      <w:tr w14:paraId="49AA6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3" w:hRule="atLeast"/>
          <w:jc w:val="center"/>
        </w:trPr>
        <w:tc>
          <w:tcPr>
            <w:tcW w:w="946" w:type="pct"/>
            <w:noWrap w:val="0"/>
            <w:tcMar>
              <w:top w:w="16" w:type="dxa"/>
              <w:left w:w="16" w:type="dxa"/>
              <w:right w:w="16" w:type="dxa"/>
            </w:tcMar>
            <w:vAlign w:val="center"/>
          </w:tcPr>
          <w:p w14:paraId="0A89BAB6">
            <w:pPr>
              <w:adjustRightInd w:val="0"/>
              <w:snapToGrid w:val="0"/>
              <w:jc w:val="center"/>
              <w:rPr>
                <w:color w:val="auto"/>
                <w:sz w:val="24"/>
              </w:rPr>
            </w:pPr>
            <w:r>
              <w:rPr>
                <w:color w:val="auto"/>
                <w:sz w:val="24"/>
              </w:rPr>
              <w:t>国民经济</w:t>
            </w:r>
          </w:p>
          <w:p w14:paraId="48C9B70D">
            <w:pPr>
              <w:adjustRightInd w:val="0"/>
              <w:snapToGrid w:val="0"/>
              <w:jc w:val="center"/>
              <w:rPr>
                <w:color w:val="auto"/>
                <w:sz w:val="24"/>
              </w:rPr>
            </w:pPr>
            <w:r>
              <w:rPr>
                <w:color w:val="auto"/>
                <w:sz w:val="24"/>
              </w:rPr>
              <w:t>行业类别</w:t>
            </w:r>
          </w:p>
        </w:tc>
        <w:tc>
          <w:tcPr>
            <w:tcW w:w="1364" w:type="pct"/>
            <w:noWrap w:val="0"/>
            <w:vAlign w:val="center"/>
          </w:tcPr>
          <w:p w14:paraId="33E3639F">
            <w:pPr>
              <w:jc w:val="center"/>
              <w:rPr>
                <w:rFonts w:hint="default" w:eastAsia="宋体"/>
                <w:color w:val="auto"/>
                <w:sz w:val="24"/>
                <w:highlight w:val="yellow"/>
                <w:lang w:val="en-US" w:eastAsia="zh-CN"/>
              </w:rPr>
            </w:pPr>
            <w:r>
              <w:rPr>
                <w:rFonts w:hint="eastAsia"/>
                <w:color w:val="auto"/>
                <w:sz w:val="24"/>
              </w:rPr>
              <w:t>C</w:t>
            </w:r>
            <w:r>
              <w:rPr>
                <w:rFonts w:hint="eastAsia" w:ascii="Times New Roman" w:hAnsi="Times New Roman" w:eastAsia="宋体" w:cs="Times New Roman"/>
                <w:color w:val="auto"/>
                <w:sz w:val="24"/>
                <w:highlight w:val="none"/>
                <w:lang w:val="en-US" w:eastAsia="zh-CN"/>
              </w:rPr>
              <w:t>2922塑料板、管、型材制</w:t>
            </w:r>
            <w:r>
              <w:rPr>
                <w:rFonts w:hint="eastAsia"/>
                <w:color w:val="auto"/>
                <w:sz w:val="24"/>
              </w:rPr>
              <w:t>造</w:t>
            </w:r>
          </w:p>
        </w:tc>
        <w:tc>
          <w:tcPr>
            <w:tcW w:w="916" w:type="pct"/>
            <w:noWrap w:val="0"/>
            <w:vAlign w:val="center"/>
          </w:tcPr>
          <w:p w14:paraId="22C898C2">
            <w:pPr>
              <w:adjustRightInd w:val="0"/>
              <w:snapToGrid w:val="0"/>
              <w:jc w:val="center"/>
              <w:rPr>
                <w:color w:val="auto"/>
                <w:sz w:val="24"/>
                <w:highlight w:val="none"/>
              </w:rPr>
            </w:pPr>
            <w:r>
              <w:rPr>
                <w:color w:val="auto"/>
                <w:sz w:val="24"/>
                <w:highlight w:val="none"/>
              </w:rPr>
              <w:t>建设项目</w:t>
            </w:r>
          </w:p>
          <w:p w14:paraId="747B25C4">
            <w:pPr>
              <w:adjustRightInd w:val="0"/>
              <w:snapToGrid w:val="0"/>
              <w:jc w:val="center"/>
              <w:rPr>
                <w:color w:val="auto"/>
                <w:sz w:val="24"/>
                <w:highlight w:val="yellow"/>
              </w:rPr>
            </w:pPr>
            <w:r>
              <w:rPr>
                <w:color w:val="auto"/>
                <w:sz w:val="24"/>
                <w:highlight w:val="none"/>
              </w:rPr>
              <w:t>行业类别</w:t>
            </w:r>
          </w:p>
        </w:tc>
        <w:tc>
          <w:tcPr>
            <w:tcW w:w="1772" w:type="pct"/>
            <w:noWrap w:val="0"/>
            <w:vAlign w:val="center"/>
          </w:tcPr>
          <w:p w14:paraId="4484F7DA">
            <w:pPr>
              <w:adjustRightInd w:val="0"/>
              <w:snapToGrid w:val="0"/>
              <w:jc w:val="left"/>
              <w:rPr>
                <w:rFonts w:hint="eastAsia" w:eastAsia="宋体"/>
                <w:color w:val="auto"/>
                <w:sz w:val="24"/>
                <w:highlight w:val="yellow"/>
                <w:lang w:eastAsia="zh-CN"/>
              </w:rPr>
            </w:pPr>
            <w:r>
              <w:rPr>
                <w:rFonts w:hint="eastAsia"/>
                <w:color w:val="auto"/>
                <w:sz w:val="24"/>
              </w:rPr>
              <w:t>二十六、橡胶和塑料制品业29（53塑料制品业-其他（年用非溶剂型低VOCs含量涂料10吨涂料以下的除外）</w:t>
            </w:r>
          </w:p>
        </w:tc>
      </w:tr>
      <w:tr w14:paraId="4AB98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46" w:type="pct"/>
            <w:noWrap w:val="0"/>
            <w:tcMar>
              <w:top w:w="16" w:type="dxa"/>
              <w:left w:w="16" w:type="dxa"/>
              <w:right w:w="16" w:type="dxa"/>
            </w:tcMar>
            <w:vAlign w:val="center"/>
          </w:tcPr>
          <w:p w14:paraId="556CBFB4">
            <w:pPr>
              <w:adjustRightInd w:val="0"/>
              <w:snapToGrid w:val="0"/>
              <w:jc w:val="center"/>
              <w:rPr>
                <w:color w:val="auto"/>
                <w:sz w:val="24"/>
              </w:rPr>
            </w:pPr>
            <w:r>
              <w:rPr>
                <w:color w:val="auto"/>
                <w:sz w:val="24"/>
              </w:rPr>
              <w:t>建设性质</w:t>
            </w:r>
          </w:p>
        </w:tc>
        <w:tc>
          <w:tcPr>
            <w:tcW w:w="1364" w:type="pct"/>
            <w:noWrap w:val="0"/>
            <w:vAlign w:val="center"/>
          </w:tcPr>
          <w:p w14:paraId="55F1DDF3">
            <w:pPr>
              <w:jc w:val="left"/>
              <w:rPr>
                <w:color w:val="auto"/>
                <w:sz w:val="24"/>
                <w:highlight w:val="none"/>
              </w:rPr>
            </w:pPr>
            <w:r>
              <w:rPr>
                <w:color w:val="auto"/>
                <w:sz w:val="24"/>
                <w:highlight w:val="none"/>
              </w:rPr>
              <w:sym w:font="Wingdings 2" w:char="0052"/>
            </w:r>
            <w:r>
              <w:rPr>
                <w:color w:val="auto"/>
                <w:sz w:val="24"/>
                <w:highlight w:val="none"/>
              </w:rPr>
              <w:t>新建（迁建）</w:t>
            </w:r>
          </w:p>
          <w:p w14:paraId="0E05ADCA">
            <w:pPr>
              <w:jc w:val="left"/>
              <w:rPr>
                <w:color w:val="auto"/>
                <w:sz w:val="24"/>
                <w:highlight w:val="none"/>
              </w:rPr>
            </w:pPr>
            <w:r>
              <w:rPr>
                <w:color w:val="auto"/>
                <w:sz w:val="24"/>
                <w:highlight w:val="none"/>
              </w:rPr>
              <w:sym w:font="Wingdings 2" w:char="00A3"/>
            </w:r>
            <w:r>
              <w:rPr>
                <w:color w:val="auto"/>
                <w:sz w:val="24"/>
                <w:highlight w:val="none"/>
              </w:rPr>
              <w:t>改建</w:t>
            </w:r>
          </w:p>
          <w:p w14:paraId="3BED59F5">
            <w:pPr>
              <w:jc w:val="left"/>
              <w:rPr>
                <w:color w:val="auto"/>
                <w:sz w:val="24"/>
                <w:highlight w:val="none"/>
              </w:rPr>
            </w:pPr>
            <w:r>
              <w:rPr>
                <w:color w:val="auto"/>
                <w:sz w:val="24"/>
                <w:highlight w:val="none"/>
              </w:rPr>
              <w:sym w:font="Wingdings 2" w:char="00A3"/>
            </w:r>
            <w:r>
              <w:rPr>
                <w:color w:val="auto"/>
                <w:sz w:val="24"/>
                <w:highlight w:val="none"/>
              </w:rPr>
              <w:t>扩建</w:t>
            </w:r>
          </w:p>
          <w:p w14:paraId="38F0E39A">
            <w:pPr>
              <w:jc w:val="left"/>
              <w:rPr>
                <w:color w:val="auto"/>
                <w:sz w:val="24"/>
                <w:highlight w:val="yellow"/>
              </w:rPr>
            </w:pPr>
            <w:r>
              <w:rPr>
                <w:color w:val="auto"/>
                <w:sz w:val="24"/>
                <w:highlight w:val="none"/>
              </w:rPr>
              <w:sym w:font="Wingdings 2" w:char="00A3"/>
            </w:r>
            <w:r>
              <w:rPr>
                <w:color w:val="auto"/>
                <w:sz w:val="24"/>
                <w:highlight w:val="none"/>
              </w:rPr>
              <w:t>技术改造</w:t>
            </w:r>
          </w:p>
        </w:tc>
        <w:tc>
          <w:tcPr>
            <w:tcW w:w="916" w:type="pct"/>
            <w:noWrap w:val="0"/>
            <w:vAlign w:val="center"/>
          </w:tcPr>
          <w:p w14:paraId="4FC339EB">
            <w:pPr>
              <w:adjustRightInd w:val="0"/>
              <w:snapToGrid w:val="0"/>
              <w:jc w:val="center"/>
              <w:rPr>
                <w:color w:val="auto"/>
                <w:sz w:val="24"/>
                <w:highlight w:val="none"/>
              </w:rPr>
            </w:pPr>
            <w:r>
              <w:rPr>
                <w:color w:val="auto"/>
                <w:sz w:val="24"/>
                <w:highlight w:val="none"/>
              </w:rPr>
              <w:t>建设项目</w:t>
            </w:r>
          </w:p>
          <w:p w14:paraId="6A121005">
            <w:pPr>
              <w:adjustRightInd w:val="0"/>
              <w:snapToGrid w:val="0"/>
              <w:jc w:val="center"/>
              <w:rPr>
                <w:color w:val="auto"/>
                <w:sz w:val="24"/>
                <w:highlight w:val="none"/>
              </w:rPr>
            </w:pPr>
            <w:r>
              <w:rPr>
                <w:color w:val="auto"/>
                <w:sz w:val="24"/>
                <w:highlight w:val="none"/>
              </w:rPr>
              <w:t>申报情形</w:t>
            </w:r>
          </w:p>
        </w:tc>
        <w:tc>
          <w:tcPr>
            <w:tcW w:w="1772" w:type="pct"/>
            <w:noWrap w:val="0"/>
            <w:vAlign w:val="center"/>
          </w:tcPr>
          <w:p w14:paraId="44B6B172">
            <w:pPr>
              <w:jc w:val="left"/>
              <w:rPr>
                <w:color w:val="auto"/>
                <w:sz w:val="24"/>
                <w:highlight w:val="none"/>
              </w:rPr>
            </w:pPr>
            <w:r>
              <w:rPr>
                <w:color w:val="auto"/>
                <w:sz w:val="24"/>
                <w:highlight w:val="none"/>
              </w:rPr>
              <w:sym w:font="Wingdings 2" w:char="0052"/>
            </w:r>
            <w:r>
              <w:rPr>
                <w:color w:val="auto"/>
                <w:sz w:val="24"/>
                <w:highlight w:val="none"/>
              </w:rPr>
              <w:t xml:space="preserve">首次申报项目             </w:t>
            </w:r>
          </w:p>
          <w:p w14:paraId="1F71A9B6">
            <w:pPr>
              <w:jc w:val="left"/>
              <w:rPr>
                <w:color w:val="auto"/>
                <w:sz w:val="24"/>
                <w:highlight w:val="none"/>
              </w:rPr>
            </w:pPr>
            <w:r>
              <w:rPr>
                <w:color w:val="auto"/>
                <w:sz w:val="24"/>
                <w:highlight w:val="none"/>
              </w:rPr>
              <w:sym w:font="Wingdings 2" w:char="00A3"/>
            </w:r>
            <w:r>
              <w:rPr>
                <w:color w:val="auto"/>
                <w:sz w:val="24"/>
                <w:highlight w:val="none"/>
              </w:rPr>
              <w:t>不予批准后再次申报项目</w:t>
            </w:r>
          </w:p>
          <w:p w14:paraId="1AC0D2FA">
            <w:pPr>
              <w:jc w:val="left"/>
              <w:rPr>
                <w:color w:val="auto"/>
                <w:sz w:val="24"/>
                <w:highlight w:val="none"/>
              </w:rPr>
            </w:pPr>
            <w:r>
              <w:rPr>
                <w:color w:val="auto"/>
                <w:sz w:val="24"/>
                <w:highlight w:val="none"/>
              </w:rPr>
              <w:sym w:font="Wingdings 2" w:char="00A3"/>
            </w:r>
            <w:r>
              <w:rPr>
                <w:color w:val="auto"/>
                <w:sz w:val="24"/>
                <w:highlight w:val="none"/>
              </w:rPr>
              <w:t xml:space="preserve">超五年重新审核项目     </w:t>
            </w:r>
          </w:p>
          <w:p w14:paraId="4ED39C9E">
            <w:pPr>
              <w:jc w:val="left"/>
              <w:rPr>
                <w:color w:val="auto"/>
                <w:sz w:val="24"/>
                <w:highlight w:val="none"/>
              </w:rPr>
            </w:pPr>
            <w:r>
              <w:rPr>
                <w:color w:val="auto"/>
                <w:sz w:val="24"/>
                <w:highlight w:val="none"/>
              </w:rPr>
              <w:sym w:font="Wingdings 2" w:char="00A3"/>
            </w:r>
            <w:r>
              <w:rPr>
                <w:color w:val="auto"/>
                <w:sz w:val="24"/>
                <w:highlight w:val="none"/>
              </w:rPr>
              <w:t>重大变动重新报批项目</w:t>
            </w:r>
          </w:p>
        </w:tc>
      </w:tr>
      <w:tr w14:paraId="4244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8" w:hRule="atLeast"/>
          <w:jc w:val="center"/>
        </w:trPr>
        <w:tc>
          <w:tcPr>
            <w:tcW w:w="946" w:type="pct"/>
            <w:noWrap w:val="0"/>
            <w:tcMar>
              <w:top w:w="16" w:type="dxa"/>
              <w:left w:w="16" w:type="dxa"/>
              <w:right w:w="16" w:type="dxa"/>
            </w:tcMar>
            <w:vAlign w:val="center"/>
          </w:tcPr>
          <w:p w14:paraId="5DBB85F1">
            <w:pPr>
              <w:adjustRightInd w:val="0"/>
              <w:snapToGrid w:val="0"/>
              <w:jc w:val="center"/>
              <w:rPr>
                <w:color w:val="auto"/>
                <w:sz w:val="24"/>
              </w:rPr>
            </w:pPr>
            <w:r>
              <w:rPr>
                <w:color w:val="auto"/>
                <w:sz w:val="24"/>
              </w:rPr>
              <w:t>项目</w:t>
            </w:r>
            <w:r>
              <w:rPr>
                <w:rFonts w:hint="eastAsia"/>
                <w:color w:val="auto"/>
                <w:sz w:val="24"/>
              </w:rPr>
              <w:t>备案</w:t>
            </w:r>
            <w:r>
              <w:rPr>
                <w:color w:val="auto"/>
                <w:sz w:val="24"/>
              </w:rPr>
              <w:t>部门</w:t>
            </w:r>
          </w:p>
        </w:tc>
        <w:tc>
          <w:tcPr>
            <w:tcW w:w="1364" w:type="pct"/>
            <w:noWrap w:val="0"/>
            <w:vAlign w:val="center"/>
          </w:tcPr>
          <w:p w14:paraId="2C2A1EF2">
            <w:pPr>
              <w:jc w:val="center"/>
              <w:rPr>
                <w:rFonts w:hint="eastAsia" w:eastAsia="宋体"/>
                <w:color w:val="auto"/>
                <w:sz w:val="24"/>
                <w:highlight w:val="yellow"/>
                <w:lang w:eastAsia="zh-CN"/>
              </w:rPr>
            </w:pPr>
            <w:r>
              <w:rPr>
                <w:rFonts w:hint="eastAsia" w:ascii="Times New Roman" w:hAnsi="Times New Roman" w:eastAsia="宋体" w:cs="Times New Roman"/>
                <w:color w:val="auto"/>
                <w:sz w:val="24"/>
                <w:highlight w:val="none"/>
                <w:lang w:val="en-US" w:eastAsia="zh-CN"/>
              </w:rPr>
              <w:t>陕西省西咸新区泾河新城管理委员会</w:t>
            </w:r>
          </w:p>
        </w:tc>
        <w:tc>
          <w:tcPr>
            <w:tcW w:w="916" w:type="pct"/>
            <w:noWrap w:val="0"/>
            <w:vAlign w:val="center"/>
          </w:tcPr>
          <w:p w14:paraId="6DFC585F">
            <w:pPr>
              <w:adjustRightInd w:val="0"/>
              <w:snapToGrid w:val="0"/>
              <w:jc w:val="center"/>
              <w:rPr>
                <w:color w:val="auto"/>
                <w:sz w:val="24"/>
                <w:highlight w:val="none"/>
              </w:rPr>
            </w:pPr>
            <w:r>
              <w:rPr>
                <w:color w:val="auto"/>
                <w:sz w:val="24"/>
                <w:highlight w:val="none"/>
              </w:rPr>
              <w:t>项目审批文号</w:t>
            </w:r>
          </w:p>
        </w:tc>
        <w:tc>
          <w:tcPr>
            <w:tcW w:w="1772" w:type="pct"/>
            <w:noWrap w:val="0"/>
            <w:vAlign w:val="center"/>
          </w:tcPr>
          <w:p w14:paraId="47ED0FC1">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w:t>
            </w:r>
          </w:p>
        </w:tc>
      </w:tr>
      <w:tr w14:paraId="191E4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946" w:type="pct"/>
            <w:noWrap w:val="0"/>
            <w:tcMar>
              <w:top w:w="16" w:type="dxa"/>
              <w:left w:w="16" w:type="dxa"/>
              <w:right w:w="16" w:type="dxa"/>
            </w:tcMar>
            <w:vAlign w:val="center"/>
          </w:tcPr>
          <w:p w14:paraId="0154A9F9">
            <w:pPr>
              <w:adjustRightInd w:val="0"/>
              <w:snapToGrid w:val="0"/>
              <w:jc w:val="center"/>
              <w:rPr>
                <w:color w:val="auto"/>
                <w:sz w:val="24"/>
              </w:rPr>
            </w:pPr>
            <w:r>
              <w:rPr>
                <w:color w:val="auto"/>
                <w:sz w:val="24"/>
              </w:rPr>
              <w:t>总投资（万元）</w:t>
            </w:r>
          </w:p>
        </w:tc>
        <w:tc>
          <w:tcPr>
            <w:tcW w:w="1364" w:type="pct"/>
            <w:noWrap w:val="0"/>
            <w:vAlign w:val="center"/>
          </w:tcPr>
          <w:p w14:paraId="6621565E">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100</w:t>
            </w:r>
          </w:p>
        </w:tc>
        <w:tc>
          <w:tcPr>
            <w:tcW w:w="916" w:type="pct"/>
            <w:noWrap w:val="0"/>
            <w:tcMar>
              <w:top w:w="16" w:type="dxa"/>
              <w:left w:w="16" w:type="dxa"/>
              <w:right w:w="16" w:type="dxa"/>
            </w:tcMar>
            <w:vAlign w:val="center"/>
          </w:tcPr>
          <w:p w14:paraId="09484E70">
            <w:pPr>
              <w:adjustRightInd w:val="0"/>
              <w:snapToGrid w:val="0"/>
              <w:jc w:val="center"/>
              <w:rPr>
                <w:rFonts w:hint="eastAsia"/>
                <w:color w:val="auto"/>
                <w:sz w:val="24"/>
                <w:highlight w:val="none"/>
              </w:rPr>
            </w:pPr>
            <w:r>
              <w:rPr>
                <w:color w:val="auto"/>
                <w:sz w:val="24"/>
                <w:highlight w:val="none"/>
              </w:rPr>
              <w:t>环保投资（万元）</w:t>
            </w:r>
          </w:p>
        </w:tc>
        <w:tc>
          <w:tcPr>
            <w:tcW w:w="1772" w:type="pct"/>
            <w:noWrap w:val="0"/>
            <w:vAlign w:val="center"/>
          </w:tcPr>
          <w:p w14:paraId="6C4C9F9F">
            <w:pPr>
              <w:adjustRightInd w:val="0"/>
              <w:snapToGrid w:val="0"/>
              <w:jc w:val="center"/>
              <w:rPr>
                <w:rFonts w:hint="default" w:eastAsia="宋体"/>
                <w:color w:val="auto"/>
                <w:sz w:val="24"/>
                <w:highlight w:val="none"/>
                <w:lang w:val="en-US" w:eastAsia="zh-CN"/>
              </w:rPr>
            </w:pPr>
            <w:r>
              <w:rPr>
                <w:rFonts w:hint="eastAsia" w:ascii="Times New Roman" w:hAnsi="Times New Roman" w:eastAsia="宋体" w:cs="Times New Roman"/>
                <w:color w:val="auto"/>
                <w:sz w:val="24"/>
                <w:highlight w:val="none"/>
                <w:lang w:val="en-US" w:eastAsia="zh-CN"/>
              </w:rPr>
              <w:t>1</w:t>
            </w:r>
            <w:r>
              <w:rPr>
                <w:rFonts w:hint="eastAsia" w:cs="Times New Roman"/>
                <w:color w:val="auto"/>
                <w:sz w:val="24"/>
                <w:highlight w:val="none"/>
                <w:lang w:val="en-US" w:eastAsia="zh-CN"/>
              </w:rPr>
              <w:t>0.0</w:t>
            </w:r>
          </w:p>
        </w:tc>
      </w:tr>
      <w:tr w14:paraId="0E0C0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946" w:type="pct"/>
            <w:noWrap w:val="0"/>
            <w:tcMar>
              <w:top w:w="16" w:type="dxa"/>
              <w:left w:w="16" w:type="dxa"/>
              <w:right w:w="16" w:type="dxa"/>
            </w:tcMar>
            <w:vAlign w:val="center"/>
          </w:tcPr>
          <w:p w14:paraId="3E86DDB3">
            <w:pPr>
              <w:adjustRightInd w:val="0"/>
              <w:snapToGrid w:val="0"/>
              <w:jc w:val="center"/>
              <w:rPr>
                <w:color w:val="auto"/>
                <w:sz w:val="24"/>
              </w:rPr>
            </w:pPr>
            <w:r>
              <w:rPr>
                <w:color w:val="auto"/>
                <w:sz w:val="24"/>
              </w:rPr>
              <w:t>环保投资占比（%）</w:t>
            </w:r>
          </w:p>
        </w:tc>
        <w:tc>
          <w:tcPr>
            <w:tcW w:w="1364" w:type="pct"/>
            <w:noWrap w:val="0"/>
            <w:vAlign w:val="center"/>
          </w:tcPr>
          <w:p w14:paraId="3CA69F78">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10</w:t>
            </w:r>
          </w:p>
        </w:tc>
        <w:tc>
          <w:tcPr>
            <w:tcW w:w="916" w:type="pct"/>
            <w:noWrap w:val="0"/>
            <w:tcMar>
              <w:top w:w="16" w:type="dxa"/>
              <w:left w:w="16" w:type="dxa"/>
              <w:right w:w="16" w:type="dxa"/>
            </w:tcMar>
            <w:vAlign w:val="center"/>
          </w:tcPr>
          <w:p w14:paraId="418B5B23">
            <w:pPr>
              <w:adjustRightInd w:val="0"/>
              <w:snapToGrid w:val="0"/>
              <w:jc w:val="center"/>
              <w:rPr>
                <w:color w:val="auto"/>
                <w:sz w:val="24"/>
                <w:highlight w:val="none"/>
              </w:rPr>
            </w:pPr>
            <w:r>
              <w:rPr>
                <w:color w:val="auto"/>
                <w:sz w:val="24"/>
                <w:highlight w:val="none"/>
              </w:rPr>
              <w:t>施工工期</w:t>
            </w:r>
          </w:p>
        </w:tc>
        <w:tc>
          <w:tcPr>
            <w:tcW w:w="1772" w:type="pct"/>
            <w:noWrap w:val="0"/>
            <w:vAlign w:val="center"/>
          </w:tcPr>
          <w:p w14:paraId="23BC6404">
            <w:pPr>
              <w:adjustRightInd w:val="0"/>
              <w:snapToGrid w:val="0"/>
              <w:jc w:val="center"/>
              <w:rPr>
                <w:color w:val="auto"/>
                <w:sz w:val="24"/>
                <w:highlight w:val="none"/>
              </w:rPr>
            </w:pPr>
            <w:r>
              <w:rPr>
                <w:rFonts w:hint="eastAsia" w:cs="Times New Roman"/>
                <w:color w:val="auto"/>
                <w:sz w:val="24"/>
                <w:highlight w:val="none"/>
                <w:lang w:val="en-US" w:eastAsia="zh-CN"/>
              </w:rPr>
              <w:t>1</w:t>
            </w:r>
            <w:r>
              <w:rPr>
                <w:rFonts w:hint="eastAsia" w:ascii="Times New Roman" w:hAnsi="Times New Roman" w:eastAsia="宋体" w:cs="Times New Roman"/>
                <w:color w:val="auto"/>
                <w:sz w:val="24"/>
                <w:highlight w:val="none"/>
              </w:rPr>
              <w:t>个月</w:t>
            </w:r>
          </w:p>
        </w:tc>
      </w:tr>
      <w:tr w14:paraId="45BC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946" w:type="pct"/>
            <w:noWrap w:val="0"/>
            <w:tcMar>
              <w:top w:w="16" w:type="dxa"/>
              <w:left w:w="16" w:type="dxa"/>
              <w:right w:w="16" w:type="dxa"/>
            </w:tcMar>
            <w:vAlign w:val="center"/>
          </w:tcPr>
          <w:p w14:paraId="432D743C">
            <w:pPr>
              <w:adjustRightInd w:val="0"/>
              <w:snapToGrid w:val="0"/>
              <w:jc w:val="center"/>
              <w:rPr>
                <w:color w:val="auto"/>
                <w:sz w:val="24"/>
                <w:highlight w:val="none"/>
              </w:rPr>
            </w:pPr>
            <w:r>
              <w:rPr>
                <w:color w:val="auto"/>
                <w:sz w:val="24"/>
                <w:highlight w:val="none"/>
              </w:rPr>
              <w:t>是否开工建设</w:t>
            </w:r>
          </w:p>
        </w:tc>
        <w:tc>
          <w:tcPr>
            <w:tcW w:w="1364" w:type="pct"/>
            <w:noWrap w:val="0"/>
            <w:vAlign w:val="center"/>
          </w:tcPr>
          <w:p w14:paraId="6A937B76">
            <w:pPr>
              <w:adjustRightInd w:val="0"/>
              <w:snapToGrid w:val="0"/>
              <w:rPr>
                <w:color w:val="auto"/>
                <w:sz w:val="24"/>
                <w:highlight w:val="none"/>
              </w:rPr>
            </w:pPr>
            <w:r>
              <w:rPr>
                <w:color w:val="auto"/>
                <w:sz w:val="24"/>
                <w:highlight w:val="none"/>
              </w:rPr>
              <w:sym w:font="Wingdings 2" w:char="0052"/>
            </w:r>
            <w:r>
              <w:rPr>
                <w:color w:val="auto"/>
                <w:sz w:val="24"/>
                <w:highlight w:val="none"/>
              </w:rPr>
              <w:t>否</w:t>
            </w:r>
          </w:p>
          <w:p w14:paraId="78A0B3FC">
            <w:pPr>
              <w:adjustRightInd w:val="0"/>
              <w:snapToGrid w:val="0"/>
              <w:rPr>
                <w:rFonts w:hint="eastAsia" w:eastAsia="宋体"/>
                <w:color w:val="auto"/>
                <w:sz w:val="24"/>
                <w:highlight w:val="none"/>
                <w:lang w:eastAsia="zh-CN"/>
              </w:rPr>
            </w:pPr>
            <w:r>
              <w:rPr>
                <w:color w:val="auto"/>
                <w:sz w:val="24"/>
                <w:highlight w:val="none"/>
              </w:rPr>
              <w:sym w:font="Wingdings 2" w:char="00A3"/>
            </w:r>
            <w:r>
              <w:rPr>
                <w:color w:val="auto"/>
                <w:sz w:val="24"/>
                <w:highlight w:val="none"/>
              </w:rPr>
              <w:t>是</w:t>
            </w:r>
          </w:p>
        </w:tc>
        <w:tc>
          <w:tcPr>
            <w:tcW w:w="916" w:type="pct"/>
            <w:noWrap w:val="0"/>
            <w:tcMar>
              <w:top w:w="16" w:type="dxa"/>
              <w:left w:w="16" w:type="dxa"/>
              <w:right w:w="16" w:type="dxa"/>
            </w:tcMar>
            <w:vAlign w:val="center"/>
          </w:tcPr>
          <w:p w14:paraId="2C82B234">
            <w:pPr>
              <w:adjustRightInd w:val="0"/>
              <w:snapToGrid w:val="0"/>
              <w:jc w:val="center"/>
              <w:rPr>
                <w:color w:val="auto"/>
                <w:spacing w:val="-6"/>
                <w:sz w:val="24"/>
                <w:highlight w:val="none"/>
              </w:rPr>
            </w:pPr>
            <w:r>
              <w:rPr>
                <w:color w:val="auto"/>
                <w:spacing w:val="-6"/>
                <w:sz w:val="24"/>
                <w:highlight w:val="none"/>
              </w:rPr>
              <w:t>用地（用海）</w:t>
            </w:r>
          </w:p>
          <w:p w14:paraId="175FB9A5">
            <w:pPr>
              <w:adjustRightInd w:val="0"/>
              <w:snapToGrid w:val="0"/>
              <w:jc w:val="center"/>
              <w:rPr>
                <w:color w:val="auto"/>
                <w:sz w:val="24"/>
                <w:highlight w:val="none"/>
              </w:rPr>
            </w:pPr>
            <w:r>
              <w:rPr>
                <w:color w:val="auto"/>
                <w:spacing w:val="-6"/>
                <w:sz w:val="24"/>
                <w:highlight w:val="none"/>
              </w:rPr>
              <w:t>面积（m</w:t>
            </w:r>
            <w:r>
              <w:rPr>
                <w:color w:val="auto"/>
                <w:spacing w:val="-6"/>
                <w:sz w:val="24"/>
                <w:highlight w:val="none"/>
                <w:vertAlign w:val="superscript"/>
              </w:rPr>
              <w:t>2</w:t>
            </w:r>
            <w:r>
              <w:rPr>
                <w:color w:val="auto"/>
                <w:spacing w:val="-6"/>
                <w:sz w:val="24"/>
                <w:highlight w:val="none"/>
              </w:rPr>
              <w:t>）</w:t>
            </w:r>
          </w:p>
        </w:tc>
        <w:tc>
          <w:tcPr>
            <w:tcW w:w="1772" w:type="pct"/>
            <w:noWrap w:val="0"/>
            <w:vAlign w:val="center"/>
          </w:tcPr>
          <w:p w14:paraId="7302DCA8">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2000</w:t>
            </w:r>
          </w:p>
        </w:tc>
      </w:tr>
      <w:tr w14:paraId="167F9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46" w:type="pct"/>
            <w:noWrap w:val="0"/>
            <w:vAlign w:val="center"/>
          </w:tcPr>
          <w:p w14:paraId="62382563">
            <w:pPr>
              <w:autoSpaceDE w:val="0"/>
              <w:autoSpaceDN w:val="0"/>
              <w:adjustRightInd w:val="0"/>
              <w:snapToGrid w:val="0"/>
              <w:jc w:val="center"/>
              <w:rPr>
                <w:color w:val="auto"/>
                <w:kern w:val="0"/>
                <w:sz w:val="24"/>
              </w:rPr>
            </w:pPr>
            <w:r>
              <w:rPr>
                <w:color w:val="auto"/>
                <w:kern w:val="0"/>
                <w:sz w:val="24"/>
              </w:rPr>
              <w:t>专项评价设置情况</w:t>
            </w:r>
          </w:p>
        </w:tc>
        <w:tc>
          <w:tcPr>
            <w:tcW w:w="4053" w:type="pct"/>
            <w:gridSpan w:val="3"/>
            <w:noWrap w:val="0"/>
            <w:vAlign w:val="center"/>
          </w:tcPr>
          <w:p w14:paraId="3E204B72">
            <w:pPr>
              <w:autoSpaceDE w:val="0"/>
              <w:autoSpaceDN w:val="0"/>
              <w:adjustRightInd w:val="0"/>
              <w:snapToGrid w:val="0"/>
              <w:jc w:val="center"/>
              <w:rPr>
                <w:color w:val="auto"/>
                <w:kern w:val="0"/>
                <w:sz w:val="24"/>
              </w:rPr>
            </w:pPr>
            <w:r>
              <w:rPr>
                <w:color w:val="auto"/>
                <w:kern w:val="0"/>
                <w:sz w:val="24"/>
              </w:rPr>
              <w:t>无</w:t>
            </w:r>
          </w:p>
        </w:tc>
      </w:tr>
      <w:tr w14:paraId="20E59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946" w:type="pct"/>
            <w:noWrap w:val="0"/>
            <w:vAlign w:val="center"/>
          </w:tcPr>
          <w:p w14:paraId="6ADFF7CB">
            <w:pPr>
              <w:autoSpaceDE w:val="0"/>
              <w:autoSpaceDN w:val="0"/>
              <w:adjustRightInd w:val="0"/>
              <w:snapToGrid w:val="0"/>
              <w:jc w:val="center"/>
              <w:rPr>
                <w:color w:val="auto"/>
                <w:kern w:val="0"/>
                <w:sz w:val="24"/>
              </w:rPr>
            </w:pPr>
            <w:r>
              <w:rPr>
                <w:color w:val="auto"/>
                <w:sz w:val="24"/>
              </w:rPr>
              <w:t>规划情况</w:t>
            </w:r>
          </w:p>
        </w:tc>
        <w:tc>
          <w:tcPr>
            <w:tcW w:w="4053" w:type="pct"/>
            <w:gridSpan w:val="3"/>
            <w:noWrap w:val="0"/>
            <w:vAlign w:val="center"/>
          </w:tcPr>
          <w:p w14:paraId="0F736B87">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规划名称：《西咸新区-泾河新城分区规划修编（2016年</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2035年）》</w:t>
            </w:r>
          </w:p>
          <w:p w14:paraId="5A353ACA">
            <w:pPr>
              <w:keepNext w:val="0"/>
              <w:keepLines w:val="0"/>
              <w:pageBreakBefore w:val="0"/>
              <w:kinsoku/>
              <w:wordWrap/>
              <w:overflowPunct/>
              <w:topLinePunct w:val="0"/>
              <w:autoSpaceDE/>
              <w:autoSpaceDN/>
              <w:bidi w:val="0"/>
              <w:adjustRightInd/>
              <w:snapToGrid/>
              <w:spacing w:line="440" w:lineRule="exact"/>
              <w:textAlignment w:val="auto"/>
              <w:rPr>
                <w:color w:val="auto"/>
                <w:kern w:val="0"/>
                <w:sz w:val="24"/>
              </w:rPr>
            </w:pPr>
            <w:r>
              <w:rPr>
                <w:rFonts w:hint="default" w:ascii="Times New Roman" w:hAnsi="Times New Roman" w:eastAsia="宋体" w:cs="Times New Roman"/>
                <w:color w:val="auto"/>
                <w:sz w:val="24"/>
                <w:szCs w:val="24"/>
                <w:lang w:eastAsia="zh-CN"/>
              </w:rPr>
              <w:t>审批机关：西咸新区开发建设管理委员会</w:t>
            </w:r>
          </w:p>
        </w:tc>
      </w:tr>
      <w:tr w14:paraId="2CE9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946" w:type="pct"/>
            <w:noWrap w:val="0"/>
            <w:vAlign w:val="center"/>
          </w:tcPr>
          <w:p w14:paraId="12B737C6">
            <w:pPr>
              <w:adjustRightInd w:val="0"/>
              <w:snapToGrid w:val="0"/>
              <w:jc w:val="center"/>
              <w:rPr>
                <w:color w:val="auto"/>
                <w:sz w:val="24"/>
              </w:rPr>
            </w:pPr>
            <w:r>
              <w:rPr>
                <w:color w:val="auto"/>
                <w:sz w:val="24"/>
              </w:rPr>
              <w:t>规划环境影响</w:t>
            </w:r>
          </w:p>
          <w:p w14:paraId="78D9083D">
            <w:pPr>
              <w:adjustRightInd w:val="0"/>
              <w:snapToGrid w:val="0"/>
              <w:jc w:val="center"/>
              <w:rPr>
                <w:color w:val="auto"/>
                <w:kern w:val="0"/>
                <w:sz w:val="24"/>
              </w:rPr>
            </w:pPr>
            <w:r>
              <w:rPr>
                <w:color w:val="auto"/>
                <w:sz w:val="24"/>
              </w:rPr>
              <w:t>评价情况</w:t>
            </w:r>
          </w:p>
        </w:tc>
        <w:tc>
          <w:tcPr>
            <w:tcW w:w="4053" w:type="pct"/>
            <w:gridSpan w:val="3"/>
            <w:noWrap w:val="0"/>
            <w:vAlign w:val="center"/>
          </w:tcPr>
          <w:p w14:paraId="12792E5C">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规划名称：《陕西省西咸新区泾河新城分区规划（2016-2035）环境影响报告书》</w:t>
            </w:r>
          </w:p>
          <w:p w14:paraId="472B67E4">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审查机关：陕西省西咸新区生态环境局</w:t>
            </w:r>
          </w:p>
          <w:p w14:paraId="2D74D64D">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审查文件名称：陕西省西咸新区生态环境局关于《西咸新区-泾河新城分区规划（2016-2035）环境影响报告书》的审查意见</w:t>
            </w:r>
          </w:p>
          <w:p w14:paraId="40EE8556">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审查文号：陕西咸环函【2021】41号</w:t>
            </w:r>
          </w:p>
        </w:tc>
      </w:tr>
      <w:tr w14:paraId="5CC14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1" w:hRule="atLeast"/>
          <w:jc w:val="center"/>
        </w:trPr>
        <w:tc>
          <w:tcPr>
            <w:tcW w:w="946" w:type="pct"/>
            <w:noWrap w:val="0"/>
            <w:vAlign w:val="center"/>
          </w:tcPr>
          <w:p w14:paraId="4564871D">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4053" w:type="pct"/>
            <w:gridSpan w:val="3"/>
            <w:noWrap w:val="0"/>
            <w:vAlign w:val="center"/>
          </w:tcPr>
          <w:p w14:paraId="079A16EF">
            <w:pPr>
              <w:autoSpaceDE w:val="0"/>
              <w:autoSpaceDN w:val="0"/>
              <w:adjustRightInd w:val="0"/>
              <w:snapToGrid w:val="0"/>
              <w:spacing w:line="360" w:lineRule="auto"/>
              <w:jc w:val="both"/>
              <w:rPr>
                <w:rFonts w:hint="default" w:ascii="Times New Roman" w:hAnsi="Times New Roman" w:cs="Times New Roman"/>
                <w:color w:val="auto"/>
                <w:kern w:val="0"/>
                <w:sz w:val="24"/>
                <w:szCs w:val="24"/>
                <w:lang w:val="en-US" w:eastAsia="zh-CN"/>
              </w:rPr>
            </w:pPr>
            <w:r>
              <w:rPr>
                <w:rFonts w:hint="default" w:ascii="Times New Roman" w:hAnsi="Times New Roman" w:cs="Times New Roman"/>
                <w:color w:val="auto"/>
                <w:kern w:val="0"/>
                <w:sz w:val="24"/>
                <w:szCs w:val="24"/>
                <w:lang w:val="en-US" w:eastAsia="zh-CN"/>
              </w:rPr>
              <w:t>与相关规划、规划环评结论及审查意见的符合性见下表。</w:t>
            </w:r>
            <w:bookmarkStart w:id="2" w:name="_Toc24745"/>
          </w:p>
          <w:p w14:paraId="452EC063">
            <w:pPr>
              <w:autoSpaceDE w:val="0"/>
              <w:autoSpaceDN w:val="0"/>
              <w:adjustRightInd w:val="0"/>
              <w:snapToGrid w:val="0"/>
              <w:spacing w:line="360" w:lineRule="auto"/>
              <w:jc w:val="center"/>
              <w:rPr>
                <w:rFonts w:hint="default" w:ascii="Times New Roman" w:hAnsi="Times New Roman" w:cs="Times New Roman" w:eastAsiaTheme="majorEastAsia"/>
                <w:b/>
                <w:bCs/>
                <w:color w:val="auto"/>
                <w:kern w:val="0"/>
                <w:sz w:val="21"/>
                <w:szCs w:val="21"/>
                <w:lang w:val="en-US" w:eastAsia="zh-CN" w:bidi="ar"/>
              </w:rPr>
            </w:pPr>
            <w:r>
              <w:rPr>
                <w:rFonts w:hint="default" w:ascii="Times New Roman" w:hAnsi="Times New Roman" w:cs="Times New Roman" w:eastAsiaTheme="majorEastAsia"/>
                <w:b/>
                <w:bCs/>
                <w:color w:val="auto"/>
                <w:kern w:val="0"/>
                <w:sz w:val="21"/>
                <w:szCs w:val="21"/>
                <w:lang w:val="en-US" w:eastAsia="zh-CN" w:bidi="ar"/>
              </w:rPr>
              <w:t>表1-1 与相关规划及规划环评符合性分析</w:t>
            </w:r>
            <w:bookmarkEnd w:id="2"/>
          </w:p>
          <w:tbl>
            <w:tblPr>
              <w:tblStyle w:val="26"/>
              <w:tblW w:w="4981"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3213"/>
              <w:gridCol w:w="1665"/>
              <w:gridCol w:w="1063"/>
            </w:tblGrid>
            <w:tr w14:paraId="7F40D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844" w:type="pct"/>
                  <w:tcBorders>
                    <w:tl2br w:val="nil"/>
                    <w:tr2bl w:val="nil"/>
                  </w:tcBorders>
                  <w:noWrap w:val="0"/>
                  <w:vAlign w:val="center"/>
                </w:tcPr>
                <w:p w14:paraId="51656C2C">
                  <w:pPr>
                    <w:keepNext w:val="0"/>
                    <w:keepLines w:val="0"/>
                    <w:pageBreakBefore w:val="0"/>
                    <w:kinsoku/>
                    <w:wordWrap w:val="0"/>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名称</w:t>
                  </w:r>
                </w:p>
              </w:tc>
              <w:tc>
                <w:tcPr>
                  <w:tcW w:w="2247" w:type="pct"/>
                  <w:tcBorders>
                    <w:tl2br w:val="nil"/>
                    <w:tr2bl w:val="nil"/>
                  </w:tcBorders>
                  <w:noWrap w:val="0"/>
                  <w:vAlign w:val="center"/>
                </w:tcPr>
                <w:p w14:paraId="16045B2E">
                  <w:pPr>
                    <w:keepNext w:val="0"/>
                    <w:keepLines w:val="0"/>
                    <w:pageBreakBefore w:val="0"/>
                    <w:kinsoku/>
                    <w:wordWrap w:val="0"/>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相关要求</w:t>
                  </w:r>
                </w:p>
              </w:tc>
              <w:tc>
                <w:tcPr>
                  <w:tcW w:w="1164" w:type="pct"/>
                  <w:tcBorders>
                    <w:tl2br w:val="nil"/>
                    <w:tr2bl w:val="nil"/>
                  </w:tcBorders>
                  <w:noWrap w:val="0"/>
                  <w:vAlign w:val="center"/>
                </w:tcPr>
                <w:p w14:paraId="75FE2B98">
                  <w:pPr>
                    <w:keepNext w:val="0"/>
                    <w:keepLines w:val="0"/>
                    <w:pageBreakBefore w:val="0"/>
                    <w:kinsoku/>
                    <w:wordWrap w:val="0"/>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本</w:t>
                  </w:r>
                  <w:r>
                    <w:rPr>
                      <w:rFonts w:hint="default" w:ascii="Times New Roman" w:hAnsi="Times New Roman" w:eastAsia="宋体" w:cs="Times New Roman"/>
                      <w:b/>
                      <w:bCs/>
                      <w:color w:val="auto"/>
                      <w:szCs w:val="21"/>
                    </w:rPr>
                    <w:t>项目情况</w:t>
                  </w:r>
                </w:p>
              </w:tc>
              <w:tc>
                <w:tcPr>
                  <w:tcW w:w="743" w:type="pct"/>
                  <w:tcBorders>
                    <w:tl2br w:val="nil"/>
                    <w:tr2bl w:val="nil"/>
                  </w:tcBorders>
                  <w:noWrap w:val="0"/>
                  <w:vAlign w:val="center"/>
                </w:tcPr>
                <w:p w14:paraId="4AA61A92">
                  <w:pPr>
                    <w:keepNext w:val="0"/>
                    <w:keepLines w:val="0"/>
                    <w:pageBreakBefore w:val="0"/>
                    <w:kinsoku/>
                    <w:wordWrap w:val="0"/>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符合性</w:t>
                  </w:r>
                </w:p>
              </w:tc>
            </w:tr>
            <w:tr w14:paraId="4AB3C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6" w:hRule="atLeast"/>
              </w:trPr>
              <w:tc>
                <w:tcPr>
                  <w:tcW w:w="844" w:type="pct"/>
                  <w:tcBorders>
                    <w:tl2br w:val="nil"/>
                    <w:tr2bl w:val="nil"/>
                  </w:tcBorders>
                  <w:noWrap w:val="0"/>
                  <w:vAlign w:val="center"/>
                </w:tcPr>
                <w:p w14:paraId="2E16A6FC">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《陕西省西咸新区泾河新城控制性详细规划</w:t>
                  </w:r>
                </w:p>
                <w:p w14:paraId="287CC0E8">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（2016-2035）》</w:t>
                  </w:r>
                </w:p>
              </w:tc>
              <w:tc>
                <w:tcPr>
                  <w:tcW w:w="2247" w:type="pct"/>
                  <w:tcBorders>
                    <w:tl2br w:val="nil"/>
                    <w:tr2bl w:val="nil"/>
                  </w:tcBorders>
                  <w:noWrap w:val="0"/>
                  <w:vAlign w:val="center"/>
                </w:tcPr>
                <w:p w14:paraId="56A38EDB">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规划概述：泾河新城规划范围包括泾阳县的泾干、永乐、高庄（部分）三镇和崇文乡，总面积133.13km</w:t>
                  </w:r>
                  <w:r>
                    <w:rPr>
                      <w:rFonts w:hint="default" w:ascii="Times New Roman" w:hAnsi="Times New Roman" w:eastAsia="宋体" w:cs="Times New Roman"/>
                      <w:color w:val="auto"/>
                      <w:szCs w:val="21"/>
                      <w:highlight w:val="none"/>
                      <w:vertAlign w:val="superscript"/>
                      <w:lang w:eastAsia="zh-CN"/>
                    </w:rPr>
                    <w:t>2</w:t>
                  </w:r>
                  <w:r>
                    <w:rPr>
                      <w:rFonts w:hint="default" w:ascii="Times New Roman" w:hAnsi="Times New Roman" w:eastAsia="宋体" w:cs="Times New Roman"/>
                      <w:color w:val="auto"/>
                      <w:szCs w:val="21"/>
                      <w:highlight w:val="none"/>
                      <w:lang w:eastAsia="zh-CN"/>
                    </w:rPr>
                    <w:t>。</w:t>
                  </w:r>
                </w:p>
                <w:p w14:paraId="42D71481">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产业发展规划：重点打造以先进制造业、现代服务业、现代农业为主导产业，以智能制造、生产性服务、文化旅游和茯茶产业为特色产业。</w:t>
                  </w:r>
                </w:p>
              </w:tc>
              <w:tc>
                <w:tcPr>
                  <w:tcW w:w="1164" w:type="pct"/>
                  <w:tcBorders>
                    <w:tl2br w:val="nil"/>
                    <w:tr2bl w:val="nil"/>
                  </w:tcBorders>
                  <w:noWrap w:val="0"/>
                  <w:vAlign w:val="center"/>
                </w:tcPr>
                <w:p w14:paraId="02E045F0">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本项目位于永乐镇，属于规划范围内。</w:t>
                  </w:r>
                </w:p>
                <w:p w14:paraId="6B53A48E">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eastAsia="zh-CN"/>
                    </w:rPr>
                    <w:t>本项目主要进行电缆管线制造，</w:t>
                  </w:r>
                  <w:r>
                    <w:rPr>
                      <w:rFonts w:hint="eastAsia" w:ascii="Times New Roman" w:hAnsi="Times New Roman" w:cs="Times New Roman"/>
                      <w:color w:val="auto"/>
                      <w:sz w:val="21"/>
                      <w:szCs w:val="21"/>
                      <w:highlight w:val="none"/>
                      <w:lang w:val="en-US" w:eastAsia="zh-CN"/>
                    </w:rPr>
                    <w:t>项目</w:t>
                  </w:r>
                  <w:r>
                    <w:rPr>
                      <w:rFonts w:hint="eastAsia" w:cs="Times New Roman"/>
                      <w:color w:val="auto"/>
                      <w:sz w:val="21"/>
                      <w:szCs w:val="21"/>
                      <w:highlight w:val="none"/>
                      <w:lang w:val="en-US" w:eastAsia="zh-CN"/>
                    </w:rPr>
                    <w:t>注塑、挤出</w:t>
                  </w:r>
                  <w:r>
                    <w:rPr>
                      <w:rFonts w:hint="eastAsia" w:ascii="Times New Roman" w:hAnsi="Times New Roman" w:cs="Times New Roman"/>
                      <w:color w:val="auto"/>
                      <w:sz w:val="21"/>
                      <w:szCs w:val="21"/>
                      <w:highlight w:val="none"/>
                      <w:lang w:val="en-US" w:eastAsia="zh-CN"/>
                    </w:rPr>
                    <w:t>过程</w:t>
                  </w:r>
                  <w:r>
                    <w:rPr>
                      <w:rFonts w:hint="eastAsia" w:cs="Times New Roman"/>
                      <w:color w:val="auto"/>
                      <w:sz w:val="21"/>
                      <w:szCs w:val="21"/>
                      <w:highlight w:val="none"/>
                      <w:lang w:val="en-US" w:eastAsia="zh-CN"/>
                    </w:rPr>
                    <w:t>中</w:t>
                  </w:r>
                  <w:r>
                    <w:rPr>
                      <w:rFonts w:hint="eastAsia" w:ascii="Times New Roman" w:hAnsi="Times New Roman" w:cs="Times New Roman"/>
                      <w:color w:val="auto"/>
                      <w:sz w:val="21"/>
                      <w:szCs w:val="21"/>
                      <w:highlight w:val="none"/>
                      <w:lang w:val="en-US" w:eastAsia="zh-CN"/>
                    </w:rPr>
                    <w:t>使用自动化设备，减少人力成本，属于</w:t>
                  </w:r>
                  <w:r>
                    <w:rPr>
                      <w:rFonts w:hint="eastAsia" w:cs="Times New Roman"/>
                      <w:color w:val="auto"/>
                      <w:sz w:val="21"/>
                      <w:szCs w:val="21"/>
                      <w:highlight w:val="none"/>
                      <w:lang w:val="en-US" w:eastAsia="zh-CN"/>
                    </w:rPr>
                    <w:t>智能</w:t>
                  </w:r>
                  <w:r>
                    <w:rPr>
                      <w:rFonts w:hint="eastAsia" w:ascii="Times New Roman" w:hAnsi="Times New Roman" w:cs="Times New Roman"/>
                      <w:color w:val="auto"/>
                      <w:sz w:val="21"/>
                      <w:szCs w:val="21"/>
                      <w:highlight w:val="none"/>
                      <w:lang w:val="en-US" w:eastAsia="zh-CN"/>
                    </w:rPr>
                    <w:t>制造</w:t>
                  </w:r>
                  <w:r>
                    <w:rPr>
                      <w:rFonts w:hint="eastAsia" w:cs="Times New Roman"/>
                      <w:color w:val="auto"/>
                      <w:sz w:val="21"/>
                      <w:szCs w:val="21"/>
                      <w:highlight w:val="none"/>
                      <w:lang w:val="en-US" w:eastAsia="zh-CN"/>
                    </w:rPr>
                    <w:t>产</w:t>
                  </w:r>
                  <w:r>
                    <w:rPr>
                      <w:rFonts w:hint="eastAsia" w:ascii="Times New Roman" w:hAnsi="Times New Roman" w:cs="Times New Roman"/>
                      <w:color w:val="auto"/>
                      <w:sz w:val="21"/>
                      <w:szCs w:val="21"/>
                      <w:highlight w:val="none"/>
                      <w:lang w:val="en-US" w:eastAsia="zh-CN"/>
                    </w:rPr>
                    <w:t>业，符合</w:t>
                  </w:r>
                  <w:r>
                    <w:rPr>
                      <w:rFonts w:hint="eastAsia" w:cs="Times New Roman"/>
                      <w:color w:val="auto"/>
                      <w:sz w:val="21"/>
                      <w:szCs w:val="21"/>
                      <w:highlight w:val="none"/>
                      <w:lang w:val="en-US" w:eastAsia="zh-CN"/>
                    </w:rPr>
                    <w:t>泾河新城的</w:t>
                  </w:r>
                  <w:r>
                    <w:rPr>
                      <w:rFonts w:hint="eastAsia" w:ascii="Times New Roman" w:hAnsi="Times New Roman" w:cs="Times New Roman"/>
                      <w:color w:val="auto"/>
                      <w:sz w:val="21"/>
                      <w:szCs w:val="21"/>
                      <w:highlight w:val="none"/>
                      <w:lang w:val="en-US" w:eastAsia="zh-CN"/>
                    </w:rPr>
                    <w:t>产业发展规划</w:t>
                  </w:r>
                  <w:r>
                    <w:rPr>
                      <w:rFonts w:hint="eastAsia" w:cs="Times New Roman"/>
                      <w:color w:val="auto"/>
                      <w:sz w:val="21"/>
                      <w:szCs w:val="21"/>
                      <w:highlight w:val="none"/>
                      <w:lang w:val="en-US" w:eastAsia="zh-CN"/>
                    </w:rPr>
                    <w:t>。</w:t>
                  </w:r>
                </w:p>
              </w:tc>
              <w:tc>
                <w:tcPr>
                  <w:tcW w:w="743" w:type="pct"/>
                  <w:tcBorders>
                    <w:tl2br w:val="nil"/>
                    <w:tr2bl w:val="nil"/>
                  </w:tcBorders>
                  <w:noWrap w:val="0"/>
                  <w:vAlign w:val="center"/>
                </w:tcPr>
                <w:p w14:paraId="09222A79">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0000FF"/>
                      <w:szCs w:val="21"/>
                      <w:highlight w:val="none"/>
                      <w:lang w:eastAsia="zh-CN"/>
                    </w:rPr>
                  </w:pPr>
                  <w:r>
                    <w:rPr>
                      <w:rFonts w:hint="default" w:ascii="Times New Roman" w:hAnsi="Times New Roman" w:eastAsia="宋体" w:cs="Times New Roman"/>
                      <w:color w:val="auto"/>
                      <w:szCs w:val="21"/>
                      <w:highlight w:val="none"/>
                      <w:lang w:eastAsia="zh-CN"/>
                    </w:rPr>
                    <w:t>符合</w:t>
                  </w:r>
                </w:p>
              </w:tc>
            </w:tr>
            <w:tr w14:paraId="25145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8" w:hRule="atLeast"/>
              </w:trPr>
              <w:tc>
                <w:tcPr>
                  <w:tcW w:w="844" w:type="pct"/>
                  <w:vMerge w:val="restart"/>
                  <w:tcBorders>
                    <w:tl2br w:val="nil"/>
                    <w:tr2bl w:val="nil"/>
                  </w:tcBorders>
                  <w:noWrap w:val="0"/>
                  <w:vAlign w:val="center"/>
                </w:tcPr>
                <w:p w14:paraId="74373463">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《陕西省西咸新区泾河新城分区规划（2016年~2035年）环境影响报告书》</w:t>
                  </w:r>
                </w:p>
              </w:tc>
              <w:tc>
                <w:tcPr>
                  <w:tcW w:w="2247" w:type="pct"/>
                  <w:tcBorders>
                    <w:tl2br w:val="nil"/>
                    <w:tr2bl w:val="nil"/>
                  </w:tcBorders>
                  <w:noWrap w:val="0"/>
                  <w:vAlign w:val="center"/>
                </w:tcPr>
                <w:p w14:paraId="145C3F7C">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发展目标：（三）关中创新产业城市典范，在提升泾河新城文化旅游品质、构建大西安文化旅游发展新格局的同时，优化制造产业布局，创新推动生产性服务业发展，并结合与大西安和渭北工业走廊的交通衔接，打造区域物流产业聚集区，形成以文化旅游服务业和高端制造业及智能制造业为一体的关中创新产业城市典范</w:t>
                  </w:r>
                  <w:r>
                    <w:rPr>
                      <w:rFonts w:hint="eastAsia" w:cs="Times New Roman"/>
                      <w:color w:val="auto"/>
                      <w:szCs w:val="21"/>
                      <w:lang w:eastAsia="zh-CN"/>
                    </w:rPr>
                    <w:t>。</w:t>
                  </w:r>
                </w:p>
              </w:tc>
              <w:tc>
                <w:tcPr>
                  <w:tcW w:w="1164" w:type="pct"/>
                  <w:vMerge w:val="restart"/>
                  <w:tcBorders>
                    <w:tl2br w:val="nil"/>
                    <w:tr2bl w:val="nil"/>
                  </w:tcBorders>
                  <w:noWrap w:val="0"/>
                  <w:vAlign w:val="center"/>
                </w:tcPr>
                <w:p w14:paraId="05245CC1">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eastAsia" w:cs="Times New Roman"/>
                      <w:color w:val="auto"/>
                      <w:sz w:val="21"/>
                      <w:szCs w:val="21"/>
                      <w:lang w:val="en-US" w:eastAsia="zh-CN"/>
                    </w:rPr>
                  </w:pPr>
                  <w:r>
                    <w:rPr>
                      <w:rFonts w:hint="eastAsia"/>
                      <w:color w:val="auto"/>
                      <w:lang w:val="en-US" w:eastAsia="zh-CN"/>
                    </w:rPr>
                    <w:t>本项目位于泾河新城八个功能分区之一的中国原点智慧科创产业区，主要从事</w:t>
                  </w:r>
                  <w:r>
                    <w:rPr>
                      <w:rFonts w:hint="eastAsia" w:cs="Times New Roman"/>
                      <w:color w:val="auto"/>
                      <w:szCs w:val="21"/>
                      <w:highlight w:val="none"/>
                      <w:lang w:eastAsia="zh-CN"/>
                    </w:rPr>
                    <w:t>电缆管线制造</w:t>
                  </w:r>
                  <w:r>
                    <w:rPr>
                      <w:rFonts w:hint="default"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lang w:val="en-US" w:eastAsia="zh-CN"/>
                    </w:rPr>
                    <w:t>项目</w:t>
                  </w:r>
                  <w:r>
                    <w:rPr>
                      <w:rFonts w:hint="eastAsia" w:cs="Times New Roman"/>
                      <w:color w:val="auto"/>
                      <w:szCs w:val="21"/>
                      <w:lang w:val="en-US" w:eastAsia="zh-CN"/>
                    </w:rPr>
                    <w:t>在注塑、挤出</w:t>
                  </w:r>
                  <w:r>
                    <w:rPr>
                      <w:rFonts w:hint="eastAsia" w:ascii="Times New Roman" w:hAnsi="Times New Roman" w:cs="Times New Roman"/>
                      <w:color w:val="auto"/>
                      <w:sz w:val="21"/>
                      <w:szCs w:val="21"/>
                      <w:lang w:val="en-US" w:eastAsia="zh-CN"/>
                    </w:rPr>
                    <w:t>过程</w:t>
                  </w:r>
                  <w:r>
                    <w:rPr>
                      <w:rFonts w:hint="eastAsia" w:cs="Times New Roman"/>
                      <w:color w:val="auto"/>
                      <w:sz w:val="21"/>
                      <w:szCs w:val="21"/>
                      <w:lang w:val="en-US" w:eastAsia="zh-CN"/>
                    </w:rPr>
                    <w:t>中</w:t>
                  </w:r>
                  <w:r>
                    <w:rPr>
                      <w:rFonts w:hint="eastAsia" w:ascii="Times New Roman" w:hAnsi="Times New Roman" w:cs="Times New Roman"/>
                      <w:color w:val="auto"/>
                      <w:sz w:val="21"/>
                      <w:szCs w:val="21"/>
                      <w:lang w:val="en-US" w:eastAsia="zh-CN"/>
                    </w:rPr>
                    <w:t>使用自动化设备，减少人力成本，属于</w:t>
                  </w:r>
                  <w:r>
                    <w:rPr>
                      <w:rFonts w:hint="eastAsia" w:cs="Times New Roman"/>
                      <w:color w:val="auto"/>
                      <w:sz w:val="21"/>
                      <w:szCs w:val="21"/>
                      <w:lang w:val="en-US" w:eastAsia="zh-CN"/>
                    </w:rPr>
                    <w:t>智能</w:t>
                  </w:r>
                  <w:r>
                    <w:rPr>
                      <w:rFonts w:hint="eastAsia" w:ascii="Times New Roman" w:hAnsi="Times New Roman" w:cs="Times New Roman"/>
                      <w:color w:val="auto"/>
                      <w:sz w:val="21"/>
                      <w:szCs w:val="21"/>
                      <w:lang w:val="en-US" w:eastAsia="zh-CN"/>
                    </w:rPr>
                    <w:t>制造业，符合</w:t>
                  </w:r>
                  <w:r>
                    <w:rPr>
                      <w:rFonts w:hint="eastAsia" w:cs="Times New Roman"/>
                      <w:color w:val="auto"/>
                      <w:sz w:val="21"/>
                      <w:szCs w:val="21"/>
                      <w:lang w:val="en-US" w:eastAsia="zh-CN"/>
                    </w:rPr>
                    <w:t>泾河新城</w:t>
                  </w:r>
                  <w:r>
                    <w:rPr>
                      <w:rFonts w:hint="eastAsia" w:ascii="Times New Roman" w:hAnsi="Times New Roman" w:cs="Times New Roman"/>
                      <w:color w:val="auto"/>
                      <w:sz w:val="21"/>
                      <w:szCs w:val="21"/>
                      <w:lang w:val="en-US" w:eastAsia="zh-CN"/>
                    </w:rPr>
                    <w:t>产业发展规划</w:t>
                  </w:r>
                  <w:r>
                    <w:rPr>
                      <w:rFonts w:hint="eastAsia" w:cs="Times New Roman"/>
                      <w:color w:val="auto"/>
                      <w:sz w:val="21"/>
                      <w:szCs w:val="21"/>
                      <w:lang w:val="en-US" w:eastAsia="zh-CN"/>
                    </w:rPr>
                    <w:t>。</w:t>
                  </w:r>
                </w:p>
                <w:p w14:paraId="594B9F62">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left"/>
                    <w:textAlignment w:val="auto"/>
                    <w:rPr>
                      <w:rFonts w:hint="default" w:cs="Times New Roman"/>
                      <w:color w:val="auto"/>
                      <w:sz w:val="21"/>
                      <w:szCs w:val="21"/>
                      <w:lang w:val="en-US" w:eastAsia="zh-CN"/>
                    </w:rPr>
                  </w:pPr>
                </w:p>
              </w:tc>
              <w:tc>
                <w:tcPr>
                  <w:tcW w:w="743" w:type="pct"/>
                  <w:tcBorders>
                    <w:tl2br w:val="nil"/>
                    <w:tr2bl w:val="nil"/>
                  </w:tcBorders>
                  <w:noWrap w:val="0"/>
                  <w:vAlign w:val="center"/>
                </w:tcPr>
                <w:p w14:paraId="560ABDD0">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符合</w:t>
                  </w:r>
                </w:p>
              </w:tc>
            </w:tr>
            <w:tr w14:paraId="14443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noWrap w:val="0"/>
                  <w:vAlign w:val="center"/>
                </w:tcPr>
                <w:p w14:paraId="56F328D7">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0F2594FA">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zh-CN" w:eastAsia="zh-CN"/>
                    </w:rPr>
                    <w:t>总体定位为“以先进制造业、现代服务业、现代农业为主导产业，以智能制造、生产性服务、文化旅游和茯茶产业为特色产业，具有浓厚古今文化韵味、智慧宜居氛围的大西安北部生态休闲示范区和渭北创新产业服务高地”。规划范围北临西咸北环线、东接渭北工业走廊、南临秦汉新城、西临空港新城，总面积132.97平方公里，其中城市建设用地47.37平方公里。</w:t>
                  </w:r>
                  <w:r>
                    <w:rPr>
                      <w:rFonts w:hint="default" w:ascii="Times New Roman" w:hAnsi="Times New Roman" w:eastAsia="宋体" w:cs="Times New Roman"/>
                      <w:color w:val="auto"/>
                      <w:szCs w:val="21"/>
                      <w:lang w:eastAsia="zh-CN"/>
                    </w:rPr>
                    <w:t>构建</w:t>
                  </w:r>
                  <w:r>
                    <w:rPr>
                      <w:rFonts w:hint="default" w:ascii="Times New Roman" w:hAnsi="Times New Roman" w:eastAsia="宋体" w:cs="Times New Roman"/>
                      <w:color w:val="auto"/>
                      <w:szCs w:val="21"/>
                      <w:lang w:val="zh-CN" w:eastAsia="zh-CN"/>
                    </w:rPr>
                    <w:t>“双轴引领、一主一副、蓝带贯穿、多点拱位”的空间结构。结合规划总体定位要求，将泾河新城划分为大西安中轴线滑河北岸城市核心区、一河两岸生态景观区、崇文尚学国际生活服务区、中国原点智慧科创产业区、茯茶农业旅游示范区、乐华娱乐康体体验区、泾阳秦商文化生活服务区及泾阳科教创新创业区等八个片区。</w:t>
                  </w:r>
                </w:p>
              </w:tc>
              <w:tc>
                <w:tcPr>
                  <w:tcW w:w="1164" w:type="pct"/>
                  <w:vMerge w:val="continue"/>
                  <w:tcBorders>
                    <w:tl2br w:val="nil"/>
                    <w:tr2bl w:val="nil"/>
                  </w:tcBorders>
                  <w:noWrap w:val="0"/>
                  <w:vAlign w:val="center"/>
                </w:tcPr>
                <w:p w14:paraId="591C7A50">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p>
              </w:tc>
              <w:tc>
                <w:tcPr>
                  <w:tcW w:w="743" w:type="pct"/>
                  <w:tcBorders>
                    <w:tl2br w:val="nil"/>
                    <w:tr2bl w:val="nil"/>
                  </w:tcBorders>
                  <w:noWrap w:val="0"/>
                  <w:vAlign w:val="center"/>
                </w:tcPr>
                <w:p w14:paraId="49EE2C04">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2D82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1" w:hRule="atLeast"/>
              </w:trPr>
              <w:tc>
                <w:tcPr>
                  <w:tcW w:w="844" w:type="pct"/>
                  <w:vMerge w:val="continue"/>
                  <w:tcBorders>
                    <w:tl2br w:val="nil"/>
                    <w:tr2bl w:val="nil"/>
                  </w:tcBorders>
                  <w:noWrap w:val="0"/>
                  <w:vAlign w:val="center"/>
                </w:tcPr>
                <w:p w14:paraId="5E4A4061">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031CAD1A">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提高入园企业大气污染物排放的清洁生产水平，引进企业必须采用先进、可靠的废气治理措施，确保废气排放满足《大气污染物综合排放标准》（GB16297-1996）二级标准或相应的行业标准要求。严格控制入区工业项目，采取总量控制的方式，限值大气污染物排放量大的项目入区。</w:t>
                  </w:r>
                </w:p>
              </w:tc>
              <w:tc>
                <w:tcPr>
                  <w:tcW w:w="1164" w:type="pct"/>
                  <w:vMerge w:val="restart"/>
                  <w:tcBorders>
                    <w:tl2br w:val="nil"/>
                    <w:tr2bl w:val="nil"/>
                  </w:tcBorders>
                  <w:noWrap w:val="0"/>
                  <w:vAlign w:val="center"/>
                </w:tcPr>
                <w:p w14:paraId="77CEFFE9">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w:t>
                  </w:r>
                  <w:r>
                    <w:rPr>
                      <w:rFonts w:hint="eastAsia" w:ascii="Times New Roman" w:hAnsi="Times New Roman" w:eastAsia="宋体" w:cs="Times New Roman"/>
                      <w:color w:val="auto"/>
                      <w:szCs w:val="21"/>
                      <w:lang w:val="en-US" w:eastAsia="zh-CN"/>
                    </w:rPr>
                    <w:t>项目</w:t>
                  </w:r>
                  <w:r>
                    <w:rPr>
                      <w:rFonts w:hint="eastAsia" w:cs="Times New Roman"/>
                      <w:color w:val="auto"/>
                      <w:szCs w:val="21"/>
                      <w:lang w:val="en-US" w:eastAsia="zh-CN"/>
                    </w:rPr>
                    <w:t>注塑、挤出过程中产生的废气</w:t>
                  </w:r>
                  <w:r>
                    <w:rPr>
                      <w:rFonts w:hint="default" w:ascii="Times New Roman" w:hAnsi="Times New Roman" w:cs="Times New Roman"/>
                      <w:color w:val="auto"/>
                      <w:sz w:val="21"/>
                      <w:szCs w:val="21"/>
                    </w:rPr>
                    <w:t>经集气罩收集</w:t>
                  </w:r>
                  <w:r>
                    <w:rPr>
                      <w:rFonts w:hint="eastAsia" w:cs="Times New Roman"/>
                      <w:color w:val="auto"/>
                      <w:sz w:val="21"/>
                      <w:szCs w:val="21"/>
                      <w:lang w:eastAsia="zh-CN"/>
                    </w:rPr>
                    <w:t>，二级活性炭吸附</w:t>
                  </w:r>
                  <w:r>
                    <w:rPr>
                      <w:rFonts w:hint="eastAsia" w:ascii="Times New Roman" w:hAnsi="Times New Roman" w:cs="Times New Roman"/>
                      <w:color w:val="auto"/>
                      <w:sz w:val="21"/>
                      <w:szCs w:val="21"/>
                      <w:lang w:val="en-US" w:eastAsia="zh-CN"/>
                    </w:rPr>
                    <w:t>处理后通过15m高排气筒（DA001）</w:t>
                  </w:r>
                  <w:r>
                    <w:rPr>
                      <w:rFonts w:hint="eastAsia" w:cs="Times New Roman"/>
                      <w:color w:val="auto"/>
                      <w:sz w:val="21"/>
                      <w:szCs w:val="21"/>
                      <w:lang w:val="en-US" w:eastAsia="zh-CN"/>
                    </w:rPr>
                    <w:t>向</w:t>
                  </w:r>
                  <w:r>
                    <w:rPr>
                      <w:rFonts w:hint="eastAsia" w:ascii="Times New Roman" w:hAnsi="Times New Roman" w:cs="Times New Roman"/>
                      <w:color w:val="auto"/>
                      <w:sz w:val="21"/>
                      <w:szCs w:val="21"/>
                      <w:lang w:val="en-US" w:eastAsia="zh-CN"/>
                    </w:rPr>
                    <w:t>高空排放，</w:t>
                  </w:r>
                  <w:r>
                    <w:rPr>
                      <w:rFonts w:hint="default" w:ascii="Times New Roman" w:hAnsi="Times New Roman" w:cs="Times New Roman"/>
                      <w:color w:val="auto"/>
                      <w:sz w:val="21"/>
                      <w:szCs w:val="21"/>
                    </w:rPr>
                    <w:t>确保达标排放</w:t>
                  </w:r>
                  <w:r>
                    <w:rPr>
                      <w:rFonts w:hint="default"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排放量较小，</w:t>
                  </w:r>
                  <w:r>
                    <w:rPr>
                      <w:rFonts w:hint="default" w:ascii="Times New Roman" w:hAnsi="Times New Roman" w:eastAsia="宋体" w:cs="Times New Roman"/>
                      <w:color w:val="auto"/>
                      <w:szCs w:val="21"/>
                      <w:lang w:eastAsia="zh-CN"/>
                    </w:rPr>
                    <w:t>故本项目不属于大气污染物排放量大的项目</w:t>
                  </w:r>
                  <w:r>
                    <w:rPr>
                      <w:rFonts w:hint="eastAsia" w:cs="Times New Roman"/>
                      <w:color w:val="auto"/>
                      <w:szCs w:val="21"/>
                      <w:lang w:eastAsia="zh-CN"/>
                    </w:rPr>
                    <w:t>。</w:t>
                  </w:r>
                </w:p>
              </w:tc>
              <w:tc>
                <w:tcPr>
                  <w:tcW w:w="743" w:type="pct"/>
                  <w:tcBorders>
                    <w:tl2br w:val="nil"/>
                    <w:tr2bl w:val="nil"/>
                  </w:tcBorders>
                  <w:noWrap w:val="0"/>
                  <w:vAlign w:val="center"/>
                </w:tcPr>
                <w:p w14:paraId="7DCDCF7A">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1FF93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4" w:type="pct"/>
                  <w:vMerge w:val="continue"/>
                  <w:tcBorders>
                    <w:tl2br w:val="nil"/>
                    <w:tr2bl w:val="nil"/>
                  </w:tcBorders>
                  <w:noWrap w:val="0"/>
                  <w:vAlign w:val="center"/>
                </w:tcPr>
                <w:p w14:paraId="5F107117">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37C10476">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严格控制入区工业项目，采取总量控制的方式，限制大气污染物排放量大的项目入区。</w:t>
                  </w:r>
                </w:p>
              </w:tc>
              <w:tc>
                <w:tcPr>
                  <w:tcW w:w="1164" w:type="pct"/>
                  <w:vMerge w:val="continue"/>
                  <w:tcBorders>
                    <w:tl2br w:val="nil"/>
                    <w:tr2bl w:val="nil"/>
                  </w:tcBorders>
                  <w:noWrap w:val="0"/>
                  <w:vAlign w:val="center"/>
                </w:tcPr>
                <w:p w14:paraId="1DF77ED4">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p>
              </w:tc>
              <w:tc>
                <w:tcPr>
                  <w:tcW w:w="743" w:type="pct"/>
                  <w:tcBorders>
                    <w:tl2br w:val="nil"/>
                    <w:tr2bl w:val="nil"/>
                  </w:tcBorders>
                  <w:noWrap w:val="0"/>
                  <w:vAlign w:val="center"/>
                </w:tcPr>
                <w:p w14:paraId="1627B4E3">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22977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2" w:hRule="atLeast"/>
              </w:trPr>
              <w:tc>
                <w:tcPr>
                  <w:tcW w:w="844" w:type="pct"/>
                  <w:vMerge w:val="continue"/>
                  <w:tcBorders>
                    <w:tl2br w:val="nil"/>
                    <w:tr2bl w:val="nil"/>
                  </w:tcBorders>
                  <w:noWrap w:val="0"/>
                  <w:vAlign w:val="center"/>
                </w:tcPr>
                <w:p w14:paraId="36290F5F">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7FE30EC3">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zh-CN" w:eastAsia="zh-CN"/>
                    </w:rPr>
                    <w:t>实施水体排污综合整治，提高城市截污能力，完善污水处理设施的配套管网建设，严格杜绝污水未经处理直排沟渠等地表水体的现象发生。以强化水体周边环境监管为抓手，开展点源及面源污染治理，加大排污口的截污力度。</w:t>
                  </w:r>
                </w:p>
              </w:tc>
              <w:tc>
                <w:tcPr>
                  <w:tcW w:w="1164" w:type="pct"/>
                  <w:tcBorders>
                    <w:tl2br w:val="nil"/>
                    <w:tr2bl w:val="nil"/>
                  </w:tcBorders>
                  <w:noWrap w:val="0"/>
                  <w:vAlign w:val="center"/>
                </w:tcPr>
                <w:p w14:paraId="3592CEFC">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本项目无</w:t>
                  </w:r>
                  <w:r>
                    <w:rPr>
                      <w:rFonts w:hint="eastAsia" w:eastAsia="宋体" w:cs="Times New Roman"/>
                      <w:color w:val="auto"/>
                      <w:szCs w:val="21"/>
                      <w:lang w:eastAsia="zh-CN"/>
                    </w:rPr>
                    <w:t>生产废水</w:t>
                  </w:r>
                  <w:r>
                    <w:rPr>
                      <w:rFonts w:hint="default" w:ascii="Times New Roman" w:hAnsi="Times New Roman" w:eastAsia="宋体" w:cs="Times New Roman"/>
                      <w:color w:val="auto"/>
                      <w:szCs w:val="21"/>
                      <w:lang w:eastAsia="zh-CN"/>
                    </w:rPr>
                    <w:t>产生，</w:t>
                  </w:r>
                  <w:r>
                    <w:rPr>
                      <w:rFonts w:hint="eastAsia" w:eastAsia="宋体" w:cs="Times New Roman"/>
                      <w:color w:val="auto"/>
                      <w:szCs w:val="21"/>
                      <w:lang w:eastAsia="zh-CN"/>
                    </w:rPr>
                    <w:t>生活污水</w:t>
                  </w:r>
                  <w:r>
                    <w:rPr>
                      <w:rFonts w:hint="default" w:ascii="Times New Roman" w:hAnsi="Times New Roman" w:eastAsia="宋体" w:cs="Times New Roman"/>
                      <w:color w:val="auto"/>
                      <w:szCs w:val="21"/>
                      <w:lang w:eastAsia="zh-CN"/>
                    </w:rPr>
                    <w:t>经</w:t>
                  </w:r>
                  <w:r>
                    <w:rPr>
                      <w:rFonts w:hint="eastAsia" w:eastAsia="宋体" w:cs="Times New Roman"/>
                      <w:color w:val="auto"/>
                      <w:szCs w:val="21"/>
                      <w:lang w:eastAsia="zh-CN"/>
                    </w:rPr>
                    <w:t>化粪池</w:t>
                  </w:r>
                  <w:r>
                    <w:rPr>
                      <w:rFonts w:hint="eastAsia" w:eastAsia="宋体" w:cs="Times New Roman"/>
                      <w:color w:val="auto"/>
                      <w:szCs w:val="21"/>
                      <w:lang w:val="en-US" w:eastAsia="zh-CN"/>
                    </w:rPr>
                    <w:t>收集后定期清掏用作周围农田施肥，不外排</w:t>
                  </w:r>
                  <w:r>
                    <w:rPr>
                      <w:rFonts w:hint="eastAsia" w:cs="Times New Roman"/>
                      <w:color w:val="auto"/>
                      <w:szCs w:val="21"/>
                      <w:lang w:val="en-US" w:eastAsia="zh-CN"/>
                    </w:rPr>
                    <w:t>。</w:t>
                  </w:r>
                </w:p>
              </w:tc>
              <w:tc>
                <w:tcPr>
                  <w:tcW w:w="743" w:type="pct"/>
                  <w:tcBorders>
                    <w:tl2br w:val="nil"/>
                    <w:tr2bl w:val="nil"/>
                  </w:tcBorders>
                  <w:noWrap w:val="0"/>
                  <w:vAlign w:val="center"/>
                </w:tcPr>
                <w:p w14:paraId="65DAA6E5">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3194D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44" w:type="pct"/>
                  <w:vMerge w:val="continue"/>
                  <w:tcBorders>
                    <w:tl2br w:val="nil"/>
                    <w:tr2bl w:val="nil"/>
                  </w:tcBorders>
                  <w:noWrap w:val="0"/>
                  <w:vAlign w:val="center"/>
                </w:tcPr>
                <w:p w14:paraId="51B3D11C">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15F5A639">
                  <w:pPr>
                    <w:keepNext w:val="0"/>
                    <w:keepLines w:val="0"/>
                    <w:pageBreakBefore w:val="0"/>
                    <w:kinsoku/>
                    <w:overflowPunct/>
                    <w:topLinePunct w:val="0"/>
                    <w:autoSpaceDE/>
                    <w:autoSpaceDN/>
                    <w:bidi w:val="0"/>
                    <w:snapToGrid w:val="0"/>
                    <w:spacing w:line="264" w:lineRule="auto"/>
                    <w:ind w:left="0" w:leftChars="0" w:right="0" w:rightChars="0" w:firstLine="0" w:firstLineChars="0"/>
                    <w:jc w:val="both"/>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zh-CN" w:eastAsia="zh-CN"/>
                    </w:rPr>
                    <w:t>按危险废物综合利用的有关规定，泾河新城内各企业产生的危险废物必须100%进行无害化安全处理。对于产生危险废物的企业应尽快与具有危险废物利用资质的单位签订长期利用协议，或委托附近有危险废物处置资质的单位进行处理，使危险废物的综合利用得到可靠的保证，定期回收和处置，减少危险废物在厂区的存放量和存放时间。</w:t>
                  </w:r>
                </w:p>
              </w:tc>
              <w:tc>
                <w:tcPr>
                  <w:tcW w:w="1164" w:type="pct"/>
                  <w:tcBorders>
                    <w:tl2br w:val="nil"/>
                    <w:tr2bl w:val="nil"/>
                  </w:tcBorders>
                  <w:noWrap w:val="0"/>
                  <w:vAlign w:val="center"/>
                </w:tcPr>
                <w:p w14:paraId="50985037">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本项目产生的危险废物暂存于危废</w:t>
                  </w:r>
                  <w:r>
                    <w:rPr>
                      <w:rFonts w:hint="eastAsia" w:ascii="Times New Roman" w:hAnsi="Times New Roman" w:eastAsia="宋体" w:cs="Times New Roman"/>
                      <w:color w:val="auto"/>
                      <w:szCs w:val="21"/>
                      <w:lang w:val="en-US" w:eastAsia="zh-CN"/>
                    </w:rPr>
                    <w:t>贮存库</w:t>
                  </w:r>
                  <w:r>
                    <w:rPr>
                      <w:rFonts w:hint="default" w:ascii="Times New Roman" w:hAnsi="Times New Roman" w:eastAsia="宋体" w:cs="Times New Roman"/>
                      <w:color w:val="auto"/>
                      <w:szCs w:val="21"/>
                      <w:lang w:eastAsia="zh-CN"/>
                    </w:rPr>
                    <w:t>，定期交由有资质单位进行处理</w:t>
                  </w:r>
                  <w:r>
                    <w:rPr>
                      <w:rFonts w:hint="eastAsia" w:cs="Times New Roman"/>
                      <w:color w:val="auto"/>
                      <w:szCs w:val="21"/>
                      <w:lang w:eastAsia="zh-CN"/>
                    </w:rPr>
                    <w:t>。</w:t>
                  </w:r>
                </w:p>
              </w:tc>
              <w:tc>
                <w:tcPr>
                  <w:tcW w:w="743" w:type="pct"/>
                  <w:tcBorders>
                    <w:tl2br w:val="nil"/>
                    <w:tr2bl w:val="nil"/>
                  </w:tcBorders>
                  <w:noWrap w:val="0"/>
                  <w:vAlign w:val="center"/>
                </w:tcPr>
                <w:p w14:paraId="3B5A3DCB">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330E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844" w:type="pct"/>
                  <w:vMerge w:val="continue"/>
                  <w:tcBorders>
                    <w:tl2br w:val="nil"/>
                    <w:tr2bl w:val="nil"/>
                  </w:tcBorders>
                  <w:noWrap w:val="0"/>
                  <w:vAlign w:val="center"/>
                </w:tcPr>
                <w:p w14:paraId="330F63FB">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tcBorders>
                    <w:tl2br w:val="nil"/>
                    <w:tr2bl w:val="nil"/>
                  </w:tcBorders>
                  <w:noWrap w:val="0"/>
                  <w:vAlign w:val="center"/>
                </w:tcPr>
                <w:p w14:paraId="3A1BF5A4">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进入泾河新城范围内的企业必须严格执行环境影响评价制度和环保“三同时”制度，对不符合清活生产和环境要求的项目，坚决执行“环保一票否决制”。</w:t>
                  </w:r>
                </w:p>
              </w:tc>
              <w:tc>
                <w:tcPr>
                  <w:tcW w:w="1164" w:type="pct"/>
                  <w:tcBorders>
                    <w:tl2br w:val="nil"/>
                    <w:tr2bl w:val="nil"/>
                  </w:tcBorders>
                  <w:noWrap w:val="0"/>
                  <w:vAlign w:val="center"/>
                </w:tcPr>
                <w:p w14:paraId="4E566B88">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eastAsia" w:eastAsia="宋体" w:cs="Times New Roman"/>
                      <w:color w:val="auto"/>
                      <w:szCs w:val="21"/>
                      <w:lang w:eastAsia="zh-CN"/>
                    </w:rPr>
                    <w:t>环评要求</w:t>
                  </w:r>
                  <w:r>
                    <w:rPr>
                      <w:rFonts w:hint="default" w:ascii="Times New Roman" w:hAnsi="Times New Roman" w:eastAsia="宋体" w:cs="Times New Roman"/>
                      <w:color w:val="auto"/>
                      <w:szCs w:val="21"/>
                      <w:lang w:eastAsia="zh-CN"/>
                    </w:rPr>
                    <w:t>本项目</w:t>
                  </w:r>
                  <w:r>
                    <w:rPr>
                      <w:rFonts w:hint="default" w:ascii="Times New Roman" w:hAnsi="Times New Roman" w:eastAsia="宋体" w:cs="Times New Roman"/>
                      <w:color w:val="auto"/>
                      <w:szCs w:val="21"/>
                      <w:lang w:val="zh-CN" w:eastAsia="zh-CN"/>
                    </w:rPr>
                    <w:t>严格执行环境影响评价制度和环保</w:t>
                  </w:r>
                  <w:r>
                    <w:rPr>
                      <w:rFonts w:hint="eastAsia" w:cs="Times New Roman"/>
                      <w:color w:val="auto"/>
                      <w:szCs w:val="21"/>
                      <w:lang w:val="zh-CN" w:eastAsia="zh-CN"/>
                    </w:rPr>
                    <w:t>“三同时”</w:t>
                  </w:r>
                  <w:r>
                    <w:rPr>
                      <w:rFonts w:hint="default" w:ascii="Times New Roman" w:hAnsi="Times New Roman" w:eastAsia="宋体" w:cs="Times New Roman"/>
                      <w:color w:val="auto"/>
                      <w:szCs w:val="21"/>
                      <w:lang w:val="zh-CN" w:eastAsia="zh-CN"/>
                    </w:rPr>
                    <w:t>制度</w:t>
                  </w:r>
                  <w:r>
                    <w:rPr>
                      <w:rFonts w:hint="eastAsia" w:cs="Times New Roman"/>
                      <w:color w:val="auto"/>
                      <w:szCs w:val="21"/>
                      <w:lang w:val="zh-CN" w:eastAsia="zh-CN"/>
                    </w:rPr>
                    <w:t>。</w:t>
                  </w:r>
                </w:p>
              </w:tc>
              <w:tc>
                <w:tcPr>
                  <w:tcW w:w="743" w:type="pct"/>
                  <w:tcBorders>
                    <w:tl2br w:val="nil"/>
                    <w:tr2bl w:val="nil"/>
                  </w:tcBorders>
                  <w:noWrap w:val="0"/>
                  <w:vAlign w:val="center"/>
                </w:tcPr>
                <w:p w14:paraId="5EA5CD93">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250B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1" w:hRule="atLeast"/>
              </w:trPr>
              <w:tc>
                <w:tcPr>
                  <w:tcW w:w="844" w:type="pct"/>
                  <w:vMerge w:val="continue"/>
                  <w:tcBorders>
                    <w:tl2br w:val="nil"/>
                    <w:tr2bl w:val="nil"/>
                  </w:tcBorders>
                  <w:noWrap w:val="0"/>
                  <w:vAlign w:val="center"/>
                </w:tcPr>
                <w:p w14:paraId="4C00BDCE">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p>
              </w:tc>
              <w:tc>
                <w:tcPr>
                  <w:tcW w:w="2247" w:type="pct"/>
                  <w:tcBorders>
                    <w:tl2br w:val="nil"/>
                    <w:tr2bl w:val="nil"/>
                  </w:tcBorders>
                  <w:noWrap w:val="0"/>
                  <w:vAlign w:val="center"/>
                </w:tcPr>
                <w:p w14:paraId="299B1F46">
                  <w:pPr>
                    <w:keepNext w:val="0"/>
                    <w:keepLines w:val="0"/>
                    <w:pageBreakBefore w:val="0"/>
                    <w:kinsoku/>
                    <w:overflowPunct/>
                    <w:topLinePunct w:val="0"/>
                    <w:autoSpaceDE/>
                    <w:autoSpaceDN/>
                    <w:bidi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按照《陕西省大气污染防治条例》，在城镇规划区全面发展集中供热，泾河新城能源结构应采用天然气、电等清洁燃料。在燃气管网和集中供热管网覆盖的区域，不得新建、扩建燃料煤炭、重油、渣油的供热设施。同时，建议根据环境容量情况建设集中供热设置，鼓励采用地热、太阳能等清洁能源。</w:t>
                  </w:r>
                </w:p>
              </w:tc>
              <w:tc>
                <w:tcPr>
                  <w:tcW w:w="1164" w:type="pct"/>
                  <w:tcBorders>
                    <w:tl2br w:val="nil"/>
                    <w:tr2bl w:val="nil"/>
                  </w:tcBorders>
                  <w:noWrap w:val="0"/>
                  <w:vAlign w:val="center"/>
                </w:tcPr>
                <w:p w14:paraId="51B4BBBF">
                  <w:pPr>
                    <w:keepNext w:val="0"/>
                    <w:keepLines w:val="0"/>
                    <w:pageBreakBefore w:val="0"/>
                    <w:widowControl/>
                    <w:kinsoku/>
                    <w:overflowPunct/>
                    <w:topLinePunct w:val="0"/>
                    <w:autoSpaceDE/>
                    <w:autoSpaceDN/>
                    <w:bidi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本项目能源采用电能</w:t>
                  </w:r>
                  <w:r>
                    <w:rPr>
                      <w:rFonts w:hint="eastAsia" w:cs="Times New Roman"/>
                      <w:color w:val="auto"/>
                      <w:szCs w:val="21"/>
                      <w:lang w:eastAsia="zh-CN"/>
                    </w:rPr>
                    <w:t>。</w:t>
                  </w:r>
                </w:p>
              </w:tc>
              <w:tc>
                <w:tcPr>
                  <w:tcW w:w="743" w:type="pct"/>
                  <w:tcBorders>
                    <w:tl2br w:val="nil"/>
                    <w:tr2bl w:val="nil"/>
                  </w:tcBorders>
                  <w:noWrap w:val="0"/>
                  <w:vAlign w:val="center"/>
                </w:tcPr>
                <w:p w14:paraId="524DB925">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64CC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9" w:hRule="atLeast"/>
              </w:trPr>
              <w:tc>
                <w:tcPr>
                  <w:tcW w:w="844" w:type="pct"/>
                  <w:vMerge w:val="restart"/>
                  <w:tcBorders>
                    <w:tl2br w:val="nil"/>
                    <w:tr2bl w:val="nil"/>
                  </w:tcBorders>
                  <w:noWrap w:val="0"/>
                  <w:vAlign w:val="center"/>
                </w:tcPr>
                <w:p w14:paraId="3E1B4011">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陕西省西咸新区生态环境局关于《西咸新区泾河新城分区规划（2016-2035）环境影响报告书》审查意见的函（陕西咸环函〔2021〕41号）</w:t>
                  </w:r>
                </w:p>
              </w:tc>
              <w:tc>
                <w:tcPr>
                  <w:tcW w:w="2247" w:type="pct"/>
                  <w:tcBorders>
                    <w:tl2br w:val="nil"/>
                    <w:tr2bl w:val="nil"/>
                  </w:tcBorders>
                  <w:noWrap w:val="0"/>
                  <w:vAlign w:val="center"/>
                </w:tcPr>
                <w:p w14:paraId="6B504E84">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一）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生态环境保护要求。</w:t>
                  </w:r>
                </w:p>
              </w:tc>
              <w:tc>
                <w:tcPr>
                  <w:tcW w:w="1164" w:type="pct"/>
                  <w:tcBorders>
                    <w:tl2br w:val="nil"/>
                    <w:tr2bl w:val="nil"/>
                  </w:tcBorders>
                  <w:noWrap w:val="0"/>
                  <w:vAlign w:val="center"/>
                </w:tcPr>
                <w:p w14:paraId="1CA7B4F0">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符合泾河新城产业规划，拟建地属于西安市生态环境管控单元中的重点管控单元，并符合《西安市人民政府关于印发“三线一单”生态环境分区管控方案的通知》（市政发[2021]22号）中的准入要求。项目不属于大气污染物和水污染物排放量大的项目，采用先进工艺技术和设备</w:t>
                  </w:r>
                  <w:r>
                    <w:rPr>
                      <w:rFonts w:hint="eastAsia" w:cs="Times New Roman"/>
                      <w:color w:val="auto"/>
                      <w:szCs w:val="21"/>
                      <w:lang w:eastAsia="zh-CN"/>
                    </w:rPr>
                    <w:t>。</w:t>
                  </w:r>
                </w:p>
              </w:tc>
              <w:tc>
                <w:tcPr>
                  <w:tcW w:w="743" w:type="pct"/>
                  <w:tcBorders>
                    <w:tl2br w:val="nil"/>
                    <w:tr2bl w:val="nil"/>
                  </w:tcBorders>
                  <w:noWrap w:val="0"/>
                  <w:vAlign w:val="center"/>
                </w:tcPr>
                <w:p w14:paraId="0E562F01">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69210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noWrap w:val="0"/>
                  <w:vAlign w:val="center"/>
                </w:tcPr>
                <w:p w14:paraId="0D341522">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noWrap w:val="0"/>
                  <w:vAlign w:val="center"/>
                </w:tcPr>
                <w:p w14:paraId="3CCB529A">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（二）严守环境质量底线，落实污染物总量管控要求。根据国家、陕西省、西咸新区有关大气、水、土壤污染防治行动计划相关要求，采取有效措施减少主要污染物排放总量，实现区域环境质量改善目标。</w:t>
                  </w:r>
                </w:p>
              </w:tc>
              <w:tc>
                <w:tcPr>
                  <w:tcW w:w="1164" w:type="pct"/>
                  <w:noWrap w:val="0"/>
                  <w:vAlign w:val="center"/>
                </w:tcPr>
                <w:p w14:paraId="2F4C6CC7">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w:t>
                  </w:r>
                  <w:r>
                    <w:rPr>
                      <w:rFonts w:hint="eastAsia" w:ascii="Times New Roman" w:hAnsi="Times New Roman" w:eastAsia="宋体" w:cs="Times New Roman"/>
                      <w:color w:val="auto"/>
                      <w:szCs w:val="21"/>
                      <w:lang w:val="en-US" w:eastAsia="zh-CN"/>
                    </w:rPr>
                    <w:t>项目</w:t>
                  </w:r>
                  <w:r>
                    <w:rPr>
                      <w:rFonts w:hint="eastAsia" w:cs="Times New Roman"/>
                      <w:color w:val="auto"/>
                      <w:szCs w:val="21"/>
                      <w:lang w:val="en-US" w:eastAsia="zh-CN"/>
                    </w:rPr>
                    <w:t>产生的废气</w:t>
                  </w:r>
                  <w:r>
                    <w:rPr>
                      <w:rFonts w:hint="default" w:ascii="Times New Roman" w:hAnsi="Times New Roman" w:cs="Times New Roman"/>
                      <w:color w:val="auto"/>
                      <w:sz w:val="21"/>
                      <w:szCs w:val="21"/>
                    </w:rPr>
                    <w:t>经集气罩收集，</w:t>
                  </w:r>
                  <w:r>
                    <w:rPr>
                      <w:rFonts w:hint="eastAsia" w:cs="Times New Roman"/>
                      <w:color w:val="auto"/>
                      <w:sz w:val="21"/>
                      <w:szCs w:val="21"/>
                      <w:lang w:eastAsia="zh-CN"/>
                    </w:rPr>
                    <w:t>二级活性炭吸附处理后通过</w:t>
                  </w:r>
                  <w:r>
                    <w:rPr>
                      <w:rFonts w:hint="eastAsia" w:cs="Times New Roman"/>
                      <w:color w:val="auto"/>
                      <w:sz w:val="21"/>
                      <w:szCs w:val="21"/>
                      <w:lang w:val="en-US" w:eastAsia="zh-CN"/>
                    </w:rPr>
                    <w:t>15m高排气筒向高空排放</w:t>
                  </w:r>
                  <w:r>
                    <w:rPr>
                      <w:rFonts w:hint="default" w:ascii="Times New Roman" w:hAnsi="Times New Roman" w:cs="Times New Roman"/>
                      <w:color w:val="auto"/>
                      <w:sz w:val="21"/>
                      <w:szCs w:val="21"/>
                    </w:rPr>
                    <w:t>，</w:t>
                  </w:r>
                  <w:r>
                    <w:rPr>
                      <w:rFonts w:hint="eastAsia" w:ascii="Times New Roman" w:hAnsi="Times New Roman" w:eastAsia="宋体" w:cs="Times New Roman"/>
                      <w:color w:val="auto"/>
                      <w:szCs w:val="21"/>
                      <w:lang w:val="en-US" w:eastAsia="zh-CN"/>
                    </w:rPr>
                    <w:t>排放量较小；</w:t>
                  </w:r>
                  <w:r>
                    <w:rPr>
                      <w:rFonts w:hint="default" w:ascii="Times New Roman" w:hAnsi="Times New Roman" w:eastAsia="宋体" w:cs="Times New Roman"/>
                      <w:color w:val="auto"/>
                      <w:szCs w:val="21"/>
                      <w:lang w:eastAsia="zh-CN"/>
                    </w:rPr>
                    <w:t>无生产废水产生，</w:t>
                  </w:r>
                  <w:r>
                    <w:rPr>
                      <w:rFonts w:hint="eastAsia" w:eastAsia="宋体" w:cs="Times New Roman"/>
                      <w:color w:val="auto"/>
                      <w:szCs w:val="21"/>
                      <w:lang w:eastAsia="zh-CN"/>
                    </w:rPr>
                    <w:t>生活污水</w:t>
                  </w:r>
                  <w:r>
                    <w:rPr>
                      <w:rFonts w:hint="default" w:ascii="Times New Roman" w:hAnsi="Times New Roman" w:eastAsia="宋体" w:cs="Times New Roman"/>
                      <w:color w:val="auto"/>
                      <w:szCs w:val="21"/>
                      <w:lang w:eastAsia="zh-CN"/>
                    </w:rPr>
                    <w:t>经</w:t>
                  </w:r>
                  <w:r>
                    <w:rPr>
                      <w:rFonts w:hint="eastAsia" w:eastAsia="宋体" w:cs="Times New Roman"/>
                      <w:color w:val="auto"/>
                      <w:szCs w:val="21"/>
                      <w:lang w:eastAsia="zh-CN"/>
                    </w:rPr>
                    <w:t>化粪池</w:t>
                  </w:r>
                  <w:r>
                    <w:rPr>
                      <w:rFonts w:hint="eastAsia" w:eastAsia="宋体" w:cs="Times New Roman"/>
                      <w:color w:val="auto"/>
                      <w:szCs w:val="21"/>
                      <w:lang w:val="en-US" w:eastAsia="zh-CN"/>
                    </w:rPr>
                    <w:t>收集后定期清掏用作周围农田施肥</w:t>
                  </w:r>
                  <w:r>
                    <w:rPr>
                      <w:rFonts w:hint="eastAsia" w:cs="Times New Roman"/>
                      <w:color w:val="auto"/>
                      <w:szCs w:val="21"/>
                      <w:lang w:val="en-US" w:eastAsia="zh-CN"/>
                    </w:rPr>
                    <w:t>。</w:t>
                  </w:r>
                </w:p>
              </w:tc>
              <w:tc>
                <w:tcPr>
                  <w:tcW w:w="743" w:type="pct"/>
                  <w:noWrap w:val="0"/>
                  <w:vAlign w:val="center"/>
                </w:tcPr>
                <w:p w14:paraId="67C81644">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7543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trPr>
              <w:tc>
                <w:tcPr>
                  <w:tcW w:w="844" w:type="pct"/>
                  <w:vMerge w:val="continue"/>
                  <w:noWrap w:val="0"/>
                  <w:vAlign w:val="center"/>
                </w:tcPr>
                <w:p w14:paraId="048A59C0">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noWrap w:val="0"/>
                  <w:vAlign w:val="center"/>
                </w:tcPr>
                <w:p w14:paraId="15B6D755">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（三）结合区域大气环境质量改善目标的要求，进一步优化能源结构、提升清洁能源使用率，加强挥发性有机物产生企业等监督管理，强化移动源污染防治，提高企业清洁生产水平。</w:t>
                  </w:r>
                </w:p>
              </w:tc>
              <w:tc>
                <w:tcPr>
                  <w:tcW w:w="1164" w:type="pct"/>
                  <w:noWrap w:val="0"/>
                  <w:vAlign w:val="center"/>
                </w:tcPr>
                <w:p w14:paraId="6B2E8F1B">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both"/>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本项目能源消耗主要是电能，属于清洁能源</w:t>
                  </w:r>
                  <w:r>
                    <w:rPr>
                      <w:rFonts w:hint="eastAsia" w:cs="Times New Roman"/>
                      <w:color w:val="auto"/>
                      <w:szCs w:val="21"/>
                      <w:lang w:eastAsia="zh-CN"/>
                    </w:rPr>
                    <w:t>。</w:t>
                  </w:r>
                </w:p>
              </w:tc>
              <w:tc>
                <w:tcPr>
                  <w:tcW w:w="743" w:type="pct"/>
                  <w:noWrap w:val="0"/>
                  <w:vAlign w:val="center"/>
                </w:tcPr>
                <w:p w14:paraId="1C6D02C6">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5DB2E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7" w:hRule="atLeast"/>
              </w:trPr>
              <w:tc>
                <w:tcPr>
                  <w:tcW w:w="844" w:type="pct"/>
                  <w:vMerge w:val="continue"/>
                  <w:noWrap w:val="0"/>
                  <w:vAlign w:val="center"/>
                </w:tcPr>
                <w:p w14:paraId="362735C1">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noWrap w:val="0"/>
                  <w:vAlign w:val="center"/>
                </w:tcPr>
                <w:p w14:paraId="1CD8B98E">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（四）结合区域水环境质量改善目标的要求，加快污水处理厂及市政配套管网建设，实施雨污分流，强化污水处理厂监督管理，确保达标排放。</w:t>
                  </w:r>
                </w:p>
              </w:tc>
              <w:tc>
                <w:tcPr>
                  <w:tcW w:w="1164" w:type="pct"/>
                  <w:noWrap w:val="0"/>
                  <w:vAlign w:val="center"/>
                </w:tcPr>
                <w:p w14:paraId="0E201C08">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本项目仅产生生活污水，</w:t>
                  </w:r>
                  <w:r>
                    <w:rPr>
                      <w:rFonts w:hint="eastAsia" w:eastAsia="宋体" w:cs="Times New Roman"/>
                      <w:color w:val="auto"/>
                      <w:szCs w:val="21"/>
                      <w:lang w:eastAsia="zh-CN"/>
                    </w:rPr>
                    <w:t>生活污水</w:t>
                  </w:r>
                  <w:r>
                    <w:rPr>
                      <w:rFonts w:hint="default" w:ascii="Times New Roman" w:hAnsi="Times New Roman" w:eastAsia="宋体" w:cs="Times New Roman"/>
                      <w:color w:val="auto"/>
                      <w:szCs w:val="21"/>
                      <w:lang w:eastAsia="zh-CN"/>
                    </w:rPr>
                    <w:t>经</w:t>
                  </w:r>
                  <w:r>
                    <w:rPr>
                      <w:rFonts w:hint="eastAsia" w:eastAsia="宋体" w:cs="Times New Roman"/>
                      <w:color w:val="auto"/>
                      <w:szCs w:val="21"/>
                      <w:lang w:eastAsia="zh-CN"/>
                    </w:rPr>
                    <w:t>化粪池</w:t>
                  </w:r>
                  <w:r>
                    <w:rPr>
                      <w:rFonts w:hint="eastAsia" w:eastAsia="宋体" w:cs="Times New Roman"/>
                      <w:color w:val="auto"/>
                      <w:szCs w:val="21"/>
                      <w:lang w:val="en-US" w:eastAsia="zh-CN"/>
                    </w:rPr>
                    <w:t>收集后定期清掏用作周围农田施肥</w:t>
                  </w:r>
                  <w:r>
                    <w:rPr>
                      <w:rFonts w:hint="eastAsia" w:cs="Times New Roman"/>
                      <w:color w:val="auto"/>
                      <w:szCs w:val="21"/>
                      <w:lang w:val="en-US" w:eastAsia="zh-CN"/>
                    </w:rPr>
                    <w:t>。</w:t>
                  </w:r>
                </w:p>
              </w:tc>
              <w:tc>
                <w:tcPr>
                  <w:tcW w:w="743" w:type="pct"/>
                  <w:noWrap w:val="0"/>
                  <w:vAlign w:val="center"/>
                </w:tcPr>
                <w:p w14:paraId="793229B5">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r w14:paraId="49A0E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trPr>
              <w:tc>
                <w:tcPr>
                  <w:tcW w:w="844" w:type="pct"/>
                  <w:vMerge w:val="continue"/>
                  <w:noWrap w:val="0"/>
                  <w:vAlign w:val="center"/>
                </w:tcPr>
                <w:p w14:paraId="22F29C02">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rPr>
                  </w:pPr>
                </w:p>
              </w:tc>
              <w:tc>
                <w:tcPr>
                  <w:tcW w:w="2247" w:type="pct"/>
                  <w:noWrap w:val="0"/>
                  <w:vAlign w:val="center"/>
                </w:tcPr>
                <w:p w14:paraId="29F7EAD5">
                  <w:pPr>
                    <w:keepNext w:val="0"/>
                    <w:keepLines w:val="0"/>
                    <w:pageBreakBefore w:val="0"/>
                    <w:kinsoku/>
                    <w:overflowPunct/>
                    <w:topLinePunct w:val="0"/>
                    <w:autoSpaceDE/>
                    <w:autoSpaceDN/>
                    <w:bidi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（六）完善产业规划内容，进一步细化规划及相关产业版块布局，对现有版块和布局不相符合的企业提出调整方案，对入区项目严格把关，优先引入节水型企业。</w:t>
                  </w:r>
                </w:p>
              </w:tc>
              <w:tc>
                <w:tcPr>
                  <w:tcW w:w="1164" w:type="pct"/>
                  <w:noWrap w:val="0"/>
                  <w:vAlign w:val="center"/>
                </w:tcPr>
                <w:p w14:paraId="360983A9">
                  <w:pPr>
                    <w:keepNext w:val="0"/>
                    <w:keepLines w:val="0"/>
                    <w:pageBreakBefore w:val="0"/>
                    <w:kinsoku/>
                    <w:wordWrap w:val="0"/>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本项目属于</w:t>
                  </w:r>
                  <w:r>
                    <w:rPr>
                      <w:rFonts w:hint="eastAsia" w:cs="Times New Roman"/>
                      <w:color w:val="auto"/>
                      <w:szCs w:val="21"/>
                      <w:lang w:eastAsia="zh-CN"/>
                    </w:rPr>
                    <w:t>电力护套管建设</w:t>
                  </w:r>
                  <w:r>
                    <w:rPr>
                      <w:rFonts w:hint="default" w:ascii="Times New Roman" w:hAnsi="Times New Roman" w:cs="Times New Roman"/>
                      <w:color w:val="auto"/>
                      <w:sz w:val="21"/>
                      <w:szCs w:val="21"/>
                    </w:rPr>
                    <w:t>项目</w:t>
                  </w:r>
                  <w:r>
                    <w:rPr>
                      <w:rFonts w:hint="default" w:ascii="Times New Roman" w:hAnsi="Times New Roman" w:eastAsia="宋体" w:cs="Times New Roman"/>
                      <w:color w:val="auto"/>
                      <w:szCs w:val="21"/>
                      <w:lang w:eastAsia="zh-CN"/>
                    </w:rPr>
                    <w:t>，符合西咸新区泾河新城产业规划，</w:t>
                  </w:r>
                  <w:r>
                    <w:rPr>
                      <w:rFonts w:hint="eastAsia" w:ascii="Times New Roman" w:hAnsi="Times New Roman" w:eastAsia="宋体" w:cs="Times New Roman"/>
                      <w:color w:val="auto"/>
                      <w:szCs w:val="21"/>
                      <w:lang w:val="en-US" w:eastAsia="zh-CN"/>
                    </w:rPr>
                    <w:t>项目运行无生产用水</w:t>
                  </w:r>
                  <w:r>
                    <w:rPr>
                      <w:rFonts w:hint="eastAsia" w:cs="Times New Roman"/>
                      <w:color w:val="auto"/>
                      <w:szCs w:val="21"/>
                      <w:lang w:val="en-US" w:eastAsia="zh-CN"/>
                    </w:rPr>
                    <w:t>。</w:t>
                  </w:r>
                </w:p>
              </w:tc>
              <w:tc>
                <w:tcPr>
                  <w:tcW w:w="743" w:type="pct"/>
                  <w:noWrap w:val="0"/>
                  <w:vAlign w:val="center"/>
                </w:tcPr>
                <w:p w14:paraId="77A397C1">
                  <w:pPr>
                    <w:keepNext w:val="0"/>
                    <w:keepLines w:val="0"/>
                    <w:pageBreakBefore w:val="0"/>
                    <w:kinsoku/>
                    <w:overflowPunct/>
                    <w:topLinePunct w:val="0"/>
                    <w:autoSpaceDE/>
                    <w:autoSpaceDN/>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符合</w:t>
                  </w:r>
                </w:p>
              </w:tc>
            </w:tr>
          </w:tbl>
          <w:p w14:paraId="6F85A80C">
            <w:pPr>
              <w:autoSpaceDE w:val="0"/>
              <w:autoSpaceDN w:val="0"/>
              <w:adjustRightInd w:val="0"/>
              <w:snapToGrid w:val="0"/>
              <w:jc w:val="both"/>
              <w:rPr>
                <w:color w:val="auto"/>
                <w:kern w:val="0"/>
                <w:sz w:val="24"/>
              </w:rPr>
            </w:pPr>
          </w:p>
        </w:tc>
      </w:tr>
      <w:tr w14:paraId="4E52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6" w:type="pct"/>
            <w:noWrap w:val="0"/>
            <w:vAlign w:val="center"/>
          </w:tcPr>
          <w:p w14:paraId="309AFDEF">
            <w:pPr>
              <w:autoSpaceDE w:val="0"/>
              <w:autoSpaceDN w:val="0"/>
              <w:adjustRightInd w:val="0"/>
              <w:snapToGrid w:val="0"/>
              <w:jc w:val="center"/>
              <w:rPr>
                <w:rFonts w:hint="eastAsia" w:eastAsia="宋体"/>
                <w:color w:val="auto"/>
                <w:kern w:val="0"/>
                <w:sz w:val="24"/>
                <w:lang w:eastAsia="zh-CN"/>
              </w:rPr>
            </w:pPr>
            <w:r>
              <w:rPr>
                <w:rFonts w:hint="eastAsia"/>
                <w:color w:val="auto"/>
                <w:kern w:val="0"/>
                <w:sz w:val="24"/>
                <w:lang w:eastAsia="zh-CN"/>
              </w:rPr>
              <w:t>其他符合性分析</w:t>
            </w:r>
          </w:p>
        </w:tc>
        <w:tc>
          <w:tcPr>
            <w:tcW w:w="4053" w:type="pct"/>
            <w:gridSpan w:val="3"/>
            <w:noWrap w:val="0"/>
            <w:vAlign w:val="center"/>
          </w:tcPr>
          <w:p w14:paraId="1A2042D4">
            <w:pPr>
              <w:numPr>
                <w:ilvl w:val="0"/>
                <w:numId w:val="2"/>
              </w:numPr>
              <w:spacing w:line="360" w:lineRule="auto"/>
              <w:rPr>
                <w:b/>
                <w:bCs/>
                <w:color w:val="auto"/>
                <w:sz w:val="24"/>
              </w:rPr>
            </w:pPr>
            <w:r>
              <w:rPr>
                <w:b/>
                <w:bCs/>
                <w:color w:val="auto"/>
                <w:sz w:val="24"/>
              </w:rPr>
              <w:t>产业政策符合性</w:t>
            </w:r>
          </w:p>
          <w:p w14:paraId="31D2814C">
            <w:pPr>
              <w:numPr>
                <w:ilvl w:val="0"/>
                <w:numId w:val="0"/>
              </w:num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eastAsia="宋体" w:cs="Times New Roman"/>
                <w:color w:val="auto"/>
                <w:sz w:val="24"/>
                <w:lang w:eastAsia="zh-CN"/>
              </w:rPr>
              <w:t>本项目为</w:t>
            </w:r>
            <w:r>
              <w:rPr>
                <w:rFonts w:hint="eastAsia" w:cs="Times New Roman"/>
                <w:color w:val="auto"/>
                <w:sz w:val="24"/>
                <w:highlight w:val="none"/>
                <w:lang w:eastAsia="zh-CN"/>
              </w:rPr>
              <w:t>电缆管线</w:t>
            </w:r>
            <w:r>
              <w:rPr>
                <w:rFonts w:hint="default" w:ascii="Times New Roman" w:hAnsi="Times New Roman" w:eastAsia="宋体" w:cs="Times New Roman"/>
                <w:color w:val="auto"/>
                <w:sz w:val="24"/>
                <w:highlight w:val="none"/>
                <w:lang w:eastAsia="zh-CN"/>
              </w:rPr>
              <w:t>制</w:t>
            </w:r>
            <w:r>
              <w:rPr>
                <w:rFonts w:hint="default" w:ascii="Times New Roman" w:hAnsi="Times New Roman" w:eastAsia="宋体" w:cs="Times New Roman"/>
                <w:color w:val="auto"/>
                <w:sz w:val="24"/>
                <w:lang w:eastAsia="zh-CN"/>
              </w:rPr>
              <w:t>造</w:t>
            </w:r>
            <w:r>
              <w:rPr>
                <w:rFonts w:hint="eastAsia" w:ascii="Times New Roman" w:hAnsi="Times New Roman" w:eastAsia="宋体" w:cs="Times New Roman"/>
                <w:color w:val="auto"/>
                <w:sz w:val="24"/>
                <w:lang w:eastAsia="zh-CN"/>
              </w:rPr>
              <w:t>项目，</w:t>
            </w:r>
            <w:r>
              <w:rPr>
                <w:rFonts w:hint="default" w:ascii="Times New Roman" w:hAnsi="Times New Roman" w:cs="Times New Roman"/>
                <w:color w:val="auto"/>
                <w:sz w:val="24"/>
                <w:szCs w:val="24"/>
                <w:lang w:val="en-US" w:eastAsia="zh-CN"/>
              </w:rPr>
              <w:t>根据《产业结构调整指导目录（202</w:t>
            </w:r>
            <w:r>
              <w:rPr>
                <w:rFonts w:hint="eastAsia" w:cs="Times New Roman"/>
                <w:color w:val="auto"/>
                <w:sz w:val="24"/>
                <w:szCs w:val="24"/>
                <w:lang w:val="en-US" w:eastAsia="zh-CN"/>
              </w:rPr>
              <w:t>4</w:t>
            </w:r>
            <w:r>
              <w:rPr>
                <w:rFonts w:hint="default" w:ascii="Times New Roman" w:hAnsi="Times New Roman" w:cs="Times New Roman"/>
                <w:color w:val="auto"/>
                <w:sz w:val="24"/>
                <w:szCs w:val="24"/>
                <w:lang w:val="en-US" w:eastAsia="zh-CN"/>
              </w:rPr>
              <w:t>年本）》，本项目不属于其中规</w:t>
            </w:r>
            <w:r>
              <w:rPr>
                <w:rFonts w:hint="default" w:ascii="Times New Roman" w:hAnsi="Times New Roman" w:cs="Times New Roman"/>
                <w:color w:val="auto"/>
                <w:sz w:val="24"/>
                <w:szCs w:val="24"/>
                <w:highlight w:val="none"/>
                <w:lang w:val="en-US" w:eastAsia="zh-CN"/>
              </w:rPr>
              <w:t>定的鼓励类，限制类和淘汰类项目；经</w:t>
            </w:r>
            <w:r>
              <w:rPr>
                <w:rFonts w:hint="default" w:ascii="Times New Roman" w:hAnsi="Times New Roman" w:cs="Times New Roman"/>
                <w:color w:val="auto"/>
                <w:sz w:val="24"/>
                <w:szCs w:val="24"/>
                <w:lang w:val="en-US" w:eastAsia="zh-CN"/>
              </w:rPr>
              <w:t>查阅，本项目不属于《市场准入负面清单（2025年版）》中禁止或许可准入类。</w:t>
            </w:r>
          </w:p>
          <w:p w14:paraId="71A3244D">
            <w:pPr>
              <w:numPr>
                <w:ilvl w:val="0"/>
                <w:numId w:val="0"/>
              </w:numPr>
              <w:spacing w:line="360" w:lineRule="auto"/>
              <w:ind w:firstLine="480" w:firstLineChars="200"/>
              <w:rPr>
                <w:rFonts w:hint="eastAsia" w:ascii="Times New Roman" w:hAnsi="Times New Roman" w:eastAsia="宋体" w:cs="Times New Roman"/>
                <w:color w:val="auto"/>
                <w:sz w:val="24"/>
                <w:lang w:val="en-GB" w:eastAsia="zh-CN"/>
              </w:rPr>
            </w:pPr>
            <w:r>
              <w:rPr>
                <w:rFonts w:hint="default" w:ascii="Times New Roman" w:hAnsi="Times New Roman" w:cs="Times New Roman"/>
                <w:color w:val="auto"/>
                <w:sz w:val="24"/>
                <w:szCs w:val="24"/>
                <w:lang w:val="en-US" w:eastAsia="zh-CN"/>
              </w:rPr>
              <w:t>本项目已取得陕西省西咸新区泾河新城管理委员会备案确认书（项目代码：</w:t>
            </w:r>
            <w:r>
              <w:rPr>
                <w:rFonts w:hint="default" w:ascii="Times New Roman" w:hAnsi="Times New Roman" w:eastAsia="宋体" w:cs="Times New Roman"/>
                <w:color w:val="auto"/>
                <w:sz w:val="24"/>
                <w:highlight w:val="none"/>
                <w:lang w:val="en-US" w:eastAsia="zh-CN"/>
              </w:rPr>
              <w:t>2505-611206-04-01-167150</w:t>
            </w:r>
            <w:r>
              <w:rPr>
                <w:rFonts w:hint="default"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rPr>
              <w:t>同意该项目建设</w:t>
            </w:r>
            <w:r>
              <w:rPr>
                <w:rFonts w:hint="eastAsia" w:ascii="Times New Roman" w:hAnsi="Times New Roman" w:eastAsia="宋体" w:cs="Times New Roman"/>
                <w:color w:val="auto"/>
                <w:sz w:val="24"/>
                <w:lang w:val="en-GB"/>
              </w:rPr>
              <w:t>。</w:t>
            </w:r>
            <w:r>
              <w:rPr>
                <w:rFonts w:hint="eastAsia" w:ascii="Times New Roman" w:hAnsi="Times New Roman" w:eastAsia="宋体" w:cs="Times New Roman"/>
                <w:color w:val="auto"/>
                <w:sz w:val="24"/>
                <w:lang w:val="en-GB" w:eastAsia="zh-CN"/>
              </w:rPr>
              <w:t>（</w:t>
            </w:r>
            <w:r>
              <w:rPr>
                <w:rFonts w:hint="eastAsia" w:ascii="Times New Roman" w:hAnsi="Times New Roman" w:eastAsia="宋体" w:cs="Times New Roman"/>
                <w:color w:val="auto"/>
                <w:sz w:val="24"/>
              </w:rPr>
              <w:t>备案文件见</w:t>
            </w:r>
            <w:r>
              <w:rPr>
                <w:rFonts w:hint="eastAsia" w:ascii="Times New Roman" w:hAnsi="Times New Roman" w:eastAsia="宋体" w:cs="Times New Roman"/>
                <w:color w:val="auto"/>
                <w:sz w:val="24"/>
                <w:highlight w:val="none"/>
              </w:rPr>
              <w:t>附件2</w:t>
            </w:r>
            <w:r>
              <w:rPr>
                <w:rFonts w:hint="eastAsia" w:ascii="Times New Roman" w:hAnsi="Times New Roman" w:eastAsia="宋体" w:cs="Times New Roman"/>
                <w:color w:val="auto"/>
                <w:sz w:val="24"/>
                <w:highlight w:val="none"/>
                <w:lang w:val="en-GB" w:eastAsia="zh-CN"/>
              </w:rPr>
              <w:t>）</w:t>
            </w:r>
          </w:p>
          <w:p w14:paraId="3579361E">
            <w:pPr>
              <w:numPr>
                <w:ilvl w:val="0"/>
                <w:numId w:val="0"/>
              </w:numPr>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因此，本项目建设符合国家和地方产业政策要求</w:t>
            </w:r>
            <w:r>
              <w:rPr>
                <w:rFonts w:hint="eastAsia" w:ascii="Times New Roman" w:hAnsi="Times New Roman" w:eastAsia="宋体" w:cs="Times New Roman"/>
                <w:color w:val="auto"/>
                <w:sz w:val="24"/>
                <w:lang w:val="en-US" w:eastAsia="zh-CN"/>
              </w:rPr>
              <w:t>。</w:t>
            </w:r>
          </w:p>
          <w:p w14:paraId="16E86D0A">
            <w:pPr>
              <w:numPr>
                <w:ilvl w:val="0"/>
                <w:numId w:val="0"/>
              </w:numPr>
              <w:spacing w:line="360" w:lineRule="auto"/>
              <w:rPr>
                <w:rFonts w:eastAsia="宋体"/>
                <w:b/>
                <w:bCs/>
                <w:color w:val="auto"/>
                <w:sz w:val="24"/>
              </w:rPr>
            </w:pPr>
            <w:r>
              <w:rPr>
                <w:b/>
                <w:bCs/>
                <w:color w:val="auto"/>
                <w:sz w:val="24"/>
              </w:rPr>
              <w:t>2、</w:t>
            </w:r>
            <w:r>
              <w:rPr>
                <w:rFonts w:eastAsia="宋体"/>
                <w:b/>
                <w:bCs/>
                <w:color w:val="auto"/>
                <w:sz w:val="24"/>
              </w:rPr>
              <w:t>选址合理性</w:t>
            </w:r>
          </w:p>
          <w:p w14:paraId="31C5C2AD">
            <w:pPr>
              <w:numPr>
                <w:ilvl w:val="0"/>
                <w:numId w:val="0"/>
              </w:numPr>
              <w:spacing w:line="360" w:lineRule="auto"/>
              <w:ind w:firstLine="480" w:firstLineChars="200"/>
              <w:rPr>
                <w:rFonts w:hint="default" w:ascii="Times New Roman" w:hAnsi="Times New Roman" w:cs="Times New Roman"/>
                <w:b w:val="0"/>
                <w:bCs/>
                <w:color w:val="auto"/>
                <w:sz w:val="24"/>
                <w:lang w:val="en-US"/>
              </w:rPr>
            </w:pPr>
            <w:r>
              <w:rPr>
                <w:rFonts w:hint="default" w:ascii="Times New Roman" w:hAnsi="Times New Roman" w:cs="Times New Roman"/>
                <w:b w:val="0"/>
                <w:bCs w:val="0"/>
                <w:color w:val="auto"/>
                <w:sz w:val="24"/>
                <w:szCs w:val="24"/>
                <w:lang w:val="en-US" w:eastAsia="zh-CN"/>
              </w:rPr>
              <w:t>本项目位于</w:t>
            </w:r>
            <w:r>
              <w:rPr>
                <w:rFonts w:hint="eastAsia" w:ascii="Times New Roman" w:hAnsi="Times New Roman" w:eastAsia="宋体" w:cs="Times New Roman"/>
                <w:color w:val="auto"/>
                <w:sz w:val="24"/>
                <w:highlight w:val="none"/>
                <w:lang w:val="en-US" w:eastAsia="zh-CN"/>
              </w:rPr>
              <w:t>陕西省西咸新区泾河新城工业密集区永乐园区南北大道23号</w:t>
            </w:r>
            <w:r>
              <w:rPr>
                <w:rFonts w:hint="default" w:ascii="Times New Roman" w:hAnsi="Times New Roman" w:cs="Times New Roman"/>
                <w:b w:val="0"/>
                <w:bCs w:val="0"/>
                <w:color w:val="auto"/>
                <w:sz w:val="24"/>
                <w:szCs w:val="24"/>
                <w:lang w:val="en-US" w:eastAsia="zh-CN"/>
              </w:rPr>
              <w:t>，租用</w:t>
            </w:r>
            <w:r>
              <w:rPr>
                <w:rFonts w:hint="eastAsia" w:ascii="Times New Roman" w:hAnsi="Times New Roman" w:cs="Times New Roman"/>
                <w:b w:val="0"/>
                <w:bCs w:val="0"/>
                <w:color w:val="auto"/>
                <w:sz w:val="24"/>
                <w:szCs w:val="24"/>
                <w:lang w:val="en-US" w:eastAsia="zh-CN"/>
              </w:rPr>
              <w:t>5号</w:t>
            </w:r>
            <w:r>
              <w:rPr>
                <w:rFonts w:hint="default" w:ascii="Times New Roman" w:hAnsi="Times New Roman" w:cs="Times New Roman"/>
                <w:b w:val="0"/>
                <w:bCs w:val="0"/>
                <w:color w:val="auto"/>
                <w:sz w:val="24"/>
                <w:szCs w:val="24"/>
                <w:lang w:val="en-US" w:eastAsia="zh-CN"/>
              </w:rPr>
              <w:t>厂房</w:t>
            </w:r>
            <w:r>
              <w:rPr>
                <w:rFonts w:hint="eastAsia" w:ascii="Times New Roman" w:hAnsi="Times New Roman" w:cs="Times New Roman"/>
                <w:b w:val="0"/>
                <w:bCs w:val="0"/>
                <w:color w:val="auto"/>
                <w:sz w:val="24"/>
                <w:szCs w:val="24"/>
                <w:lang w:val="en-US" w:eastAsia="zh-CN"/>
              </w:rPr>
              <w:t>进行生产建设</w:t>
            </w:r>
            <w:r>
              <w:rPr>
                <w:rFonts w:hint="default" w:ascii="Times New Roman" w:hAnsi="Times New Roman" w:cs="Times New Roman"/>
                <w:b w:val="0"/>
                <w:bCs w:val="0"/>
                <w:color w:val="auto"/>
                <w:sz w:val="24"/>
                <w:szCs w:val="24"/>
                <w:lang w:val="en-US" w:eastAsia="zh-CN"/>
              </w:rPr>
              <w:t>。</w:t>
            </w:r>
            <w:r>
              <w:rPr>
                <w:rFonts w:hint="eastAsia" w:cs="Times New Roman"/>
                <w:b w:val="0"/>
                <w:bCs w:val="0"/>
                <w:color w:val="auto"/>
                <w:sz w:val="24"/>
                <w:szCs w:val="24"/>
                <w:lang w:val="en-US" w:eastAsia="zh-CN"/>
              </w:rPr>
              <w:t xml:space="preserve"> 根据西咸新区详细规划管控一张图公示，本项目所在地为工业用地。                                      </w:t>
            </w:r>
          </w:p>
          <w:p w14:paraId="4CF244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lang w:val="en-US" w:eastAsia="zh-CN"/>
              </w:rPr>
              <w:t>根据现场踏勘，本项目所在</w:t>
            </w:r>
            <w:r>
              <w:rPr>
                <w:rFonts w:hint="eastAsia" w:ascii="Times New Roman" w:hAnsi="Times New Roman" w:cs="Times New Roman"/>
                <w:b w:val="0"/>
                <w:bCs w:val="0"/>
                <w:color w:val="auto"/>
                <w:sz w:val="24"/>
                <w:szCs w:val="24"/>
                <w:lang w:val="en-US" w:eastAsia="zh-CN"/>
              </w:rPr>
              <w:t>5号厂房</w:t>
            </w:r>
            <w:r>
              <w:rPr>
                <w:rFonts w:hint="default" w:ascii="Times New Roman" w:hAnsi="Times New Roman" w:cs="Times New Roman"/>
                <w:b w:val="0"/>
                <w:bCs w:val="0"/>
                <w:color w:val="auto"/>
                <w:sz w:val="24"/>
                <w:szCs w:val="24"/>
                <w:lang w:val="en-US" w:eastAsia="zh-CN"/>
              </w:rPr>
              <w:t>共</w:t>
            </w:r>
            <w:bookmarkStart w:id="16" w:name="_GoBack"/>
            <w:bookmarkEnd w:id="16"/>
            <w:r>
              <w:rPr>
                <w:rFonts w:hint="eastAsia"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层</w:t>
            </w:r>
            <w:r>
              <w:rPr>
                <w:rFonts w:hint="default" w:ascii="Times New Roman" w:hAnsi="Times New Roman" w:cs="Times New Roman"/>
                <w:b w:val="0"/>
                <w:bCs w:val="0"/>
                <w:color w:val="auto"/>
                <w:sz w:val="24"/>
                <w:szCs w:val="24"/>
                <w:highlight w:val="none"/>
                <w:lang w:val="en-US" w:eastAsia="zh-CN"/>
              </w:rPr>
              <w:t>，</w:t>
            </w:r>
            <w:r>
              <w:rPr>
                <w:rFonts w:hint="eastAsia" w:cs="Times New Roman"/>
                <w:b w:val="0"/>
                <w:bCs w:val="0"/>
                <w:color w:val="auto"/>
                <w:sz w:val="24"/>
                <w:szCs w:val="24"/>
                <w:highlight w:val="none"/>
                <w:lang w:val="en-US" w:eastAsia="zh-CN"/>
              </w:rPr>
              <w:t>厂房北侧为陕西晟泰机械制造有限公司，西侧为铁路，西北方向为永乐火车站，南侧为中国石油天然气股份有限公司陕西咸阳泾阳经营部、东侧为陕西明泽建设工程有限公司，</w:t>
            </w:r>
            <w:r>
              <w:rPr>
                <w:rFonts w:hint="default" w:ascii="Times New Roman" w:hAnsi="Times New Roman" w:cs="Times New Roman"/>
                <w:b w:val="0"/>
                <w:bCs w:val="0"/>
                <w:color w:val="auto"/>
                <w:sz w:val="24"/>
                <w:szCs w:val="24"/>
                <w:highlight w:val="none"/>
                <w:lang w:val="en-US" w:eastAsia="zh-CN"/>
              </w:rPr>
              <w:t>项目四邻关系图见附图2。</w:t>
            </w:r>
          </w:p>
          <w:p w14:paraId="3F9C73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项目所在地地理位置优越，交通便利，供水、供电、供气和通讯等基础配套设施完善，可以满足本项目建设及运营需要；项目周边500m范围内无集中式饮用水水源地、自然保护区、风景名胜区等特殊环境保护目标，也无环境保护方面制约因素。本项目实施后，污染物产生量较小，在落实环评提出的各项污染治理措施后，各污染物均可做到达标排放，对周围环境影响较小。</w:t>
            </w:r>
          </w:p>
          <w:p w14:paraId="144B0E9A">
            <w:pPr>
              <w:numPr>
                <w:ilvl w:val="0"/>
                <w:numId w:val="0"/>
              </w:numPr>
              <w:spacing w:line="360" w:lineRule="auto"/>
              <w:ind w:leftChars="0" w:firstLine="480" w:firstLineChars="200"/>
              <w:rPr>
                <w:rFonts w:hint="eastAsia"/>
                <w:color w:val="auto"/>
                <w:sz w:val="24"/>
              </w:rPr>
            </w:pPr>
            <w:r>
              <w:rPr>
                <w:rFonts w:hint="default" w:ascii="Times New Roman" w:hAnsi="Times New Roman" w:cs="Times New Roman"/>
                <w:b w:val="0"/>
                <w:bCs w:val="0"/>
                <w:color w:val="auto"/>
                <w:sz w:val="24"/>
                <w:szCs w:val="24"/>
                <w:lang w:val="en-US" w:eastAsia="zh-CN"/>
              </w:rPr>
              <w:t>综上，从环境影响的角度分析，项目选址合理。</w:t>
            </w:r>
          </w:p>
          <w:p w14:paraId="2FF2968C">
            <w:pPr>
              <w:spacing w:line="360" w:lineRule="auto"/>
              <w:rPr>
                <w:b/>
                <w:bCs/>
                <w:color w:val="auto"/>
                <w:sz w:val="24"/>
              </w:rPr>
            </w:pPr>
            <w:r>
              <w:rPr>
                <w:rFonts w:hint="eastAsia"/>
                <w:b/>
                <w:bCs/>
                <w:color w:val="auto"/>
                <w:sz w:val="24"/>
              </w:rPr>
              <w:t>3、</w:t>
            </w:r>
            <w:r>
              <w:rPr>
                <w:b/>
                <w:bCs/>
                <w:color w:val="auto"/>
                <w:sz w:val="24"/>
              </w:rPr>
              <w:t>本项目与“三线一单”相符性分析</w:t>
            </w:r>
          </w:p>
          <w:p w14:paraId="338330B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lang w:val="en-US" w:eastAsia="zh-CN"/>
              </w:rPr>
              <w:t>根据</w:t>
            </w:r>
            <w:r>
              <w:rPr>
                <w:rFonts w:hint="default" w:ascii="Times New Roman" w:hAnsi="Times New Roman" w:cs="Times New Roman"/>
                <w:color w:val="auto"/>
                <w:sz w:val="24"/>
                <w:lang w:eastAsia="zh-CN"/>
              </w:rPr>
              <w:t>《陕西省人民政府关于加快实施“三线一单”生态环境分区管控的意见》（陕政发</w:t>
            </w:r>
            <w:r>
              <w:rPr>
                <w:rFonts w:hint="default" w:ascii="Times New Roman" w:hAnsi="Times New Roman" w:cs="Times New Roman"/>
                <w:color w:val="auto"/>
                <w:sz w:val="24"/>
                <w:lang w:val="en-US" w:eastAsia="zh-CN"/>
              </w:rPr>
              <w:t>[2020]11号</w:t>
            </w:r>
            <w:r>
              <w:rPr>
                <w:rFonts w:hint="default" w:ascii="Times New Roman" w:hAnsi="Times New Roman" w:cs="Times New Roman"/>
                <w:color w:val="auto"/>
                <w:sz w:val="24"/>
                <w:lang w:eastAsia="zh-CN"/>
              </w:rPr>
              <w:t>）、</w:t>
            </w:r>
            <w:r>
              <w:rPr>
                <w:rFonts w:hint="default" w:ascii="Times New Roman" w:hAnsi="Times New Roman" w:eastAsia="宋体" w:cs="Times New Roman"/>
                <w:color w:val="auto"/>
                <w:sz w:val="24"/>
                <w:szCs w:val="24"/>
                <w:highlight w:val="none"/>
              </w:rPr>
              <w:t>西安市生态环境保护委员会办公室关于印发《2023年西安市生态环境分区管控调整方案》的通知</w:t>
            </w:r>
            <w:r>
              <w:rPr>
                <w:rFonts w:hint="default" w:ascii="Times New Roman" w:hAnsi="Times New Roman" w:eastAsia="宋体" w:cs="Times New Roman"/>
                <w:color w:val="auto"/>
                <w:sz w:val="24"/>
                <w:highlight w:val="none"/>
                <w:lang w:val="en-US" w:eastAsia="zh-CN"/>
              </w:rPr>
              <w:t>（市生态委办发〔2024〕16号）</w:t>
            </w:r>
            <w:r>
              <w:rPr>
                <w:rFonts w:hint="default" w:ascii="Times New Roman" w:hAnsi="Times New Roman" w:cs="Times New Roman"/>
                <w:color w:val="auto"/>
                <w:sz w:val="24"/>
                <w:highlight w:val="none"/>
                <w:lang w:eastAsia="zh-CN"/>
              </w:rPr>
              <w:t>以及《陕西省“三线一单”生态环境分区管控应用技术指南：环境影响评价（试行）》（陕环办发</w:t>
            </w:r>
            <w:r>
              <w:rPr>
                <w:rFonts w:hint="default" w:ascii="Times New Roman" w:hAnsi="Times New Roman" w:cs="Times New Roman"/>
                <w:color w:val="auto"/>
                <w:sz w:val="24"/>
                <w:highlight w:val="none"/>
                <w:lang w:val="en-US" w:eastAsia="zh-CN"/>
              </w:rPr>
              <w:t>[2022]76号</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w:t>
            </w:r>
            <w:r>
              <w:rPr>
                <w:rFonts w:ascii="宋体" w:hAnsi="宋体" w:eastAsia="宋体" w:cs="宋体"/>
                <w:color w:val="auto"/>
                <w:sz w:val="24"/>
                <w:szCs w:val="24"/>
                <w:highlight w:val="none"/>
              </w:rPr>
              <w:t>通</w:t>
            </w:r>
            <w:r>
              <w:rPr>
                <w:rFonts w:ascii="宋体" w:hAnsi="宋体" w:eastAsia="宋体" w:cs="宋体"/>
                <w:color w:val="auto"/>
                <w:sz w:val="24"/>
                <w:szCs w:val="24"/>
              </w:rPr>
              <w:t>过</w:t>
            </w:r>
            <w:r>
              <w:rPr>
                <w:rFonts w:hint="eastAsia" w:ascii="宋体" w:hAnsi="宋体" w:cs="宋体"/>
                <w:color w:val="auto"/>
                <w:sz w:val="24"/>
                <w:szCs w:val="24"/>
                <w:lang w:eastAsia="zh-CN"/>
              </w:rPr>
              <w:t>对比</w:t>
            </w:r>
            <w:r>
              <w:rPr>
                <w:rFonts w:ascii="宋体" w:hAnsi="宋体" w:eastAsia="宋体" w:cs="宋体"/>
                <w:color w:val="auto"/>
                <w:sz w:val="24"/>
                <w:szCs w:val="24"/>
              </w:rPr>
              <w:t>陕西省生态环境厅“三线一单”数据应用系统平台</w:t>
            </w:r>
            <w:r>
              <w:rPr>
                <w:rFonts w:hint="eastAsia" w:ascii="宋体" w:hAnsi="宋体" w:eastAsia="宋体" w:cs="宋体"/>
                <w:color w:val="auto"/>
                <w:sz w:val="24"/>
                <w:szCs w:val="24"/>
                <w:lang w:eastAsia="zh-CN"/>
              </w:rPr>
              <w:t>，</w:t>
            </w:r>
            <w:r>
              <w:rPr>
                <w:rFonts w:hint="default" w:ascii="Times New Roman" w:hAnsi="Times New Roman" w:cs="Times New Roman"/>
                <w:color w:val="auto"/>
                <w:sz w:val="24"/>
                <w:szCs w:val="24"/>
              </w:rPr>
              <w:t>本项目“三线一单”符合性分析表见表</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w:t>
            </w:r>
          </w:p>
          <w:p w14:paraId="4805E6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2" w:firstLineChars="200"/>
              <w:jc w:val="center"/>
              <w:textAlignment w:val="auto"/>
              <w:rPr>
                <w:rFonts w:hint="default" w:ascii="Times New Roman" w:hAnsi="Times New Roman" w:cs="Times New Roman" w:eastAsiaTheme="majorEastAsia"/>
                <w:b/>
                <w:color w:val="auto"/>
              </w:rPr>
            </w:pPr>
            <w:r>
              <w:rPr>
                <w:rFonts w:hint="default" w:ascii="Times New Roman" w:hAnsi="Times New Roman" w:cs="Times New Roman" w:eastAsiaTheme="majorEastAsia"/>
                <w:b/>
                <w:bCs/>
                <w:color w:val="auto"/>
                <w:lang w:val="en-US" w:eastAsia="zh-CN"/>
              </w:rPr>
              <w:t>表1-2</w:t>
            </w:r>
            <w:r>
              <w:rPr>
                <w:rFonts w:hint="default" w:ascii="Times New Roman" w:hAnsi="Times New Roman" w:cs="Times New Roman" w:eastAsiaTheme="majorEastAsia"/>
                <w:b/>
                <w:bCs/>
                <w:color w:val="auto"/>
              </w:rPr>
              <w:t xml:space="preserve">  本</w:t>
            </w:r>
            <w:r>
              <w:rPr>
                <w:rFonts w:hint="default" w:ascii="Times New Roman" w:hAnsi="Times New Roman" w:cs="Times New Roman" w:eastAsiaTheme="majorEastAsia"/>
                <w:b/>
                <w:color w:val="auto"/>
              </w:rPr>
              <w:t>项目与</w:t>
            </w:r>
            <w:r>
              <w:rPr>
                <w:rFonts w:hint="default" w:ascii="Times New Roman" w:hAnsi="Times New Roman" w:cs="Times New Roman" w:eastAsiaTheme="majorEastAsia"/>
                <w:b/>
                <w:color w:val="auto"/>
                <w:lang w:val="en-GB"/>
              </w:rPr>
              <w:t>“三线一单”</w:t>
            </w:r>
            <w:r>
              <w:rPr>
                <w:rFonts w:hint="default" w:ascii="Times New Roman" w:hAnsi="Times New Roman" w:cs="Times New Roman" w:eastAsiaTheme="majorEastAsia"/>
                <w:b/>
                <w:color w:val="auto"/>
              </w:rPr>
              <w:t>的符合性</w:t>
            </w:r>
          </w:p>
          <w:tbl>
            <w:tblPr>
              <w:tblStyle w:val="26"/>
              <w:tblW w:w="7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5277"/>
              <w:gridCol w:w="1149"/>
            </w:tblGrid>
            <w:tr w14:paraId="50413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40" w:type="dxa"/>
                  <w:gridSpan w:val="2"/>
                  <w:vAlign w:val="center"/>
                </w:tcPr>
                <w:p w14:paraId="4146E122">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b/>
                      <w:bCs/>
                      <w:color w:val="auto"/>
                      <w:spacing w:val="-6"/>
                      <w:lang w:eastAsia="zh-CN"/>
                    </w:rPr>
                  </w:pPr>
                  <w:r>
                    <w:rPr>
                      <w:rFonts w:hint="default" w:ascii="Times New Roman" w:hAnsi="Times New Roman" w:cs="Times New Roman"/>
                      <w:b/>
                      <w:bCs/>
                      <w:color w:val="auto"/>
                      <w:spacing w:val="-6"/>
                      <w:lang w:eastAsia="zh-CN"/>
                    </w:rPr>
                    <w:t>“三线一单”</w:t>
                  </w:r>
                </w:p>
              </w:tc>
              <w:tc>
                <w:tcPr>
                  <w:tcW w:w="1149" w:type="dxa"/>
                  <w:vAlign w:val="center"/>
                </w:tcPr>
                <w:p w14:paraId="10D18B34">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b/>
                      <w:bCs/>
                      <w:color w:val="auto"/>
                      <w:spacing w:val="-6"/>
                      <w:lang w:eastAsia="zh-CN"/>
                    </w:rPr>
                  </w:pPr>
                  <w:r>
                    <w:rPr>
                      <w:rFonts w:hint="default" w:ascii="Times New Roman" w:hAnsi="Times New Roman" w:cs="Times New Roman"/>
                      <w:b/>
                      <w:bCs/>
                      <w:color w:val="auto"/>
                      <w:spacing w:val="-6"/>
                      <w:lang w:eastAsia="zh-CN"/>
                    </w:rPr>
                    <w:t>符合性分析</w:t>
                  </w:r>
                </w:p>
              </w:tc>
            </w:tr>
            <w:tr w14:paraId="10CFA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3" w:type="dxa"/>
                  <w:shd w:val="clear" w:color="auto" w:fill="auto"/>
                  <w:vAlign w:val="center"/>
                </w:tcPr>
                <w:p w14:paraId="37497900">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rPr>
                    <w:t>生态保护红线</w:t>
                  </w:r>
                </w:p>
              </w:tc>
              <w:tc>
                <w:tcPr>
                  <w:tcW w:w="5277" w:type="dxa"/>
                  <w:shd w:val="clear" w:color="auto" w:fill="auto"/>
                  <w:vAlign w:val="center"/>
                </w:tcPr>
                <w:p w14:paraId="3000DF4E">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项目位于陕西省西咸新区泾河新城工业密集区永乐园区南北大道23号，</w:t>
                  </w:r>
                  <w:r>
                    <w:rPr>
                      <w:rFonts w:hint="default" w:ascii="Times New Roman" w:hAnsi="Times New Roman" w:cs="Times New Roman" w:eastAsiaTheme="minorEastAsia"/>
                      <w:color w:val="auto"/>
                      <w:sz w:val="21"/>
                      <w:szCs w:val="21"/>
                    </w:rPr>
                    <w:t>项目地附近无自然保护区、风景名胜区、湿地、饮用水源地等各类保护区，项目</w:t>
                  </w:r>
                  <w:r>
                    <w:rPr>
                      <w:rFonts w:hint="default" w:ascii="Times New Roman" w:hAnsi="Times New Roman" w:cs="Times New Roman" w:eastAsiaTheme="minorEastAsia"/>
                      <w:color w:val="auto"/>
                      <w:sz w:val="21"/>
                      <w:szCs w:val="21"/>
                      <w:lang w:val="en-US" w:eastAsia="zh-CN"/>
                    </w:rPr>
                    <w:t>地</w:t>
                  </w:r>
                  <w:r>
                    <w:rPr>
                      <w:rFonts w:hint="default" w:ascii="Times New Roman" w:hAnsi="Times New Roman" w:cs="Times New Roman" w:eastAsiaTheme="minorEastAsia"/>
                      <w:color w:val="auto"/>
                      <w:sz w:val="21"/>
                      <w:szCs w:val="21"/>
                    </w:rPr>
                    <w:t>不在生态保护红线范围内。</w:t>
                  </w:r>
                </w:p>
              </w:tc>
              <w:tc>
                <w:tcPr>
                  <w:tcW w:w="1149" w:type="dxa"/>
                  <w:shd w:val="clear" w:color="auto" w:fill="auto"/>
                  <w:vAlign w:val="center"/>
                </w:tcPr>
                <w:p w14:paraId="14132173">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70924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763" w:type="dxa"/>
                  <w:shd w:val="clear" w:color="auto" w:fill="auto"/>
                  <w:vAlign w:val="center"/>
                </w:tcPr>
                <w:p w14:paraId="5EBABB11">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rPr>
                    <w:t>环境质量底线</w:t>
                  </w:r>
                </w:p>
              </w:tc>
              <w:tc>
                <w:tcPr>
                  <w:tcW w:w="5277" w:type="dxa"/>
                  <w:shd w:val="clear" w:color="auto" w:fill="auto"/>
                  <w:vAlign w:val="center"/>
                </w:tcPr>
                <w:p w14:paraId="27DE1C3A">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项目所在地声环境质量满足相应环境功能区划要求；</w:t>
                  </w:r>
                  <w:r>
                    <w:rPr>
                      <w:rFonts w:hint="default" w:ascii="Times New Roman" w:hAnsi="Times New Roman" w:cs="Times New Roman" w:eastAsiaTheme="minorEastAsia"/>
                      <w:color w:val="auto"/>
                      <w:szCs w:val="21"/>
                      <w:lang w:val="en-US" w:eastAsia="zh-CN"/>
                    </w:rPr>
                    <w:t>生活污水排入</w:t>
                  </w:r>
                  <w:r>
                    <w:rPr>
                      <w:rFonts w:hint="default" w:ascii="Times New Roman" w:hAnsi="Times New Roman" w:cs="Times New Roman" w:eastAsiaTheme="minorEastAsia"/>
                      <w:color w:val="auto"/>
                      <w:szCs w:val="21"/>
                      <w:lang w:val="zh-CN" w:eastAsia="zh-CN"/>
                    </w:rPr>
                    <w:t>厂区化粪池处理，定期清掏，用于附近农田施肥，对水环境影响较小，满足水环境质量要求；本项目主要污染物为非甲烷总烃，通过合理的治理后，不会对区域环境质量造成明显影响。</w:t>
                  </w:r>
                </w:p>
              </w:tc>
              <w:tc>
                <w:tcPr>
                  <w:tcW w:w="1149" w:type="dxa"/>
                  <w:shd w:val="clear" w:color="auto" w:fill="auto"/>
                  <w:vAlign w:val="center"/>
                </w:tcPr>
                <w:p w14:paraId="4685A6FE">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54E76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763" w:type="dxa"/>
                  <w:shd w:val="clear" w:color="auto" w:fill="auto"/>
                  <w:vAlign w:val="center"/>
                </w:tcPr>
                <w:p w14:paraId="6C477EB8">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lang w:val="en-US" w:eastAsia="zh-CN" w:bidi="ar-SA"/>
                    </w:rPr>
                  </w:pPr>
                  <w:r>
                    <w:rPr>
                      <w:rFonts w:hint="default" w:ascii="Times New Roman" w:hAnsi="Times New Roman" w:cs="Times New Roman" w:eastAsiaTheme="minorEastAsia"/>
                      <w:color w:val="auto"/>
                      <w:spacing w:val="-6"/>
                    </w:rPr>
                    <w:t>资源利用上线</w:t>
                  </w:r>
                </w:p>
              </w:tc>
              <w:tc>
                <w:tcPr>
                  <w:tcW w:w="5277" w:type="dxa"/>
                  <w:shd w:val="clear" w:color="auto" w:fill="auto"/>
                  <w:vAlign w:val="center"/>
                </w:tcPr>
                <w:p w14:paraId="57AE49BA">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本项目主要能耗为水、电，项目所在区域电能和水资源供应充足。项目资源利用量相对区域资源利用总量占比较小，通过内部管理、设备选择、原材料的选用及管理、污染治理等多方面采取合理可行的措施，以"节能、降耗、减污"为目标，有效控制污染，不触及资源利用上线。</w:t>
                  </w:r>
                </w:p>
              </w:tc>
              <w:tc>
                <w:tcPr>
                  <w:tcW w:w="1149" w:type="dxa"/>
                  <w:shd w:val="clear" w:color="auto" w:fill="auto"/>
                  <w:vAlign w:val="center"/>
                </w:tcPr>
                <w:p w14:paraId="734AE8BC">
                  <w:pPr>
                    <w:keepNext w:val="0"/>
                    <w:keepLines w:val="0"/>
                    <w:pageBreakBefore w:val="0"/>
                    <w:widowControl w:val="0"/>
                    <w:kinsoku/>
                    <w:wordWrap/>
                    <w:overflowPunct/>
                    <w:topLinePunct w:val="0"/>
                    <w:autoSpaceDE/>
                    <w:autoSpaceDN/>
                    <w:bidi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4"/>
                      <w:highlight w:val="none"/>
                      <w:lang w:val="en-US" w:eastAsia="zh-CN" w:bidi="ar-SA"/>
                    </w:rPr>
                  </w:pPr>
                  <w:r>
                    <w:rPr>
                      <w:rFonts w:hint="default" w:ascii="Times New Roman" w:hAnsi="Times New Roman" w:cs="Times New Roman" w:eastAsiaTheme="minorEastAsia"/>
                      <w:color w:val="auto"/>
                      <w:spacing w:val="-6"/>
                      <w:highlight w:val="none"/>
                      <w:lang w:eastAsia="zh-CN"/>
                    </w:rPr>
                    <w:t>符合</w:t>
                  </w:r>
                </w:p>
              </w:tc>
            </w:tr>
            <w:tr w14:paraId="5689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trPr>
              <w:tc>
                <w:tcPr>
                  <w:tcW w:w="763" w:type="dxa"/>
                  <w:shd w:val="clear" w:color="auto" w:fill="auto"/>
                  <w:vAlign w:val="center"/>
                </w:tcPr>
                <w:p w14:paraId="35262971">
                  <w:pPr>
                    <w:keepNext w:val="0"/>
                    <w:keepLines w:val="0"/>
                    <w:pageBreakBefore w:val="0"/>
                    <w:widowControl w:val="0"/>
                    <w:kinsoku/>
                    <w:wordWrap/>
                    <w:overflowPunct/>
                    <w:topLinePunct w:val="0"/>
                    <w:autoSpaceDE/>
                    <w:autoSpaceDN/>
                    <w:bidi w:val="0"/>
                    <w:adjustRightInd w:val="0"/>
                    <w:snapToGrid/>
                    <w:spacing w:line="264" w:lineRule="auto"/>
                    <w:ind w:firstLine="0" w:firstLineChars="0"/>
                    <w:jc w:val="center"/>
                    <w:textAlignment w:val="auto"/>
                    <w:rPr>
                      <w:rFonts w:hint="default" w:ascii="Times New Roman" w:hAnsi="Times New Roman" w:cs="Times New Roman" w:eastAsiaTheme="minorEastAsia"/>
                      <w:color w:val="auto"/>
                      <w:spacing w:val="-6"/>
                      <w:kern w:val="2"/>
                      <w:sz w:val="21"/>
                      <w:szCs w:val="21"/>
                      <w:lang w:val="en-US" w:eastAsia="zh-CN" w:bidi="ar-SA"/>
                    </w:rPr>
                  </w:pPr>
                  <w:r>
                    <w:rPr>
                      <w:rFonts w:hint="default" w:ascii="Times New Roman" w:hAnsi="Times New Roman" w:cs="Times New Roman" w:eastAsiaTheme="minorEastAsia"/>
                      <w:color w:val="auto"/>
                      <w:spacing w:val="-6"/>
                      <w:lang w:eastAsia="zh-CN"/>
                    </w:rPr>
                    <w:t>生态环境准入清单</w:t>
                  </w:r>
                </w:p>
              </w:tc>
              <w:tc>
                <w:tcPr>
                  <w:tcW w:w="5277" w:type="dxa"/>
                  <w:shd w:val="clear" w:color="auto" w:fill="auto"/>
                  <w:vAlign w:val="center"/>
                </w:tcPr>
                <w:p w14:paraId="78B4C5C6">
                  <w:pPr>
                    <w:keepNext w:val="0"/>
                    <w:keepLines w:val="0"/>
                    <w:pageBreakBefore w:val="0"/>
                    <w:widowControl w:val="0"/>
                    <w:kinsoku/>
                    <w:wordWrap/>
                    <w:overflowPunct/>
                    <w:topLinePunct w:val="0"/>
                    <w:autoSpaceDE/>
                    <w:autoSpaceDN/>
                    <w:bidi w:val="0"/>
                    <w:snapToGrid/>
                    <w:spacing w:line="264" w:lineRule="auto"/>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Cs w:val="21"/>
                      <w:lang w:val="zh-CN" w:eastAsia="zh-CN"/>
                    </w:rPr>
                    <w:t>项目不属于</w:t>
                  </w:r>
                  <w:r>
                    <w:rPr>
                      <w:rFonts w:hint="default" w:ascii="Times New Roman" w:hAnsi="Times New Roman" w:cs="Times New Roman" w:eastAsiaTheme="minorEastAsia"/>
                      <w:color w:val="auto"/>
                      <w:szCs w:val="21"/>
                      <w:lang w:val="en-US" w:eastAsia="zh-CN"/>
                    </w:rPr>
                    <w:t>《产业结构调整指导目录（202</w:t>
                  </w:r>
                  <w:r>
                    <w:rPr>
                      <w:rFonts w:hint="eastAsia" w:cs="Times New Roman" w:eastAsiaTheme="minorEastAsia"/>
                      <w:color w:val="auto"/>
                      <w:szCs w:val="21"/>
                      <w:lang w:val="en-US" w:eastAsia="zh-CN"/>
                    </w:rPr>
                    <w:t>4</w:t>
                  </w:r>
                  <w:r>
                    <w:rPr>
                      <w:rFonts w:hint="default" w:ascii="Times New Roman" w:hAnsi="Times New Roman" w:cs="Times New Roman" w:eastAsiaTheme="minorEastAsia"/>
                      <w:color w:val="auto"/>
                      <w:szCs w:val="21"/>
                      <w:lang w:val="en-US" w:eastAsia="zh-CN"/>
                    </w:rPr>
                    <w:t>年本）》中规定的鼓励类，限制类和淘汰类项目；经查阅，本项目不属于《市场准入负面清单（2025年版）》中禁止或许可准入类</w:t>
                  </w:r>
                  <w:r>
                    <w:rPr>
                      <w:rFonts w:hint="default" w:ascii="Times New Roman" w:hAnsi="Times New Roman" w:cs="Times New Roman" w:eastAsiaTheme="minorEastAsia"/>
                      <w:color w:val="auto"/>
                      <w:szCs w:val="21"/>
                      <w:lang w:val="zh-CN" w:eastAsia="zh-CN"/>
                    </w:rPr>
                    <w:t>。项目所在地不在《陕西省国家重点生态功能区产业准入负面清单(试行)》。</w:t>
                  </w:r>
                </w:p>
              </w:tc>
              <w:tc>
                <w:tcPr>
                  <w:tcW w:w="1149" w:type="dxa"/>
                  <w:shd w:val="clear" w:color="auto" w:fill="auto"/>
                  <w:vAlign w:val="center"/>
                </w:tcPr>
                <w:p w14:paraId="5E14CE12">
                  <w:pPr>
                    <w:keepNext w:val="0"/>
                    <w:keepLines w:val="0"/>
                    <w:pageBreakBefore w:val="0"/>
                    <w:widowControl w:val="0"/>
                    <w:kinsoku/>
                    <w:wordWrap/>
                    <w:overflowPunct/>
                    <w:topLinePunct w:val="0"/>
                    <w:autoSpaceDE/>
                    <w:autoSpaceDN/>
                    <w:bidi w:val="0"/>
                    <w:adjustRightInd w:val="0"/>
                    <w:snapToGrid/>
                    <w:spacing w:line="264" w:lineRule="auto"/>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符合</w:t>
                  </w:r>
                </w:p>
              </w:tc>
            </w:tr>
          </w:tbl>
          <w:p w14:paraId="5F8148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lang w:eastAsia="zh-CN"/>
              </w:rPr>
            </w:pPr>
          </w:p>
          <w:p w14:paraId="762AF3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eastAsia="zh-CN"/>
              </w:rPr>
              <w:t>根据《陕西省“三线一单”生态环境分区管控应用技术指南：环境影响评价（试行）》，环评文件涉及“三线一单”生态环境分区管控符合性分析应采取“一图一表一说明”的表达方式，</w:t>
            </w:r>
            <w:r>
              <w:rPr>
                <w:rFonts w:hint="default" w:ascii="Times New Roman" w:hAnsi="Times New Roman" w:eastAsia="宋体" w:cs="Times New Roman"/>
                <w:color w:val="auto"/>
                <w:sz w:val="24"/>
                <w:lang w:val="en-US" w:eastAsia="zh-CN"/>
              </w:rPr>
              <w:t>对照分析结果，论证建设项目的符合性。</w:t>
            </w:r>
          </w:p>
          <w:p w14:paraId="10AE78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①一图：</w:t>
            </w:r>
          </w:p>
          <w:p w14:paraId="7F558672">
            <w:pPr>
              <w:numPr>
                <w:ilvl w:val="0"/>
                <w:numId w:val="0"/>
              </w:numPr>
              <w:spacing w:line="360" w:lineRule="auto"/>
              <w:ind w:firstLine="480" w:firstLineChars="200"/>
              <w:rPr>
                <w:rFonts w:hint="eastAsia" w:ascii="Times New Roman" w:hAnsi="Times New Roman" w:cs="Times New Roman"/>
                <w:b w:val="0"/>
                <w:bCs w:val="0"/>
                <w:color w:val="auto"/>
                <w:sz w:val="24"/>
                <w:szCs w:val="24"/>
                <w:highlight w:val="green"/>
                <w:lang w:val="en-US" w:eastAsia="zh-CN"/>
              </w:rPr>
            </w:pPr>
            <w:r>
              <w:rPr>
                <w:rFonts w:hint="default" w:ascii="Times New Roman" w:hAnsi="Times New Roman" w:eastAsia="宋体" w:cs="Times New Roman"/>
                <w:color w:val="auto"/>
                <w:sz w:val="24"/>
                <w:lang w:val="en-US" w:eastAsia="zh-CN"/>
              </w:rPr>
              <w:t>根据西安市生态环境保护委员会办公室关于印发《2023年西安市生态环境分区管控调整方案》的通知（市生态委办发〔2024〕16号），本项</w:t>
            </w:r>
            <w:r>
              <w:rPr>
                <w:rFonts w:hint="default" w:ascii="Times New Roman" w:hAnsi="Times New Roman" w:eastAsia="宋体" w:cs="Times New Roman"/>
                <w:color w:val="auto"/>
                <w:sz w:val="24"/>
                <w:highlight w:val="none"/>
                <w:lang w:val="en-US" w:eastAsia="zh-CN"/>
              </w:rPr>
              <w:t>目位于重点管控单元，本项目与西安市生态环境分区管控的</w:t>
            </w:r>
            <w:r>
              <w:rPr>
                <w:rFonts w:hint="default" w:ascii="Times New Roman" w:hAnsi="Times New Roman" w:cs="Times New Roman"/>
                <w:b w:val="0"/>
                <w:bCs w:val="0"/>
                <w:color w:val="auto"/>
                <w:sz w:val="24"/>
                <w:szCs w:val="24"/>
                <w:highlight w:val="none"/>
                <w:lang w:val="en-US" w:eastAsia="zh-CN"/>
              </w:rPr>
              <w:t>位置关系见图1-1</w:t>
            </w:r>
            <w:r>
              <w:rPr>
                <w:rFonts w:hint="eastAsia" w:ascii="Times New Roman" w:hAnsi="Times New Roman" w:cs="Times New Roman"/>
                <w:b w:val="0"/>
                <w:bCs w:val="0"/>
                <w:color w:val="auto"/>
                <w:sz w:val="24"/>
                <w:szCs w:val="24"/>
                <w:highlight w:val="none"/>
                <w:lang w:val="en-US" w:eastAsia="zh-CN"/>
              </w:rPr>
              <w:t>。</w:t>
            </w:r>
          </w:p>
          <w:p w14:paraId="2D51DB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②一表：</w:t>
            </w:r>
          </w:p>
          <w:p w14:paraId="13DD17A1">
            <w:pPr>
              <w:pStyle w:val="13"/>
              <w:numPr>
                <w:ilvl w:val="0"/>
                <w:numId w:val="0"/>
              </w:numPr>
              <w:spacing w:line="360" w:lineRule="auto"/>
              <w:ind w:firstLine="480" w:firstLineChars="200"/>
              <w:rPr>
                <w:rFonts w:hint="eastAsia" w:ascii="Times New Roman" w:hAnsi="Times New Roman" w:cs="Times New Roman"/>
                <w:b w:val="0"/>
                <w:bCs w:val="0"/>
                <w:color w:val="auto"/>
                <w:sz w:val="24"/>
                <w:szCs w:val="24"/>
                <w:highlight w:val="green"/>
                <w:lang w:val="en-US" w:eastAsia="zh-CN"/>
              </w:rPr>
            </w:pPr>
            <w:r>
              <w:rPr>
                <w:rFonts w:hint="default" w:ascii="Times New Roman" w:hAnsi="Times New Roman" w:eastAsia="宋体" w:cs="Times New Roman"/>
                <w:color w:val="auto"/>
                <w:kern w:val="2"/>
                <w:sz w:val="24"/>
                <w:szCs w:val="24"/>
                <w:lang w:val="en-US" w:eastAsia="zh-CN" w:bidi="ar-SA"/>
              </w:rPr>
              <w:t>根据《2023年西安市生态环境分区管控调整方案》（市生态委办发〔2024〕16号），本项目与西安市生态环境管控单元准入清单符合性分析见下表</w:t>
            </w:r>
            <w:r>
              <w:rPr>
                <w:rFonts w:hint="eastAsia" w:ascii="Times New Roman" w:hAnsi="Times New Roman" w:eastAsia="宋体" w:cs="Times New Roman"/>
                <w:color w:val="auto"/>
                <w:kern w:val="2"/>
                <w:sz w:val="24"/>
                <w:szCs w:val="24"/>
                <w:lang w:val="en-US" w:eastAsia="zh-CN" w:bidi="ar-SA"/>
              </w:rPr>
              <w:t>1-3</w:t>
            </w:r>
            <w:r>
              <w:rPr>
                <w:rFonts w:hint="default" w:ascii="Times New Roman" w:hAnsi="Times New Roman" w:eastAsia="宋体" w:cs="Times New Roman"/>
                <w:color w:val="auto"/>
                <w:kern w:val="2"/>
                <w:sz w:val="24"/>
                <w:szCs w:val="24"/>
                <w:lang w:val="en-US" w:eastAsia="zh-CN" w:bidi="ar-SA"/>
              </w:rPr>
              <w:t>。</w:t>
            </w:r>
          </w:p>
          <w:p w14:paraId="50671CA9">
            <w:pPr>
              <w:numPr>
                <w:ilvl w:val="0"/>
                <w:numId w:val="0"/>
              </w:numPr>
              <w:spacing w:line="360" w:lineRule="auto"/>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inline distT="0" distB="0" distL="114300" distR="114300">
                  <wp:extent cx="4524375" cy="6410325"/>
                  <wp:effectExtent l="0" t="0" r="9525" b="9525"/>
                  <wp:docPr id="26" name="图片 26" descr="冲突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冲突图"/>
                          <pic:cNvPicPr>
                            <a:picLocks noChangeAspect="1"/>
                          </pic:cNvPicPr>
                        </pic:nvPicPr>
                        <pic:blipFill>
                          <a:blip r:embed="rId8"/>
                          <a:stretch>
                            <a:fillRect/>
                          </a:stretch>
                        </pic:blipFill>
                        <pic:spPr>
                          <a:xfrm>
                            <a:off x="0" y="0"/>
                            <a:ext cx="4524375" cy="6410325"/>
                          </a:xfrm>
                          <a:prstGeom prst="rect">
                            <a:avLst/>
                          </a:prstGeom>
                        </pic:spPr>
                      </pic:pic>
                    </a:graphicData>
                  </a:graphic>
                </wp:inline>
              </w:drawing>
            </w:r>
          </w:p>
          <w:p w14:paraId="3F5F4C68">
            <w:pPr>
              <w:numPr>
                <w:ilvl w:val="0"/>
                <w:numId w:val="0"/>
              </w:numPr>
              <w:spacing w:line="360" w:lineRule="auto"/>
              <w:ind w:firstLine="422" w:firstLineChars="200"/>
              <w:jc w:val="center"/>
              <w:rPr>
                <w:rFonts w:hint="eastAsia" w:asciiTheme="majorEastAsia" w:hAnsiTheme="majorEastAsia" w:eastAsiaTheme="majorEastAsia" w:cstheme="majorEastAsia"/>
                <w:b/>
                <w:bCs/>
                <w:color w:val="auto"/>
                <w:lang w:val="en-US" w:eastAsia="zh-CN"/>
              </w:rPr>
            </w:pPr>
            <w:r>
              <w:rPr>
                <w:rFonts w:hint="default" w:ascii="Times New Roman" w:hAnsi="Times New Roman" w:cs="Times New Roman" w:eastAsiaTheme="majorEastAsia"/>
                <w:b/>
                <w:bCs/>
                <w:color w:val="auto"/>
                <w:lang w:val="en-US" w:eastAsia="zh-CN"/>
              </w:rPr>
              <w:t>图1-1 本项目与陕西省“三线一单”生态环境管控单元对照图</w:t>
            </w:r>
          </w:p>
          <w:p w14:paraId="6C3A41E6">
            <w:pPr>
              <w:autoSpaceDE w:val="0"/>
              <w:autoSpaceDN w:val="0"/>
              <w:adjustRightInd w:val="0"/>
              <w:snapToGrid w:val="0"/>
              <w:jc w:val="both"/>
              <w:rPr>
                <w:color w:val="auto"/>
                <w:kern w:val="0"/>
                <w:sz w:val="24"/>
              </w:rPr>
            </w:pPr>
          </w:p>
        </w:tc>
      </w:tr>
    </w:tbl>
    <w:p w14:paraId="00F15BEA">
      <w:pPr>
        <w:spacing w:line="360" w:lineRule="auto"/>
        <w:outlineLvl w:val="0"/>
        <w:rPr>
          <w:rFonts w:eastAsia="黑体"/>
          <w:color w:val="0000FF"/>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6"/>
        <w:tblW w:w="0" w:type="auto"/>
        <w:tblInd w:w="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13652"/>
      </w:tblGrid>
      <w:tr w14:paraId="717603A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8501" w:hRule="atLeast"/>
        </w:trPr>
        <w:tc>
          <w:tcPr>
            <w:tcW w:w="13652" w:type="dxa"/>
            <w:noWrap w:val="0"/>
            <w:vAlign w:val="top"/>
          </w:tcPr>
          <w:p w14:paraId="74BBC7F5">
            <w:pPr>
              <w:pStyle w:val="13"/>
              <w:numPr>
                <w:ilvl w:val="0"/>
                <w:numId w:val="0"/>
              </w:numPr>
              <w:spacing w:line="360" w:lineRule="auto"/>
              <w:ind w:firstLine="422" w:firstLineChars="200"/>
              <w:jc w:val="center"/>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000000"/>
                <w:sz w:val="21"/>
                <w:szCs w:val="21"/>
              </w:rPr>
              <mc:AlternateContent>
                <mc:Choice Requires="wps">
                  <w:drawing>
                    <wp:anchor distT="0" distB="0" distL="114300" distR="114300" simplePos="0" relativeHeight="251661312" behindDoc="0" locked="0" layoutInCell="1" allowOverlap="1">
                      <wp:simplePos x="0" y="0"/>
                      <wp:positionH relativeFrom="column">
                        <wp:posOffset>515620</wp:posOffset>
                      </wp:positionH>
                      <wp:positionV relativeFrom="paragraph">
                        <wp:posOffset>1424305</wp:posOffset>
                      </wp:positionV>
                      <wp:extent cx="914400" cy="609600"/>
                      <wp:effectExtent l="4445" t="4445" r="2433955" b="205105"/>
                      <wp:wrapNone/>
                      <wp:docPr id="13" name="线形标注 2 13"/>
                      <wp:cNvGraphicFramePr/>
                      <a:graphic xmlns:a="http://schemas.openxmlformats.org/drawingml/2006/main">
                        <a:graphicData uri="http://schemas.microsoft.com/office/word/2010/wordprocessingShape">
                          <wps:wsp>
                            <wps:cNvSpPr/>
                            <wps:spPr>
                              <a:xfrm>
                                <a:off x="0" y="0"/>
                                <a:ext cx="914400" cy="609600"/>
                              </a:xfrm>
                              <a:prstGeom prst="borderCallout2">
                                <a:avLst>
                                  <a:gd name="adj1" fmla="val 18769"/>
                                  <a:gd name="adj2" fmla="val 108407"/>
                                  <a:gd name="adj3" fmla="val 15940"/>
                                  <a:gd name="adj4" fmla="val 180139"/>
                                  <a:gd name="adj5" fmla="val 131875"/>
                                  <a:gd name="adj6" fmla="val 364513"/>
                                </a:avLst>
                              </a:prstGeom>
                              <a:solidFill>
                                <a:srgbClr val="FFFFFF"/>
                              </a:solidFill>
                              <a:ln w="9525" cap="flat" cmpd="sng">
                                <a:solidFill>
                                  <a:srgbClr val="000000"/>
                                </a:solidFill>
                                <a:prstDash val="solid"/>
                                <a:miter/>
                                <a:headEnd type="none" w="med" len="med"/>
                                <a:tailEnd type="none" w="med" len="med"/>
                              </a:ln>
                            </wps:spPr>
                            <wps:txbx>
                              <w:txbxContent>
                                <w:p w14:paraId="002B71D0">
                                  <w:pPr>
                                    <w:rPr>
                                      <w:rFonts w:hint="eastAsia" w:eastAsia="宋体"/>
                                      <w:lang w:val="en-US" w:eastAsia="zh-CN"/>
                                    </w:rPr>
                                  </w:pPr>
                                  <w:r>
                                    <w:rPr>
                                      <w:rFonts w:hint="eastAsia"/>
                                      <w:lang w:val="en-US" w:eastAsia="zh-CN"/>
                                    </w:rPr>
                                    <w:t>本项目</w:t>
                                  </w:r>
                                </w:p>
                              </w:txbxContent>
                            </wps:txbx>
                            <wps:bodyPr upright="1"/>
                          </wps:wsp>
                        </a:graphicData>
                      </a:graphic>
                    </wp:anchor>
                  </w:drawing>
                </mc:Choice>
                <mc:Fallback>
                  <w:pict>
                    <v:shape id="_x0000_s1026" o:spid="_x0000_s1026" o:spt="48" type="#_x0000_t48" style="position:absolute;left:0pt;margin-left:40.6pt;margin-top:112.15pt;height:48pt;width:72pt;z-index:251661312;mso-width-relative:page;mso-height-relative:page;" fillcolor="#FFFFFF" filled="t" stroked="t" coordsize="21600,21600" o:gfxdata="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NdR6OTZAAAACgEAAA8AAAAAAAAAAQAgAAAAIgAAAGRycy9kb3ducmV2LnhtbFBLAQIUABQA&#10;AAAIAIdO4kDzUT/+YQIAACEFAAAOAAAAAAAAAAEAIAAAACgBAABkcnMvZTJvRG9jLnhtbFBLBQYA&#10;AAAABgAGAFkBAAD7BQAAAAA=&#10;" adj="78735,28485,38910,3443,23416,4054">
                      <v:fill on="t" focussize="0,0"/>
                      <v:stroke color="#000000" joinstyle="miter"/>
                      <v:imagedata o:title=""/>
                      <o:lock v:ext="edit" aspectratio="f"/>
                      <v:textbox>
                        <w:txbxContent>
                          <w:p w14:paraId="002B71D0">
                            <w:pPr>
                              <w:rPr>
                                <w:rFonts w:hint="eastAsia" w:eastAsia="宋体"/>
                                <w:lang w:val="en-US" w:eastAsia="zh-CN"/>
                              </w:rPr>
                            </w:pPr>
                            <w:r>
                              <w:rPr>
                                <w:rFonts w:hint="eastAsia"/>
                                <w:lang w:val="en-US" w:eastAsia="zh-CN"/>
                              </w:rPr>
                              <w:t>本项目</w:t>
                            </w:r>
                          </w:p>
                        </w:txbxContent>
                      </v:textbox>
                    </v:shape>
                  </w:pict>
                </mc:Fallback>
              </mc:AlternateContent>
            </w:r>
            <w:r>
              <w:rPr>
                <w:rFonts w:hint="eastAsia" w:asciiTheme="majorEastAsia" w:hAnsiTheme="majorEastAsia" w:eastAsiaTheme="majorEastAsia" w:cstheme="majorEastAsia"/>
                <w:b/>
                <w:bCs/>
                <w:color w:val="000000"/>
                <w:sz w:val="21"/>
                <w:szCs w:val="21"/>
                <w:lang w:val="en-US" w:eastAsia="zh-CN"/>
              </w:rPr>
              <w:t>图1-2 本项目与西安市环境管控单元对照图</w:t>
            </w:r>
            <w:r>
              <w:rPr>
                <w:rFonts w:hint="eastAsia" w:asciiTheme="majorEastAsia" w:hAnsiTheme="majorEastAsia" w:eastAsiaTheme="majorEastAsia" w:cstheme="majorEastAsia"/>
                <w:b/>
                <w:bCs/>
                <w:color w:val="000000"/>
                <w:sz w:val="21"/>
                <w:szCs w:val="21"/>
              </w:rPr>
              <w:drawing>
                <wp:anchor distT="0" distB="0" distL="114300" distR="114300" simplePos="0" relativeHeight="251660288" behindDoc="0" locked="0" layoutInCell="1" allowOverlap="1">
                  <wp:simplePos x="0" y="0"/>
                  <wp:positionH relativeFrom="page">
                    <wp:posOffset>0</wp:posOffset>
                  </wp:positionH>
                  <wp:positionV relativeFrom="page">
                    <wp:posOffset>204470</wp:posOffset>
                  </wp:positionV>
                  <wp:extent cx="8589010" cy="4972685"/>
                  <wp:effectExtent l="0" t="0" r="2540" b="18415"/>
                  <wp:wrapSquare wrapText="bothSides"/>
                  <wp:docPr id="7" name="图片 1" descr="C:\Users\lenovo\AppData\Local\Temp\Rar$DIa0.832\31西安环境管控单元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C:\Users\lenovo\AppData\Local\Temp\Rar$DIa0.832\31西安环境管控单元图.jpg"/>
                          <pic:cNvPicPr>
                            <a:picLocks noChangeAspect="1"/>
                          </pic:cNvPicPr>
                        </pic:nvPicPr>
                        <pic:blipFill>
                          <a:blip r:embed="rId9"/>
                          <a:srcRect l="1596" t="977" r="1691" b="2592"/>
                          <a:stretch>
                            <a:fillRect/>
                          </a:stretch>
                        </pic:blipFill>
                        <pic:spPr>
                          <a:xfrm>
                            <a:off x="0" y="0"/>
                            <a:ext cx="8589010" cy="4972685"/>
                          </a:xfrm>
                          <a:prstGeom prst="rect">
                            <a:avLst/>
                          </a:prstGeom>
                          <a:noFill/>
                          <a:ln>
                            <a:noFill/>
                          </a:ln>
                        </pic:spPr>
                      </pic:pic>
                    </a:graphicData>
                  </a:graphic>
                </wp:anchor>
              </w:drawing>
            </w:r>
          </w:p>
          <w:p w14:paraId="4BE7BCAF">
            <w:pPr>
              <w:pStyle w:val="13"/>
              <w:numPr>
                <w:ilvl w:val="0"/>
                <w:numId w:val="0"/>
              </w:numPr>
              <w:spacing w:line="360" w:lineRule="auto"/>
              <w:ind w:firstLine="422" w:firstLineChars="200"/>
              <w:jc w:val="center"/>
              <w:rPr>
                <w:rFonts w:hint="eastAsia" w:asciiTheme="majorEastAsia" w:hAnsiTheme="majorEastAsia" w:eastAsiaTheme="majorEastAsia" w:cstheme="majorEastAsia"/>
                <w:b/>
                <w:bCs/>
                <w:color w:val="000000"/>
                <w:kern w:val="0"/>
                <w:sz w:val="21"/>
                <w:szCs w:val="21"/>
                <w:lang w:val="en-US" w:eastAsia="zh-CN" w:bidi="ar"/>
              </w:rPr>
            </w:pPr>
            <w:bookmarkStart w:id="3" w:name="_Toc28423"/>
            <w:r>
              <w:rPr>
                <w:rFonts w:hint="eastAsia" w:asciiTheme="majorEastAsia" w:hAnsiTheme="majorEastAsia" w:eastAsiaTheme="majorEastAsia" w:cstheme="majorEastAsia"/>
                <w:b/>
                <w:bCs/>
                <w:color w:val="000000"/>
                <w:kern w:val="0"/>
                <w:sz w:val="21"/>
                <w:szCs w:val="21"/>
                <w:lang w:val="en-US" w:eastAsia="zh-CN" w:bidi="ar"/>
              </w:rPr>
              <w:t>表1-3 本项目与西安市生态环境管控单元准入清单符合性分析</w:t>
            </w:r>
            <w:bookmarkEnd w:id="3"/>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771"/>
              <w:gridCol w:w="827"/>
              <w:gridCol w:w="6921"/>
              <w:gridCol w:w="916"/>
              <w:gridCol w:w="2267"/>
              <w:gridCol w:w="846"/>
            </w:tblGrid>
            <w:tr w14:paraId="287EB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tcBorders>
                    <w:tl2br w:val="nil"/>
                    <w:tr2bl w:val="nil"/>
                  </w:tcBorders>
                  <w:noWrap w:val="0"/>
                  <w:vAlign w:val="center"/>
                </w:tcPr>
                <w:p w14:paraId="611D42DD">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环境管控单元名称</w:t>
                  </w:r>
                </w:p>
              </w:tc>
              <w:tc>
                <w:tcPr>
                  <w:tcW w:w="287" w:type="pct"/>
                  <w:tcBorders>
                    <w:tl2br w:val="nil"/>
                    <w:tr2bl w:val="nil"/>
                  </w:tcBorders>
                  <w:noWrap w:val="0"/>
                  <w:vAlign w:val="center"/>
                </w:tcPr>
                <w:p w14:paraId="1C7B6EC1">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val="en-US" w:eastAsia="zh-CN"/>
                    </w:rPr>
                    <w:t>管控维度</w:t>
                  </w:r>
                </w:p>
              </w:tc>
              <w:tc>
                <w:tcPr>
                  <w:tcW w:w="2885" w:type="pct"/>
                  <w:gridSpan w:val="2"/>
                  <w:tcBorders>
                    <w:tl2br w:val="nil"/>
                    <w:tr2bl w:val="nil"/>
                  </w:tcBorders>
                  <w:noWrap w:val="0"/>
                  <w:vAlign w:val="center"/>
                </w:tcPr>
                <w:p w14:paraId="40742C50">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管控要求</w:t>
                  </w:r>
                </w:p>
              </w:tc>
              <w:tc>
                <w:tcPr>
                  <w:tcW w:w="341" w:type="pct"/>
                  <w:tcBorders>
                    <w:tl2br w:val="nil"/>
                    <w:tr2bl w:val="nil"/>
                  </w:tcBorders>
                  <w:noWrap w:val="0"/>
                  <w:vAlign w:val="center"/>
                </w:tcPr>
                <w:p w14:paraId="3306365F">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面积</w:t>
                  </w:r>
                </w:p>
                <w:p w14:paraId="0AFDE317">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/长度</w:t>
                  </w:r>
                </w:p>
              </w:tc>
              <w:tc>
                <w:tcPr>
                  <w:tcW w:w="844" w:type="pct"/>
                  <w:tcBorders>
                    <w:tl2br w:val="nil"/>
                    <w:tr2bl w:val="nil"/>
                  </w:tcBorders>
                  <w:noWrap w:val="0"/>
                  <w:vAlign w:val="center"/>
                </w:tcPr>
                <w:p w14:paraId="5F17EB6A">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val="en-US" w:eastAsia="zh-CN"/>
                    </w:rPr>
                    <w:t>本</w:t>
                  </w:r>
                  <w:r>
                    <w:rPr>
                      <w:rFonts w:hint="default" w:ascii="Times New Roman" w:hAnsi="Times New Roman" w:eastAsia="宋体" w:cs="Times New Roman"/>
                      <w:b/>
                      <w:bCs/>
                      <w:color w:val="000000"/>
                      <w:sz w:val="21"/>
                      <w:szCs w:val="21"/>
                      <w:lang w:eastAsia="zh-CN"/>
                    </w:rPr>
                    <w:t>项目</w:t>
                  </w:r>
                </w:p>
                <w:p w14:paraId="1B2E553B">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情况</w:t>
                  </w:r>
                </w:p>
              </w:tc>
              <w:tc>
                <w:tcPr>
                  <w:tcW w:w="315" w:type="pct"/>
                  <w:tcBorders>
                    <w:tl2br w:val="nil"/>
                    <w:tr2bl w:val="nil"/>
                  </w:tcBorders>
                  <w:noWrap w:val="0"/>
                  <w:vAlign w:val="center"/>
                </w:tcPr>
                <w:p w14:paraId="34833538">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eastAsia="宋体" w:cs="Times New Roman"/>
                      <w:b/>
                      <w:bCs/>
                      <w:color w:val="000000"/>
                      <w:sz w:val="21"/>
                      <w:szCs w:val="21"/>
                      <w:lang w:eastAsia="zh-CN"/>
                    </w:rPr>
                  </w:pPr>
                  <w:r>
                    <w:rPr>
                      <w:rFonts w:hint="default" w:ascii="Times New Roman" w:hAnsi="Times New Roman" w:eastAsia="宋体" w:cs="Times New Roman"/>
                      <w:b/>
                      <w:bCs/>
                      <w:color w:val="000000"/>
                      <w:sz w:val="21"/>
                      <w:szCs w:val="21"/>
                      <w:lang w:eastAsia="zh-CN"/>
                    </w:rPr>
                    <w:t>符合性</w:t>
                  </w:r>
                </w:p>
              </w:tc>
            </w:tr>
            <w:tr w14:paraId="44F55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326" w:type="pct"/>
                  <w:vMerge w:val="restart"/>
                  <w:tcBorders>
                    <w:tl2br w:val="nil"/>
                    <w:tr2bl w:val="nil"/>
                  </w:tcBorders>
                  <w:noWrap w:val="0"/>
                  <w:vAlign w:val="center"/>
                </w:tcPr>
                <w:p w14:paraId="4BCD900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陕西省咸阳市泾阳县重点管控单元11（西咸新区）</w:t>
                  </w:r>
                </w:p>
                <w:p w14:paraId="55AA0E3E">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287" w:type="pct"/>
                  <w:vMerge w:val="restart"/>
                  <w:tcBorders>
                    <w:tl2br w:val="nil"/>
                    <w:tr2bl w:val="nil"/>
                  </w:tcBorders>
                  <w:noWrap w:val="0"/>
                  <w:vAlign w:val="center"/>
                </w:tcPr>
                <w:p w14:paraId="224116C8">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大气环境受体敏感重点管控区、</w:t>
                  </w:r>
                  <w:r>
                    <w:rPr>
                      <w:rFonts w:hint="default" w:ascii="Times New Roman" w:hAnsi="Times New Roman" w:cs="Times New Roman" w:eastAsiaTheme="minorEastAsia"/>
                      <w:color w:val="auto"/>
                      <w:sz w:val="21"/>
                      <w:szCs w:val="21"/>
                      <w:lang w:val="zh-CN" w:eastAsia="zh-CN"/>
                    </w:rPr>
                    <w:t>水环境城镇生活污染重点管控区、高污染燃料禁燃重点</w:t>
                  </w:r>
                  <w:r>
                    <w:rPr>
                      <w:rFonts w:hint="default" w:ascii="Times New Roman" w:hAnsi="Times New Roman" w:cs="Times New Roman" w:eastAsiaTheme="minorEastAsia"/>
                      <w:color w:val="auto"/>
                      <w:sz w:val="21"/>
                      <w:szCs w:val="21"/>
                      <w:lang w:val="en-US" w:eastAsia="zh-CN"/>
                    </w:rPr>
                    <w:t>管</w:t>
                  </w:r>
                  <w:r>
                    <w:rPr>
                      <w:rFonts w:hint="default" w:ascii="Times New Roman" w:hAnsi="Times New Roman" w:cs="Times New Roman" w:eastAsiaTheme="minorEastAsia"/>
                      <w:color w:val="auto"/>
                      <w:sz w:val="21"/>
                      <w:szCs w:val="21"/>
                      <w:lang w:val="zh-CN" w:eastAsia="zh-CN"/>
                    </w:rPr>
                    <w:t>控区</w:t>
                  </w:r>
                </w:p>
              </w:tc>
              <w:tc>
                <w:tcPr>
                  <w:tcW w:w="308" w:type="pct"/>
                  <w:tcBorders>
                    <w:tl2br w:val="nil"/>
                    <w:tr2bl w:val="nil"/>
                  </w:tcBorders>
                  <w:noWrap w:val="0"/>
                  <w:vAlign w:val="center"/>
                </w:tcPr>
                <w:p w14:paraId="3D7FD75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空间约束要求</w:t>
                  </w:r>
                </w:p>
              </w:tc>
              <w:tc>
                <w:tcPr>
                  <w:tcW w:w="2576" w:type="pct"/>
                  <w:tcBorders>
                    <w:tl2br w:val="nil"/>
                    <w:tr2bl w:val="nil"/>
                  </w:tcBorders>
                  <w:noWrap w:val="0"/>
                  <w:vAlign w:val="center"/>
                </w:tcPr>
                <w:p w14:paraId="222F50C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大气环境受体敏感重点管控区：</w:t>
                  </w:r>
                </w:p>
                <w:p w14:paraId="588CFBC2">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1.严格控制新增《陕西省“两高”项目管理暂行目录》行业项目（民生等项目除外，后续对“两高”范围国家如有新规定的，从其规定）。</w:t>
                  </w:r>
                </w:p>
                <w:p w14:paraId="6C89DFF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2.推动重污染企业搬迁入园或依法关闭。</w:t>
                  </w:r>
                </w:p>
              </w:tc>
              <w:tc>
                <w:tcPr>
                  <w:tcW w:w="341" w:type="pct"/>
                  <w:vMerge w:val="restart"/>
                  <w:tcBorders>
                    <w:tl2br w:val="nil"/>
                    <w:tr2bl w:val="nil"/>
                  </w:tcBorders>
                  <w:noWrap w:val="0"/>
                  <w:vAlign w:val="center"/>
                </w:tcPr>
                <w:p w14:paraId="269E93EC">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2000m</w:t>
                  </w:r>
                  <w:r>
                    <w:rPr>
                      <w:rFonts w:hint="default" w:ascii="Times New Roman" w:hAnsi="Times New Roman" w:cs="Times New Roman" w:eastAsiaTheme="minorEastAsia"/>
                      <w:color w:val="auto"/>
                      <w:sz w:val="21"/>
                      <w:szCs w:val="21"/>
                      <w:vertAlign w:val="superscript"/>
                      <w:lang w:val="en-US" w:eastAsia="zh-CN"/>
                    </w:rPr>
                    <w:t>2</w:t>
                  </w:r>
                </w:p>
              </w:tc>
              <w:tc>
                <w:tcPr>
                  <w:tcW w:w="844" w:type="pct"/>
                  <w:tcBorders>
                    <w:tl2br w:val="nil"/>
                    <w:tr2bl w:val="nil"/>
                  </w:tcBorders>
                  <w:noWrap w:val="0"/>
                  <w:vAlign w:val="center"/>
                </w:tcPr>
                <w:p w14:paraId="00599DEC">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1.</w:t>
                  </w:r>
                  <w:r>
                    <w:rPr>
                      <w:rFonts w:hint="default" w:ascii="Times New Roman" w:hAnsi="Times New Roman" w:cs="Times New Roman" w:eastAsiaTheme="minorEastAsia"/>
                      <w:color w:val="auto"/>
                      <w:sz w:val="21"/>
                      <w:szCs w:val="21"/>
                      <w:lang w:val="zh-CN" w:eastAsia="zh-CN"/>
                    </w:rPr>
                    <w:t>本项目为</w:t>
                  </w:r>
                  <w:r>
                    <w:rPr>
                      <w:rFonts w:hint="eastAsia" w:cs="Times New Roman" w:eastAsiaTheme="minorEastAsia"/>
                      <w:color w:val="auto"/>
                      <w:sz w:val="21"/>
                      <w:szCs w:val="21"/>
                      <w:highlight w:val="none"/>
                      <w:lang w:val="zh-CN" w:eastAsia="zh-CN"/>
                    </w:rPr>
                    <w:t>电缆管线</w:t>
                  </w:r>
                  <w:r>
                    <w:rPr>
                      <w:rFonts w:hint="default" w:ascii="Times New Roman" w:hAnsi="Times New Roman" w:cs="Times New Roman" w:eastAsiaTheme="minorEastAsia"/>
                      <w:color w:val="auto"/>
                      <w:sz w:val="21"/>
                      <w:szCs w:val="21"/>
                      <w:highlight w:val="none"/>
                      <w:lang w:val="en-US" w:eastAsia="zh-CN"/>
                    </w:rPr>
                    <w:t>制造项目</w:t>
                  </w:r>
                  <w:r>
                    <w:rPr>
                      <w:rFonts w:hint="default" w:ascii="Times New Roman" w:hAnsi="Times New Roman" w:cs="Times New Roman" w:eastAsiaTheme="minorEastAsia"/>
                      <w:color w:val="auto"/>
                      <w:sz w:val="21"/>
                      <w:szCs w:val="21"/>
                      <w:highlight w:val="none"/>
                      <w:lang w:val="zh-CN" w:eastAsia="zh-CN"/>
                    </w:rPr>
                    <w:t>，不</w:t>
                  </w:r>
                  <w:r>
                    <w:rPr>
                      <w:rFonts w:hint="default" w:ascii="Times New Roman" w:hAnsi="Times New Roman" w:cs="Times New Roman" w:eastAsiaTheme="minorEastAsia"/>
                      <w:color w:val="auto"/>
                      <w:sz w:val="21"/>
                      <w:szCs w:val="21"/>
                      <w:lang w:val="zh-CN" w:eastAsia="zh-CN"/>
                    </w:rPr>
                    <w:t>属于禁止类项目；</w:t>
                  </w:r>
                </w:p>
                <w:p w14:paraId="3B20556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lang w:val="zh-CN" w:eastAsia="zh-CN"/>
                    </w:rPr>
                    <w:t>本项目不属于</w:t>
                  </w:r>
                  <w:r>
                    <w:rPr>
                      <w:rFonts w:hint="default" w:ascii="Times New Roman" w:hAnsi="Times New Roman" w:cs="Times New Roman" w:eastAsiaTheme="minorEastAsia"/>
                      <w:color w:val="auto"/>
                      <w:sz w:val="21"/>
                      <w:szCs w:val="21"/>
                      <w:lang w:val="en-US" w:eastAsia="zh-CN"/>
                    </w:rPr>
                    <w:t>重污染企业。</w:t>
                  </w:r>
                </w:p>
              </w:tc>
              <w:tc>
                <w:tcPr>
                  <w:tcW w:w="315" w:type="pct"/>
                  <w:tcBorders>
                    <w:tl2br w:val="nil"/>
                    <w:tr2bl w:val="nil"/>
                  </w:tcBorders>
                  <w:noWrap w:val="0"/>
                  <w:vAlign w:val="center"/>
                </w:tcPr>
                <w:p w14:paraId="40FD97B3">
                  <w:pPr>
                    <w:keepNext w:val="0"/>
                    <w:keepLines w:val="0"/>
                    <w:pageBreakBefore w:val="0"/>
                    <w:widowControl w:val="0"/>
                    <w:kinsoku/>
                    <w:wordWrap/>
                    <w:overflowPunct/>
                    <w:topLinePunct w:val="0"/>
                    <w:autoSpaceDE w:val="0"/>
                    <w:autoSpaceDN w:val="0"/>
                    <w:bidi w:val="0"/>
                    <w:adjustRightInd w:val="0"/>
                    <w:snapToGrid w:val="0"/>
                    <w:spacing w:line="264" w:lineRule="auto"/>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r w14:paraId="463E7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tcBorders>
                    <w:tl2br w:val="nil"/>
                    <w:tr2bl w:val="nil"/>
                  </w:tcBorders>
                  <w:noWrap w:val="0"/>
                  <w:vAlign w:val="center"/>
                </w:tcPr>
                <w:p w14:paraId="02499F8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287" w:type="pct"/>
                  <w:vMerge w:val="continue"/>
                  <w:tcBorders>
                    <w:tl2br w:val="nil"/>
                    <w:tr2bl w:val="nil"/>
                  </w:tcBorders>
                  <w:noWrap w:val="0"/>
                  <w:vAlign w:val="center"/>
                </w:tcPr>
                <w:p w14:paraId="5C4D7F1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308" w:type="pct"/>
                  <w:tcBorders>
                    <w:tl2br w:val="nil"/>
                    <w:tr2bl w:val="nil"/>
                  </w:tcBorders>
                  <w:noWrap w:val="0"/>
                  <w:vAlign w:val="center"/>
                </w:tcPr>
                <w:p w14:paraId="2CC16FD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污染物排放管控</w:t>
                  </w:r>
                </w:p>
              </w:tc>
              <w:tc>
                <w:tcPr>
                  <w:tcW w:w="2576" w:type="pct"/>
                  <w:tcBorders>
                    <w:tl2br w:val="nil"/>
                    <w:tr2bl w:val="nil"/>
                  </w:tcBorders>
                  <w:noWrap w:val="0"/>
                  <w:vAlign w:val="center"/>
                </w:tcPr>
                <w:p w14:paraId="5D2B806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大气环境受体敏感重点管控区：1.城市建成区产生油烟的餐饮服务单位全部安装油烟净化装置并保持正常运行和定期维护。2.持续因地制宜实施“煤改气”“油改气”、电能、地热、生物质等清洁能源取暖措施。3.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341" w:type="pct"/>
                  <w:vMerge w:val="continue"/>
                  <w:tcBorders>
                    <w:tl2br w:val="nil"/>
                    <w:tr2bl w:val="nil"/>
                  </w:tcBorders>
                  <w:noWrap w:val="0"/>
                  <w:vAlign w:val="center"/>
                </w:tcPr>
                <w:p w14:paraId="1972F19E">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844" w:type="pct"/>
                  <w:tcBorders>
                    <w:tl2br w:val="nil"/>
                    <w:tr2bl w:val="nil"/>
                  </w:tcBorders>
                  <w:noWrap w:val="0"/>
                  <w:vAlign w:val="center"/>
                </w:tcPr>
                <w:p w14:paraId="2D08A788">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1、本项目采用电作为能源</w:t>
                  </w:r>
                  <w:r>
                    <w:rPr>
                      <w:rFonts w:hint="default" w:ascii="Times New Roman" w:hAnsi="Times New Roman" w:cs="Times New Roman" w:eastAsiaTheme="minorEastAsia"/>
                      <w:color w:val="auto"/>
                      <w:sz w:val="21"/>
                      <w:szCs w:val="21"/>
                      <w:lang w:val="zh-CN" w:eastAsia="zh-CN"/>
                    </w:rPr>
                    <w:t>；</w:t>
                  </w:r>
                </w:p>
                <w:p w14:paraId="39CAE82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both"/>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en-US" w:eastAsia="zh-CN"/>
                    </w:rPr>
                    <w:t>2、本项目厂区内不涉及</w:t>
                  </w:r>
                  <w:r>
                    <w:rPr>
                      <w:rFonts w:hint="default" w:ascii="Times New Roman" w:hAnsi="Times New Roman" w:cs="Times New Roman" w:eastAsiaTheme="minorEastAsia"/>
                      <w:color w:val="auto"/>
                      <w:sz w:val="21"/>
                      <w:szCs w:val="21"/>
                      <w:lang w:val="zh-CN" w:eastAsia="zh-CN"/>
                    </w:rPr>
                    <w:t>非道路移动机械；</w:t>
                  </w:r>
                </w:p>
                <w:p w14:paraId="546B9110">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zh-CN" w:eastAsia="zh-CN"/>
                    </w:rPr>
                    <w:t>3、</w:t>
                  </w:r>
                  <w:r>
                    <w:rPr>
                      <w:rFonts w:hint="default" w:ascii="Times New Roman" w:hAnsi="Times New Roman" w:cs="Times New Roman" w:eastAsiaTheme="minorEastAsia"/>
                      <w:color w:val="auto"/>
                      <w:sz w:val="21"/>
                      <w:szCs w:val="21"/>
                      <w:lang w:val="en-US" w:eastAsia="zh-CN"/>
                    </w:rPr>
                    <w:t>本</w:t>
                  </w:r>
                  <w:r>
                    <w:rPr>
                      <w:rFonts w:hint="default" w:ascii="Times New Roman" w:hAnsi="Times New Roman" w:cs="Times New Roman" w:eastAsiaTheme="minorEastAsia"/>
                      <w:color w:val="auto"/>
                      <w:sz w:val="21"/>
                      <w:szCs w:val="21"/>
                      <w:highlight w:val="none"/>
                      <w:lang w:val="en-US" w:eastAsia="zh-CN"/>
                    </w:rPr>
                    <w:t>项目生活污水经化粪池收集后定期清掏，后用于农田施肥。</w:t>
                  </w:r>
                </w:p>
              </w:tc>
              <w:tc>
                <w:tcPr>
                  <w:tcW w:w="315" w:type="pct"/>
                  <w:tcBorders>
                    <w:tl2br w:val="nil"/>
                    <w:tr2bl w:val="nil"/>
                  </w:tcBorders>
                  <w:noWrap w:val="0"/>
                  <w:vAlign w:val="center"/>
                </w:tcPr>
                <w:p w14:paraId="2F245B38">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r w14:paraId="5EA1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6" w:type="pct"/>
                  <w:vMerge w:val="continue"/>
                  <w:tcBorders>
                    <w:tl2br w:val="nil"/>
                    <w:tr2bl w:val="nil"/>
                  </w:tcBorders>
                  <w:noWrap w:val="0"/>
                  <w:vAlign w:val="center"/>
                </w:tcPr>
                <w:p w14:paraId="5705393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287" w:type="pct"/>
                  <w:vMerge w:val="continue"/>
                  <w:tcBorders>
                    <w:tl2br w:val="nil"/>
                    <w:tr2bl w:val="nil"/>
                  </w:tcBorders>
                  <w:noWrap w:val="0"/>
                  <w:vAlign w:val="center"/>
                </w:tcPr>
                <w:p w14:paraId="25C76F1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308" w:type="pct"/>
                  <w:tcBorders>
                    <w:tl2br w:val="nil"/>
                    <w:tr2bl w:val="nil"/>
                  </w:tcBorders>
                  <w:noWrap w:val="0"/>
                  <w:vAlign w:val="center"/>
                </w:tcPr>
                <w:p w14:paraId="4E60AFF4">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资源开发效率要求</w:t>
                  </w:r>
                </w:p>
              </w:tc>
              <w:tc>
                <w:tcPr>
                  <w:tcW w:w="2576" w:type="pct"/>
                  <w:tcBorders>
                    <w:tl2br w:val="nil"/>
                    <w:tr2bl w:val="nil"/>
                  </w:tcBorders>
                  <w:noWrap w:val="0"/>
                  <w:vAlign w:val="center"/>
                </w:tcPr>
                <w:p w14:paraId="24FD1A00">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高污染燃料禁燃区：严格禁燃区管控。市区和南六县市全域及北五县市城镇周边划定为高污染燃料禁燃区，禁止销售、使用煤炭及其制品等高污染燃料（35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w:t>
                  </w:r>
                </w:p>
                <w:p w14:paraId="231AD3C2">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源头杜绝散煤销售。</w:t>
                  </w:r>
                </w:p>
              </w:tc>
              <w:tc>
                <w:tcPr>
                  <w:tcW w:w="341" w:type="pct"/>
                  <w:vMerge w:val="continue"/>
                  <w:tcBorders>
                    <w:tl2br w:val="nil"/>
                    <w:tr2bl w:val="nil"/>
                  </w:tcBorders>
                  <w:noWrap w:val="0"/>
                  <w:vAlign w:val="center"/>
                </w:tcPr>
                <w:p w14:paraId="2FAD32A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p>
              </w:tc>
              <w:tc>
                <w:tcPr>
                  <w:tcW w:w="844" w:type="pct"/>
                  <w:tcBorders>
                    <w:tl2br w:val="nil"/>
                    <w:tr2bl w:val="nil"/>
                  </w:tcBorders>
                  <w:noWrap w:val="0"/>
                  <w:vAlign w:val="center"/>
                </w:tcPr>
                <w:p w14:paraId="488FC5E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eastAsia="zh-CN"/>
                    </w:rPr>
                    <w:t>本项目</w:t>
                  </w:r>
                  <w:r>
                    <w:rPr>
                      <w:rFonts w:hint="default" w:ascii="Times New Roman" w:hAnsi="Times New Roman" w:cs="Times New Roman" w:eastAsiaTheme="minorEastAsia"/>
                      <w:color w:val="auto"/>
                      <w:sz w:val="21"/>
                      <w:szCs w:val="21"/>
                      <w:lang w:val="en-US" w:eastAsia="zh-CN"/>
                    </w:rPr>
                    <w:t>采用电作为能源，不涉及燃煤、生物质的使用。</w:t>
                  </w:r>
                </w:p>
              </w:tc>
              <w:tc>
                <w:tcPr>
                  <w:tcW w:w="315" w:type="pct"/>
                  <w:tcBorders>
                    <w:tl2br w:val="nil"/>
                    <w:tr2bl w:val="nil"/>
                  </w:tcBorders>
                  <w:noWrap w:val="0"/>
                  <w:vAlign w:val="center"/>
                </w:tcPr>
                <w:p w14:paraId="7C09D2DB">
                  <w:pPr>
                    <w:pStyle w:val="35"/>
                    <w:keepNext w:val="0"/>
                    <w:keepLines w:val="0"/>
                    <w:pageBreakBefore w:val="0"/>
                    <w:widowControl w:val="0"/>
                    <w:kinsoku/>
                    <w:wordWrap/>
                    <w:overflowPunct/>
                    <w:topLinePunct w:val="0"/>
                    <w:bidi w:val="0"/>
                    <w:spacing w:beforeLines="0" w:line="264" w:lineRule="auto"/>
                    <w:ind w:left="0" w:leftChars="0"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eastAsiaTheme="minorEastAsia"/>
                      <w:color w:val="000000"/>
                      <w:sz w:val="21"/>
                      <w:szCs w:val="21"/>
                      <w:lang w:val="en-US" w:eastAsia="zh-CN"/>
                    </w:rPr>
                    <w:t>符合</w:t>
                  </w:r>
                </w:p>
              </w:tc>
            </w:tr>
          </w:tbl>
          <w:p w14:paraId="7D6062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③一说明：</w:t>
            </w:r>
          </w:p>
          <w:p w14:paraId="105EC4C9">
            <w:pPr>
              <w:numPr>
                <w:ilvl w:val="0"/>
                <w:numId w:val="0"/>
              </w:numPr>
              <w:spacing w:line="360" w:lineRule="auto"/>
              <w:ind w:leftChars="200"/>
              <w:rPr>
                <w:rFonts w:hint="default" w:ascii="Times New Roman" w:hAnsi="Times New Roman" w:cs="Times New Roman"/>
                <w:b/>
                <w:bCs/>
                <w:color w:val="000000"/>
                <w:sz w:val="24"/>
                <w:szCs w:val="24"/>
                <w:lang w:val="en-US" w:eastAsia="zh-CN"/>
              </w:rPr>
            </w:pPr>
            <w:r>
              <w:rPr>
                <w:rFonts w:ascii="宋体" w:hAnsi="宋体" w:eastAsia="宋体" w:cs="宋体"/>
                <w:sz w:val="24"/>
                <w:szCs w:val="24"/>
              </w:rPr>
              <w:t>指的是依据“一图”和“一表”结果，论证规划或建设项目符合性的说明。</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1"/>
              <w:gridCol w:w="6812"/>
              <w:gridCol w:w="2133"/>
            </w:tblGrid>
            <w:tr w14:paraId="2B76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24FFFE48">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对照分析</w:t>
                  </w:r>
                </w:p>
              </w:tc>
              <w:tc>
                <w:tcPr>
                  <w:tcW w:w="6812" w:type="dxa"/>
                  <w:tcBorders>
                    <w:tl2br w:val="nil"/>
                    <w:tr2bl w:val="nil"/>
                  </w:tcBorders>
                  <w:noWrap w:val="0"/>
                  <w:vAlign w:val="center"/>
                </w:tcPr>
                <w:p w14:paraId="755DBA4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本项目情况</w:t>
                  </w:r>
                </w:p>
              </w:tc>
              <w:tc>
                <w:tcPr>
                  <w:tcW w:w="2133" w:type="dxa"/>
                  <w:tcBorders>
                    <w:tl2br w:val="nil"/>
                    <w:tr2bl w:val="nil"/>
                  </w:tcBorders>
                  <w:noWrap w:val="0"/>
                  <w:vAlign w:val="center"/>
                </w:tcPr>
                <w:p w14:paraId="6230AED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b/>
                      <w:bCs/>
                      <w:color w:val="000000"/>
                      <w:sz w:val="21"/>
                      <w:szCs w:val="21"/>
                      <w:vertAlign w:val="baseline"/>
                      <w:lang w:val="en-US" w:eastAsia="zh-CN"/>
                    </w:rPr>
                  </w:pPr>
                  <w:r>
                    <w:rPr>
                      <w:rFonts w:hint="default" w:ascii="Times New Roman" w:hAnsi="Times New Roman" w:cs="Times New Roman"/>
                      <w:b/>
                      <w:bCs/>
                      <w:color w:val="000000"/>
                      <w:sz w:val="21"/>
                      <w:szCs w:val="21"/>
                      <w:vertAlign w:val="baseline"/>
                      <w:lang w:val="en-US" w:eastAsia="zh-CN"/>
                    </w:rPr>
                    <w:t>符合性</w:t>
                  </w:r>
                </w:p>
              </w:tc>
            </w:tr>
            <w:tr w14:paraId="7712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510E0C0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各类生态环境敏感区对照分析</w:t>
                  </w:r>
                </w:p>
              </w:tc>
              <w:tc>
                <w:tcPr>
                  <w:tcW w:w="6812" w:type="dxa"/>
                  <w:tcBorders>
                    <w:tl2br w:val="nil"/>
                    <w:tr2bl w:val="nil"/>
                  </w:tcBorders>
                  <w:noWrap w:val="0"/>
                  <w:vAlign w:val="center"/>
                </w:tcPr>
                <w:p w14:paraId="18E1E97B">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根据“一图”可知，本项目不涉及生态环境敏感区。</w:t>
                  </w:r>
                </w:p>
              </w:tc>
              <w:tc>
                <w:tcPr>
                  <w:tcW w:w="2133" w:type="dxa"/>
                  <w:tcBorders>
                    <w:tl2br w:val="nil"/>
                    <w:tr2bl w:val="nil"/>
                  </w:tcBorders>
                  <w:noWrap w:val="0"/>
                  <w:vAlign w:val="center"/>
                </w:tcPr>
                <w:p w14:paraId="5B2DD2B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59DA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461" w:type="dxa"/>
                  <w:tcBorders>
                    <w:tl2br w:val="nil"/>
                    <w:tr2bl w:val="nil"/>
                  </w:tcBorders>
                  <w:noWrap w:val="0"/>
                  <w:vAlign w:val="center"/>
                </w:tcPr>
                <w:p w14:paraId="3CBD9FB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环境管控单元对照分析</w:t>
                  </w:r>
                </w:p>
              </w:tc>
              <w:tc>
                <w:tcPr>
                  <w:tcW w:w="6812" w:type="dxa"/>
                  <w:tcBorders>
                    <w:tl2br w:val="nil"/>
                    <w:tr2bl w:val="nil"/>
                  </w:tcBorders>
                  <w:noWrap w:val="0"/>
                  <w:vAlign w:val="center"/>
                </w:tcPr>
                <w:p w14:paraId="18A61FD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根据“一图”可知，本项目位于重点管控单元</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根据“一表”可知本项目重点管控单元面积为</w:t>
                  </w:r>
                  <w:r>
                    <w:rPr>
                      <w:rFonts w:hint="eastAsia" w:cs="Times New Roman"/>
                      <w:color w:val="auto"/>
                      <w:sz w:val="21"/>
                      <w:szCs w:val="21"/>
                      <w:lang w:val="en-US" w:eastAsia="zh-CN"/>
                    </w:rPr>
                    <w:t>2000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，同时满足重点管控单元管控措施要求。</w:t>
                  </w:r>
                </w:p>
              </w:tc>
              <w:tc>
                <w:tcPr>
                  <w:tcW w:w="2133" w:type="dxa"/>
                  <w:tcBorders>
                    <w:tl2br w:val="nil"/>
                    <w:tr2bl w:val="nil"/>
                  </w:tcBorders>
                  <w:noWrap w:val="0"/>
                  <w:vAlign w:val="center"/>
                </w:tcPr>
                <w:p w14:paraId="1DDF2CE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14:paraId="4C81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1CBFF2C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未纳入环境管控单元的要素分区对照分析</w:t>
                  </w:r>
                </w:p>
              </w:tc>
              <w:tc>
                <w:tcPr>
                  <w:tcW w:w="6812" w:type="dxa"/>
                  <w:tcBorders>
                    <w:tl2br w:val="nil"/>
                    <w:tr2bl w:val="nil"/>
                  </w:tcBorders>
                  <w:noWrap w:val="0"/>
                  <w:vAlign w:val="center"/>
                </w:tcPr>
                <w:p w14:paraId="4EA39271">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2133" w:type="dxa"/>
                  <w:tcBorders>
                    <w:tl2br w:val="nil"/>
                    <w:tr2bl w:val="nil"/>
                  </w:tcBorders>
                  <w:noWrap w:val="0"/>
                  <w:vAlign w:val="center"/>
                </w:tcPr>
                <w:p w14:paraId="49E216BA">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14:paraId="623CE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61" w:type="dxa"/>
                  <w:tcBorders>
                    <w:tl2br w:val="nil"/>
                    <w:tr2bl w:val="nil"/>
                  </w:tcBorders>
                  <w:noWrap w:val="0"/>
                  <w:vAlign w:val="center"/>
                </w:tcPr>
                <w:p w14:paraId="2C55283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其他对照分析</w:t>
                  </w:r>
                </w:p>
              </w:tc>
              <w:tc>
                <w:tcPr>
                  <w:tcW w:w="6812" w:type="dxa"/>
                  <w:tcBorders>
                    <w:tl2br w:val="nil"/>
                    <w:tr2bl w:val="nil"/>
                  </w:tcBorders>
                  <w:noWrap w:val="0"/>
                  <w:vAlign w:val="center"/>
                </w:tcPr>
                <w:p w14:paraId="5EF2D90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不涉及</w:t>
                  </w:r>
                </w:p>
              </w:tc>
              <w:tc>
                <w:tcPr>
                  <w:tcW w:w="2133" w:type="dxa"/>
                  <w:tcBorders>
                    <w:tl2br w:val="nil"/>
                    <w:tr2bl w:val="nil"/>
                  </w:tcBorders>
                  <w:noWrap w:val="0"/>
                  <w:vAlign w:val="center"/>
                </w:tcPr>
                <w:p w14:paraId="537D2B06">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14:paraId="599ECB1D">
            <w:pPr>
              <w:keepNext w:val="0"/>
              <w:keepLines w:val="0"/>
              <w:pageBreakBefore w:val="0"/>
              <w:widowControl w:val="0"/>
              <w:kinsoku/>
              <w:wordWrap/>
              <w:overflowPunct/>
              <w:topLinePunct w:val="0"/>
              <w:autoSpaceDE w:val="0"/>
              <w:autoSpaceDN w:val="0"/>
              <w:bidi w:val="0"/>
              <w:adjustRightInd w:val="0"/>
              <w:snapToGrid w:val="0"/>
              <w:spacing w:line="520" w:lineRule="exact"/>
              <w:ind w:firstLine="480" w:firstLineChars="200"/>
              <w:textAlignment w:val="auto"/>
              <w:rPr>
                <w:rFonts w:hint="eastAsia" w:ascii="黑体" w:hAnsi="黑体" w:eastAsia="黑体"/>
                <w:snapToGrid w:val="0"/>
                <w:color w:val="auto"/>
                <w:sz w:val="30"/>
                <w:szCs w:val="30"/>
                <w:vertAlign w:val="baseline"/>
              </w:rPr>
            </w:pPr>
            <w:r>
              <w:rPr>
                <w:rFonts w:hint="default" w:ascii="Times New Roman" w:hAnsi="Times New Roman" w:cs="Times New Roman"/>
                <w:color w:val="000000"/>
                <w:sz w:val="24"/>
                <w:szCs w:val="24"/>
                <w:lang w:val="en-US" w:eastAsia="zh-CN"/>
              </w:rPr>
              <w:t>综上所述，项目符合陕西省及</w:t>
            </w:r>
            <w:r>
              <w:rPr>
                <w:rFonts w:hint="eastAsia" w:ascii="Times New Roman" w:hAnsi="Times New Roman" w:cs="Times New Roman"/>
                <w:color w:val="000000"/>
                <w:sz w:val="24"/>
                <w:szCs w:val="24"/>
                <w:lang w:val="en-US" w:eastAsia="zh-CN"/>
              </w:rPr>
              <w:t>西安市</w:t>
            </w:r>
            <w:r>
              <w:rPr>
                <w:rFonts w:hint="default" w:ascii="Times New Roman" w:hAnsi="Times New Roman" w:cs="Times New Roman"/>
                <w:color w:val="000000"/>
                <w:sz w:val="24"/>
                <w:szCs w:val="24"/>
                <w:lang w:val="en-US" w:eastAsia="zh-CN"/>
              </w:rPr>
              <w:t>“三线一单”分区管控方案要求。</w:t>
            </w:r>
          </w:p>
        </w:tc>
      </w:tr>
    </w:tbl>
    <w:p w14:paraId="2C059722">
      <w:pPr>
        <w:pStyle w:val="22"/>
        <w:jc w:val="both"/>
        <w:outlineLvl w:val="0"/>
        <w:rPr>
          <w:rFonts w:hint="eastAsia" w:ascii="黑体" w:hAnsi="黑体" w:eastAsia="黑体"/>
          <w:snapToGrid w:val="0"/>
          <w:color w:val="auto"/>
          <w:sz w:val="30"/>
          <w:szCs w:val="30"/>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25"/>
        <w:tblpPr w:leftFromText="180" w:rightFromText="180" w:vertAnchor="text" w:horzAnchor="page" w:tblpX="1643" w:tblpY="11"/>
        <w:tblOverlap w:val="never"/>
        <w:tblW w:w="47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8039"/>
      </w:tblGrid>
      <w:tr w14:paraId="5BA4E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7" w:hRule="atLeast"/>
        </w:trPr>
        <w:tc>
          <w:tcPr>
            <w:tcW w:w="358" w:type="pct"/>
            <w:noWrap w:val="0"/>
            <w:vAlign w:val="center"/>
          </w:tcPr>
          <w:p w14:paraId="122DDE77">
            <w:pPr>
              <w:autoSpaceDE w:val="0"/>
              <w:autoSpaceDN w:val="0"/>
              <w:adjustRightInd w:val="0"/>
              <w:snapToGrid w:val="0"/>
              <w:jc w:val="center"/>
              <w:rPr>
                <w:color w:val="auto"/>
                <w:kern w:val="0"/>
                <w:sz w:val="24"/>
              </w:rPr>
            </w:pPr>
            <w:r>
              <w:rPr>
                <w:color w:val="auto"/>
                <w:kern w:val="0"/>
                <w:sz w:val="24"/>
              </w:rPr>
              <w:t>其他符合性分析</w:t>
            </w:r>
          </w:p>
        </w:tc>
        <w:tc>
          <w:tcPr>
            <w:tcW w:w="4641" w:type="pct"/>
            <w:noWrap w:val="0"/>
            <w:vAlign w:val="center"/>
          </w:tcPr>
          <w:p w14:paraId="6BE3FB82">
            <w:pPr>
              <w:numPr>
                <w:ilvl w:val="0"/>
                <w:numId w:val="0"/>
              </w:numPr>
              <w:spacing w:line="360" w:lineRule="auto"/>
              <w:ind w:leftChars="0"/>
              <w:rPr>
                <w:b/>
                <w:bCs/>
                <w:color w:val="auto"/>
                <w:sz w:val="24"/>
              </w:rPr>
            </w:pPr>
            <w:r>
              <w:rPr>
                <w:b/>
                <w:bCs/>
                <w:color w:val="auto"/>
                <w:sz w:val="24"/>
              </w:rPr>
              <w:t>4、</w:t>
            </w:r>
            <w:r>
              <w:rPr>
                <w:rFonts w:hint="default" w:ascii="Times New Roman" w:hAnsi="Times New Roman" w:cs="Times New Roman"/>
                <w:b/>
                <w:bCs/>
                <w:color w:val="000000"/>
                <w:sz w:val="24"/>
                <w:szCs w:val="24"/>
                <w:lang w:val="en-US" w:eastAsia="zh-CN"/>
              </w:rPr>
              <w:t>与相关环保政策符合性分析</w:t>
            </w:r>
          </w:p>
          <w:p w14:paraId="5AABA5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2" w:firstLineChars="200"/>
              <w:jc w:val="center"/>
              <w:textAlignment w:val="auto"/>
              <w:rPr>
                <w:rFonts w:hint="eastAsia" w:asciiTheme="majorEastAsia" w:hAnsiTheme="majorEastAsia" w:eastAsiaTheme="majorEastAsia" w:cstheme="majorEastAsia"/>
                <w:b/>
                <w:bCs/>
                <w:color w:val="000000"/>
                <w:sz w:val="21"/>
                <w:szCs w:val="21"/>
                <w:lang w:val="en-US" w:eastAsia="zh-CN"/>
              </w:rPr>
            </w:pPr>
            <w:r>
              <w:rPr>
                <w:rFonts w:hint="eastAsia" w:asciiTheme="majorEastAsia" w:hAnsiTheme="majorEastAsia" w:eastAsiaTheme="majorEastAsia" w:cstheme="majorEastAsia"/>
                <w:b/>
                <w:bCs/>
                <w:color w:val="000000"/>
                <w:lang w:val="en-US" w:eastAsia="zh-CN"/>
              </w:rPr>
              <w:t>表1-4  本项目与相关环保政策符合性分析</w:t>
            </w:r>
          </w:p>
          <w:tbl>
            <w:tblPr>
              <w:tblStyle w:val="26"/>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3831"/>
              <w:gridCol w:w="1932"/>
              <w:gridCol w:w="741"/>
            </w:tblGrid>
            <w:tr w14:paraId="06BA2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24" w:type="pct"/>
                  <w:noWrap w:val="0"/>
                  <w:vAlign w:val="center"/>
                </w:tcPr>
                <w:p w14:paraId="457B33AA">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文件名称</w:t>
                  </w:r>
                </w:p>
              </w:tc>
              <w:tc>
                <w:tcPr>
                  <w:tcW w:w="2459" w:type="pct"/>
                  <w:noWrap w:val="0"/>
                  <w:vAlign w:val="center"/>
                </w:tcPr>
                <w:p w14:paraId="3F57538F">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相关内容</w:t>
                  </w:r>
                </w:p>
              </w:tc>
              <w:tc>
                <w:tcPr>
                  <w:tcW w:w="1240" w:type="pct"/>
                  <w:noWrap w:val="0"/>
                  <w:vAlign w:val="center"/>
                </w:tcPr>
                <w:p w14:paraId="50322E46">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475" w:type="pct"/>
                  <w:noWrap w:val="0"/>
                  <w:vAlign w:val="center"/>
                </w:tcPr>
                <w:p w14:paraId="7CAF42E8">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r>
            <w:tr w14:paraId="2B74E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824" w:type="pct"/>
                  <w:shd w:val="clear" w:color="auto" w:fill="auto"/>
                  <w:noWrap w:val="0"/>
                  <w:vAlign w:val="center"/>
                </w:tcPr>
                <w:p w14:paraId="139FFC00">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color w:val="000000"/>
                      <w:kern w:val="21"/>
                      <w:szCs w:val="21"/>
                      <w:lang w:val="en"/>
                    </w:rPr>
                    <w:t>《陕西省</w:t>
                  </w:r>
                  <w:r>
                    <w:rPr>
                      <w:rFonts w:hint="default" w:ascii="Times New Roman" w:hAnsi="Times New Roman" w:cs="Times New Roman"/>
                      <w:color w:val="000000"/>
                      <w:kern w:val="21"/>
                      <w:szCs w:val="21"/>
                      <w:lang w:val="en" w:eastAsia="zh-CN"/>
                    </w:rPr>
                    <w:t>“</w:t>
                  </w:r>
                  <w:r>
                    <w:rPr>
                      <w:rFonts w:hint="default" w:ascii="Times New Roman" w:hAnsi="Times New Roman" w:eastAsia="宋体" w:cs="Times New Roman"/>
                      <w:color w:val="000000"/>
                      <w:kern w:val="21"/>
                      <w:szCs w:val="21"/>
                      <w:lang w:val="en"/>
                    </w:rPr>
                    <w:t>十四五</w:t>
                  </w:r>
                  <w:r>
                    <w:rPr>
                      <w:rFonts w:hint="default" w:ascii="Times New Roman" w:hAnsi="Times New Roman" w:cs="Times New Roman"/>
                      <w:color w:val="000000"/>
                      <w:kern w:val="21"/>
                      <w:szCs w:val="21"/>
                      <w:lang w:val="en" w:eastAsia="zh-CN"/>
                    </w:rPr>
                    <w:t>”</w:t>
                  </w:r>
                  <w:r>
                    <w:rPr>
                      <w:rFonts w:hint="default" w:ascii="Times New Roman" w:hAnsi="Times New Roman" w:eastAsia="宋体" w:cs="Times New Roman"/>
                      <w:color w:val="000000"/>
                      <w:kern w:val="21"/>
                      <w:szCs w:val="21"/>
                      <w:lang w:val="en"/>
                    </w:rPr>
                    <w:t>生态环境保护规划》（陕政办发〔2021〕25号）</w:t>
                  </w:r>
                </w:p>
              </w:tc>
              <w:tc>
                <w:tcPr>
                  <w:tcW w:w="2459" w:type="pct"/>
                  <w:shd w:val="clear" w:color="auto" w:fill="auto"/>
                  <w:noWrap w:val="0"/>
                  <w:vAlign w:val="center"/>
                </w:tcPr>
                <w:p w14:paraId="577E0C0E">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000000"/>
                      <w:kern w:val="0"/>
                      <w:szCs w:val="21"/>
                      <w:lang w:val="en-GB"/>
                    </w:rPr>
                  </w:pPr>
                  <w:r>
                    <w:rPr>
                      <w:rFonts w:hint="default" w:ascii="Times New Roman" w:hAnsi="Times New Roman" w:eastAsia="宋体" w:cs="Times New Roman"/>
                      <w:bCs/>
                      <w:color w:val="000000"/>
                      <w:kern w:val="0"/>
                      <w:szCs w:val="21"/>
                      <w:lang w:val="en-GB"/>
                    </w:rPr>
                    <w:t>深化落实环评制度。不断健全环境影响评价等生态源头预防体系，对重点区域、重点流域、重点行业依法开展规划环境影响评价，严格建设项目生态环境准入。</w:t>
                  </w:r>
                </w:p>
                <w:p w14:paraId="36E2FC47">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宋体" w:cs="Times New Roman"/>
                      <w:bCs/>
                      <w:color w:val="000000"/>
                      <w:kern w:val="0"/>
                      <w:szCs w:val="21"/>
                      <w:lang w:val="en-US" w:eastAsia="zh-CN"/>
                    </w:rPr>
                  </w:pPr>
                </w:p>
              </w:tc>
              <w:tc>
                <w:tcPr>
                  <w:tcW w:w="1240" w:type="pct"/>
                  <w:shd w:val="clear" w:color="auto" w:fill="auto"/>
                  <w:noWrap w:val="0"/>
                  <w:vAlign w:val="center"/>
                </w:tcPr>
                <w:p w14:paraId="315FD7FC">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000000"/>
                      <w:kern w:val="21"/>
                      <w:sz w:val="21"/>
                      <w:szCs w:val="21"/>
                      <w:lang w:val="en-US" w:eastAsia="zh-CN" w:bidi="ar-SA"/>
                    </w:rPr>
                  </w:pPr>
                  <w:r>
                    <w:rPr>
                      <w:rFonts w:hint="default" w:ascii="Times New Roman" w:hAnsi="Times New Roman" w:cs="Times New Roman" w:eastAsiaTheme="minorEastAsia"/>
                      <w:bCs/>
                      <w:color w:val="000000"/>
                      <w:kern w:val="0"/>
                      <w:sz w:val="21"/>
                      <w:szCs w:val="21"/>
                      <w:highlight w:val="none"/>
                      <w:lang w:val="en-GB"/>
                    </w:rPr>
                    <w:t>项目位于</w:t>
                  </w:r>
                  <w:r>
                    <w:rPr>
                      <w:rFonts w:hint="default" w:ascii="Times New Roman" w:hAnsi="Times New Roman" w:cs="Times New Roman" w:eastAsiaTheme="minorEastAsia"/>
                      <w:bCs/>
                      <w:color w:val="000000"/>
                      <w:kern w:val="0"/>
                      <w:sz w:val="21"/>
                      <w:szCs w:val="21"/>
                      <w:highlight w:val="none"/>
                      <w:lang w:val="en-GB" w:eastAsia="zh-CN"/>
                    </w:rPr>
                    <w:t>陕西省</w:t>
                  </w:r>
                  <w:r>
                    <w:rPr>
                      <w:rFonts w:hint="default" w:ascii="Times New Roman" w:hAnsi="Times New Roman" w:cs="Times New Roman" w:eastAsiaTheme="minorEastAsia"/>
                      <w:bCs/>
                      <w:color w:val="000000"/>
                      <w:kern w:val="0"/>
                      <w:sz w:val="21"/>
                      <w:szCs w:val="21"/>
                      <w:highlight w:val="none"/>
                      <w:lang w:val="en-US" w:eastAsia="zh-CN"/>
                    </w:rPr>
                    <w:t>西咸新区泾河新城工业密集区永乐园区南北大道23号</w:t>
                  </w:r>
                  <w:r>
                    <w:rPr>
                      <w:rFonts w:hint="default" w:ascii="Times New Roman" w:hAnsi="Times New Roman" w:cs="Times New Roman" w:eastAsiaTheme="minorEastAsia"/>
                      <w:bCs/>
                      <w:color w:val="000000"/>
                      <w:kern w:val="0"/>
                      <w:sz w:val="21"/>
                      <w:szCs w:val="21"/>
                      <w:highlight w:val="none"/>
                      <w:lang w:val="en-GB"/>
                    </w:rPr>
                    <w:t>，租用</w:t>
                  </w:r>
                  <w:r>
                    <w:rPr>
                      <w:rFonts w:hint="default" w:ascii="Times New Roman" w:hAnsi="Times New Roman" w:cs="Times New Roman" w:eastAsiaTheme="minorEastAsia"/>
                      <w:bCs/>
                      <w:color w:val="000000"/>
                      <w:kern w:val="0"/>
                      <w:sz w:val="21"/>
                      <w:szCs w:val="21"/>
                      <w:highlight w:val="none"/>
                      <w:lang w:val="en-US" w:eastAsia="zh-CN"/>
                    </w:rPr>
                    <w:t>已建成厂房</w:t>
                  </w:r>
                  <w:r>
                    <w:rPr>
                      <w:rFonts w:hint="default" w:ascii="Times New Roman" w:hAnsi="Times New Roman" w:cs="Times New Roman" w:eastAsiaTheme="minorEastAsia"/>
                      <w:bCs/>
                      <w:color w:val="000000"/>
                      <w:kern w:val="0"/>
                      <w:sz w:val="21"/>
                      <w:szCs w:val="21"/>
                      <w:highlight w:val="none"/>
                      <w:lang w:val="en-GB"/>
                    </w:rPr>
                    <w:t>，</w:t>
                  </w:r>
                  <w:r>
                    <w:rPr>
                      <w:rFonts w:hint="default" w:ascii="Times New Roman" w:hAnsi="Times New Roman" w:cs="Times New Roman" w:eastAsiaTheme="minorEastAsia"/>
                      <w:bCs/>
                      <w:color w:val="000000"/>
                      <w:kern w:val="0"/>
                      <w:sz w:val="21"/>
                      <w:szCs w:val="21"/>
                      <w:highlight w:val="none"/>
                    </w:rPr>
                    <w:t>目前在</w:t>
                  </w:r>
                  <w:r>
                    <w:rPr>
                      <w:rFonts w:hint="default" w:ascii="Times New Roman" w:hAnsi="Times New Roman" w:cs="Times New Roman" w:eastAsiaTheme="minorEastAsia"/>
                      <w:bCs/>
                      <w:color w:val="000000"/>
                      <w:kern w:val="0"/>
                      <w:sz w:val="21"/>
                      <w:szCs w:val="21"/>
                      <w:highlight w:val="none"/>
                      <w:lang w:val="en-GB"/>
                    </w:rPr>
                    <w:t>开展相关的环评手续。</w:t>
                  </w:r>
                </w:p>
              </w:tc>
              <w:tc>
                <w:tcPr>
                  <w:tcW w:w="475" w:type="pct"/>
                  <w:shd w:val="clear" w:color="auto" w:fill="auto"/>
                  <w:noWrap w:val="0"/>
                  <w:vAlign w:val="center"/>
                </w:tcPr>
                <w:p w14:paraId="4B5B9C8E">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21"/>
                      <w:sz w:val="21"/>
                      <w:szCs w:val="21"/>
                      <w:lang w:val="en-US" w:eastAsia="zh-CN" w:bidi="ar-SA"/>
                    </w:rPr>
                  </w:pPr>
                  <w:r>
                    <w:rPr>
                      <w:rFonts w:hint="default" w:ascii="Times New Roman" w:hAnsi="Times New Roman" w:eastAsia="宋体" w:cs="Times New Roman"/>
                      <w:color w:val="000000"/>
                      <w:kern w:val="0"/>
                      <w:szCs w:val="21"/>
                    </w:rPr>
                    <w:t>符合</w:t>
                  </w:r>
                </w:p>
              </w:tc>
            </w:tr>
            <w:tr w14:paraId="79E34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9" w:hRule="atLeast"/>
                <w:jc w:val="center"/>
              </w:trPr>
              <w:tc>
                <w:tcPr>
                  <w:tcW w:w="824" w:type="pct"/>
                  <w:shd w:val="clear" w:color="auto" w:fill="auto"/>
                  <w:noWrap w:val="0"/>
                  <w:vAlign w:val="center"/>
                </w:tcPr>
                <w:p w14:paraId="401402DC">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
                    </w:rPr>
                  </w:pPr>
                  <w:r>
                    <w:rPr>
                      <w:rFonts w:hint="default" w:ascii="Times New Roman" w:hAnsi="Times New Roman" w:cs="Times New Roman" w:eastAsiaTheme="minorEastAsia"/>
                      <w:color w:val="auto"/>
                      <w:kern w:val="21"/>
                      <w:sz w:val="21"/>
                      <w:szCs w:val="21"/>
                      <w:lang w:val="en"/>
                    </w:rPr>
                    <w:t>国务院关于印发《空气质量持续改善行动计划》的通知</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
                    </w:rPr>
                    <w:t>国发〔20</w:t>
                  </w:r>
                </w:p>
                <w:p w14:paraId="2FB3389B">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 w:eastAsia="zh-CN" w:bidi="ar-SA"/>
                    </w:rPr>
                  </w:pPr>
                  <w:r>
                    <w:rPr>
                      <w:rFonts w:hint="default" w:ascii="Times New Roman" w:hAnsi="Times New Roman" w:cs="Times New Roman" w:eastAsiaTheme="minorEastAsia"/>
                      <w:color w:val="auto"/>
                      <w:kern w:val="21"/>
                      <w:sz w:val="21"/>
                      <w:szCs w:val="21"/>
                      <w:lang w:val="en"/>
                    </w:rPr>
                    <w:t>23〕24号</w:t>
                  </w:r>
                  <w:r>
                    <w:rPr>
                      <w:rFonts w:hint="default" w:ascii="Times New Roman" w:hAnsi="Times New Roman" w:cs="Times New Roman" w:eastAsiaTheme="minorEastAsia"/>
                      <w:color w:val="auto"/>
                      <w:kern w:val="21"/>
                      <w:sz w:val="21"/>
                      <w:szCs w:val="21"/>
                      <w:lang w:val="en" w:eastAsia="zh-CN"/>
                    </w:rPr>
                    <w:t>）</w:t>
                  </w:r>
                </w:p>
              </w:tc>
              <w:tc>
                <w:tcPr>
                  <w:tcW w:w="2459" w:type="pct"/>
                  <w:shd w:val="clear" w:color="auto" w:fill="auto"/>
                  <w:noWrap w:val="0"/>
                  <w:vAlign w:val="center"/>
                </w:tcPr>
                <w:p w14:paraId="6289132D">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21"/>
                      <w:sz w:val="21"/>
                      <w:szCs w:val="21"/>
                      <w:lang w:val="en-GB" w:eastAsia="zh-CN" w:bidi="ar-SA"/>
                    </w:rPr>
                  </w:pPr>
                  <w:r>
                    <w:rPr>
                      <w:rFonts w:hint="eastAsia" w:ascii="Times New Roman" w:hAnsi="Times New Roman" w:eastAsia="宋体" w:cs="Times New Roman"/>
                      <w:color w:val="auto"/>
                      <w:kern w:val="21"/>
                      <w:sz w:val="21"/>
                      <w:szCs w:val="21"/>
                      <w:lang w:val="en-US" w:eastAsia="zh-CN" w:bidi="ar-SA"/>
                    </w:rPr>
                    <w:t>优化含</w:t>
                  </w:r>
                  <w:r>
                    <w:rPr>
                      <w:rFonts w:hint="default" w:ascii="Times New Roman" w:hAnsi="Times New Roman" w:cs="Times New Roman" w:eastAsiaTheme="minorEastAsia"/>
                      <w:color w:val="auto"/>
                      <w:kern w:val="21"/>
                      <w:sz w:val="21"/>
                      <w:szCs w:val="21"/>
                      <w:lang w:val="en"/>
                    </w:rPr>
                    <w:t>VOCs原辅材料和产品结构。严格控制生产和使用高VOCs含量涂料、油墨、胶粘剂、清洗剂等建设项目，提高低（无）VOCs含量产品比重。实施源头替代工程，加大工业涂装、包装印刷和电子行业低（无）VOCs含量原辅材料替代力度。</w:t>
                  </w:r>
                </w:p>
              </w:tc>
              <w:tc>
                <w:tcPr>
                  <w:tcW w:w="1240" w:type="pct"/>
                  <w:shd w:val="clear" w:color="auto" w:fill="auto"/>
                  <w:noWrap w:val="0"/>
                  <w:vAlign w:val="center"/>
                </w:tcPr>
                <w:p w14:paraId="754D6A32">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auto"/>
                      <w:kern w:val="21"/>
                      <w:sz w:val="21"/>
                      <w:szCs w:val="21"/>
                      <w:lang w:val="en-GB" w:eastAsia="zh-CN" w:bidi="ar-SA"/>
                    </w:rPr>
                  </w:pPr>
                  <w:r>
                    <w:rPr>
                      <w:rFonts w:hint="default" w:ascii="Times New Roman" w:hAnsi="Times New Roman" w:cs="Times New Roman" w:eastAsiaTheme="minorEastAsia"/>
                      <w:color w:val="auto"/>
                      <w:kern w:val="0"/>
                      <w:sz w:val="21"/>
                      <w:szCs w:val="21"/>
                      <w:lang w:val="en-US" w:eastAsia="zh-CN" w:bidi="ar"/>
                    </w:rPr>
                    <w:t>项目使用的原料常温储存过程中不会产生</w:t>
                  </w:r>
                  <w:r>
                    <w:rPr>
                      <w:rFonts w:hint="default" w:ascii="Times New Roman" w:hAnsi="Times New Roman" w:cs="Times New Roman" w:eastAsiaTheme="minorEastAsia"/>
                      <w:color w:val="auto"/>
                      <w:kern w:val="21"/>
                      <w:sz w:val="21"/>
                      <w:szCs w:val="21"/>
                      <w:highlight w:val="none"/>
                      <w:lang w:val="en-US" w:eastAsia="zh-CN"/>
                    </w:rPr>
                    <w:t>VOCs。</w:t>
                  </w:r>
                </w:p>
              </w:tc>
              <w:tc>
                <w:tcPr>
                  <w:tcW w:w="475" w:type="pct"/>
                  <w:shd w:val="clear" w:color="auto" w:fill="auto"/>
                  <w:noWrap w:val="0"/>
                  <w:vAlign w:val="center"/>
                </w:tcPr>
                <w:p w14:paraId="4B38B3D7">
                  <w:pPr>
                    <w:keepNext w:val="0"/>
                    <w:keepLines w:val="0"/>
                    <w:pageBreakBefore w:val="0"/>
                    <w:kinsoku/>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1BE91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3" w:hRule="atLeast"/>
                <w:jc w:val="center"/>
              </w:trPr>
              <w:tc>
                <w:tcPr>
                  <w:tcW w:w="824" w:type="pct"/>
                  <w:shd w:val="clear" w:color="auto" w:fill="auto"/>
                  <w:noWrap w:val="0"/>
                  <w:vAlign w:val="center"/>
                </w:tcPr>
                <w:p w14:paraId="4E1BA1E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
                    </w:rPr>
                  </w:pPr>
                  <w:r>
                    <w:rPr>
                      <w:rFonts w:hint="default" w:ascii="Times New Roman" w:hAnsi="Times New Roman" w:cs="Times New Roman" w:eastAsiaTheme="minorEastAsia"/>
                      <w:color w:val="auto"/>
                      <w:kern w:val="21"/>
                      <w:sz w:val="21"/>
                      <w:szCs w:val="21"/>
                      <w:lang w:val="en"/>
                    </w:rPr>
                    <w:t>陕西省关于贯彻落实《空气质量持续改善行动计划》的实施意见（2024</w:t>
                  </w:r>
                  <w:r>
                    <w:rPr>
                      <w:rFonts w:hint="default"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
                    </w:rPr>
                    <w:t>20</w:t>
                  </w:r>
                </w:p>
                <w:p w14:paraId="143C0282">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US" w:eastAsia="zh-CN" w:bidi="ar-SA"/>
                    </w:rPr>
                  </w:pPr>
                  <w:r>
                    <w:rPr>
                      <w:rFonts w:hint="default" w:ascii="Times New Roman" w:hAnsi="Times New Roman" w:cs="Times New Roman" w:eastAsiaTheme="minorEastAsia"/>
                      <w:color w:val="auto"/>
                      <w:kern w:val="21"/>
                      <w:sz w:val="21"/>
                      <w:szCs w:val="21"/>
                      <w:lang w:val="en"/>
                    </w:rPr>
                    <w:t>25年）</w:t>
                  </w:r>
                </w:p>
              </w:tc>
              <w:tc>
                <w:tcPr>
                  <w:tcW w:w="2459" w:type="pct"/>
                  <w:shd w:val="clear" w:color="auto" w:fill="auto"/>
                  <w:noWrap w:val="0"/>
                  <w:vAlign w:val="center"/>
                </w:tcPr>
                <w:p w14:paraId="7399944B">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 w:eastAsia="zh-CN" w:bidi="ar-SA"/>
                    </w:rPr>
                  </w:pPr>
                  <w:r>
                    <w:rPr>
                      <w:rFonts w:hint="default" w:ascii="Times New Roman" w:hAnsi="Times New Roman" w:cs="Times New Roman" w:eastAsiaTheme="minorEastAsia"/>
                      <w:color w:val="auto"/>
                      <w:kern w:val="21"/>
                      <w:sz w:val="21"/>
                      <w:szCs w:val="21"/>
                      <w:lang w:val="en-US" w:eastAsia="zh-CN"/>
                    </w:rPr>
                    <w:t>积极推进含VOCs原辅材料和产品源头替代。</w:t>
                  </w:r>
                  <w:r>
                    <w:rPr>
                      <w:rFonts w:hint="default" w:ascii="Times New Roman" w:hAnsi="Times New Roman" w:cs="Times New Roman" w:eastAsiaTheme="minorEastAsia"/>
                      <w:color w:val="auto"/>
                      <w:kern w:val="21"/>
                      <w:sz w:val="21"/>
                      <w:szCs w:val="21"/>
                      <w:lang w:val="en" w:eastAsia="zh-CN"/>
                    </w:rPr>
                    <w:t>严格控制生产和使用高VOCs含量涂料、油墨、胶粘剂、清洗剂等建设项目，提高低（无）VOCs含量产品比重。在生产、销售、进口、使用等环节严格执行VOCs含量限值标准。</w:t>
                  </w:r>
                  <w:r>
                    <w:rPr>
                      <w:rFonts w:hint="default" w:ascii="Times New Roman" w:hAnsi="Times New Roman" w:cs="Times New Roman" w:eastAsiaTheme="minorEastAsia"/>
                      <w:color w:val="auto"/>
                      <w:kern w:val="21"/>
                      <w:sz w:val="21"/>
                      <w:szCs w:val="21"/>
                      <w:lang w:val="en-US" w:eastAsia="zh-CN"/>
                    </w:rPr>
                    <w:t>全面推广使用低VOCs含量原辅材料，加大工业涂装、包装印刷和电子行业低</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US" w:eastAsia="zh-CN"/>
                    </w:rPr>
                    <w:t>无）VOCs含量原辅材料替代力度，各市</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US" w:eastAsia="zh-CN"/>
                    </w:rPr>
                    <w:t>区）应研究制定本辖区涉VOCs企业低VOCs原辅材料源头替代实施计划，做到应替尽替。</w:t>
                  </w:r>
                </w:p>
              </w:tc>
              <w:tc>
                <w:tcPr>
                  <w:tcW w:w="1240" w:type="pct"/>
                  <w:shd w:val="clear" w:color="auto" w:fill="auto"/>
                  <w:noWrap w:val="0"/>
                  <w:vAlign w:val="center"/>
                </w:tcPr>
                <w:p w14:paraId="4D9D73B4">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auto"/>
                      <w:kern w:val="21"/>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
                    </w:rPr>
                    <w:t>项目使用的原料常温储存过程中不会产生</w:t>
                  </w:r>
                  <w:r>
                    <w:rPr>
                      <w:rFonts w:hint="default" w:ascii="Times New Roman" w:hAnsi="Times New Roman" w:cs="Times New Roman" w:eastAsiaTheme="minorEastAsia"/>
                      <w:color w:val="auto"/>
                      <w:kern w:val="21"/>
                      <w:sz w:val="21"/>
                      <w:szCs w:val="21"/>
                      <w:highlight w:val="none"/>
                      <w:lang w:val="en-US" w:eastAsia="zh-CN"/>
                    </w:rPr>
                    <w:t>VOCs。</w:t>
                  </w:r>
                </w:p>
              </w:tc>
              <w:tc>
                <w:tcPr>
                  <w:tcW w:w="475" w:type="pct"/>
                  <w:shd w:val="clear" w:color="auto" w:fill="auto"/>
                  <w:noWrap w:val="0"/>
                  <w:vAlign w:val="center"/>
                </w:tcPr>
                <w:p w14:paraId="4A42AD30">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b/>
                      <w:bCs/>
                      <w:color w:val="000000"/>
                      <w:kern w:val="21"/>
                      <w:sz w:val="21"/>
                      <w:szCs w:val="21"/>
                      <w:lang w:val="en-US" w:eastAsia="zh-CN" w:bidi="ar-SA"/>
                    </w:rPr>
                  </w:pPr>
                  <w:r>
                    <w:rPr>
                      <w:rFonts w:hint="default" w:ascii="Times New Roman" w:hAnsi="Times New Roman" w:cs="Times New Roman" w:eastAsiaTheme="minorEastAsia"/>
                      <w:color w:val="000000"/>
                      <w:sz w:val="21"/>
                      <w:szCs w:val="21"/>
                    </w:rPr>
                    <w:t>符合</w:t>
                  </w:r>
                </w:p>
              </w:tc>
            </w:tr>
            <w:tr w14:paraId="3A4A9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jc w:val="center"/>
              </w:trPr>
              <w:tc>
                <w:tcPr>
                  <w:tcW w:w="824" w:type="pct"/>
                  <w:vMerge w:val="restart"/>
                  <w:noWrap w:val="0"/>
                  <w:vAlign w:val="center"/>
                </w:tcPr>
                <w:p w14:paraId="09C2B4BF">
                  <w:pPr>
                    <w:keepNext w:val="0"/>
                    <w:keepLines w:val="0"/>
                    <w:pageBreakBefore w:val="0"/>
                    <w:widowControl w:val="0"/>
                    <w:kinsoku/>
                    <w:wordWrap/>
                    <w:overflowPunct/>
                    <w:topLinePunct w:val="0"/>
                    <w:autoSpaceDE/>
                    <w:autoSpaceDN/>
                    <w:bidi w:val="0"/>
                    <w:adjustRightInd/>
                    <w:snapToGrid/>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kern w:val="21"/>
                      <w:sz w:val="21"/>
                      <w:szCs w:val="21"/>
                      <w:lang w:val="en"/>
                    </w:rPr>
                    <w:t>西安市人民政府关于印发</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
                    </w:rPr>
                    <w:t>十四五</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
                    </w:rPr>
                    <w:t>生态环境保护规划</w:t>
                  </w:r>
                  <w:r>
                    <w:rPr>
                      <w:rFonts w:hint="default" w:ascii="Times New Roman" w:hAnsi="Times New Roman" w:cs="Times New Roman" w:eastAsiaTheme="minorEastAsia"/>
                      <w:color w:val="auto"/>
                      <w:kern w:val="21"/>
                      <w:sz w:val="21"/>
                      <w:szCs w:val="21"/>
                      <w:lang w:val="en" w:eastAsia="zh-CN"/>
                    </w:rPr>
                    <w:t>》</w:t>
                  </w:r>
                  <w:r>
                    <w:rPr>
                      <w:rFonts w:hint="default" w:ascii="Times New Roman" w:hAnsi="Times New Roman" w:cs="Times New Roman" w:eastAsiaTheme="minorEastAsia"/>
                      <w:color w:val="auto"/>
                      <w:kern w:val="21"/>
                      <w:sz w:val="21"/>
                      <w:szCs w:val="21"/>
                      <w:lang w:val="en"/>
                    </w:rPr>
                    <w:t>的通知（市政发〔2021〕21号）</w:t>
                  </w:r>
                </w:p>
              </w:tc>
              <w:tc>
                <w:tcPr>
                  <w:tcW w:w="2459" w:type="pct"/>
                  <w:noWrap w:val="0"/>
                  <w:vAlign w:val="center"/>
                </w:tcPr>
                <w:p w14:paraId="7AC5926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强化</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三线一单</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生态环境分区管控的 刚性约束和政策引领作用，建立以“三线一单”为核心的生态环境分区管控体系，严格推动</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三线一单</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在规划编制、 政策制定、园区管理、执法监管等方面的应用。</w:t>
                  </w:r>
                </w:p>
              </w:tc>
              <w:tc>
                <w:tcPr>
                  <w:tcW w:w="1240" w:type="pct"/>
                  <w:noWrap w:val="0"/>
                  <w:vAlign w:val="center"/>
                </w:tcPr>
                <w:p w14:paraId="09B75BE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highlight w:val="none"/>
                      <w:lang w:val="en-US" w:eastAsia="zh-CN"/>
                    </w:rPr>
                    <w:t>本项目符合</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三线一单</w:t>
                  </w:r>
                  <w:r>
                    <w:rPr>
                      <w:rFonts w:hint="eastAsia" w:cs="Times New Roman" w:eastAsiaTheme="minorEastAsia"/>
                      <w:color w:val="auto"/>
                      <w:sz w:val="21"/>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要求</w:t>
                  </w:r>
                  <w:r>
                    <w:rPr>
                      <w:rFonts w:hint="default" w:ascii="Times New Roman" w:hAnsi="Times New Roman" w:cs="Times New Roman" w:eastAsiaTheme="minorEastAsia"/>
                      <w:color w:val="auto"/>
                      <w:sz w:val="21"/>
                      <w:szCs w:val="21"/>
                    </w:rPr>
                    <w:t>。</w:t>
                  </w:r>
                </w:p>
              </w:tc>
              <w:tc>
                <w:tcPr>
                  <w:tcW w:w="475" w:type="pct"/>
                  <w:noWrap w:val="0"/>
                  <w:vAlign w:val="center"/>
                </w:tcPr>
                <w:p w14:paraId="3405672D">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color w:val="auto"/>
                      <w:sz w:val="21"/>
                      <w:szCs w:val="21"/>
                      <w:highlight w:val="none"/>
                      <w:lang w:val="en-US" w:eastAsia="zh-CN"/>
                    </w:rPr>
                    <w:t>符合</w:t>
                  </w:r>
                </w:p>
              </w:tc>
            </w:tr>
            <w:tr w14:paraId="7641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24" w:type="pct"/>
                  <w:vMerge w:val="continue"/>
                  <w:noWrap w:val="0"/>
                  <w:vAlign w:val="center"/>
                </w:tcPr>
                <w:p w14:paraId="39A378FF">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p>
              </w:tc>
              <w:tc>
                <w:tcPr>
                  <w:tcW w:w="2459" w:type="pct"/>
                  <w:noWrap w:val="0"/>
                  <w:vAlign w:val="center"/>
                </w:tcPr>
                <w:p w14:paraId="7F5EE8D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强化VOCs 综合整治。将挥发性有机物 纳入污染物排放总量控制体系，有效减少重点污染源、全社会挥发性有机物和NOx排放总量。</w:t>
                  </w:r>
                </w:p>
              </w:tc>
              <w:tc>
                <w:tcPr>
                  <w:tcW w:w="1240" w:type="pct"/>
                  <w:noWrap w:val="0"/>
                  <w:vAlign w:val="center"/>
                </w:tcPr>
                <w:p w14:paraId="18F66D0B">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项目运营期挥发性有机物产生量较小，经</w:t>
                  </w:r>
                  <w:r>
                    <w:rPr>
                      <w:rFonts w:hint="default" w:ascii="Times New Roman" w:hAnsi="Times New Roman" w:cs="Times New Roman" w:eastAsiaTheme="minorEastAsia"/>
                      <w:color w:val="auto"/>
                      <w:kern w:val="24"/>
                      <w:sz w:val="21"/>
                      <w:szCs w:val="21"/>
                      <w:highlight w:val="none"/>
                    </w:rPr>
                    <w:t>集气罩收集</w:t>
                  </w:r>
                  <w:r>
                    <w:rPr>
                      <w:rFonts w:hint="default" w:ascii="Times New Roman" w:hAnsi="Times New Roman" w:cs="Times New Roman" w:eastAsiaTheme="minorEastAsia"/>
                      <w:color w:val="auto"/>
                      <w:kern w:val="0"/>
                      <w:sz w:val="21"/>
                      <w:szCs w:val="21"/>
                      <w:highlight w:val="none"/>
                    </w:rPr>
                    <w:t>+二级活性炭</w:t>
                  </w:r>
                  <w:r>
                    <w:rPr>
                      <w:rFonts w:hint="default" w:ascii="Times New Roman" w:hAnsi="Times New Roman" w:cs="Times New Roman" w:eastAsiaTheme="minorEastAsia"/>
                      <w:color w:val="auto"/>
                      <w:kern w:val="24"/>
                      <w:sz w:val="21"/>
                      <w:szCs w:val="21"/>
                      <w:highlight w:val="none"/>
                    </w:rPr>
                    <w:t>吸附</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4"/>
                      <w:sz w:val="21"/>
                      <w:szCs w:val="21"/>
                    </w:rPr>
                    <w:t>处理</w:t>
                  </w:r>
                  <w:r>
                    <w:rPr>
                      <w:rFonts w:hint="default" w:ascii="Times New Roman" w:hAnsi="Times New Roman" w:cs="Times New Roman" w:eastAsiaTheme="minorEastAsia"/>
                      <w:color w:val="auto"/>
                      <w:sz w:val="21"/>
                      <w:szCs w:val="21"/>
                    </w:rPr>
                    <w:t>。</w:t>
                  </w:r>
                </w:p>
              </w:tc>
              <w:tc>
                <w:tcPr>
                  <w:tcW w:w="475" w:type="pct"/>
                  <w:noWrap w:val="0"/>
                  <w:vAlign w:val="center"/>
                </w:tcPr>
                <w:p w14:paraId="3B5529F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76C1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3" w:hRule="atLeast"/>
                <w:jc w:val="center"/>
              </w:trPr>
              <w:tc>
                <w:tcPr>
                  <w:tcW w:w="824" w:type="pct"/>
                  <w:vMerge w:val="restart"/>
                  <w:noWrap w:val="0"/>
                  <w:vAlign w:val="center"/>
                </w:tcPr>
                <w:p w14:paraId="26525E7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《挥发性 有机物 （VOCS） 污染物防 治技术政 策》</w:t>
                  </w:r>
                  <w:r>
                    <w:rPr>
                      <w:rFonts w:hint="eastAsia" w:cs="Times New Roman" w:eastAsiaTheme="minorEastAsia"/>
                      <w:color w:val="auto"/>
                      <w:sz w:val="21"/>
                      <w:szCs w:val="21"/>
                      <w:highlight w:val="none"/>
                      <w:lang w:val="en-US" w:eastAsia="zh-CN"/>
                    </w:rPr>
                    <w:t>（公告2013年第31号）</w:t>
                  </w:r>
                </w:p>
              </w:tc>
              <w:tc>
                <w:tcPr>
                  <w:tcW w:w="2459" w:type="pct"/>
                  <w:noWrap w:val="0"/>
                  <w:vAlign w:val="center"/>
                </w:tcPr>
                <w:p w14:paraId="411BFFDE">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对于含低浓度 VOCs 的废气，有回收价 值时可采用吸附技术、吸收技术对有机溶剂回收后达标排放；不宜回收时，可采用吸附浓缩燃烧技术、生物技术、吸收技术、等离子体技术或紫外光高级氧化技术等净化后达标排放。</w:t>
                  </w:r>
                </w:p>
              </w:tc>
              <w:tc>
                <w:tcPr>
                  <w:tcW w:w="1240" w:type="pct"/>
                  <w:noWrap w:val="0"/>
                  <w:vAlign w:val="center"/>
                </w:tcPr>
                <w:p w14:paraId="77E3D61E">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kern w:val="2"/>
                      <w:sz w:val="21"/>
                      <w:szCs w:val="21"/>
                      <w:highlight w:val="none"/>
                      <w:lang w:val="en-US" w:eastAsia="zh-CN" w:bidi="ar-SA"/>
                    </w:rPr>
                    <w:t>项目注塑、挤出工序产生废气经</w:t>
                  </w:r>
                  <w:r>
                    <w:rPr>
                      <w:rFonts w:hint="default" w:ascii="Times New Roman" w:hAnsi="Times New Roman" w:cs="Times New Roman" w:eastAsiaTheme="minorEastAsia"/>
                      <w:color w:val="auto"/>
                      <w:kern w:val="24"/>
                      <w:sz w:val="21"/>
                      <w:szCs w:val="21"/>
                      <w:highlight w:val="none"/>
                    </w:rPr>
                    <w:t>集气罩收集</w:t>
                  </w:r>
                  <w:r>
                    <w:rPr>
                      <w:rFonts w:hint="default" w:ascii="Times New Roman" w:hAnsi="Times New Roman" w:cs="Times New Roman" w:eastAsiaTheme="minorEastAsia"/>
                      <w:color w:val="auto"/>
                      <w:kern w:val="0"/>
                      <w:sz w:val="21"/>
                      <w:szCs w:val="21"/>
                      <w:highlight w:val="none"/>
                    </w:rPr>
                    <w:t>+二级活性炭</w:t>
                  </w:r>
                  <w:r>
                    <w:rPr>
                      <w:rFonts w:hint="default" w:ascii="Times New Roman" w:hAnsi="Times New Roman" w:cs="Times New Roman" w:eastAsiaTheme="minorEastAsia"/>
                      <w:color w:val="auto"/>
                      <w:kern w:val="24"/>
                      <w:sz w:val="21"/>
                      <w:szCs w:val="21"/>
                      <w:highlight w:val="none"/>
                    </w:rPr>
                    <w:t>吸附</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4"/>
                      <w:sz w:val="21"/>
                      <w:szCs w:val="21"/>
                      <w:highlight w:val="none"/>
                    </w:rPr>
                    <w:t>处理</w:t>
                  </w:r>
                  <w:r>
                    <w:rPr>
                      <w:rFonts w:hint="default" w:ascii="Times New Roman" w:hAnsi="Times New Roman" w:cs="Times New Roman" w:eastAsiaTheme="minorEastAsia"/>
                      <w:color w:val="auto"/>
                      <w:sz w:val="21"/>
                      <w:szCs w:val="21"/>
                      <w:highlight w:val="none"/>
                      <w:lang w:eastAsia="zh-CN"/>
                    </w:rPr>
                    <w:t>。</w:t>
                  </w:r>
                </w:p>
              </w:tc>
              <w:tc>
                <w:tcPr>
                  <w:tcW w:w="475" w:type="pct"/>
                  <w:noWrap w:val="0"/>
                  <w:vAlign w:val="center"/>
                </w:tcPr>
                <w:p w14:paraId="6F15FE66">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2FA66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8" w:hRule="atLeast"/>
                <w:jc w:val="center"/>
              </w:trPr>
              <w:tc>
                <w:tcPr>
                  <w:tcW w:w="824" w:type="pct"/>
                  <w:vMerge w:val="continue"/>
                  <w:noWrap w:val="0"/>
                  <w:vAlign w:val="center"/>
                </w:tcPr>
                <w:p w14:paraId="25E44169">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noWrap w:val="0"/>
                  <w:vAlign w:val="center"/>
                </w:tcPr>
                <w:p w14:paraId="0108F67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对于不能再生的过滤材料、吸附剂及催化剂等净化材料，应按照国家固体废物管理的相关规定处理处置。</w:t>
                  </w:r>
                </w:p>
              </w:tc>
              <w:tc>
                <w:tcPr>
                  <w:tcW w:w="1240" w:type="pct"/>
                  <w:noWrap w:val="0"/>
                  <w:vAlign w:val="center"/>
                </w:tcPr>
                <w:p w14:paraId="0790B4DC">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本项目有机废气净化装置产生的废活性炭由企业集中收集后暂存于危险废物贮存库，定期交有资质的单位处置。</w:t>
                  </w:r>
                </w:p>
              </w:tc>
              <w:tc>
                <w:tcPr>
                  <w:tcW w:w="475" w:type="pct"/>
                  <w:noWrap w:val="0"/>
                  <w:vAlign w:val="center"/>
                </w:tcPr>
                <w:p w14:paraId="08FBF3CB">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39A81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jc w:val="center"/>
              </w:trPr>
              <w:tc>
                <w:tcPr>
                  <w:tcW w:w="824" w:type="pct"/>
                  <w:shd w:val="clear" w:color="auto" w:fill="auto"/>
                  <w:noWrap w:val="0"/>
                  <w:vAlign w:val="center"/>
                </w:tcPr>
                <w:p w14:paraId="563E843E">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
                    </w:rPr>
                    <w:t>《陕西省大气污染防治条例》</w:t>
                  </w:r>
                  <w:r>
                    <w:rPr>
                      <w:rFonts w:hint="default" w:ascii="Times New Roman" w:hAnsi="Times New Roman" w:cs="Times New Roman" w:eastAsiaTheme="minorEastAsia"/>
                      <w:color w:val="auto"/>
                      <w:kern w:val="21"/>
                      <w:sz w:val="21"/>
                      <w:szCs w:val="21"/>
                      <w:highlight w:val="none"/>
                      <w:lang w:val="en"/>
                    </w:rPr>
                    <w:t>陕西省第十二届人民代表大会常务委员会第六次会议通过（2013年11月29日）</w:t>
                  </w:r>
                </w:p>
              </w:tc>
              <w:tc>
                <w:tcPr>
                  <w:tcW w:w="2459" w:type="pct"/>
                  <w:shd w:val="clear" w:color="auto" w:fill="auto"/>
                  <w:noWrap w:val="0"/>
                  <w:vAlign w:val="center"/>
                </w:tcPr>
                <w:p w14:paraId="2DA90383">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
                    </w:rPr>
                    <w:t>企业应当优先采用能源和原材料利用效率高、污染物排放量少的清洁生产技术、工艺和装备，减少大气污染物的产生和排放。</w:t>
                  </w:r>
                </w:p>
              </w:tc>
              <w:tc>
                <w:tcPr>
                  <w:tcW w:w="1240" w:type="pct"/>
                  <w:shd w:val="clear" w:color="auto" w:fill="auto"/>
                  <w:noWrap w:val="0"/>
                  <w:vAlign w:val="center"/>
                </w:tcPr>
                <w:p w14:paraId="1E1C2A52">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2"/>
                      <w:sz w:val="21"/>
                      <w:szCs w:val="21"/>
                      <w:highlight w:val="none"/>
                      <w:lang w:val="en-GB" w:eastAsia="zh-CN" w:bidi="ar-SA"/>
                    </w:rPr>
                  </w:pPr>
                  <w:r>
                    <w:rPr>
                      <w:rFonts w:hint="default" w:ascii="Times New Roman" w:hAnsi="Times New Roman" w:cs="Times New Roman" w:eastAsiaTheme="minorEastAsia"/>
                      <w:color w:val="auto"/>
                      <w:kern w:val="0"/>
                      <w:sz w:val="21"/>
                      <w:szCs w:val="21"/>
                      <w:highlight w:val="none"/>
                      <w:lang w:val="en-US" w:eastAsia="zh-CN" w:bidi="ar"/>
                    </w:rPr>
                    <w:t>项目生产工序均使用电能。</w:t>
                  </w:r>
                </w:p>
              </w:tc>
              <w:tc>
                <w:tcPr>
                  <w:tcW w:w="475" w:type="pct"/>
                  <w:shd w:val="clear" w:color="auto" w:fill="auto"/>
                  <w:noWrap w:val="0"/>
                  <w:vAlign w:val="center"/>
                </w:tcPr>
                <w:p w14:paraId="463D4BF1">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sz w:val="21"/>
                      <w:szCs w:val="21"/>
                    </w:rPr>
                    <w:t>符合</w:t>
                  </w:r>
                </w:p>
              </w:tc>
            </w:tr>
            <w:tr w14:paraId="5D65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1" w:hRule="atLeast"/>
                <w:jc w:val="center"/>
              </w:trPr>
              <w:tc>
                <w:tcPr>
                  <w:tcW w:w="824" w:type="pct"/>
                  <w:noWrap w:val="0"/>
                  <w:vAlign w:val="center"/>
                </w:tcPr>
                <w:p w14:paraId="6EF912B4">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lang w:val="en-US" w:eastAsia="zh-CN"/>
                    </w:rPr>
                    <w:t>《西安市人民政府关于印发西安市空气质量达标规划（2023-2030年）的通知》（市政发〔2023〕10号）</w:t>
                  </w:r>
                </w:p>
              </w:tc>
              <w:tc>
                <w:tcPr>
                  <w:tcW w:w="2459" w:type="pct"/>
                  <w:noWrap w:val="0"/>
                  <w:vAlign w:val="center"/>
                </w:tcPr>
                <w:p w14:paraId="391E522A">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新建项目不再采用单一低温等离子、光氧化、光催化等治理技术，非水溶性 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240" w:type="pct"/>
                  <w:noWrap w:val="0"/>
                  <w:vAlign w:val="center"/>
                </w:tcPr>
                <w:p w14:paraId="0E19D2E3">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rPr>
                    <w:t>本项目原料为</w:t>
                  </w:r>
                  <w:r>
                    <w:rPr>
                      <w:rFonts w:hint="default" w:ascii="Times New Roman" w:hAnsi="Times New Roman" w:cs="Times New Roman" w:eastAsiaTheme="minorEastAsia"/>
                      <w:color w:val="auto"/>
                      <w:sz w:val="21"/>
                      <w:szCs w:val="21"/>
                      <w:lang w:val="en-US" w:eastAsia="zh-CN"/>
                    </w:rPr>
                    <w:t>PP、PE和色母粒</w:t>
                  </w:r>
                  <w:r>
                    <w:rPr>
                      <w:rFonts w:hint="default" w:ascii="Times New Roman" w:hAnsi="Times New Roman" w:cs="Times New Roman" w:eastAsiaTheme="minorEastAsia"/>
                      <w:color w:val="auto"/>
                      <w:sz w:val="21"/>
                      <w:szCs w:val="21"/>
                    </w:rPr>
                    <w:t>，</w:t>
                  </w:r>
                  <w:r>
                    <w:rPr>
                      <w:rFonts w:hint="default" w:ascii="Times New Roman" w:hAnsi="Times New Roman" w:cs="Times New Roman" w:eastAsiaTheme="minorEastAsia"/>
                      <w:color w:val="auto"/>
                      <w:sz w:val="21"/>
                      <w:szCs w:val="21"/>
                      <w:lang w:eastAsia="zh-CN"/>
                    </w:rPr>
                    <w:t>生产过程中的废气</w:t>
                  </w:r>
                  <w:r>
                    <w:rPr>
                      <w:rFonts w:hint="default" w:ascii="Times New Roman" w:hAnsi="Times New Roman" w:cs="Times New Roman" w:eastAsiaTheme="minorEastAsia"/>
                      <w:bCs/>
                      <w:snapToGrid w:val="0"/>
                      <w:color w:val="auto"/>
                      <w:kern w:val="0"/>
                      <w:sz w:val="21"/>
                      <w:szCs w:val="21"/>
                    </w:rPr>
                    <w:t>采用</w:t>
                  </w:r>
                  <w:r>
                    <w:rPr>
                      <w:rFonts w:hint="default" w:ascii="Times New Roman" w:hAnsi="Times New Roman" w:cs="Times New Roman" w:eastAsiaTheme="minorEastAsia"/>
                      <w:color w:val="auto"/>
                      <w:kern w:val="24"/>
                      <w:sz w:val="21"/>
                      <w:szCs w:val="21"/>
                      <w:highlight w:val="none"/>
                    </w:rPr>
                    <w:t>集气罩收集+</w:t>
                  </w:r>
                  <w:r>
                    <w:rPr>
                      <w:rFonts w:hint="default" w:ascii="Times New Roman" w:hAnsi="Times New Roman" w:cs="Times New Roman" w:eastAsiaTheme="minorEastAsia"/>
                      <w:color w:val="auto"/>
                      <w:kern w:val="0"/>
                      <w:sz w:val="21"/>
                      <w:szCs w:val="21"/>
                      <w:highlight w:val="none"/>
                    </w:rPr>
                    <w:t>二级活性炭</w:t>
                  </w:r>
                  <w:r>
                    <w:rPr>
                      <w:rFonts w:hint="default" w:ascii="Times New Roman" w:hAnsi="Times New Roman" w:cs="Times New Roman" w:eastAsiaTheme="minorEastAsia"/>
                      <w:color w:val="auto"/>
                      <w:kern w:val="24"/>
                      <w:sz w:val="21"/>
                      <w:szCs w:val="21"/>
                      <w:highlight w:val="none"/>
                    </w:rPr>
                    <w:t>吸附</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4"/>
                      <w:sz w:val="21"/>
                      <w:szCs w:val="21"/>
                      <w:highlight w:val="none"/>
                    </w:rPr>
                    <w:t>处理</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val="en-US" w:eastAsia="zh-CN"/>
                    </w:rPr>
                    <w:t>项目不属于重点行业，不涉及环保绩效评级。</w:t>
                  </w:r>
                </w:p>
              </w:tc>
              <w:tc>
                <w:tcPr>
                  <w:tcW w:w="475" w:type="pct"/>
                  <w:noWrap w:val="0"/>
                  <w:vAlign w:val="center"/>
                </w:tcPr>
                <w:p w14:paraId="526A9D07">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highlight w:val="none"/>
                      <w:lang w:val="en-US" w:eastAsia="zh-CN"/>
                    </w:rPr>
                    <w:t>符合</w:t>
                  </w:r>
                </w:p>
              </w:tc>
            </w:tr>
            <w:tr w14:paraId="17362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4" w:type="pct"/>
                  <w:vMerge w:val="restart"/>
                  <w:shd w:val="clear" w:color="auto" w:fill="auto"/>
                  <w:noWrap w:val="0"/>
                  <w:vAlign w:val="center"/>
                </w:tcPr>
                <w:p w14:paraId="73EA4CB9">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西安市生态环境局</w:t>
                  </w:r>
                  <w:r>
                    <w:rPr>
                      <w:rFonts w:hint="default" w:ascii="Times New Roman" w:hAnsi="Times New Roman" w:cs="Times New Roman" w:eastAsiaTheme="minorEastAsia"/>
                      <w:color w:val="auto"/>
                      <w:kern w:val="0"/>
                      <w:sz w:val="21"/>
                      <w:szCs w:val="21"/>
                    </w:rPr>
                    <w:t>关于加强挥发性有机物活性炭吸附处理设施运行管理工作的通知</w:t>
                  </w:r>
                  <w:r>
                    <w:rPr>
                      <w:rFonts w:hint="default" w:ascii="Times New Roman" w:hAnsi="Times New Roman" w:cs="Times New Roman" w:eastAsiaTheme="minorEastAsia"/>
                      <w:color w:val="auto"/>
                      <w:kern w:val="0"/>
                      <w:sz w:val="21"/>
                      <w:szCs w:val="21"/>
                      <w:lang w:eastAsia="zh-CN"/>
                    </w:rPr>
                    <w:t>（</w:t>
                  </w:r>
                  <w:r>
                    <w:rPr>
                      <w:rFonts w:hint="default" w:ascii="Times New Roman" w:hAnsi="Times New Roman" w:cs="Times New Roman" w:eastAsiaTheme="minorEastAsia"/>
                      <w:color w:val="auto"/>
                      <w:kern w:val="0"/>
                      <w:sz w:val="21"/>
                      <w:szCs w:val="21"/>
                    </w:rPr>
                    <w:t>市环发〔2022〕65号</w:t>
                  </w:r>
                  <w:r>
                    <w:rPr>
                      <w:rFonts w:hint="default" w:ascii="Times New Roman" w:hAnsi="Times New Roman" w:cs="Times New Roman" w:eastAsiaTheme="minorEastAsia"/>
                      <w:color w:val="auto"/>
                      <w:kern w:val="0"/>
                      <w:sz w:val="21"/>
                      <w:szCs w:val="21"/>
                      <w:lang w:eastAsia="zh-CN"/>
                    </w:rPr>
                    <w:t>）</w:t>
                  </w:r>
                </w:p>
              </w:tc>
              <w:tc>
                <w:tcPr>
                  <w:tcW w:w="2459" w:type="pct"/>
                  <w:shd w:val="clear" w:color="auto" w:fill="auto"/>
                  <w:noWrap w:val="0"/>
                  <w:vAlign w:val="center"/>
                </w:tcPr>
                <w:p w14:paraId="50A2DE08">
                  <w:pPr>
                    <w:keepNext w:val="0"/>
                    <w:keepLines w:val="0"/>
                    <w:pageBreakBefore w:val="0"/>
                    <w:widowControl w:val="0"/>
                    <w:kinsoku/>
                    <w:wordWrap w:val="0"/>
                    <w:overflowPunct/>
                    <w:topLinePunct w:val="0"/>
                    <w:autoSpaceDE/>
                    <w:autoSpaceDN/>
                    <w:bidi w:val="0"/>
                    <w:adjustRightInd w:val="0"/>
                    <w:snapToGrid w:val="0"/>
                    <w:spacing w:before="120"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保证活性炭质量。企业购置活性炭必须提供活性炭检测报告，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240" w:type="pct"/>
                  <w:shd w:val="clear" w:color="auto" w:fill="auto"/>
                  <w:noWrap w:val="0"/>
                  <w:vAlign w:val="center"/>
                </w:tcPr>
                <w:p w14:paraId="14EDC166">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项目要求企业选用满足《工业有机废气净化用活性炭技术指标及试验方法》(LY/T3284)规定的优级活性炭。</w:t>
                  </w:r>
                </w:p>
              </w:tc>
              <w:tc>
                <w:tcPr>
                  <w:tcW w:w="475" w:type="pct"/>
                  <w:shd w:val="clear" w:color="auto" w:fill="auto"/>
                  <w:noWrap w:val="0"/>
                  <w:vAlign w:val="center"/>
                </w:tcPr>
                <w:p w14:paraId="55C16A98">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23CE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824" w:type="pct"/>
                  <w:vMerge w:val="continue"/>
                  <w:noWrap w:val="0"/>
                  <w:vAlign w:val="center"/>
                </w:tcPr>
                <w:p w14:paraId="72562BF9">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192F014C">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明确填充量并及时更换。企业应当根据风量和VOCS初始浓度范围，明确活性炭的填充量、填充厚度和更换时间。</w:t>
                  </w:r>
                </w:p>
              </w:tc>
              <w:tc>
                <w:tcPr>
                  <w:tcW w:w="1240" w:type="pct"/>
                  <w:shd w:val="clear" w:color="auto" w:fill="auto"/>
                  <w:noWrap w:val="0"/>
                  <w:vAlign w:val="center"/>
                </w:tcPr>
                <w:p w14:paraId="7A2EB95F">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项目要求企业按环保设计单位要求，及时更换。</w:t>
                  </w:r>
                </w:p>
              </w:tc>
              <w:tc>
                <w:tcPr>
                  <w:tcW w:w="475" w:type="pct"/>
                  <w:shd w:val="clear" w:color="auto" w:fill="auto"/>
                  <w:noWrap w:val="0"/>
                  <w:vAlign w:val="center"/>
                </w:tcPr>
                <w:p w14:paraId="42AE67E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463A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7" w:hRule="atLeast"/>
                <w:jc w:val="center"/>
              </w:trPr>
              <w:tc>
                <w:tcPr>
                  <w:tcW w:w="824" w:type="pct"/>
                  <w:vMerge w:val="continue"/>
                  <w:noWrap w:val="0"/>
                  <w:vAlign w:val="center"/>
                </w:tcPr>
                <w:p w14:paraId="3704358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05457FD6">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严格控制无组织排放。盛装VOCs物料的容器或包装袋应密闭储存于室内，或存放于设置有雨棚、遮阳和防渗设施的专用场地，非取用状态时应加盖、封口，保持封闭。VOCs物料调配过程应采用密闭设备或在密闭空间内操作，并设置专门的密闭调配间，调配废气应排至VOCs废气收集处理系统；无法密闭的，应采取局部气体收集措施，废气应排至VOCs废气收集处理系统。</w:t>
                  </w:r>
                </w:p>
              </w:tc>
              <w:tc>
                <w:tcPr>
                  <w:tcW w:w="1240" w:type="pct"/>
                  <w:shd w:val="clear" w:color="auto" w:fill="auto"/>
                  <w:noWrap w:val="0"/>
                  <w:vAlign w:val="center"/>
                </w:tcPr>
                <w:p w14:paraId="12F73A55">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highlight w:val="none"/>
                      <w:lang w:val="en-US" w:eastAsia="zh-CN"/>
                    </w:rPr>
                  </w:pPr>
                  <w:r>
                    <w:rPr>
                      <w:rFonts w:hint="default" w:ascii="Times New Roman" w:hAnsi="Times New Roman" w:cs="Times New Roman" w:eastAsiaTheme="minorEastAsia"/>
                      <w:color w:val="auto"/>
                      <w:kern w:val="0"/>
                      <w:sz w:val="21"/>
                      <w:szCs w:val="21"/>
                      <w:lang w:val="en-US" w:eastAsia="zh-CN" w:bidi="ar"/>
                    </w:rPr>
                    <w:t>项目使用的原料常温储存过程中不会产生</w:t>
                  </w:r>
                  <w:r>
                    <w:rPr>
                      <w:rFonts w:hint="default" w:ascii="Times New Roman" w:hAnsi="Times New Roman" w:cs="Times New Roman" w:eastAsiaTheme="minorEastAsia"/>
                      <w:color w:val="auto"/>
                      <w:kern w:val="21"/>
                      <w:sz w:val="21"/>
                      <w:szCs w:val="21"/>
                      <w:highlight w:val="none"/>
                      <w:lang w:val="en-US" w:eastAsia="zh-CN"/>
                    </w:rPr>
                    <w:t>VOCs。</w:t>
                  </w:r>
                </w:p>
                <w:p w14:paraId="1F7680DA">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项目注塑、挤出工序产生废气经</w:t>
                  </w:r>
                  <w:r>
                    <w:rPr>
                      <w:rFonts w:hint="default" w:ascii="Times New Roman" w:hAnsi="Times New Roman" w:cs="Times New Roman" w:eastAsiaTheme="minorEastAsia"/>
                      <w:color w:val="auto"/>
                      <w:kern w:val="24"/>
                      <w:sz w:val="21"/>
                      <w:szCs w:val="21"/>
                      <w:highlight w:val="none"/>
                    </w:rPr>
                    <w:t>集气罩收集</w:t>
                  </w:r>
                  <w:r>
                    <w:rPr>
                      <w:rFonts w:hint="default" w:ascii="Times New Roman" w:hAnsi="Times New Roman" w:cs="Times New Roman" w:eastAsiaTheme="minorEastAsia"/>
                      <w:color w:val="auto"/>
                      <w:kern w:val="0"/>
                      <w:sz w:val="21"/>
                      <w:szCs w:val="21"/>
                      <w:highlight w:val="none"/>
                    </w:rPr>
                    <w:t>+二级活性炭</w:t>
                  </w:r>
                  <w:r>
                    <w:rPr>
                      <w:rFonts w:hint="default" w:ascii="Times New Roman" w:hAnsi="Times New Roman" w:cs="Times New Roman" w:eastAsiaTheme="minorEastAsia"/>
                      <w:color w:val="auto"/>
                      <w:kern w:val="24"/>
                      <w:sz w:val="21"/>
                      <w:szCs w:val="21"/>
                      <w:highlight w:val="none"/>
                    </w:rPr>
                    <w:t>吸附</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4"/>
                      <w:sz w:val="21"/>
                      <w:szCs w:val="21"/>
                      <w:highlight w:val="none"/>
                    </w:rPr>
                    <w:t>处理</w:t>
                  </w:r>
                  <w:r>
                    <w:rPr>
                      <w:rFonts w:hint="default" w:ascii="Times New Roman" w:hAnsi="Times New Roman" w:cs="Times New Roman" w:eastAsiaTheme="minorEastAsia"/>
                      <w:color w:val="auto"/>
                      <w:sz w:val="21"/>
                      <w:szCs w:val="21"/>
                      <w:highlight w:val="none"/>
                      <w:lang w:eastAsia="zh-CN"/>
                    </w:rPr>
                    <w:t>。</w:t>
                  </w:r>
                </w:p>
              </w:tc>
              <w:tc>
                <w:tcPr>
                  <w:tcW w:w="475" w:type="pct"/>
                  <w:shd w:val="clear" w:color="auto" w:fill="auto"/>
                  <w:noWrap w:val="0"/>
                  <w:vAlign w:val="center"/>
                </w:tcPr>
                <w:p w14:paraId="25DD0F74">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3114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824" w:type="pct"/>
                  <w:vMerge w:val="continue"/>
                  <w:noWrap w:val="0"/>
                  <w:vAlign w:val="center"/>
                </w:tcPr>
                <w:p w14:paraId="51B39BC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noWrap w:val="0"/>
                  <w:vAlign w:val="center"/>
                </w:tcPr>
                <w:p w14:paraId="6C09CCBC">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严格危废管理。产生废活性炭的企业，必须与有许可证的危废经营单位签订危废处置协议。</w:t>
                  </w:r>
                </w:p>
              </w:tc>
              <w:tc>
                <w:tcPr>
                  <w:tcW w:w="1240" w:type="pct"/>
                  <w:shd w:val="clear" w:color="auto" w:fill="auto"/>
                  <w:noWrap w:val="0"/>
                  <w:vAlign w:val="center"/>
                </w:tcPr>
                <w:p w14:paraId="45DB7E7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要求建设单位后期必须</w:t>
                  </w:r>
                  <w:r>
                    <w:rPr>
                      <w:rFonts w:hint="default" w:ascii="Times New Roman" w:hAnsi="Times New Roman" w:cs="Times New Roman" w:eastAsiaTheme="minorEastAsia"/>
                      <w:color w:val="auto"/>
                      <w:spacing w:val="0"/>
                      <w:kern w:val="0"/>
                      <w:sz w:val="21"/>
                      <w:szCs w:val="21"/>
                      <w:lang w:val="en-US" w:eastAsia="zh-CN" w:bidi="ar-SA"/>
                    </w:rPr>
                    <w:t>与有许可证的危废经营单位签订危废处置协议。</w:t>
                  </w:r>
                </w:p>
              </w:tc>
              <w:tc>
                <w:tcPr>
                  <w:tcW w:w="475" w:type="pct"/>
                  <w:shd w:val="clear" w:color="auto" w:fill="auto"/>
                  <w:noWrap w:val="0"/>
                  <w:vAlign w:val="center"/>
                </w:tcPr>
                <w:p w14:paraId="4D4A820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7F653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jc w:val="center"/>
              </w:trPr>
              <w:tc>
                <w:tcPr>
                  <w:tcW w:w="824" w:type="pct"/>
                  <w:vMerge w:val="continue"/>
                </w:tcPr>
                <w:p w14:paraId="1FEC3835">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2B78E6BC">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鼓励循环再生活性炭。鼓励企业使用优质可循环使用的活性炭，并与有资质的企业签订废旧活性炭的收集、转运、循环利用服务协议，提高治理效率，减少危险废物产生。</w:t>
                  </w:r>
                </w:p>
              </w:tc>
              <w:tc>
                <w:tcPr>
                  <w:tcW w:w="1240" w:type="pct"/>
                  <w:shd w:val="clear" w:color="auto" w:fill="auto"/>
                  <w:vAlign w:val="center"/>
                </w:tcPr>
                <w:p w14:paraId="6596907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活性炭定期更换后交由有资质单位处理。</w:t>
                  </w:r>
                </w:p>
              </w:tc>
              <w:tc>
                <w:tcPr>
                  <w:tcW w:w="475" w:type="pct"/>
                  <w:shd w:val="clear" w:color="auto" w:fill="auto"/>
                  <w:vAlign w:val="center"/>
                </w:tcPr>
                <w:p w14:paraId="0D0B1D23">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7016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jc w:val="center"/>
              </w:trPr>
              <w:tc>
                <w:tcPr>
                  <w:tcW w:w="824" w:type="pct"/>
                  <w:vMerge w:val="continue"/>
                </w:tcPr>
                <w:p w14:paraId="2AE817F8">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129ACB1C">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完善台账记录。企业应按要求做好活性炭吸附日常运行维护台账记录，台账内容应包括开启时间、关停时间、更换时间更换照片、装填数量、设计参数、风量等，以及活性炭主要技术指标检测合格材料。环境管理台账记录保存期限不得少于5年。</w:t>
                  </w:r>
                </w:p>
              </w:tc>
              <w:tc>
                <w:tcPr>
                  <w:tcW w:w="1240" w:type="pct"/>
                  <w:shd w:val="clear" w:color="auto" w:fill="auto"/>
                  <w:vAlign w:val="center"/>
                </w:tcPr>
                <w:p w14:paraId="1E4D93B5">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要求建设单位按要求</w:t>
                  </w:r>
                  <w:r>
                    <w:rPr>
                      <w:rFonts w:hint="default" w:ascii="Times New Roman" w:hAnsi="Times New Roman" w:cs="Times New Roman" w:eastAsiaTheme="minorEastAsia"/>
                      <w:color w:val="auto"/>
                      <w:spacing w:val="0"/>
                      <w:kern w:val="0"/>
                      <w:sz w:val="21"/>
                      <w:szCs w:val="21"/>
                      <w:lang w:val="en-US" w:eastAsia="zh-CN" w:bidi="ar-SA"/>
                    </w:rPr>
                    <w:t>完善台账记录</w:t>
                  </w:r>
                  <w:r>
                    <w:rPr>
                      <w:rFonts w:hint="default" w:ascii="Times New Roman" w:hAnsi="Times New Roman" w:cs="Times New Roman" w:eastAsiaTheme="minorEastAsia"/>
                      <w:color w:val="auto"/>
                      <w:kern w:val="0"/>
                      <w:sz w:val="21"/>
                      <w:szCs w:val="21"/>
                      <w:lang w:val="en-US" w:eastAsia="zh-CN"/>
                    </w:rPr>
                    <w:t>。</w:t>
                  </w:r>
                </w:p>
                <w:p w14:paraId="55E92F32">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p>
              </w:tc>
              <w:tc>
                <w:tcPr>
                  <w:tcW w:w="475" w:type="pct"/>
                  <w:shd w:val="clear" w:color="auto" w:fill="auto"/>
                  <w:vAlign w:val="center"/>
                </w:tcPr>
                <w:p w14:paraId="167C2717">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rPr>
                    <w:t>符合</w:t>
                  </w:r>
                </w:p>
              </w:tc>
            </w:tr>
            <w:tr w14:paraId="04B5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824" w:type="pct"/>
                  <w:vMerge w:val="restart"/>
                  <w:shd w:val="clear" w:color="auto" w:fill="auto"/>
                  <w:vAlign w:val="center"/>
                </w:tcPr>
                <w:p w14:paraId="6A68E04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陕西省生态环境厅关于进一步加强关中地区涉气重点行业项目环评管理的通知（陕环环评函〔2023〕76号）</w:t>
                  </w:r>
                </w:p>
              </w:tc>
              <w:tc>
                <w:tcPr>
                  <w:tcW w:w="2459" w:type="pct"/>
                  <w:shd w:val="clear" w:color="auto" w:fill="auto"/>
                  <w:vAlign w:val="center"/>
                </w:tcPr>
                <w:p w14:paraId="18078C31">
                  <w:pPr>
                    <w:pStyle w:val="23"/>
                    <w:keepNext w:val="0"/>
                    <w:keepLines w:val="0"/>
                    <w:pageBreakBefore w:val="0"/>
                    <w:widowControl/>
                    <w:kinsoku/>
                    <w:wordWrap/>
                    <w:overflowPunct/>
                    <w:topLinePunct w:val="0"/>
                    <w:autoSpaceDE/>
                    <w:autoSpaceDN/>
                    <w:bidi w:val="0"/>
                    <w:adjustRightInd w:val="0"/>
                    <w:snapToGrid w:val="0"/>
                    <w:spacing w:before="0" w:after="0" w:line="264" w:lineRule="auto"/>
                    <w:ind w:right="0" w:rightChars="0" w:firstLine="0" w:firstLineChars="0"/>
                    <w:jc w:val="left"/>
                    <w:textAlignment w:val="auto"/>
                    <w:rPr>
                      <w:rFonts w:hint="default" w:ascii="Times New Roman" w:hAnsi="Times New Roman" w:cs="Times New Roman" w:eastAsiaTheme="minorEastAsia"/>
                      <w:color w:val="auto"/>
                      <w:spacing w:val="0"/>
                      <w:kern w:val="0"/>
                      <w:sz w:val="21"/>
                      <w:szCs w:val="21"/>
                      <w:lang w:val="en-US" w:eastAsia="zh-CN" w:bidi="ar-SA"/>
                    </w:rPr>
                  </w:pPr>
                  <w:r>
                    <w:rPr>
                      <w:rFonts w:hint="default" w:ascii="Times New Roman" w:hAnsi="Times New Roman" w:cs="Times New Roman" w:eastAsiaTheme="minorEastAsia"/>
                      <w:color w:val="auto"/>
                      <w:spacing w:val="0"/>
                      <w:kern w:val="0"/>
                      <w:sz w:val="21"/>
                      <w:szCs w:val="21"/>
                      <w:lang w:val="en-US" w:eastAsia="zh-CN" w:bidi="ar-SA"/>
                    </w:rPr>
                    <w:t>一、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240" w:type="pct"/>
                  <w:vMerge w:val="restart"/>
                  <w:shd w:val="clear" w:color="auto" w:fill="auto"/>
                  <w:vAlign w:val="center"/>
                </w:tcPr>
                <w:p w14:paraId="395F5238">
                  <w:pPr>
                    <w:keepNext w:val="0"/>
                    <w:keepLines w:val="0"/>
                    <w:pageBreakBefore w:val="0"/>
                    <w:widowControl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21"/>
                      <w:sz w:val="21"/>
                      <w:szCs w:val="21"/>
                    </w:rPr>
                    <w:t>本项目</w:t>
                  </w:r>
                  <w:r>
                    <w:rPr>
                      <w:rFonts w:hint="default" w:ascii="Times New Roman" w:hAnsi="Times New Roman" w:cs="Times New Roman" w:eastAsiaTheme="minorEastAsia"/>
                      <w:color w:val="auto"/>
                      <w:kern w:val="21"/>
                      <w:sz w:val="21"/>
                      <w:szCs w:val="21"/>
                      <w:lang w:val="en-US" w:eastAsia="zh-CN"/>
                    </w:rPr>
                    <w:t>位于西咸新区泾河新城，属于关中地区；不属于</w:t>
                  </w:r>
                  <w:r>
                    <w:rPr>
                      <w:rFonts w:hint="default" w:ascii="Times New Roman" w:hAnsi="Times New Roman" w:cs="Times New Roman" w:eastAsiaTheme="minorEastAsia"/>
                      <w:color w:val="auto"/>
                      <w:kern w:val="21"/>
                      <w:sz w:val="21"/>
                      <w:szCs w:val="21"/>
                    </w:rPr>
                    <w:t>《重污染天气重点行业应急减排措施制定技术指南（2020年修订版）》中的重点行业</w:t>
                  </w:r>
                  <w:r>
                    <w:rPr>
                      <w:rFonts w:hint="default" w:ascii="Times New Roman" w:hAnsi="Times New Roman" w:cs="Times New Roman" w:eastAsiaTheme="minorEastAsia"/>
                      <w:color w:val="auto"/>
                      <w:kern w:val="21"/>
                      <w:sz w:val="21"/>
                      <w:szCs w:val="21"/>
                      <w:lang w:val="en-US" w:eastAsia="zh-CN"/>
                    </w:rPr>
                    <w:t>中，不纳入绩效评级管理。</w:t>
                  </w:r>
                </w:p>
              </w:tc>
              <w:tc>
                <w:tcPr>
                  <w:tcW w:w="475" w:type="pct"/>
                  <w:shd w:val="clear" w:color="auto" w:fill="auto"/>
                  <w:vAlign w:val="center"/>
                </w:tcPr>
                <w:p w14:paraId="7CC5C2CA">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00EF4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jc w:val="center"/>
              </w:trPr>
              <w:tc>
                <w:tcPr>
                  <w:tcW w:w="824" w:type="pct"/>
                  <w:vMerge w:val="continue"/>
                </w:tcPr>
                <w:p w14:paraId="3BE4F303">
                  <w:pPr>
                    <w:keepNext w:val="0"/>
                    <w:keepLines w:val="0"/>
                    <w:pageBreakBefore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p>
              </w:tc>
              <w:tc>
                <w:tcPr>
                  <w:tcW w:w="2459" w:type="pct"/>
                  <w:shd w:val="clear" w:color="auto" w:fill="auto"/>
                  <w:vAlign w:val="center"/>
                </w:tcPr>
                <w:p w14:paraId="7EB6527D">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二、关中地区涉气重点行业新、改、扩建项目环境影响报告书（表）应编制环保绩效管理篇章，按照环办大气函〔2020〕340号文件从建设项目的装备水平(生产工艺)、污染治理技术、排放限值、无组织管控要求、监测监控水平、环境管理水平、运输方式和管控要求等方面，专项分析拟建和已建项目建设内容、生态环境保护措施与对应环保绩效分级、绩效引领性水平的相符性。</w:t>
                  </w:r>
                </w:p>
              </w:tc>
              <w:tc>
                <w:tcPr>
                  <w:tcW w:w="1240" w:type="pct"/>
                  <w:vMerge w:val="continue"/>
                  <w:shd w:val="clear" w:color="auto" w:fill="auto"/>
                  <w:vAlign w:val="center"/>
                </w:tcPr>
                <w:p w14:paraId="7F119F18">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p>
              </w:tc>
              <w:tc>
                <w:tcPr>
                  <w:tcW w:w="475" w:type="pct"/>
                  <w:shd w:val="clear" w:color="auto" w:fill="auto"/>
                  <w:vAlign w:val="center"/>
                </w:tcPr>
                <w:p w14:paraId="473A44AA">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36153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6" w:hRule="atLeast"/>
                <w:jc w:val="center"/>
              </w:trPr>
              <w:tc>
                <w:tcPr>
                  <w:tcW w:w="824" w:type="pct"/>
                  <w:shd w:val="clear" w:color="auto" w:fill="auto"/>
                  <w:vAlign w:val="center"/>
                </w:tcPr>
                <w:p w14:paraId="3BDFE61D">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eastAsia="宋体" w:cs="Times New Roman"/>
                      <w:color w:val="auto"/>
                      <w:kern w:val="21"/>
                      <w:szCs w:val="21"/>
                      <w:highlight w:val="none"/>
                      <w:lang w:val="en-US" w:eastAsia="zh-CN"/>
                    </w:rPr>
                    <w:t>《陕西省生态环境厅关于解决企业申报污染物许可排放量与环评文件排放量不一致问题的通知》（陕环排管函〔2024〕18号）</w:t>
                  </w:r>
                </w:p>
              </w:tc>
              <w:tc>
                <w:tcPr>
                  <w:tcW w:w="2459" w:type="pct"/>
                  <w:shd w:val="clear" w:color="auto" w:fill="auto"/>
                  <w:vAlign w:val="center"/>
                </w:tcPr>
                <w:p w14:paraId="5BB3D1F5">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新改扩建项目环评文件应明确污染物排放量核算符合排污许可规范等相关要求，同时增加该项目与已建成同类项目实际污染物达标排放量的比对分析内容(优先采用监测数据法，其次采用产排污系数法、物料衡算法核算)，综合确定该项目污染物排放量。环评文件审批部门应将项目污染物排放量作为环评审查的主要内容，确保环评文件排放量同时满足环境影响评价和排污许可管理要求。</w:t>
                  </w:r>
                </w:p>
              </w:tc>
              <w:tc>
                <w:tcPr>
                  <w:tcW w:w="1240" w:type="pct"/>
                  <w:shd w:val="clear" w:color="auto" w:fill="auto"/>
                  <w:vAlign w:val="center"/>
                </w:tcPr>
                <w:p w14:paraId="70257401">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US" w:eastAsia="zh-CN" w:bidi="ar-SA"/>
                    </w:rPr>
                  </w:pPr>
                  <w:r>
                    <w:rPr>
                      <w:rFonts w:hint="eastAsia" w:ascii="Times New Roman" w:hAnsi="Times New Roman" w:eastAsia="宋体" w:cs="Times New Roman"/>
                      <w:color w:val="auto"/>
                      <w:kern w:val="21"/>
                      <w:szCs w:val="21"/>
                      <w:highlight w:val="none"/>
                      <w:lang w:val="en-US" w:eastAsia="zh-CN"/>
                    </w:rPr>
                    <w:t>本项目根据《固定污染源排污许可分类管理名录（2019年版）》属于登记管理，不进行污染物排放量核算。</w:t>
                  </w:r>
                </w:p>
              </w:tc>
              <w:tc>
                <w:tcPr>
                  <w:tcW w:w="475" w:type="pct"/>
                  <w:shd w:val="clear" w:color="auto" w:fill="auto"/>
                  <w:vAlign w:val="center"/>
                </w:tcPr>
                <w:p w14:paraId="03F6B4CC">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53DDE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824" w:type="pct"/>
                  <w:shd w:val="clear" w:color="auto" w:fill="auto"/>
                  <w:vAlign w:val="center"/>
                </w:tcPr>
                <w:p w14:paraId="173863AC">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kern w:val="0"/>
                      <w:sz w:val="21"/>
                      <w:szCs w:val="21"/>
                      <w:lang w:val="en-US" w:eastAsia="zh-CN" w:bidi="ar"/>
                    </w:rPr>
                    <w:t>西安市人民政府办公厅《关于印发推进实现“十四五”空气质量目标暨大气污染治理专项行动2025年工作方案的通知》（市政办函〔2025〕12号）</w:t>
                  </w:r>
                </w:p>
              </w:tc>
              <w:tc>
                <w:tcPr>
                  <w:tcW w:w="2459" w:type="pct"/>
                  <w:shd w:val="clear" w:color="auto" w:fill="auto"/>
                  <w:vAlign w:val="center"/>
                </w:tcPr>
                <w:p w14:paraId="14B9BC2C">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lang w:val="en-US" w:eastAsia="zh-CN"/>
                    </w:rPr>
                  </w:pPr>
                  <w:r>
                    <w:rPr>
                      <w:rFonts w:hint="default" w:ascii="Times New Roman" w:hAnsi="Times New Roman" w:cs="Times New Roman" w:eastAsiaTheme="minorEastAsia"/>
                      <w:color w:val="auto"/>
                      <w:kern w:val="21"/>
                      <w:sz w:val="21"/>
                      <w:szCs w:val="21"/>
                      <w:lang w:val="en-US" w:eastAsia="zh-CN"/>
                    </w:rPr>
                    <w:t>优化含VOCs原辅材料和产品结构：严格控制生产和使用高VOCs含量的涂料、油墨、胶黏剂、清洗剂等建设项目。坚持应替尽替原则，在工业企业、汽修、市政工程等方面集中开展低挥发性原辅材料源头替代工作，强化源头治理，减少挥发性有机物排放。</w:t>
                  </w:r>
                </w:p>
                <w:p w14:paraId="1AA7656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p>
              </w:tc>
              <w:tc>
                <w:tcPr>
                  <w:tcW w:w="1240" w:type="pct"/>
                  <w:shd w:val="clear" w:color="auto" w:fill="auto"/>
                  <w:vAlign w:val="center"/>
                </w:tcPr>
                <w:p w14:paraId="78760AF9">
                  <w:pPr>
                    <w:keepNext w:val="0"/>
                    <w:keepLines w:val="0"/>
                    <w:pageBreakBefore w:val="0"/>
                    <w:widowControl/>
                    <w:suppressLineNumbers w:val="0"/>
                    <w:kinsoku/>
                    <w:overflowPunct/>
                    <w:topLinePunct w:val="0"/>
                    <w:autoSpaceDE/>
                    <w:autoSpaceDN/>
                    <w:bidi w:val="0"/>
                    <w:spacing w:line="264" w:lineRule="auto"/>
                    <w:jc w:val="left"/>
                    <w:textAlignment w:val="auto"/>
                    <w:rPr>
                      <w:rFonts w:hint="default" w:ascii="Times New Roman" w:hAnsi="Times New Roman" w:cs="Times New Roman" w:eastAsiaTheme="minorEastAsia"/>
                      <w:color w:val="auto"/>
                      <w:kern w:val="0"/>
                      <w:sz w:val="21"/>
                      <w:szCs w:val="21"/>
                      <w:lang w:val="en-US" w:eastAsia="zh-CN" w:bidi="ar"/>
                    </w:rPr>
                  </w:pPr>
                  <w:r>
                    <w:rPr>
                      <w:rFonts w:hint="default" w:ascii="Times New Roman" w:hAnsi="Times New Roman" w:cs="Times New Roman" w:eastAsiaTheme="minorEastAsia"/>
                      <w:color w:val="auto"/>
                      <w:sz w:val="21"/>
                      <w:szCs w:val="21"/>
                    </w:rPr>
                    <w:t>本项目原料为</w:t>
                  </w:r>
                  <w:r>
                    <w:rPr>
                      <w:rFonts w:hint="default" w:ascii="Times New Roman" w:hAnsi="Times New Roman" w:cs="Times New Roman" w:eastAsiaTheme="minorEastAsia"/>
                      <w:color w:val="auto"/>
                      <w:sz w:val="21"/>
                      <w:szCs w:val="21"/>
                      <w:lang w:val="en-US" w:eastAsia="zh-CN"/>
                    </w:rPr>
                    <w:t>PP、PE和色母粒</w:t>
                  </w:r>
                  <w:r>
                    <w:rPr>
                      <w:rFonts w:hint="default" w:ascii="Times New Roman" w:hAnsi="Times New Roman" w:cs="Times New Roman" w:eastAsiaTheme="minorEastAsia"/>
                      <w:color w:val="auto"/>
                      <w:sz w:val="21"/>
                      <w:szCs w:val="21"/>
                    </w:rPr>
                    <w:t>，</w:t>
                  </w:r>
                  <w:r>
                    <w:rPr>
                      <w:rFonts w:hint="default" w:ascii="Times New Roman" w:hAnsi="Times New Roman" w:cs="Times New Roman" w:eastAsiaTheme="minorEastAsia"/>
                      <w:color w:val="auto"/>
                      <w:kern w:val="0"/>
                      <w:sz w:val="21"/>
                      <w:szCs w:val="21"/>
                      <w:lang w:val="en-US" w:eastAsia="zh-CN" w:bidi="ar"/>
                    </w:rPr>
                    <w:t>均为符合产品质量标准的原料；</w:t>
                  </w:r>
                  <w:r>
                    <w:rPr>
                      <w:rFonts w:hint="default" w:ascii="Times New Roman" w:hAnsi="Times New Roman" w:cs="Times New Roman" w:eastAsiaTheme="minorEastAsia"/>
                      <w:color w:val="auto"/>
                      <w:sz w:val="21"/>
                      <w:szCs w:val="21"/>
                      <w:lang w:eastAsia="zh-CN"/>
                    </w:rPr>
                    <w:t>生产过程中的废</w:t>
                  </w:r>
                  <w:r>
                    <w:rPr>
                      <w:rFonts w:hint="default" w:ascii="Times New Roman" w:hAnsi="Times New Roman" w:cs="Times New Roman" w:eastAsiaTheme="minorEastAsia"/>
                      <w:color w:val="auto"/>
                      <w:sz w:val="21"/>
                      <w:szCs w:val="21"/>
                      <w:highlight w:val="none"/>
                      <w:lang w:eastAsia="zh-CN"/>
                    </w:rPr>
                    <w:t>气</w:t>
                  </w:r>
                  <w:r>
                    <w:rPr>
                      <w:rFonts w:hint="default" w:ascii="Times New Roman" w:hAnsi="Times New Roman" w:cs="Times New Roman" w:eastAsiaTheme="minorEastAsia"/>
                      <w:bCs/>
                      <w:snapToGrid w:val="0"/>
                      <w:color w:val="auto"/>
                      <w:kern w:val="0"/>
                      <w:sz w:val="21"/>
                      <w:szCs w:val="21"/>
                      <w:highlight w:val="none"/>
                    </w:rPr>
                    <w:t>采用</w:t>
                  </w:r>
                  <w:r>
                    <w:rPr>
                      <w:rFonts w:hint="default" w:ascii="Times New Roman" w:hAnsi="Times New Roman" w:cs="Times New Roman" w:eastAsiaTheme="minorEastAsia"/>
                      <w:color w:val="auto"/>
                      <w:kern w:val="24"/>
                      <w:sz w:val="21"/>
                      <w:szCs w:val="21"/>
                      <w:highlight w:val="none"/>
                    </w:rPr>
                    <w:t>集气罩收集+</w:t>
                  </w:r>
                  <w:r>
                    <w:rPr>
                      <w:rFonts w:hint="default" w:ascii="Times New Roman" w:hAnsi="Times New Roman" w:cs="Times New Roman" w:eastAsiaTheme="minorEastAsia"/>
                      <w:color w:val="auto"/>
                      <w:kern w:val="0"/>
                      <w:sz w:val="21"/>
                      <w:szCs w:val="21"/>
                      <w:highlight w:val="none"/>
                    </w:rPr>
                    <w:t>二级活性炭</w:t>
                  </w:r>
                  <w:r>
                    <w:rPr>
                      <w:rFonts w:hint="default" w:ascii="Times New Roman" w:hAnsi="Times New Roman" w:cs="Times New Roman" w:eastAsiaTheme="minorEastAsia"/>
                      <w:color w:val="auto"/>
                      <w:kern w:val="24"/>
                      <w:sz w:val="21"/>
                      <w:szCs w:val="21"/>
                      <w:highlight w:val="none"/>
                    </w:rPr>
                    <w:t>吸附</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4"/>
                      <w:sz w:val="21"/>
                      <w:szCs w:val="21"/>
                      <w:highlight w:val="none"/>
                    </w:rPr>
                    <w:t>处理</w:t>
                  </w:r>
                  <w:r>
                    <w:rPr>
                      <w:rFonts w:hint="default" w:ascii="Times New Roman" w:hAnsi="Times New Roman" w:cs="Times New Roman" w:eastAsiaTheme="minorEastAsia"/>
                      <w:color w:val="auto"/>
                      <w:sz w:val="21"/>
                      <w:szCs w:val="21"/>
                      <w:highlight w:val="none"/>
                    </w:rPr>
                    <w:t>。</w:t>
                  </w:r>
                </w:p>
              </w:tc>
              <w:tc>
                <w:tcPr>
                  <w:tcW w:w="475" w:type="pct"/>
                  <w:shd w:val="clear" w:color="auto" w:fill="auto"/>
                  <w:vAlign w:val="center"/>
                </w:tcPr>
                <w:p w14:paraId="0044B8D5">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0"/>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符合</w:t>
                  </w:r>
                </w:p>
              </w:tc>
            </w:tr>
            <w:tr w14:paraId="093E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4" w:type="pct"/>
                  <w:shd w:val="clear" w:color="auto" w:fill="auto"/>
                  <w:vAlign w:val="center"/>
                </w:tcPr>
                <w:p w14:paraId="4E317D86">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21"/>
                      <w:sz w:val="21"/>
                      <w:szCs w:val="21"/>
                      <w:lang w:val="en-US" w:eastAsia="zh-CN"/>
                    </w:rPr>
                    <w:t>陕西省西咸新区开发建设管理委员会关于印发《西咸新区“十四五”生态环境保护规划》的通知（陕西咸发</w:t>
                  </w:r>
                  <w:r>
                    <w:rPr>
                      <w:rFonts w:hint="eastAsia"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US" w:eastAsia="zh-CN"/>
                    </w:rPr>
                    <w:t>2021</w:t>
                  </w:r>
                  <w:r>
                    <w:rPr>
                      <w:rFonts w:hint="eastAsia"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US" w:eastAsia="zh-CN"/>
                    </w:rPr>
                    <w:t>4号）</w:t>
                  </w:r>
                </w:p>
              </w:tc>
              <w:tc>
                <w:tcPr>
                  <w:tcW w:w="2459" w:type="pct"/>
                  <w:shd w:val="clear" w:color="auto" w:fill="auto"/>
                  <w:vAlign w:val="center"/>
                </w:tcPr>
                <w:p w14:paraId="766C68A9">
                  <w:pPr>
                    <w:keepNext w:val="0"/>
                    <w:keepLines w:val="0"/>
                    <w:pageBreakBefore w:val="0"/>
                    <w:widowControl w:val="0"/>
                    <w:kinsoku/>
                    <w:wordWrap/>
                    <w:overflowPunct/>
                    <w:topLinePunct w:val="0"/>
                    <w:autoSpaceDE/>
                    <w:autoSpaceDN/>
                    <w:bidi w:val="0"/>
                    <w:adjustRightInd w:val="0"/>
                    <w:snapToGrid w:val="0"/>
                    <w:spacing w:before="120" w:line="264"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21"/>
                      <w:sz w:val="21"/>
                      <w:szCs w:val="21"/>
                      <w:lang w:val="en-US" w:eastAsia="zh-CN"/>
                    </w:rPr>
                    <w:t>实施重点领域VOCs综合治理。建立石化、化工、工业涂装、包装印刷等重点行业及工业园区的源头替代、过程控制和末端治理全过程治理体系，实施VOCs排放总量控制。</w:t>
                  </w:r>
                </w:p>
              </w:tc>
              <w:tc>
                <w:tcPr>
                  <w:tcW w:w="1240" w:type="pct"/>
                  <w:shd w:val="clear" w:color="auto" w:fill="auto"/>
                  <w:vAlign w:val="center"/>
                </w:tcPr>
                <w:p w14:paraId="2BD8C207">
                  <w:pPr>
                    <w:keepNext w:val="0"/>
                    <w:keepLines w:val="0"/>
                    <w:pageBreakBefore w:val="0"/>
                    <w:widowControl w:val="0"/>
                    <w:kinsoku/>
                    <w:wordWrap/>
                    <w:overflowPunct/>
                    <w:topLinePunct w:val="0"/>
                    <w:autoSpaceDE/>
                    <w:autoSpaceDN/>
                    <w:bidi w:val="0"/>
                    <w:adjustRightInd w:val="0"/>
                    <w:snapToGrid w:val="0"/>
                    <w:spacing w:before="120" w:line="264" w:lineRule="auto"/>
                    <w:ind w:firstLine="0" w:firstLineChars="0"/>
                    <w:jc w:val="left"/>
                    <w:textAlignment w:val="auto"/>
                    <w:rPr>
                      <w:rFonts w:hint="default" w:ascii="Times New Roman" w:hAnsi="Times New Roman" w:cs="Times New Roman" w:eastAsiaTheme="minorEastAsia"/>
                      <w:color w:val="auto"/>
                      <w:kern w:val="2"/>
                      <w:sz w:val="21"/>
                      <w:szCs w:val="21"/>
                      <w:lang w:val="en-US" w:eastAsia="zh-CN" w:bidi="ar-SA"/>
                    </w:rPr>
                  </w:pPr>
                  <w:r>
                    <w:rPr>
                      <w:rFonts w:hint="eastAsia"/>
                      <w:color w:val="auto"/>
                      <w:lang w:val="en-US" w:eastAsia="zh-CN"/>
                    </w:rPr>
                    <w:t>项目不属于“规划”中提及的石化、化工、工业涂装、包装印刷等重点行业，项</w:t>
                  </w:r>
                  <w:r>
                    <w:rPr>
                      <w:rFonts w:hint="default" w:ascii="Times New Roman" w:hAnsi="Times New Roman" w:cs="Times New Roman" w:eastAsiaTheme="minorEastAsia"/>
                      <w:color w:val="auto"/>
                      <w:sz w:val="21"/>
                      <w:szCs w:val="21"/>
                      <w:lang w:eastAsia="zh-CN"/>
                    </w:rPr>
                    <w:t>目</w:t>
                  </w:r>
                  <w:r>
                    <w:rPr>
                      <w:rFonts w:hint="default" w:ascii="Times New Roman" w:hAnsi="Times New Roman" w:cs="Times New Roman" w:eastAsiaTheme="minorEastAsia"/>
                      <w:color w:val="auto"/>
                      <w:kern w:val="2"/>
                      <w:sz w:val="21"/>
                      <w:szCs w:val="21"/>
                      <w:lang w:val="en-US" w:eastAsia="zh-CN" w:bidi="ar-SA"/>
                    </w:rPr>
                    <w:t>注塑、挤出工序废气经集气罩+二级活性炭吸附装置</w:t>
                  </w:r>
                  <w:r>
                    <w:rPr>
                      <w:rFonts w:hint="default" w:ascii="Times New Roman" w:hAnsi="Times New Roman" w:cs="Times New Roman" w:eastAsiaTheme="minorEastAsia"/>
                      <w:color w:val="auto"/>
                      <w:kern w:val="2"/>
                      <w:sz w:val="21"/>
                      <w:szCs w:val="21"/>
                      <w:highlight w:val="none"/>
                      <w:lang w:val="en-US" w:eastAsia="zh-CN" w:bidi="ar-SA"/>
                    </w:rPr>
                    <w:t>+</w:t>
                  </w:r>
                  <w:r>
                    <w:rPr>
                      <w:rFonts w:hint="default" w:ascii="Times New Roman" w:hAnsi="Times New Roman" w:cs="Times New Roman" w:eastAsiaTheme="minorEastAsia"/>
                      <w:color w:val="auto"/>
                      <w:kern w:val="0"/>
                      <w:sz w:val="21"/>
                      <w:szCs w:val="21"/>
                      <w:highlight w:val="none"/>
                    </w:rPr>
                    <w:t>15</w:t>
                  </w:r>
                  <w:r>
                    <w:rPr>
                      <w:rFonts w:hint="default" w:ascii="Times New Roman" w:hAnsi="Times New Roman" w:cs="Times New Roman" w:eastAsiaTheme="minorEastAsia"/>
                      <w:color w:val="auto"/>
                      <w:kern w:val="0"/>
                      <w:sz w:val="21"/>
                      <w:szCs w:val="21"/>
                      <w:highlight w:val="none"/>
                      <w:lang w:val="en-US" w:eastAsia="zh-CN"/>
                    </w:rPr>
                    <w:t>m</w:t>
                  </w:r>
                  <w:r>
                    <w:rPr>
                      <w:rFonts w:hint="default" w:ascii="Times New Roman" w:hAnsi="Times New Roman" w:cs="Times New Roman" w:eastAsiaTheme="minorEastAsia"/>
                      <w:color w:val="auto"/>
                      <w:kern w:val="0"/>
                      <w:sz w:val="21"/>
                      <w:szCs w:val="21"/>
                      <w:highlight w:val="none"/>
                    </w:rPr>
                    <w:t>高排气筒（DA001）</w:t>
                  </w:r>
                  <w:r>
                    <w:rPr>
                      <w:rFonts w:hint="default" w:ascii="Times New Roman" w:hAnsi="Times New Roman" w:cs="Times New Roman" w:eastAsiaTheme="minorEastAsia"/>
                      <w:color w:val="auto"/>
                      <w:kern w:val="2"/>
                      <w:sz w:val="21"/>
                      <w:szCs w:val="21"/>
                      <w:highlight w:val="none"/>
                      <w:lang w:val="en-US" w:eastAsia="zh-CN" w:bidi="ar-SA"/>
                    </w:rPr>
                    <w:t>处理后排放。</w:t>
                  </w:r>
                </w:p>
              </w:tc>
              <w:tc>
                <w:tcPr>
                  <w:tcW w:w="475" w:type="pct"/>
                  <w:shd w:val="clear" w:color="auto" w:fill="auto"/>
                  <w:vAlign w:val="center"/>
                </w:tcPr>
                <w:p w14:paraId="4F77FD2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3E6C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2" w:hRule="atLeast"/>
                <w:jc w:val="center"/>
              </w:trPr>
              <w:tc>
                <w:tcPr>
                  <w:tcW w:w="824" w:type="pct"/>
                  <w:shd w:val="clear" w:color="auto" w:fill="auto"/>
                  <w:vAlign w:val="center"/>
                </w:tcPr>
                <w:p w14:paraId="6AAD3614">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kern w:val="21"/>
                      <w:sz w:val="21"/>
                      <w:szCs w:val="21"/>
                      <w:highlight w:val="none"/>
                      <w:lang w:val="en-US" w:eastAsia="zh-CN" w:bidi="ar-SA"/>
                    </w:rPr>
                  </w:pPr>
                  <w:r>
                    <w:rPr>
                      <w:rFonts w:hint="default" w:ascii="Times New Roman" w:hAnsi="Times New Roman" w:cs="Times New Roman" w:eastAsiaTheme="minorEastAsia"/>
                      <w:color w:val="auto"/>
                      <w:kern w:val="21"/>
                      <w:sz w:val="21"/>
                      <w:szCs w:val="21"/>
                      <w:lang w:val="en-US" w:eastAsia="zh-CN"/>
                    </w:rPr>
                    <w:t>关于印发《泾河新城大气污染治理专项行动方案2023-2027年）的通知</w:t>
                  </w:r>
                  <w:r>
                    <w:rPr>
                      <w:rFonts w:hint="eastAsia"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US" w:eastAsia="zh-CN"/>
                    </w:rPr>
                    <w:t>（陕泾河发</w:t>
                  </w:r>
                  <w:r>
                    <w:rPr>
                      <w:rFonts w:hint="eastAsia"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US" w:eastAsia="zh-CN"/>
                    </w:rPr>
                    <w:t>2023</w:t>
                  </w:r>
                  <w:r>
                    <w:rPr>
                      <w:rFonts w:hint="eastAsia" w:ascii="Times New Roman" w:hAnsi="Times New Roman" w:cs="Times New Roman" w:eastAsiaTheme="minorEastAsia"/>
                      <w:color w:val="auto"/>
                      <w:kern w:val="21"/>
                      <w:sz w:val="21"/>
                      <w:szCs w:val="21"/>
                      <w:lang w:val="en-US" w:eastAsia="zh-CN"/>
                    </w:rPr>
                    <w:t>〕</w:t>
                  </w:r>
                  <w:r>
                    <w:rPr>
                      <w:rFonts w:hint="default" w:ascii="Times New Roman" w:hAnsi="Times New Roman" w:cs="Times New Roman" w:eastAsiaTheme="minorEastAsia"/>
                      <w:color w:val="auto"/>
                      <w:kern w:val="21"/>
                      <w:sz w:val="21"/>
                      <w:szCs w:val="21"/>
                      <w:lang w:val="en-US" w:eastAsia="zh-CN"/>
                    </w:rPr>
                    <w:t>22号）</w:t>
                  </w:r>
                </w:p>
              </w:tc>
              <w:tc>
                <w:tcPr>
                  <w:tcW w:w="2459" w:type="pct"/>
                  <w:shd w:val="clear" w:color="auto" w:fill="auto"/>
                  <w:vAlign w:val="center"/>
                </w:tcPr>
                <w:p w14:paraId="5ABAE056">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21"/>
                      <w:sz w:val="21"/>
                      <w:szCs w:val="21"/>
                      <w:highlight w:val="none"/>
                      <w:lang w:val="en-US" w:eastAsia="zh-CN" w:bidi="ar-SA"/>
                    </w:rPr>
                  </w:pPr>
                  <w:r>
                    <w:rPr>
                      <w:rFonts w:hint="eastAsia" w:cs="Times New Roman"/>
                      <w:color w:val="auto"/>
                      <w:kern w:val="21"/>
                      <w:szCs w:val="21"/>
                      <w:highlight w:val="none"/>
                      <w:lang w:val="en-US" w:eastAsia="zh-CN"/>
                    </w:rPr>
                    <w:t>加强征迁项目施工扬尘精细化管控。建立动态管理清单，全面落实“六个百分百”“七个到位”要求，强化洒水抑尘，增加作业车辆和机械冲洗次数，防止带泥行驶。加强日常督导检查，对发现的问题组织进行整改。将扬尘管理工作不到位的不良信息移交开发建设部纳入建筑市场信用管理体系，情节严重的实行信用惩戒按照全市统一安排部署，持续推进扬尘在线监测系统建设，应安装扬尘在线监测系统和视频监控的，完成安装并与市智慧环保指挥中心联网后方可施工。</w:t>
                  </w:r>
                </w:p>
              </w:tc>
              <w:tc>
                <w:tcPr>
                  <w:tcW w:w="1240" w:type="pct"/>
                  <w:shd w:val="clear" w:color="auto" w:fill="auto"/>
                  <w:vAlign w:val="center"/>
                </w:tcPr>
                <w:p w14:paraId="7FDEE060">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eastAsia" w:cs="Times New Roman"/>
                      <w:color w:val="auto"/>
                      <w:kern w:val="21"/>
                      <w:szCs w:val="21"/>
                      <w:highlight w:val="none"/>
                      <w:lang w:val="en-US" w:eastAsia="zh-CN"/>
                    </w:rPr>
                  </w:pPr>
                  <w:r>
                    <w:rPr>
                      <w:rFonts w:hint="eastAsia" w:ascii="Times New Roman" w:hAnsi="Times New Roman" w:eastAsia="宋体" w:cs="Times New Roman"/>
                      <w:color w:val="auto"/>
                      <w:kern w:val="21"/>
                      <w:szCs w:val="21"/>
                      <w:highlight w:val="none"/>
                      <w:lang w:val="en-US" w:eastAsia="zh-CN"/>
                    </w:rPr>
                    <w:t>本项目</w:t>
                  </w:r>
                  <w:r>
                    <w:rPr>
                      <w:rFonts w:hint="eastAsia" w:cs="Times New Roman"/>
                      <w:color w:val="auto"/>
                      <w:kern w:val="21"/>
                      <w:szCs w:val="21"/>
                      <w:highlight w:val="none"/>
                      <w:lang w:val="en-US" w:eastAsia="zh-CN"/>
                    </w:rPr>
                    <w:t>施工期仅进行生产设备及环保设备的安装和调试，环境影响较小。</w:t>
                  </w:r>
                </w:p>
                <w:p w14:paraId="1CCFEF88">
                  <w:pPr>
                    <w:keepNext w:val="0"/>
                    <w:keepLines w:val="0"/>
                    <w:pageBreakBefore w:val="0"/>
                    <w:kinsoku/>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spacing w:val="-1"/>
                      <w:kern w:val="2"/>
                      <w:sz w:val="21"/>
                      <w:szCs w:val="21"/>
                      <w:highlight w:val="none"/>
                      <w:lang w:val="en-US" w:eastAsia="zh-CN" w:bidi="ar-SA"/>
                    </w:rPr>
                  </w:pPr>
                </w:p>
              </w:tc>
              <w:tc>
                <w:tcPr>
                  <w:tcW w:w="475" w:type="pct"/>
                  <w:shd w:val="clear" w:color="auto" w:fill="auto"/>
                  <w:vAlign w:val="center"/>
                </w:tcPr>
                <w:p w14:paraId="3347DA18">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21C8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1" w:hRule="atLeast"/>
                <w:jc w:val="center"/>
              </w:trPr>
              <w:tc>
                <w:tcPr>
                  <w:tcW w:w="824" w:type="pct"/>
                  <w:shd w:val="clear" w:color="auto" w:fill="auto"/>
                  <w:vAlign w:val="center"/>
                </w:tcPr>
                <w:p w14:paraId="72F45413">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《陕西省西咸新区党政办公室关于印发西咸新区推进实现“十四五”空气质量目标暨大气污染治理专项行动2025 年工作方案的通知》陕西咸党政办函〔2025〕13 号</w:t>
                  </w:r>
                </w:p>
              </w:tc>
              <w:tc>
                <w:tcPr>
                  <w:tcW w:w="2459" w:type="pct"/>
                  <w:shd w:val="clear" w:color="auto" w:fill="auto"/>
                  <w:vAlign w:val="center"/>
                </w:tcPr>
                <w:p w14:paraId="56E2ED9D">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rPr>
                  </w:pPr>
                  <w:r>
                    <w:rPr>
                      <w:rFonts w:hint="default" w:ascii="Times New Roman" w:hAnsi="Times New Roman" w:cs="Times New Roman" w:eastAsiaTheme="minorEastAsia"/>
                      <w:color w:val="000000"/>
                      <w:kern w:val="21"/>
                      <w:sz w:val="21"/>
                      <w:szCs w:val="21"/>
                      <w:highlight w:val="none"/>
                      <w:lang w:val="en-US" w:eastAsia="zh-CN"/>
                    </w:rPr>
                    <w:t>优化含VOCs原辅材料和产品结构：严格控制生产和使用高 VOCs含量的涂料、油墨、胶黏剂、清洗剂等建设项目。坚持应替尽替原则，在工业企业、汽修、市政工程等方面集中开展低挥发性原辅材料源头替代工作，强化源头治理，减少挥发性有机物排放。</w:t>
                  </w:r>
                </w:p>
                <w:p w14:paraId="3CCEEFCE">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bidi="ar-SA"/>
                    </w:rPr>
                  </w:pPr>
                </w:p>
              </w:tc>
              <w:tc>
                <w:tcPr>
                  <w:tcW w:w="1240" w:type="pct"/>
                  <w:vMerge w:val="restart"/>
                  <w:shd w:val="clear" w:color="auto" w:fill="auto"/>
                  <w:vAlign w:val="center"/>
                </w:tcPr>
                <w:p w14:paraId="2FF57B5E">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kern w:val="0"/>
                      <w:sz w:val="21"/>
                      <w:szCs w:val="21"/>
                      <w:lang w:val="en-US" w:eastAsia="zh-CN" w:bidi="ar"/>
                    </w:rPr>
                    <w:t>项目使用的原料常温储存过程中不会产生</w:t>
                  </w:r>
                  <w:r>
                    <w:rPr>
                      <w:rFonts w:hint="default" w:ascii="Times New Roman" w:hAnsi="Times New Roman" w:cs="Times New Roman" w:eastAsiaTheme="minorEastAsia"/>
                      <w:color w:val="000000"/>
                      <w:kern w:val="21"/>
                      <w:sz w:val="21"/>
                      <w:szCs w:val="21"/>
                      <w:highlight w:val="none"/>
                      <w:lang w:val="en-US" w:eastAsia="zh-CN"/>
                    </w:rPr>
                    <w:t>VOCs。</w:t>
                  </w:r>
                </w:p>
              </w:tc>
              <w:tc>
                <w:tcPr>
                  <w:tcW w:w="475" w:type="pct"/>
                  <w:shd w:val="clear" w:color="auto" w:fill="auto"/>
                  <w:vAlign w:val="center"/>
                </w:tcPr>
                <w:p w14:paraId="30BCA584">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5D5C5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824" w:type="pct"/>
                  <w:shd w:val="clear" w:color="auto" w:fill="auto"/>
                  <w:vAlign w:val="center"/>
                </w:tcPr>
                <w:p w14:paraId="30E73C80">
                  <w:pPr>
                    <w:keepNext w:val="0"/>
                    <w:keepLines w:val="0"/>
                    <w:pageBreakBefore w:val="0"/>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000000"/>
                      <w:kern w:val="21"/>
                      <w:sz w:val="21"/>
                      <w:szCs w:val="21"/>
                      <w:lang w:val="en-US" w:eastAsia="zh-CN" w:bidi="ar-SA"/>
                    </w:rPr>
                  </w:pPr>
                  <w:r>
                    <w:rPr>
                      <w:rFonts w:hint="default" w:ascii="Times New Roman" w:hAnsi="Times New Roman" w:cs="Times New Roman" w:eastAsiaTheme="minorEastAsia"/>
                      <w:color w:val="000000"/>
                      <w:kern w:val="21"/>
                      <w:sz w:val="21"/>
                      <w:szCs w:val="21"/>
                      <w:lang w:val="en-US" w:eastAsia="zh-CN"/>
                    </w:rPr>
                    <w:t>《泾河新城推进实现“十四五”空气质量目标暨大气污染治理专项行动2025年工作方案》陕泾河办发〔2025〕6号</w:t>
                  </w:r>
                </w:p>
              </w:tc>
              <w:tc>
                <w:tcPr>
                  <w:tcW w:w="2459" w:type="pct"/>
                  <w:shd w:val="clear" w:color="auto" w:fill="auto"/>
                  <w:vAlign w:val="center"/>
                </w:tcPr>
                <w:p w14:paraId="23F91BB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highlight w:val="none"/>
                      <w:lang w:val="en-US" w:eastAsia="zh-CN" w:bidi="ar-SA"/>
                    </w:rPr>
                  </w:pPr>
                  <w:r>
                    <w:rPr>
                      <w:rFonts w:hint="default" w:ascii="Times New Roman" w:hAnsi="Times New Roman" w:cs="Times New Roman" w:eastAsiaTheme="minorEastAsia"/>
                      <w:color w:val="000000"/>
                      <w:kern w:val="21"/>
                      <w:sz w:val="21"/>
                      <w:szCs w:val="21"/>
                      <w:highlight w:val="none"/>
                      <w:lang w:val="en-US" w:eastAsia="zh-CN"/>
                    </w:rPr>
                    <w:t>优化含VOCs原辅材料和产品结构：严格控制生产和使用高 VOCs 含量的涂料、油墨、胶黏剂、清洗剂等建设项目。坚持应替尽替原则，在工业企业、市政工程等方面集中开展低挥发性原辅材料源头替代工作，强化源头治理，减少挥发性有机物排放。</w:t>
                  </w:r>
                </w:p>
              </w:tc>
              <w:tc>
                <w:tcPr>
                  <w:tcW w:w="1240" w:type="pct"/>
                  <w:vMerge w:val="continue"/>
                </w:tcPr>
                <w:p w14:paraId="7CB8C9C3">
                  <w:pPr>
                    <w:keepNext w:val="0"/>
                    <w:keepLines w:val="0"/>
                    <w:pageBreakBefore w:val="0"/>
                    <w:kinsoku/>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000000"/>
                      <w:kern w:val="21"/>
                      <w:sz w:val="21"/>
                      <w:szCs w:val="21"/>
                      <w:lang w:val="en-US" w:eastAsia="zh-CN"/>
                    </w:rPr>
                  </w:pPr>
                </w:p>
              </w:tc>
              <w:tc>
                <w:tcPr>
                  <w:tcW w:w="475" w:type="pct"/>
                  <w:shd w:val="clear" w:color="auto" w:fill="auto"/>
                  <w:vAlign w:val="center"/>
                </w:tcPr>
                <w:p w14:paraId="1E20DAF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0A800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9" w:hRule="atLeast"/>
                <w:jc w:val="center"/>
              </w:trPr>
              <w:tc>
                <w:tcPr>
                  <w:tcW w:w="824" w:type="pct"/>
                  <w:shd w:val="clear" w:color="auto" w:fill="auto"/>
                  <w:vAlign w:val="center"/>
                </w:tcPr>
                <w:p w14:paraId="6F2EA805">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kern w:val="0"/>
                      <w:sz w:val="21"/>
                      <w:szCs w:val="21"/>
                      <w:highlight w:val="none"/>
                      <w:lang w:val="en-US" w:eastAsia="zh-CN" w:bidi="ar"/>
                    </w:rPr>
                  </w:pPr>
                  <w:r>
                    <w:rPr>
                      <w:rFonts w:hint="default" w:ascii="Times New Roman" w:hAnsi="Times New Roman" w:cs="Times New Roman" w:eastAsiaTheme="minorEastAsia"/>
                      <w:color w:val="auto"/>
                      <w:kern w:val="0"/>
                      <w:sz w:val="21"/>
                      <w:szCs w:val="21"/>
                      <w:highlight w:val="none"/>
                      <w:lang w:val="en-US" w:eastAsia="zh-CN" w:bidi="ar"/>
                    </w:rPr>
                    <w:t>《国家污染防治技术指导目录》(2024年，限制类和汰类)</w:t>
                  </w:r>
                </w:p>
              </w:tc>
              <w:tc>
                <w:tcPr>
                  <w:tcW w:w="2459" w:type="pct"/>
                  <w:shd w:val="clear" w:color="auto" w:fill="auto"/>
                  <w:vAlign w:val="center"/>
                </w:tcPr>
                <w:p w14:paraId="4EF05BA6">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highlight w:val="none"/>
                      <w:lang w:val="en-US" w:eastAsia="zh-CN" w:bidi="ar"/>
                    </w:rPr>
                  </w:pPr>
                  <w:r>
                    <w:rPr>
                      <w:rFonts w:hint="default" w:ascii="Times New Roman" w:hAnsi="Times New Roman" w:cs="Times New Roman" w:eastAsiaTheme="minorEastAsia"/>
                      <w:b/>
                      <w:bCs/>
                      <w:color w:val="auto"/>
                      <w:kern w:val="0"/>
                      <w:sz w:val="21"/>
                      <w:szCs w:val="21"/>
                      <w:highlight w:val="none"/>
                      <w:lang w:val="en-US" w:eastAsia="zh-CN" w:bidi="ar"/>
                    </w:rPr>
                    <w:t>限制类：</w:t>
                  </w:r>
                  <w:r>
                    <w:rPr>
                      <w:rFonts w:hint="default" w:ascii="Times New Roman" w:hAnsi="Times New Roman" w:cs="Times New Roman" w:eastAsiaTheme="minorEastAsia"/>
                      <w:color w:val="auto"/>
                      <w:kern w:val="0"/>
                      <w:sz w:val="21"/>
                      <w:szCs w:val="21"/>
                      <w:highlight w:val="none"/>
                      <w:lang w:val="en-US" w:eastAsia="zh-CN" w:bidi="ar"/>
                    </w:rPr>
                    <w:t>1.</w:t>
                  </w:r>
                  <w:r>
                    <w:rPr>
                      <w:rFonts w:hint="default" w:ascii="Times New Roman" w:hAnsi="Times New Roman" w:cs="Times New Roman" w:eastAsiaTheme="minorEastAsia"/>
                      <w:color w:val="auto"/>
                      <w:kern w:val="21"/>
                      <w:sz w:val="21"/>
                      <w:szCs w:val="21"/>
                      <w:highlight w:val="none"/>
                      <w:lang w:val="en-US" w:eastAsia="zh-CN"/>
                    </w:rPr>
                    <w:t>VOCs</w:t>
                  </w:r>
                  <w:r>
                    <w:rPr>
                      <w:rFonts w:hint="default" w:ascii="Times New Roman" w:hAnsi="Times New Roman" w:cs="Times New Roman" w:eastAsiaTheme="minorEastAsia"/>
                      <w:color w:val="auto"/>
                      <w:kern w:val="0"/>
                      <w:sz w:val="21"/>
                      <w:szCs w:val="21"/>
                      <w:highlight w:val="none"/>
                      <w:lang w:val="en-US" w:eastAsia="zh-CN" w:bidi="ar"/>
                    </w:rPr>
                    <w:t>(挥发性有机物)洗涤吸收净化技术、无控制系统或控制系统未实现对设施关键参数进行自动调节控制的燃烧、冷凝、吸附-脱附VOCs治理技术；</w:t>
                  </w:r>
                </w:p>
                <w:p w14:paraId="48524CE8">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highlight w:val="none"/>
                      <w:lang w:val="en-US" w:eastAsia="zh-CN" w:bidi="ar"/>
                    </w:rPr>
                  </w:pPr>
                  <w:r>
                    <w:rPr>
                      <w:rFonts w:hint="default" w:ascii="Times New Roman" w:hAnsi="Times New Roman" w:cs="Times New Roman" w:eastAsiaTheme="minorEastAsia"/>
                      <w:b/>
                      <w:bCs/>
                      <w:color w:val="auto"/>
                      <w:kern w:val="0"/>
                      <w:sz w:val="21"/>
                      <w:szCs w:val="21"/>
                      <w:highlight w:val="none"/>
                      <w:lang w:val="en-US" w:eastAsia="zh-CN" w:bidi="ar"/>
                    </w:rPr>
                    <w:t>淘汰类：</w:t>
                  </w:r>
                  <w:r>
                    <w:rPr>
                      <w:rFonts w:hint="default" w:ascii="Times New Roman" w:hAnsi="Times New Roman" w:cs="Times New Roman" w:eastAsiaTheme="minorEastAsia"/>
                      <w:color w:val="auto"/>
                      <w:kern w:val="0"/>
                      <w:sz w:val="21"/>
                      <w:szCs w:val="21"/>
                      <w:highlight w:val="none"/>
                      <w:lang w:val="en-US" w:eastAsia="zh-CN" w:bidi="ar"/>
                    </w:rPr>
                    <w:t>VOCs 光催化及其组合净化技术、VOCs低温等离子体及其组合净化技术、VOCs光解(光氧化)及其组合净化技术</w:t>
                  </w:r>
                  <w:r>
                    <w:rPr>
                      <w:rFonts w:hint="default" w:ascii="Times New Roman" w:hAnsi="Times New Roman" w:cs="Times New Roman" w:eastAsiaTheme="minorEastAsia"/>
                      <w:color w:val="auto"/>
                      <w:sz w:val="21"/>
                      <w:szCs w:val="21"/>
                      <w:highlight w:val="none"/>
                      <w:lang w:val="en-US" w:eastAsia="zh-CN"/>
                    </w:rPr>
                    <w:t>。</w:t>
                  </w:r>
                </w:p>
              </w:tc>
              <w:tc>
                <w:tcPr>
                  <w:tcW w:w="1240" w:type="pct"/>
                  <w:shd w:val="clear" w:color="auto" w:fill="auto"/>
                  <w:vAlign w:val="center"/>
                </w:tcPr>
                <w:p w14:paraId="7BCD28AB">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kern w:val="21"/>
                      <w:sz w:val="21"/>
                      <w:szCs w:val="21"/>
                      <w:highlight w:val="none"/>
                      <w:lang w:val="en-US" w:eastAsia="zh-CN" w:bidi="ar-SA"/>
                    </w:rPr>
                  </w:pPr>
                  <w:r>
                    <w:rPr>
                      <w:rFonts w:hint="eastAsia" w:cs="Times New Roman" w:eastAsiaTheme="minorEastAsia"/>
                      <w:color w:val="auto"/>
                      <w:sz w:val="21"/>
                      <w:szCs w:val="21"/>
                      <w:highlight w:val="none"/>
                      <w:lang w:eastAsia="zh-CN"/>
                    </w:rPr>
                    <w:t>本</w:t>
                  </w:r>
                  <w:r>
                    <w:rPr>
                      <w:rFonts w:hint="default" w:ascii="Times New Roman" w:hAnsi="Times New Roman" w:cs="Times New Roman" w:eastAsiaTheme="minorEastAsia"/>
                      <w:color w:val="auto"/>
                      <w:sz w:val="21"/>
                      <w:szCs w:val="21"/>
                      <w:highlight w:val="none"/>
                      <w:lang w:eastAsia="zh-CN"/>
                    </w:rPr>
                    <w:t>项目</w:t>
                  </w:r>
                  <w:r>
                    <w:rPr>
                      <w:rFonts w:hint="default" w:ascii="Times New Roman" w:hAnsi="Times New Roman" w:cs="Times New Roman" w:eastAsiaTheme="minorEastAsia"/>
                      <w:color w:val="auto"/>
                      <w:kern w:val="2"/>
                      <w:sz w:val="21"/>
                      <w:szCs w:val="21"/>
                      <w:highlight w:val="none"/>
                      <w:lang w:val="en-US" w:eastAsia="zh-CN" w:bidi="ar-SA"/>
                    </w:rPr>
                    <w:t>注塑、挤出工序废气经集气罩+二级活性炭吸附装置+15m高排气筒（DA001）处理后排放。不属于其中限制类</w:t>
                  </w:r>
                  <w:r>
                    <w:rPr>
                      <w:rFonts w:hint="eastAsia" w:cs="Times New Roman" w:eastAsiaTheme="minorEastAsia"/>
                      <w:color w:val="auto"/>
                      <w:kern w:val="2"/>
                      <w:sz w:val="21"/>
                      <w:szCs w:val="21"/>
                      <w:highlight w:val="none"/>
                      <w:lang w:val="en-US" w:eastAsia="zh-CN" w:bidi="ar-SA"/>
                    </w:rPr>
                    <w:t>、淘汰类</w:t>
                  </w:r>
                  <w:r>
                    <w:rPr>
                      <w:rFonts w:hint="default" w:ascii="Times New Roman" w:hAnsi="Times New Roman" w:cs="Times New Roman" w:eastAsiaTheme="minorEastAsia"/>
                      <w:color w:val="auto"/>
                      <w:kern w:val="2"/>
                      <w:sz w:val="21"/>
                      <w:szCs w:val="21"/>
                      <w:highlight w:val="none"/>
                      <w:lang w:val="en-US" w:eastAsia="zh-CN" w:bidi="ar-SA"/>
                    </w:rPr>
                    <w:t>技术。</w:t>
                  </w:r>
                </w:p>
              </w:tc>
              <w:tc>
                <w:tcPr>
                  <w:tcW w:w="475" w:type="pct"/>
                  <w:vMerge w:val="restart"/>
                  <w:shd w:val="clear" w:color="auto" w:fill="auto"/>
                  <w:vAlign w:val="center"/>
                </w:tcPr>
                <w:p w14:paraId="0DBCC814">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kern w:val="2"/>
                      <w:sz w:val="21"/>
                      <w:szCs w:val="21"/>
                      <w:lang w:val="en-US" w:eastAsia="zh-CN" w:bidi="ar-SA"/>
                    </w:rPr>
                  </w:pPr>
                  <w:r>
                    <w:rPr>
                      <w:rFonts w:hint="default" w:ascii="Times New Roman" w:hAnsi="Times New Roman" w:cs="Times New Roman" w:eastAsiaTheme="minorEastAsia"/>
                      <w:color w:val="000000"/>
                      <w:sz w:val="21"/>
                      <w:szCs w:val="21"/>
                    </w:rPr>
                    <w:t>符合</w:t>
                  </w:r>
                </w:p>
              </w:tc>
            </w:tr>
            <w:tr w14:paraId="0360A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24" w:type="pct"/>
                  <w:shd w:val="clear" w:color="auto" w:fill="auto"/>
                  <w:vAlign w:val="center"/>
                </w:tcPr>
                <w:p w14:paraId="75DC0C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4" w:lineRule="auto"/>
                    <w:ind w:right="0"/>
                    <w:jc w:val="both"/>
                    <w:textAlignment w:val="auto"/>
                    <w:rPr>
                      <w:rFonts w:hint="eastAsia" w:ascii="Times New Roman" w:hAnsi="Times New Roman" w:cs="Times New Roman" w:eastAsiaTheme="minorEastAsia"/>
                      <w:b w:val="0"/>
                      <w:bCs w:val="0"/>
                      <w:color w:val="auto"/>
                      <w:kern w:val="0"/>
                      <w:sz w:val="21"/>
                      <w:szCs w:val="21"/>
                      <w:highlight w:val="none"/>
                      <w:lang w:val="en-US" w:eastAsia="zh-CN" w:bidi="ar"/>
                    </w:rPr>
                  </w:pPr>
                </w:p>
                <w:p w14:paraId="7CC0D0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4" w:lineRule="auto"/>
                    <w:ind w:right="0" w:firstLine="210" w:firstLineChars="100"/>
                    <w:jc w:val="both"/>
                    <w:textAlignment w:val="auto"/>
                    <w:rPr>
                      <w:rFonts w:hint="default" w:ascii="Times New Roman" w:hAnsi="Times New Roman" w:cs="Times New Roman" w:eastAsiaTheme="minorEastAsia"/>
                      <w:b w:val="0"/>
                      <w:bCs w:val="0"/>
                      <w:color w:val="auto"/>
                      <w:kern w:val="0"/>
                      <w:sz w:val="21"/>
                      <w:szCs w:val="21"/>
                      <w:highlight w:val="none"/>
                      <w:lang w:val="en-US" w:eastAsia="zh-CN" w:bidi="ar"/>
                    </w:rPr>
                  </w:pPr>
                  <w:r>
                    <w:rPr>
                      <w:rFonts w:hint="eastAsia" w:ascii="Times New Roman" w:hAnsi="Times New Roman" w:cs="Times New Roman" w:eastAsiaTheme="minorEastAsia"/>
                      <w:b w:val="0"/>
                      <w:bCs w:val="0"/>
                      <w:color w:val="auto"/>
                      <w:kern w:val="0"/>
                      <w:sz w:val="21"/>
                      <w:szCs w:val="21"/>
                      <w:highlight w:val="none"/>
                      <w:lang w:val="en-US" w:eastAsia="zh-CN" w:bidi="ar"/>
                    </w:rPr>
                    <w:t>关于印发2025年《国家污染防治技术指导目录》的通知环办科财函〔2025〕197号</w:t>
                  </w:r>
                </w:p>
                <w:p w14:paraId="2944D8A8">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kern w:val="0"/>
                      <w:sz w:val="21"/>
                      <w:szCs w:val="21"/>
                      <w:highlight w:val="none"/>
                      <w:lang w:val="en-US" w:eastAsia="zh-CN" w:bidi="ar"/>
                    </w:rPr>
                  </w:pPr>
                </w:p>
              </w:tc>
              <w:tc>
                <w:tcPr>
                  <w:tcW w:w="2459" w:type="pct"/>
                  <w:shd w:val="clear" w:color="auto" w:fill="auto"/>
                  <w:vAlign w:val="center"/>
                </w:tcPr>
                <w:p w14:paraId="5AA02068">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color w:val="auto"/>
                      <w:kern w:val="0"/>
                      <w:sz w:val="21"/>
                      <w:szCs w:val="21"/>
                      <w:highlight w:val="none"/>
                      <w:lang w:val="en-US" w:eastAsia="zh-CN" w:bidi="ar"/>
                    </w:rPr>
                  </w:pPr>
                  <w:r>
                    <w:rPr>
                      <w:rFonts w:hint="eastAsia" w:cs="Times New Roman" w:eastAsiaTheme="minorEastAsia"/>
                      <w:b/>
                      <w:bCs/>
                      <w:color w:val="auto"/>
                      <w:kern w:val="0"/>
                      <w:sz w:val="21"/>
                      <w:szCs w:val="21"/>
                      <w:highlight w:val="none"/>
                      <w:lang w:val="en-US" w:eastAsia="zh-CN" w:bidi="ar"/>
                    </w:rPr>
                    <w:t>鼓励类：</w:t>
                  </w:r>
                  <w:r>
                    <w:rPr>
                      <w:rFonts w:hint="eastAsia" w:ascii="Times New Roman" w:hAnsi="Times New Roman" w:cs="Times New Roman" w:eastAsiaTheme="minorEastAsia"/>
                      <w:color w:val="auto"/>
                      <w:kern w:val="0"/>
                      <w:sz w:val="21"/>
                      <w:szCs w:val="21"/>
                      <w:highlight w:val="none"/>
                      <w:lang w:val="en-US" w:eastAsia="zh-CN" w:bidi="ar"/>
                    </w:rPr>
                    <w:t>低温吸收-孔径级配材料吸附油气净化技术、冷凝-吸附-催化油气回收净化技术等</w:t>
                  </w:r>
                  <w:r>
                    <w:rPr>
                      <w:rFonts w:hint="eastAsia" w:cs="Times New Roman" w:eastAsiaTheme="minorEastAsia"/>
                      <w:color w:val="auto"/>
                      <w:kern w:val="0"/>
                      <w:sz w:val="21"/>
                      <w:szCs w:val="21"/>
                      <w:highlight w:val="none"/>
                      <w:lang w:val="en-US" w:eastAsia="zh-CN" w:bidi="ar"/>
                    </w:rPr>
                    <w:t>。</w:t>
                  </w:r>
                </w:p>
                <w:p w14:paraId="46D65CFD">
                  <w:pPr>
                    <w:keepNext w:val="0"/>
                    <w:keepLines w:val="0"/>
                    <w:pageBreakBefore w:val="0"/>
                    <w:widowControl/>
                    <w:suppressLineNumbers w:val="0"/>
                    <w:kinsoku/>
                    <w:wordWrap/>
                    <w:overflowPunct/>
                    <w:topLinePunct w:val="0"/>
                    <w:autoSpaceDE/>
                    <w:autoSpaceDN/>
                    <w:bidi w:val="0"/>
                    <w:adjustRightInd/>
                    <w:snapToGrid/>
                    <w:spacing w:line="264" w:lineRule="auto"/>
                    <w:ind w:left="0" w:leftChars="0" w:right="0" w:rightChars="0" w:firstLine="0" w:firstLineChars="0"/>
                    <w:jc w:val="left"/>
                    <w:textAlignment w:val="auto"/>
                    <w:rPr>
                      <w:rFonts w:hint="default" w:ascii="Times New Roman" w:hAnsi="Times New Roman" w:cs="Times New Roman" w:eastAsiaTheme="minorEastAsia"/>
                      <w:b/>
                      <w:bCs/>
                      <w:color w:val="auto"/>
                      <w:kern w:val="0"/>
                      <w:sz w:val="21"/>
                      <w:szCs w:val="21"/>
                      <w:highlight w:val="none"/>
                      <w:lang w:val="en-US" w:eastAsia="zh-CN" w:bidi="ar"/>
                    </w:rPr>
                  </w:pPr>
                  <w:r>
                    <w:rPr>
                      <w:rFonts w:hint="eastAsia" w:cs="Times New Roman" w:eastAsiaTheme="minorEastAsia"/>
                      <w:b/>
                      <w:bCs/>
                      <w:color w:val="auto"/>
                      <w:kern w:val="0"/>
                      <w:sz w:val="21"/>
                      <w:szCs w:val="21"/>
                      <w:highlight w:val="none"/>
                      <w:lang w:val="en-US" w:eastAsia="zh-CN" w:bidi="ar"/>
                    </w:rPr>
                    <w:t>低效类：</w:t>
                  </w:r>
                  <w:r>
                    <w:rPr>
                      <w:rFonts w:hint="eastAsia" w:ascii="Times New Roman" w:hAnsi="Times New Roman" w:cs="Times New Roman" w:eastAsiaTheme="minorEastAsia"/>
                      <w:color w:val="auto"/>
                      <w:kern w:val="0"/>
                      <w:sz w:val="21"/>
                      <w:szCs w:val="21"/>
                      <w:highlight w:val="none"/>
                      <w:lang w:val="en-US" w:eastAsia="zh-CN" w:bidi="ar"/>
                    </w:rPr>
                    <w:t>VOCs（挥发性有机物）洗涤吸收净化技术</w:t>
                  </w:r>
                  <w:r>
                    <w:rPr>
                      <w:rFonts w:hint="eastAsia" w:cs="Times New Roman" w:eastAsiaTheme="minorEastAsia"/>
                      <w:color w:val="auto"/>
                      <w:kern w:val="0"/>
                      <w:sz w:val="21"/>
                      <w:szCs w:val="21"/>
                      <w:highlight w:val="none"/>
                      <w:lang w:val="en-US" w:eastAsia="zh-CN" w:bidi="ar"/>
                    </w:rPr>
                    <w:t>、VOCs 光催化及其组合净化技术、VOCs 低温等离子体及其组合净化技术。</w:t>
                  </w:r>
                </w:p>
              </w:tc>
              <w:tc>
                <w:tcPr>
                  <w:tcW w:w="1240" w:type="pct"/>
                  <w:shd w:val="clear" w:color="auto" w:fill="auto"/>
                  <w:vAlign w:val="center"/>
                </w:tcPr>
                <w:p w14:paraId="5BA73C60">
                  <w:pPr>
                    <w:keepNext w:val="0"/>
                    <w:keepLines w:val="0"/>
                    <w:pageBreakBefore w:val="0"/>
                    <w:kinsoku/>
                    <w:wordWrap w:val="0"/>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本</w:t>
                  </w:r>
                  <w:r>
                    <w:rPr>
                      <w:rFonts w:hint="default" w:ascii="Times New Roman" w:hAnsi="Times New Roman" w:cs="Times New Roman" w:eastAsiaTheme="minorEastAsia"/>
                      <w:color w:val="auto"/>
                      <w:sz w:val="21"/>
                      <w:szCs w:val="21"/>
                      <w:highlight w:val="none"/>
                      <w:lang w:eastAsia="zh-CN"/>
                    </w:rPr>
                    <w:t>项目</w:t>
                  </w:r>
                  <w:r>
                    <w:rPr>
                      <w:rFonts w:hint="default" w:ascii="Times New Roman" w:hAnsi="Times New Roman" w:cs="Times New Roman" w:eastAsiaTheme="minorEastAsia"/>
                      <w:color w:val="auto"/>
                      <w:kern w:val="2"/>
                      <w:sz w:val="21"/>
                      <w:szCs w:val="21"/>
                      <w:highlight w:val="none"/>
                      <w:lang w:val="en-US" w:eastAsia="zh-CN" w:bidi="ar-SA"/>
                    </w:rPr>
                    <w:t>注塑、挤出工序废气</w:t>
                  </w:r>
                  <w:r>
                    <w:rPr>
                      <w:rFonts w:hint="eastAsia" w:ascii="Times New Roman" w:hAnsi="Times New Roman" w:cs="Times New Roman" w:eastAsiaTheme="minorEastAsia"/>
                      <w:color w:val="auto"/>
                      <w:kern w:val="2"/>
                      <w:sz w:val="21"/>
                      <w:szCs w:val="21"/>
                      <w:highlight w:val="none"/>
                      <w:lang w:val="en-US" w:eastAsia="zh-CN" w:bidi="ar-SA"/>
                    </w:rPr>
                    <w:t>处理技术</w:t>
                  </w:r>
                  <w:r>
                    <w:rPr>
                      <w:rFonts w:hint="default" w:ascii="Times New Roman" w:hAnsi="Times New Roman" w:cs="Times New Roman" w:eastAsiaTheme="minorEastAsia"/>
                      <w:color w:val="auto"/>
                      <w:kern w:val="2"/>
                      <w:sz w:val="21"/>
                      <w:szCs w:val="21"/>
                      <w:highlight w:val="none"/>
                      <w:lang w:val="en-US" w:eastAsia="zh-CN" w:bidi="ar-SA"/>
                    </w:rPr>
                    <w:t>不属于其中</w:t>
                  </w:r>
                  <w:r>
                    <w:rPr>
                      <w:rFonts w:hint="eastAsia" w:cs="Times New Roman" w:eastAsiaTheme="minorEastAsia"/>
                      <w:color w:val="auto"/>
                      <w:kern w:val="2"/>
                      <w:sz w:val="21"/>
                      <w:szCs w:val="21"/>
                      <w:highlight w:val="none"/>
                      <w:lang w:val="en-US" w:eastAsia="zh-CN" w:bidi="ar-SA"/>
                    </w:rPr>
                    <w:t>鼓励类、</w:t>
                  </w:r>
                  <w:r>
                    <w:rPr>
                      <w:rFonts w:hint="eastAsia" w:ascii="Times New Roman" w:hAnsi="Times New Roman" w:cs="Times New Roman" w:eastAsiaTheme="minorEastAsia"/>
                      <w:color w:val="auto"/>
                      <w:kern w:val="2"/>
                      <w:sz w:val="21"/>
                      <w:szCs w:val="21"/>
                      <w:highlight w:val="none"/>
                      <w:lang w:val="en-US" w:eastAsia="zh-CN" w:bidi="ar-SA"/>
                    </w:rPr>
                    <w:t>低效</w:t>
                  </w:r>
                  <w:r>
                    <w:rPr>
                      <w:rFonts w:hint="eastAsia" w:cs="Times New Roman" w:eastAsiaTheme="minorEastAsia"/>
                      <w:color w:val="auto"/>
                      <w:kern w:val="2"/>
                      <w:sz w:val="21"/>
                      <w:szCs w:val="21"/>
                      <w:highlight w:val="none"/>
                      <w:lang w:val="en-US" w:eastAsia="zh-CN" w:bidi="ar-SA"/>
                    </w:rPr>
                    <w:t>类</w:t>
                  </w:r>
                  <w:r>
                    <w:rPr>
                      <w:rFonts w:hint="default" w:ascii="Times New Roman" w:hAnsi="Times New Roman" w:cs="Times New Roman" w:eastAsiaTheme="minorEastAsia"/>
                      <w:color w:val="auto"/>
                      <w:kern w:val="2"/>
                      <w:sz w:val="21"/>
                      <w:szCs w:val="21"/>
                      <w:highlight w:val="none"/>
                      <w:lang w:val="en-US" w:eastAsia="zh-CN" w:bidi="ar-SA"/>
                    </w:rPr>
                    <w:t>技术。</w:t>
                  </w:r>
                </w:p>
              </w:tc>
              <w:tc>
                <w:tcPr>
                  <w:tcW w:w="475" w:type="pct"/>
                  <w:vMerge w:val="continue"/>
                  <w:shd w:val="clear" w:color="auto" w:fill="auto"/>
                  <w:vAlign w:val="center"/>
                </w:tcPr>
                <w:p w14:paraId="6C9F29DC">
                  <w:pPr>
                    <w:keepNext w:val="0"/>
                    <w:keepLines w:val="0"/>
                    <w:pageBreakBefore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000000"/>
                      <w:sz w:val="21"/>
                      <w:szCs w:val="21"/>
                    </w:rPr>
                  </w:pPr>
                </w:p>
              </w:tc>
            </w:tr>
          </w:tbl>
          <w:p w14:paraId="3D354F47">
            <w:pPr>
              <w:pStyle w:val="24"/>
              <w:ind w:left="0" w:leftChars="0" w:firstLine="0" w:firstLineChars="0"/>
              <w:rPr>
                <w:rFonts w:hint="eastAsia"/>
                <w:color w:val="auto"/>
                <w:szCs w:val="24"/>
              </w:rPr>
            </w:pPr>
          </w:p>
        </w:tc>
      </w:tr>
    </w:tbl>
    <w:p w14:paraId="3CBCC7ED">
      <w:pPr>
        <w:pStyle w:val="22"/>
        <w:numPr>
          <w:ilvl w:val="0"/>
          <w:numId w:val="0"/>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lang w:eastAsia="zh-CN"/>
        </w:rPr>
        <w:t>二、</w:t>
      </w:r>
      <w:r>
        <w:rPr>
          <w:rFonts w:hint="eastAsia" w:ascii="黑体" w:hAnsi="黑体" w:eastAsia="黑体"/>
          <w:snapToGrid w:val="0"/>
          <w:color w:val="auto"/>
          <w:sz w:val="30"/>
          <w:szCs w:val="30"/>
        </w:rPr>
        <w:t>建设项目工程分析</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8643"/>
      </w:tblGrid>
      <w:tr w14:paraId="60B7260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760" w:hRule="atLeast"/>
          <w:jc w:val="center"/>
        </w:trPr>
        <w:tc>
          <w:tcPr>
            <w:tcW w:w="423" w:type="dxa"/>
            <w:noWrap w:val="0"/>
            <w:vAlign w:val="center"/>
          </w:tcPr>
          <w:p w14:paraId="65CA023E">
            <w:pPr>
              <w:pStyle w:val="22"/>
              <w:adjustRightInd w:val="0"/>
              <w:snapToGrid w:val="0"/>
              <w:spacing w:before="0" w:beforeAutospacing="0" w:after="0" w:afterAutospacing="0"/>
              <w:jc w:val="center"/>
              <w:rPr>
                <w:rFonts w:cs="宋体"/>
                <w:color w:val="0000FF"/>
                <w:sz w:val="21"/>
                <w:szCs w:val="21"/>
                <w:highlight w:val="none"/>
              </w:rPr>
            </w:pPr>
            <w:r>
              <w:rPr>
                <w:rFonts w:hint="eastAsia" w:cs="宋体"/>
                <w:color w:val="auto"/>
                <w:sz w:val="21"/>
                <w:szCs w:val="21"/>
                <w:highlight w:val="none"/>
              </w:rPr>
              <w:t>建设内容</w:t>
            </w:r>
          </w:p>
        </w:tc>
        <w:tc>
          <w:tcPr>
            <w:tcW w:w="8643" w:type="dxa"/>
            <w:noWrap w:val="0"/>
            <w:vAlign w:val="top"/>
          </w:tcPr>
          <w:p w14:paraId="47F1FC87">
            <w:pPr>
              <w:adjustRightInd w:val="0"/>
              <w:snapToGrid w:val="0"/>
              <w:spacing w:line="360" w:lineRule="auto"/>
              <w:jc w:val="left"/>
              <w:rPr>
                <w:rFonts w:hint="eastAsia"/>
                <w:b/>
                <w:color w:val="auto"/>
                <w:sz w:val="24"/>
                <w:highlight w:val="none"/>
              </w:rPr>
            </w:pPr>
            <w:r>
              <w:rPr>
                <w:rFonts w:hint="eastAsia"/>
                <w:b/>
                <w:color w:val="auto"/>
                <w:sz w:val="24"/>
                <w:highlight w:val="none"/>
                <w:lang w:val="en-US" w:eastAsia="zh-CN"/>
              </w:rPr>
              <w:t>一、</w:t>
            </w:r>
            <w:r>
              <w:rPr>
                <w:rFonts w:hint="eastAsia"/>
                <w:b/>
                <w:color w:val="auto"/>
                <w:sz w:val="24"/>
                <w:highlight w:val="none"/>
              </w:rPr>
              <w:t>项目基本情况</w:t>
            </w:r>
          </w:p>
          <w:p w14:paraId="60225FE3">
            <w:pPr>
              <w:adjustRightInd w:val="0"/>
              <w:snapToGrid w:val="0"/>
              <w:spacing w:line="360" w:lineRule="auto"/>
              <w:ind w:firstLine="42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项目名称：</w:t>
            </w:r>
            <w:r>
              <w:rPr>
                <w:rFonts w:hint="eastAsia" w:cs="Times New Roman"/>
                <w:bCs/>
                <w:color w:val="auto"/>
                <w:sz w:val="24"/>
                <w:highlight w:val="none"/>
                <w:lang w:eastAsia="zh-CN"/>
              </w:rPr>
              <w:t>电力护套管建设项目</w:t>
            </w:r>
            <w:r>
              <w:rPr>
                <w:rFonts w:hint="default" w:ascii="Times New Roman" w:hAnsi="Times New Roman" w:eastAsia="宋体" w:cs="Times New Roman"/>
                <w:bCs/>
                <w:color w:val="auto"/>
                <w:sz w:val="24"/>
                <w:highlight w:val="none"/>
              </w:rPr>
              <w:t>；</w:t>
            </w:r>
          </w:p>
          <w:p w14:paraId="5CC2F36F">
            <w:pPr>
              <w:adjustRightInd w:val="0"/>
              <w:snapToGrid w:val="0"/>
              <w:spacing w:line="360" w:lineRule="auto"/>
              <w:ind w:firstLine="42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lang w:val="en-US" w:eastAsia="zh-CN"/>
              </w:rPr>
              <w:t>项目代码：2505-611206-04-01-167150</w:t>
            </w:r>
            <w:r>
              <w:rPr>
                <w:rFonts w:hint="default" w:ascii="Times New Roman" w:hAnsi="Times New Roman" w:eastAsia="宋体" w:cs="Times New Roman"/>
                <w:bCs/>
                <w:color w:val="auto"/>
                <w:sz w:val="24"/>
                <w:highlight w:val="none"/>
              </w:rPr>
              <w:t>；</w:t>
            </w:r>
          </w:p>
          <w:p w14:paraId="27B988FE">
            <w:pPr>
              <w:adjustRightInd w:val="0"/>
              <w:snapToGrid w:val="0"/>
              <w:spacing w:line="360" w:lineRule="auto"/>
              <w:ind w:firstLine="420"/>
              <w:jc w:val="left"/>
              <w:rPr>
                <w:rFonts w:hint="default" w:ascii="Times New Roman" w:hAnsi="Times New Roman" w:eastAsia="宋体" w:cs="Times New Roman"/>
                <w:bCs/>
                <w:color w:val="0000FF"/>
                <w:sz w:val="24"/>
                <w:highlight w:val="none"/>
                <w:lang w:val="en-US" w:eastAsia="zh-CN"/>
              </w:rPr>
            </w:pPr>
            <w:r>
              <w:rPr>
                <w:rFonts w:hint="eastAsia"/>
                <w:color w:val="auto"/>
                <w:sz w:val="24"/>
                <w:highlight w:val="none"/>
                <w:lang w:eastAsia="zh-CN"/>
              </w:rPr>
              <w:t>地理坐标：</w:t>
            </w:r>
            <w:r>
              <w:rPr>
                <w:color w:val="auto"/>
                <w:sz w:val="24"/>
                <w:highlight w:val="none"/>
                <w:u w:val="single"/>
              </w:rPr>
              <w:t xml:space="preserve"> 10</w:t>
            </w:r>
            <w:r>
              <w:rPr>
                <w:rFonts w:hint="eastAsia"/>
                <w:color w:val="auto"/>
                <w:sz w:val="24"/>
                <w:highlight w:val="none"/>
                <w:u w:val="single"/>
                <w:lang w:val="en-US" w:eastAsia="zh-CN"/>
              </w:rPr>
              <w:t>8</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56</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40.10</w:t>
            </w:r>
            <w:r>
              <w:rPr>
                <w:color w:val="auto"/>
                <w:sz w:val="24"/>
                <w:highlight w:val="none"/>
                <w:u w:val="single"/>
              </w:rPr>
              <w:t xml:space="preserve"> </w:t>
            </w:r>
            <w:r>
              <w:rPr>
                <w:color w:val="auto"/>
                <w:sz w:val="24"/>
                <w:highlight w:val="none"/>
              </w:rPr>
              <w:t>秒，</w:t>
            </w:r>
            <w:r>
              <w:rPr>
                <w:color w:val="auto"/>
                <w:sz w:val="24"/>
                <w:highlight w:val="none"/>
                <w:u w:val="single"/>
              </w:rPr>
              <w:t xml:space="preserve"> 34 </w:t>
            </w:r>
            <w:r>
              <w:rPr>
                <w:color w:val="auto"/>
                <w:sz w:val="24"/>
                <w:highlight w:val="none"/>
              </w:rPr>
              <w:t>度</w:t>
            </w:r>
            <w:r>
              <w:rPr>
                <w:color w:val="auto"/>
                <w:sz w:val="24"/>
                <w:highlight w:val="none"/>
                <w:u w:val="single"/>
              </w:rPr>
              <w:t xml:space="preserve"> </w:t>
            </w:r>
            <w:r>
              <w:rPr>
                <w:rFonts w:hint="eastAsia"/>
                <w:color w:val="auto"/>
                <w:sz w:val="24"/>
                <w:highlight w:val="none"/>
                <w:u w:val="single"/>
                <w:lang w:val="en-US" w:eastAsia="zh-CN"/>
              </w:rPr>
              <w:t>32</w:t>
            </w:r>
            <w:r>
              <w:rPr>
                <w:color w:val="auto"/>
                <w:sz w:val="24"/>
                <w:highlight w:val="none"/>
                <w:u w:val="single"/>
              </w:rPr>
              <w:t xml:space="preserve"> </w:t>
            </w:r>
            <w:r>
              <w:rPr>
                <w:color w:val="auto"/>
                <w:sz w:val="24"/>
                <w:highlight w:val="none"/>
              </w:rPr>
              <w:t>分</w:t>
            </w:r>
            <w:r>
              <w:rPr>
                <w:color w:val="auto"/>
                <w:sz w:val="24"/>
                <w:highlight w:val="none"/>
                <w:u w:val="single"/>
              </w:rPr>
              <w:t xml:space="preserve"> </w:t>
            </w:r>
            <w:r>
              <w:rPr>
                <w:rFonts w:hint="eastAsia"/>
                <w:color w:val="auto"/>
                <w:sz w:val="24"/>
                <w:highlight w:val="none"/>
                <w:u w:val="single"/>
                <w:lang w:val="en-US" w:eastAsia="zh-CN"/>
              </w:rPr>
              <w:t>4.60</w:t>
            </w:r>
            <w:r>
              <w:rPr>
                <w:color w:val="auto"/>
                <w:sz w:val="24"/>
                <w:highlight w:val="none"/>
                <w:u w:val="single"/>
              </w:rPr>
              <w:t xml:space="preserve"> </w:t>
            </w:r>
            <w:r>
              <w:rPr>
                <w:color w:val="auto"/>
                <w:sz w:val="24"/>
                <w:highlight w:val="none"/>
              </w:rPr>
              <w:t>秒</w:t>
            </w:r>
          </w:p>
          <w:p w14:paraId="3DE8AFAE">
            <w:pPr>
              <w:adjustRightInd w:val="0"/>
              <w:snapToGrid w:val="0"/>
              <w:spacing w:line="360" w:lineRule="auto"/>
              <w:ind w:firstLine="420"/>
              <w:jc w:val="left"/>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国民经济行业类别：</w:t>
            </w:r>
            <w:r>
              <w:rPr>
                <w:rFonts w:hint="eastAsia" w:ascii="Times New Roman" w:hAnsi="Times New Roman" w:eastAsia="宋体" w:cs="Times New Roman"/>
                <w:bCs/>
                <w:color w:val="auto"/>
                <w:sz w:val="24"/>
                <w:highlight w:val="none"/>
                <w:lang w:val="en-US" w:eastAsia="zh-CN"/>
              </w:rPr>
              <w:t>C292</w:t>
            </w:r>
            <w:r>
              <w:rPr>
                <w:rFonts w:hint="eastAsia" w:cs="Times New Roman"/>
                <w:bCs/>
                <w:color w:val="auto"/>
                <w:sz w:val="24"/>
                <w:highlight w:val="none"/>
                <w:lang w:val="en-US" w:eastAsia="zh-CN"/>
              </w:rPr>
              <w:t>2</w:t>
            </w:r>
            <w:r>
              <w:rPr>
                <w:rFonts w:hint="eastAsia"/>
                <w:sz w:val="24"/>
                <w:highlight w:val="none"/>
              </w:rPr>
              <w:t>塑料板、管、型材制造</w:t>
            </w:r>
            <w:r>
              <w:rPr>
                <w:rFonts w:hint="eastAsia" w:ascii="Times New Roman" w:hAnsi="Times New Roman" w:eastAsia="宋体" w:cs="Times New Roman"/>
                <w:bCs/>
                <w:color w:val="auto"/>
                <w:sz w:val="24"/>
                <w:highlight w:val="none"/>
                <w:lang w:val="en-US" w:eastAsia="zh-CN"/>
              </w:rPr>
              <w:t>；</w:t>
            </w:r>
          </w:p>
          <w:p w14:paraId="0931B2C3">
            <w:pPr>
              <w:adjustRightInd w:val="0"/>
              <w:snapToGrid w:val="0"/>
              <w:spacing w:line="360" w:lineRule="auto"/>
              <w:ind w:firstLine="420"/>
              <w:jc w:val="left"/>
              <w:rPr>
                <w:rFonts w:hint="eastAsia"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项目行业类别：</w:t>
            </w:r>
            <w:r>
              <w:rPr>
                <w:rFonts w:hint="eastAsia"/>
                <w:sz w:val="24"/>
                <w:highlight w:val="none"/>
              </w:rPr>
              <w:t>二十六、橡胶和塑料制品业29（53塑料制品业-其他（年用非溶剂型低VOCs含量涂料10吨涂料以下的除外）</w:t>
            </w:r>
            <w:r>
              <w:rPr>
                <w:rFonts w:hint="eastAsia"/>
                <w:sz w:val="24"/>
                <w:highlight w:val="none"/>
                <w:lang w:eastAsia="zh-CN"/>
              </w:rPr>
              <w:t>；</w:t>
            </w:r>
          </w:p>
          <w:p w14:paraId="1AB8AFCB">
            <w:pPr>
              <w:adjustRightInd w:val="0"/>
              <w:snapToGrid w:val="0"/>
              <w:spacing w:line="360" w:lineRule="auto"/>
              <w:ind w:firstLine="42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项目性质：</w:t>
            </w:r>
            <w:r>
              <w:rPr>
                <w:rFonts w:hint="default" w:ascii="Times New Roman" w:hAnsi="Times New Roman" w:eastAsia="宋体" w:cs="Times New Roman"/>
                <w:bCs/>
                <w:color w:val="auto"/>
                <w:sz w:val="24"/>
                <w:highlight w:val="none"/>
                <w:lang w:val="en-US" w:eastAsia="zh-CN"/>
              </w:rPr>
              <w:t>新建</w:t>
            </w:r>
            <w:r>
              <w:rPr>
                <w:rFonts w:hint="default" w:ascii="Times New Roman" w:hAnsi="Times New Roman" w:eastAsia="宋体" w:cs="Times New Roman"/>
                <w:bCs/>
                <w:color w:val="auto"/>
                <w:sz w:val="24"/>
                <w:highlight w:val="none"/>
              </w:rPr>
              <w:t>；</w:t>
            </w:r>
          </w:p>
          <w:p w14:paraId="6A606674">
            <w:pPr>
              <w:adjustRightInd w:val="0"/>
              <w:snapToGrid w:val="0"/>
              <w:spacing w:line="360" w:lineRule="auto"/>
              <w:ind w:firstLine="420"/>
              <w:jc w:val="left"/>
              <w:rPr>
                <w:rFonts w:hint="default" w:ascii="Times New Roman" w:hAnsi="Times New Roman" w:eastAsia="宋体" w:cs="Times New Roman"/>
                <w:bCs/>
                <w:color w:val="auto"/>
                <w:sz w:val="24"/>
                <w:highlight w:val="none"/>
                <w:lang w:val="en-GB" w:eastAsia="zh-CN"/>
              </w:rPr>
            </w:pPr>
            <w:r>
              <w:rPr>
                <w:rFonts w:hint="default" w:ascii="Times New Roman" w:hAnsi="Times New Roman" w:eastAsia="宋体" w:cs="Times New Roman"/>
                <w:bCs/>
                <w:color w:val="auto"/>
                <w:sz w:val="24"/>
                <w:highlight w:val="none"/>
              </w:rPr>
              <w:t>建设单位：陕西</w:t>
            </w:r>
            <w:r>
              <w:rPr>
                <w:rFonts w:hint="eastAsia" w:cs="Times New Roman"/>
                <w:bCs/>
                <w:color w:val="auto"/>
                <w:sz w:val="24"/>
                <w:highlight w:val="none"/>
                <w:lang w:eastAsia="zh-CN"/>
              </w:rPr>
              <w:t>聚鑫弘科技</w:t>
            </w:r>
            <w:r>
              <w:rPr>
                <w:rFonts w:hint="default" w:ascii="Times New Roman" w:hAnsi="Times New Roman" w:eastAsia="宋体" w:cs="Times New Roman"/>
                <w:bCs/>
                <w:color w:val="auto"/>
                <w:sz w:val="24"/>
                <w:highlight w:val="none"/>
              </w:rPr>
              <w:t>有限公司</w:t>
            </w:r>
            <w:r>
              <w:rPr>
                <w:rFonts w:hint="default" w:ascii="Times New Roman" w:hAnsi="Times New Roman" w:eastAsia="宋体" w:cs="Times New Roman"/>
                <w:bCs/>
                <w:color w:val="auto"/>
                <w:sz w:val="24"/>
                <w:highlight w:val="none"/>
                <w:lang w:eastAsia="zh-CN"/>
              </w:rPr>
              <w:t>；</w:t>
            </w:r>
          </w:p>
          <w:p w14:paraId="43425912">
            <w:pPr>
              <w:adjustRightInd w:val="0"/>
              <w:snapToGrid w:val="0"/>
              <w:spacing w:line="360" w:lineRule="auto"/>
              <w:ind w:firstLine="420"/>
              <w:jc w:val="left"/>
              <w:rPr>
                <w:rFonts w:hint="default"/>
                <w:highlight w:val="none"/>
                <w:lang w:eastAsia="zh-CN"/>
              </w:rPr>
            </w:pPr>
            <w:r>
              <w:rPr>
                <w:rFonts w:hint="default" w:ascii="Times New Roman" w:hAnsi="Times New Roman" w:eastAsia="宋体" w:cs="Times New Roman"/>
                <w:bCs/>
                <w:color w:val="auto"/>
                <w:sz w:val="24"/>
                <w:highlight w:val="none"/>
                <w:lang w:eastAsia="zh-CN"/>
              </w:rPr>
              <w:t>建设地点：</w:t>
            </w:r>
            <w:r>
              <w:rPr>
                <w:rFonts w:hint="eastAsia" w:ascii="Times New Roman" w:hAnsi="Times New Roman" w:eastAsia="宋体" w:cs="Times New Roman"/>
                <w:bCs/>
                <w:color w:val="auto"/>
                <w:sz w:val="24"/>
                <w:highlight w:val="none"/>
                <w:lang w:val="en-US" w:eastAsia="zh-CN"/>
              </w:rPr>
              <w:t>陕西省西咸新区泾河新城工业密集区永乐园区南北大道23号</w:t>
            </w:r>
            <w:r>
              <w:rPr>
                <w:rFonts w:hint="default" w:ascii="Times New Roman" w:hAnsi="Times New Roman" w:eastAsia="宋体" w:cs="Times New Roman"/>
                <w:bCs/>
                <w:color w:val="auto"/>
                <w:sz w:val="24"/>
                <w:highlight w:val="none"/>
              </w:rPr>
              <w:t>；</w:t>
            </w:r>
          </w:p>
          <w:p w14:paraId="3AD6EDF7">
            <w:pPr>
              <w:adjustRightInd w:val="0"/>
              <w:snapToGrid w:val="0"/>
              <w:spacing w:line="360" w:lineRule="auto"/>
              <w:ind w:firstLine="420"/>
              <w:jc w:val="left"/>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bCs/>
                <w:color w:val="auto"/>
                <w:sz w:val="24"/>
                <w:highlight w:val="none"/>
                <w:lang w:eastAsia="zh-CN"/>
              </w:rPr>
              <w:t>建设内容：</w:t>
            </w:r>
            <w:r>
              <w:rPr>
                <w:rFonts w:hint="eastAsia" w:ascii="Times New Roman" w:hAnsi="Times New Roman" w:eastAsia="宋体" w:cs="Times New Roman"/>
                <w:bCs/>
                <w:color w:val="auto"/>
                <w:sz w:val="24"/>
                <w:highlight w:val="none"/>
                <w:lang w:val="en-US" w:eastAsia="zh-CN"/>
              </w:rPr>
              <w:t>建设项目租赁5号厂房进行生产，建筑面积2000平方米，主要建设4条电缆管道生产线</w:t>
            </w:r>
            <w:r>
              <w:rPr>
                <w:rFonts w:hint="eastAsia" w:cs="Times New Roman"/>
                <w:bCs/>
                <w:color w:val="auto"/>
                <w:sz w:val="24"/>
                <w:highlight w:val="none"/>
                <w:lang w:val="en-US" w:eastAsia="zh-CN"/>
              </w:rPr>
              <w:t>，</w:t>
            </w:r>
            <w:r>
              <w:rPr>
                <w:rFonts w:hint="eastAsia" w:ascii="Times New Roman" w:hAnsi="Times New Roman" w:eastAsia="宋体" w:cs="Times New Roman"/>
                <w:bCs/>
                <w:color w:val="auto"/>
                <w:sz w:val="24"/>
                <w:highlight w:val="none"/>
                <w:lang w:val="en-US" w:eastAsia="zh-CN"/>
              </w:rPr>
              <w:t>购置注塑机等生产设备及配套设施</w:t>
            </w:r>
            <w:r>
              <w:rPr>
                <w:rFonts w:hint="eastAsia" w:cs="Times New Roman"/>
                <w:bCs/>
                <w:color w:val="auto"/>
                <w:sz w:val="24"/>
                <w:highlight w:val="none"/>
                <w:lang w:val="en-US" w:eastAsia="zh-CN"/>
              </w:rPr>
              <w:t>，</w:t>
            </w:r>
            <w:r>
              <w:rPr>
                <w:rFonts w:hint="eastAsia" w:ascii="Times New Roman" w:hAnsi="Times New Roman" w:eastAsia="宋体" w:cs="Times New Roman"/>
                <w:bCs/>
                <w:color w:val="auto"/>
                <w:sz w:val="24"/>
                <w:highlight w:val="none"/>
                <w:lang w:val="en-US" w:eastAsia="zh-CN"/>
              </w:rPr>
              <w:t>年产电力护套管2000吨。</w:t>
            </w:r>
          </w:p>
          <w:p w14:paraId="3B734E3E">
            <w:pPr>
              <w:adjustRightInd w:val="0"/>
              <w:snapToGrid w:val="0"/>
              <w:spacing w:line="360" w:lineRule="auto"/>
              <w:ind w:firstLine="480" w:firstLineChars="200"/>
              <w:jc w:val="left"/>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项目</w:t>
            </w:r>
            <w:r>
              <w:rPr>
                <w:rFonts w:hint="eastAsia" w:cs="Times New Roman"/>
                <w:bCs/>
                <w:color w:val="auto"/>
                <w:sz w:val="24"/>
                <w:highlight w:val="none"/>
                <w:lang w:val="en-US" w:eastAsia="zh-CN"/>
              </w:rPr>
              <w:t>总投资100万元，其中环保投资10万元。</w:t>
            </w:r>
          </w:p>
          <w:p w14:paraId="1D3962D0">
            <w:pPr>
              <w:numPr>
                <w:ilvl w:val="0"/>
                <w:numId w:val="0"/>
              </w:numPr>
              <w:spacing w:line="360" w:lineRule="auto"/>
              <w:ind w:firstLine="480"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项目四邻关系</w:t>
            </w:r>
            <w:r>
              <w:rPr>
                <w:rFonts w:hint="eastAsia" w:cs="Times New Roman"/>
                <w:bCs/>
                <w:color w:val="auto"/>
                <w:sz w:val="24"/>
                <w:highlight w:val="none"/>
                <w:lang w:val="en-US" w:eastAsia="zh-CN"/>
              </w:rPr>
              <w:t>：</w:t>
            </w:r>
            <w:r>
              <w:rPr>
                <w:rFonts w:hint="eastAsia" w:ascii="Times New Roman" w:hAnsi="Times New Roman" w:eastAsia="宋体" w:cs="Times New Roman"/>
                <w:bCs/>
                <w:color w:val="auto"/>
                <w:sz w:val="24"/>
                <w:highlight w:val="none"/>
                <w:lang w:val="en-US" w:eastAsia="zh-CN"/>
              </w:rPr>
              <w:t>本项目位于陕西省西咸新区泾河新城工业密集区永乐园区南北大道23号，</w:t>
            </w:r>
            <w:r>
              <w:rPr>
                <w:rFonts w:hint="eastAsia" w:cs="Times New Roman"/>
                <w:b w:val="0"/>
                <w:bCs w:val="0"/>
                <w:color w:val="000000"/>
                <w:sz w:val="24"/>
                <w:szCs w:val="24"/>
                <w:highlight w:val="none"/>
                <w:lang w:val="en-US" w:eastAsia="zh-CN"/>
              </w:rPr>
              <w:t>厂房北侧为陕西晟泰机械制造有限公司，西侧为铁路，西北方向为永乐火车站，南侧为中国石油天然气股份有限公司陕西咸阳泾阳经营部、东侧为陕西明泽建设工程有限公司，</w:t>
            </w:r>
            <w:r>
              <w:rPr>
                <w:rFonts w:hint="eastAsia" w:ascii="Times New Roman" w:hAnsi="Times New Roman" w:eastAsia="宋体" w:cs="Times New Roman"/>
                <w:bCs/>
                <w:color w:val="auto"/>
                <w:sz w:val="24"/>
                <w:highlight w:val="none"/>
                <w:lang w:val="en-US" w:eastAsia="zh-CN"/>
              </w:rPr>
              <w:t>项目地理位置图与四邻关系图见附图</w:t>
            </w:r>
            <w:r>
              <w:rPr>
                <w:rFonts w:hint="eastAsia" w:cs="Times New Roman"/>
                <w:bCs/>
                <w:color w:val="auto"/>
                <w:sz w:val="24"/>
                <w:highlight w:val="none"/>
                <w:lang w:val="en-US" w:eastAsia="zh-CN"/>
              </w:rPr>
              <w:t>2</w:t>
            </w:r>
            <w:r>
              <w:rPr>
                <w:rFonts w:hint="eastAsia" w:ascii="Times New Roman" w:hAnsi="Times New Roman" w:eastAsia="宋体" w:cs="Times New Roman"/>
                <w:bCs/>
                <w:color w:val="auto"/>
                <w:sz w:val="24"/>
                <w:highlight w:val="none"/>
                <w:lang w:val="en-US" w:eastAsia="zh-CN"/>
              </w:rPr>
              <w:t>。</w:t>
            </w:r>
          </w:p>
          <w:p w14:paraId="0F333354">
            <w:pPr>
              <w:adjustRightInd w:val="0"/>
              <w:snapToGrid w:val="0"/>
              <w:spacing w:line="360" w:lineRule="auto"/>
              <w:jc w:val="left"/>
              <w:rPr>
                <w:b/>
                <w:color w:val="auto"/>
                <w:sz w:val="24"/>
                <w:highlight w:val="none"/>
              </w:rPr>
            </w:pPr>
            <w:r>
              <w:rPr>
                <w:rFonts w:hint="eastAsia"/>
                <w:b/>
                <w:color w:val="auto"/>
                <w:sz w:val="24"/>
                <w:highlight w:val="none"/>
                <w:lang w:val="en-US" w:eastAsia="zh-CN"/>
              </w:rPr>
              <w:t>二</w:t>
            </w:r>
            <w:r>
              <w:rPr>
                <w:rFonts w:hint="eastAsia"/>
                <w:b/>
                <w:color w:val="auto"/>
                <w:sz w:val="24"/>
                <w:highlight w:val="none"/>
                <w:lang w:eastAsia="zh-CN"/>
              </w:rPr>
              <w:t>、</w:t>
            </w:r>
            <w:r>
              <w:rPr>
                <w:b/>
                <w:color w:val="auto"/>
                <w:sz w:val="24"/>
                <w:highlight w:val="none"/>
              </w:rPr>
              <w:t>项目组成与建设内容</w:t>
            </w:r>
          </w:p>
          <w:p w14:paraId="43E22D1D">
            <w:pPr>
              <w:adjustRightInd w:val="0"/>
              <w:snapToGrid w:val="0"/>
              <w:spacing w:line="360" w:lineRule="auto"/>
              <w:ind w:firstLine="420"/>
              <w:jc w:val="left"/>
              <w:rPr>
                <w:rFonts w:hint="default" w:ascii="Times New Roman" w:hAnsi="Times New Roman" w:cs="Times New Roman"/>
                <w:bCs/>
                <w:color w:val="auto"/>
                <w:sz w:val="24"/>
                <w:highlight w:val="none"/>
              </w:rPr>
            </w:pPr>
            <w:r>
              <w:rPr>
                <w:bCs/>
                <w:color w:val="auto"/>
                <w:sz w:val="24"/>
                <w:highlight w:val="none"/>
              </w:rPr>
              <w:t>本项目位于</w:t>
            </w:r>
            <w:r>
              <w:rPr>
                <w:rFonts w:hint="eastAsia" w:ascii="Times New Roman" w:hAnsi="Times New Roman" w:eastAsia="宋体" w:cs="Times New Roman"/>
                <w:bCs/>
                <w:color w:val="auto"/>
                <w:sz w:val="24"/>
                <w:highlight w:val="none"/>
                <w:lang w:val="en-US" w:eastAsia="zh-CN"/>
              </w:rPr>
              <w:t>陕西省西咸新区泾河新城工业密集区永乐园区南北大道23号</w:t>
            </w:r>
            <w:r>
              <w:rPr>
                <w:rFonts w:hint="eastAsia"/>
                <w:bCs/>
                <w:color w:val="auto"/>
                <w:sz w:val="24"/>
                <w:highlight w:val="none"/>
              </w:rPr>
              <w:t>，</w:t>
            </w:r>
            <w:r>
              <w:rPr>
                <w:rFonts w:hint="eastAsia"/>
                <w:bCs/>
                <w:color w:val="auto"/>
                <w:sz w:val="24"/>
                <w:highlight w:val="none"/>
                <w:lang w:eastAsia="zh-CN"/>
              </w:rPr>
              <w:t>租赁厂区内除本项目外的其他厂房暂时空置，本项目</w:t>
            </w:r>
            <w:r>
              <w:rPr>
                <w:rFonts w:hint="eastAsia" w:ascii="Times New Roman" w:hAnsi="Times New Roman" w:eastAsia="宋体" w:cs="Times New Roman"/>
                <w:bCs/>
                <w:color w:val="auto"/>
                <w:sz w:val="24"/>
                <w:highlight w:val="none"/>
                <w:lang w:val="en-US" w:eastAsia="zh-CN"/>
              </w:rPr>
              <w:t>租赁5号厂房进行生产，建筑面积2000平方米，主要建设4条电缆管道生产线，购置注塑机等生产设备及配套设施，年产电力护套管2000吨。</w:t>
            </w:r>
            <w:r>
              <w:rPr>
                <w:bCs/>
                <w:color w:val="auto"/>
                <w:sz w:val="24"/>
                <w:highlight w:val="none"/>
              </w:rPr>
              <w:t>项目组成及建设内容详见表</w:t>
            </w:r>
            <w:r>
              <w:rPr>
                <w:rFonts w:hint="eastAsia"/>
                <w:bCs/>
                <w:color w:val="auto"/>
                <w:sz w:val="24"/>
                <w:highlight w:val="none"/>
              </w:rPr>
              <w:t>2-1。</w:t>
            </w:r>
          </w:p>
          <w:p w14:paraId="65285AFE">
            <w:pPr>
              <w:numPr>
                <w:ilvl w:val="0"/>
                <w:numId w:val="0"/>
              </w:numPr>
              <w:adjustRightInd w:val="0"/>
              <w:snapToGrid w:val="0"/>
              <w:spacing w:line="360" w:lineRule="auto"/>
              <w:ind w:firstLine="422" w:firstLineChars="200"/>
              <w:jc w:val="center"/>
              <w:rPr>
                <w:rFonts w:hint="default" w:ascii="Times New Roman" w:hAnsi="Times New Roman" w:eastAsia="宋体" w:cs="Times New Roman"/>
                <w:b/>
                <w:color w:val="auto"/>
                <w:szCs w:val="21"/>
                <w:highlight w:val="none"/>
              </w:rPr>
            </w:pPr>
            <w:r>
              <w:rPr>
                <w:rFonts w:hint="default" w:ascii="Times New Roman" w:hAnsi="Times New Roman" w:cs="Times New Roman" w:eastAsiaTheme="majorEastAsia"/>
                <w:b/>
                <w:color w:val="auto"/>
                <w:szCs w:val="21"/>
                <w:highlight w:val="none"/>
              </w:rPr>
              <w:t xml:space="preserve">表2-1  </w:t>
            </w:r>
            <w:r>
              <w:rPr>
                <w:rFonts w:hint="default" w:ascii="Times New Roman" w:hAnsi="Times New Roman" w:cs="Times New Roman" w:eastAsiaTheme="majorEastAsia"/>
                <w:b/>
                <w:color w:val="auto"/>
                <w:szCs w:val="21"/>
                <w:highlight w:val="none"/>
                <w:lang w:eastAsia="zh-CN"/>
              </w:rPr>
              <w:t>项目组成及建设内容</w:t>
            </w:r>
            <w:r>
              <w:rPr>
                <w:rFonts w:hint="default" w:ascii="Times New Roman" w:hAnsi="Times New Roman" w:cs="Times New Roman" w:eastAsiaTheme="majorEastAsia"/>
                <w:b/>
                <w:color w:val="auto"/>
                <w:szCs w:val="21"/>
                <w:highlight w:val="none"/>
              </w:rPr>
              <w:t>一览表</w:t>
            </w:r>
          </w:p>
          <w:tbl>
            <w:tblPr>
              <w:tblStyle w:val="25"/>
              <w:tblW w:w="4998" w:type="pct"/>
              <w:jc w:val="center"/>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Layout w:type="fixed"/>
              <w:tblCellMar>
                <w:top w:w="0" w:type="dxa"/>
                <w:left w:w="108" w:type="dxa"/>
                <w:bottom w:w="0" w:type="dxa"/>
                <w:right w:w="108" w:type="dxa"/>
              </w:tblCellMar>
            </w:tblPr>
            <w:tblGrid>
              <w:gridCol w:w="658"/>
              <w:gridCol w:w="607"/>
              <w:gridCol w:w="806"/>
              <w:gridCol w:w="587"/>
              <w:gridCol w:w="4735"/>
              <w:gridCol w:w="1021"/>
            </w:tblGrid>
            <w:tr w14:paraId="68A51403">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noWrap w:val="0"/>
                  <w:vAlign w:val="center"/>
                </w:tcPr>
                <w:p w14:paraId="3C244CE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类别</w:t>
                  </w:r>
                </w:p>
              </w:tc>
              <w:tc>
                <w:tcPr>
                  <w:tcW w:w="4001" w:type="pct"/>
                  <w:gridSpan w:val="4"/>
                  <w:noWrap w:val="0"/>
                  <w:vAlign w:val="center"/>
                </w:tcPr>
                <w:p w14:paraId="4AD7D95F">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建设内容</w:t>
                  </w:r>
                </w:p>
              </w:tc>
              <w:tc>
                <w:tcPr>
                  <w:tcW w:w="606" w:type="pct"/>
                  <w:noWrap w:val="0"/>
                  <w:vAlign w:val="center"/>
                </w:tcPr>
                <w:p w14:paraId="17A64BD3">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highlight w:val="none"/>
                      <w:lang w:val="en-US" w:eastAsia="zh-CN"/>
                    </w:rPr>
                  </w:pPr>
                  <w:r>
                    <w:rPr>
                      <w:rFonts w:hint="default" w:ascii="Times New Roman" w:hAnsi="Times New Roman" w:cs="Times New Roman"/>
                      <w:b/>
                      <w:color w:val="auto"/>
                      <w:szCs w:val="21"/>
                      <w:highlight w:val="none"/>
                      <w:lang w:val="en-US" w:eastAsia="zh-CN"/>
                    </w:rPr>
                    <w:t>备注</w:t>
                  </w:r>
                </w:p>
              </w:tc>
            </w:tr>
            <w:tr w14:paraId="0634C7DA">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391" w:type="pct"/>
                  <w:noWrap w:val="0"/>
                  <w:vAlign w:val="center"/>
                </w:tcPr>
                <w:p w14:paraId="6D8725BD">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主体</w:t>
                  </w:r>
                </w:p>
                <w:p w14:paraId="05EC4987">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840" w:type="pct"/>
                  <w:gridSpan w:val="2"/>
                  <w:vMerge w:val="restart"/>
                  <w:noWrap w:val="0"/>
                  <w:vAlign w:val="center"/>
                </w:tcPr>
                <w:p w14:paraId="2BD6E1C8">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eastAsia="zh-CN"/>
                    </w:rPr>
                    <w:t>全封闭彩钢结构厂房，</w:t>
                  </w:r>
                  <w:r>
                    <w:rPr>
                      <w:rFonts w:hint="default" w:ascii="Times New Roman" w:hAnsi="Times New Roman" w:cs="Times New Roman" w:eastAsiaTheme="minorEastAsia"/>
                      <w:color w:val="auto"/>
                      <w:sz w:val="21"/>
                      <w:szCs w:val="21"/>
                      <w:highlight w:val="none"/>
                      <w:lang w:val="en-US" w:eastAsia="zh-CN"/>
                    </w:rPr>
                    <w:t>1层，</w:t>
                  </w:r>
                  <w:r>
                    <w:rPr>
                      <w:rFonts w:hint="eastAsia" w:cs="Times New Roman" w:eastAsiaTheme="minorEastAsia"/>
                      <w:color w:val="auto"/>
                      <w:sz w:val="21"/>
                      <w:szCs w:val="21"/>
                      <w:highlight w:val="none"/>
                      <w:lang w:val="en-US" w:eastAsia="zh-CN"/>
                    </w:rPr>
                    <w:t>位于租赁厂区西侧，</w:t>
                  </w:r>
                  <w:r>
                    <w:rPr>
                      <w:rFonts w:hint="default" w:ascii="Times New Roman" w:hAnsi="Times New Roman" w:cs="Times New Roman" w:eastAsiaTheme="minorEastAsia"/>
                      <w:color w:val="auto"/>
                      <w:sz w:val="21"/>
                      <w:szCs w:val="21"/>
                      <w:highlight w:val="none"/>
                      <w:lang w:val="en-US" w:eastAsia="zh-CN"/>
                    </w:rPr>
                    <w:t>总占地面积2000</w:t>
                  </w:r>
                  <w:r>
                    <w:rPr>
                      <w:rFonts w:hint="default" w:ascii="Times New Roman" w:hAnsi="Times New Roman" w:cs="Times New Roman" w:eastAsiaTheme="minorEastAsia"/>
                      <w:color w:val="auto"/>
                      <w:sz w:val="21"/>
                      <w:szCs w:val="21"/>
                      <w:highlight w:val="none"/>
                    </w:rPr>
                    <w:t>m</w:t>
                  </w:r>
                  <w:r>
                    <w:rPr>
                      <w:rFonts w:hint="default" w:ascii="Times New Roman" w:hAnsi="Times New Roman" w:cs="Times New Roman" w:eastAsiaTheme="minorEastAsia"/>
                      <w:color w:val="auto"/>
                      <w:sz w:val="21"/>
                      <w:szCs w:val="21"/>
                      <w:highlight w:val="none"/>
                      <w:vertAlign w:val="superscript"/>
                    </w:rPr>
                    <w:t>2</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val="en-US" w:eastAsia="zh-CN"/>
                    </w:rPr>
                    <w:t>高</w:t>
                  </w:r>
                </w:p>
                <w:p w14:paraId="2744BA0D">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度9m</w:t>
                  </w:r>
                  <w:r>
                    <w:rPr>
                      <w:rFonts w:hint="eastAsia" w:cs="Times New Roman" w:eastAsiaTheme="minorEastAsia"/>
                      <w:color w:val="auto"/>
                      <w:sz w:val="21"/>
                      <w:szCs w:val="21"/>
                      <w:highlight w:val="none"/>
                      <w:lang w:val="en-US" w:eastAsia="zh-CN"/>
                    </w:rPr>
                    <w:t>。</w:t>
                  </w:r>
                </w:p>
              </w:tc>
              <w:tc>
                <w:tcPr>
                  <w:tcW w:w="348" w:type="pct"/>
                  <w:noWrap w:val="0"/>
                  <w:vAlign w:val="center"/>
                </w:tcPr>
                <w:p w14:paraId="6083024C">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b w:val="0"/>
                      <w:bCs w:val="0"/>
                      <w:color w:val="auto"/>
                      <w:szCs w:val="21"/>
                      <w:highlight w:val="none"/>
                      <w:lang w:val="en-US" w:eastAsia="zh-CN"/>
                    </w:rPr>
                    <w:t>生产区</w:t>
                  </w:r>
                </w:p>
              </w:tc>
              <w:tc>
                <w:tcPr>
                  <w:tcW w:w="2812" w:type="pct"/>
                  <w:noWrap w:val="0"/>
                  <w:vAlign w:val="center"/>
                </w:tcPr>
                <w:p w14:paraId="6D6A5DB9">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厂房北侧由西向东布设注塑机、挤出机各</w:t>
                  </w:r>
                  <w:r>
                    <w:rPr>
                      <w:rFonts w:hint="eastAsia" w:cs="Times New Roman" w:eastAsiaTheme="minorEastAsia"/>
                      <w:color w:val="auto"/>
                      <w:sz w:val="21"/>
                      <w:szCs w:val="21"/>
                      <w:highlight w:val="none"/>
                      <w:lang w:val="en-US" w:eastAsia="zh-CN"/>
                    </w:rPr>
                    <w:t>4</w:t>
                  </w:r>
                  <w:r>
                    <w:rPr>
                      <w:rFonts w:hint="default" w:ascii="Times New Roman" w:hAnsi="Times New Roman" w:cs="Times New Roman" w:eastAsiaTheme="minorEastAsia"/>
                      <w:color w:val="auto"/>
                      <w:sz w:val="21"/>
                      <w:szCs w:val="21"/>
                      <w:highlight w:val="none"/>
                      <w:lang w:val="en-US" w:eastAsia="zh-CN"/>
                    </w:rPr>
                    <w:t>套，占地约800m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357A48E6">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auto"/>
                      <w:szCs w:val="21"/>
                      <w:highlight w:val="none"/>
                      <w:lang w:val="en-US" w:eastAsia="zh-CN"/>
                    </w:rPr>
                  </w:pPr>
                  <w:r>
                    <w:rPr>
                      <w:rFonts w:hint="default" w:ascii="Times New Roman" w:hAnsi="Times New Roman" w:cs="Times New Roman" w:eastAsiaTheme="minorEastAsia"/>
                      <w:b w:val="0"/>
                      <w:bCs w:val="0"/>
                      <w:color w:val="auto"/>
                      <w:szCs w:val="21"/>
                      <w:highlight w:val="none"/>
                      <w:lang w:val="en-US" w:eastAsia="zh-CN"/>
                    </w:rPr>
                    <w:t>新建</w:t>
                  </w:r>
                </w:p>
              </w:tc>
            </w:tr>
            <w:tr w14:paraId="3E216E8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restart"/>
                  <w:noWrap w:val="0"/>
                  <w:vAlign w:val="center"/>
                </w:tcPr>
                <w:p w14:paraId="2B76438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储运工程</w:t>
                  </w:r>
                </w:p>
              </w:tc>
              <w:tc>
                <w:tcPr>
                  <w:tcW w:w="840" w:type="pct"/>
                  <w:gridSpan w:val="2"/>
                  <w:vMerge w:val="continue"/>
                  <w:noWrap w:val="0"/>
                  <w:vAlign w:val="center"/>
                </w:tcPr>
                <w:p w14:paraId="3DFDA047">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p>
              </w:tc>
              <w:tc>
                <w:tcPr>
                  <w:tcW w:w="348" w:type="pct"/>
                  <w:noWrap w:val="0"/>
                  <w:vAlign w:val="center"/>
                </w:tcPr>
                <w:p w14:paraId="36C7A70D">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原料区</w:t>
                  </w:r>
                </w:p>
              </w:tc>
              <w:tc>
                <w:tcPr>
                  <w:tcW w:w="2812" w:type="pct"/>
                  <w:noWrap w:val="0"/>
                  <w:vAlign w:val="center"/>
                </w:tcPr>
                <w:p w14:paraId="193BC881">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厂房东侧设原料区域，占地约600m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，主要用于存放生产所需原料聚丙烯、聚乙烯、色母粒等。</w:t>
                  </w:r>
                </w:p>
              </w:tc>
              <w:tc>
                <w:tcPr>
                  <w:tcW w:w="606" w:type="pct"/>
                  <w:noWrap w:val="0"/>
                  <w:vAlign w:val="center"/>
                </w:tcPr>
                <w:p w14:paraId="259E4455">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43CC1B78">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54C315A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lang w:eastAsia="zh-CN"/>
                    </w:rPr>
                  </w:pPr>
                </w:p>
              </w:tc>
              <w:tc>
                <w:tcPr>
                  <w:tcW w:w="840" w:type="pct"/>
                  <w:gridSpan w:val="2"/>
                  <w:vMerge w:val="continue"/>
                  <w:noWrap w:val="0"/>
                  <w:vAlign w:val="center"/>
                </w:tcPr>
                <w:p w14:paraId="004BF5CA">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p>
              </w:tc>
              <w:tc>
                <w:tcPr>
                  <w:tcW w:w="348" w:type="pct"/>
                  <w:noWrap w:val="0"/>
                  <w:vAlign w:val="center"/>
                </w:tcPr>
                <w:p w14:paraId="64707575">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成品区</w:t>
                  </w:r>
                </w:p>
              </w:tc>
              <w:tc>
                <w:tcPr>
                  <w:tcW w:w="2812" w:type="pct"/>
                  <w:noWrap w:val="0"/>
                  <w:vAlign w:val="center"/>
                </w:tcPr>
                <w:p w14:paraId="54DC53B9">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厂房西侧设成品区域，占地约600m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val="en-US" w:eastAsia="zh-CN"/>
                    </w:rPr>
                    <w:t>，主要用于存放PE、MPP管等产品。</w:t>
                  </w:r>
                </w:p>
              </w:tc>
              <w:tc>
                <w:tcPr>
                  <w:tcW w:w="606" w:type="pct"/>
                  <w:noWrap w:val="0"/>
                  <w:vAlign w:val="center"/>
                </w:tcPr>
                <w:p w14:paraId="277D37EE">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1BBE033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6" w:hRule="atLeast"/>
                <w:jc w:val="center"/>
              </w:trPr>
              <w:tc>
                <w:tcPr>
                  <w:tcW w:w="391" w:type="pct"/>
                  <w:vMerge w:val="restart"/>
                  <w:noWrap w:val="0"/>
                  <w:vAlign w:val="center"/>
                </w:tcPr>
                <w:p w14:paraId="4BC710E9">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辅助工程</w:t>
                  </w:r>
                </w:p>
              </w:tc>
              <w:tc>
                <w:tcPr>
                  <w:tcW w:w="1189" w:type="pct"/>
                  <w:gridSpan w:val="3"/>
                  <w:noWrap w:val="0"/>
                  <w:vAlign w:val="center"/>
                </w:tcPr>
                <w:p w14:paraId="3AD1E637">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生活办公</w:t>
                  </w:r>
                </w:p>
              </w:tc>
              <w:tc>
                <w:tcPr>
                  <w:tcW w:w="2812" w:type="pct"/>
                  <w:noWrap w:val="0"/>
                  <w:vAlign w:val="center"/>
                </w:tcPr>
                <w:p w14:paraId="613E41A7">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位于</w:t>
                  </w:r>
                  <w:r>
                    <w:rPr>
                      <w:rFonts w:hint="default" w:ascii="Times New Roman" w:hAnsi="Times New Roman" w:cs="Times New Roman" w:eastAsiaTheme="minorEastAsia"/>
                      <w:color w:val="auto"/>
                      <w:sz w:val="21"/>
                      <w:szCs w:val="21"/>
                      <w:highlight w:val="none"/>
                      <w:lang w:eastAsia="zh-CN"/>
                    </w:rPr>
                    <w:t>租赁厂房</w:t>
                  </w:r>
                  <w:r>
                    <w:rPr>
                      <w:rFonts w:hint="default" w:ascii="Times New Roman" w:hAnsi="Times New Roman" w:cs="Times New Roman" w:eastAsiaTheme="minorEastAsia"/>
                      <w:color w:val="auto"/>
                      <w:sz w:val="21"/>
                      <w:szCs w:val="21"/>
                      <w:highlight w:val="none"/>
                      <w:lang w:val="en-US" w:eastAsia="zh-CN"/>
                    </w:rPr>
                    <w:t>西侧</w:t>
                  </w:r>
                  <w:r>
                    <w:rPr>
                      <w:rFonts w:hint="default" w:ascii="Times New Roman" w:hAnsi="Times New Roman" w:cs="Times New Roman" w:eastAsiaTheme="minorEastAsia"/>
                      <w:color w:val="auto"/>
                      <w:sz w:val="21"/>
                      <w:szCs w:val="21"/>
                      <w:highlight w:val="none"/>
                      <w:lang w:eastAsia="zh-CN"/>
                    </w:rPr>
                    <w:t>，占地约</w:t>
                  </w:r>
                  <w:r>
                    <w:rPr>
                      <w:rFonts w:hint="default" w:ascii="Times New Roman" w:hAnsi="Times New Roman" w:cs="Times New Roman" w:eastAsiaTheme="minorEastAsia"/>
                      <w:color w:val="auto"/>
                      <w:sz w:val="21"/>
                      <w:szCs w:val="21"/>
                      <w:highlight w:val="none"/>
                      <w:lang w:val="en-US" w:eastAsia="zh-CN"/>
                    </w:rPr>
                    <w:t>200m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lang w:eastAsia="zh-CN"/>
                    </w:rPr>
                    <w:t>，用于行政人员办公，工作人员临时休息等</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7E4BD78F">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依托现有</w:t>
                  </w:r>
                </w:p>
              </w:tc>
            </w:tr>
            <w:tr w14:paraId="3327C8A2">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391" w:type="pct"/>
                  <w:vMerge w:val="continue"/>
                  <w:noWrap w:val="0"/>
                  <w:vAlign w:val="center"/>
                </w:tcPr>
                <w:p w14:paraId="74AD89E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p>
              </w:tc>
              <w:tc>
                <w:tcPr>
                  <w:tcW w:w="1189" w:type="pct"/>
                  <w:gridSpan w:val="3"/>
                  <w:noWrap w:val="0"/>
                  <w:vAlign w:val="center"/>
                </w:tcPr>
                <w:p w14:paraId="3C084802">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一般固废暂存间</w:t>
                  </w:r>
                </w:p>
              </w:tc>
              <w:tc>
                <w:tcPr>
                  <w:tcW w:w="2812" w:type="pct"/>
                  <w:noWrap w:val="0"/>
                  <w:vAlign w:val="center"/>
                </w:tcPr>
                <w:p w14:paraId="4F14CDD1">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eastAsia="zh-CN"/>
                    </w:rPr>
                    <w:t>位于厂房</w:t>
                  </w:r>
                  <w:r>
                    <w:rPr>
                      <w:rFonts w:hint="default" w:ascii="Times New Roman" w:hAnsi="Times New Roman" w:cs="Times New Roman" w:eastAsiaTheme="minorEastAsia"/>
                      <w:color w:val="auto"/>
                      <w:sz w:val="21"/>
                      <w:szCs w:val="21"/>
                      <w:highlight w:val="none"/>
                      <w:lang w:val="en-US" w:eastAsia="zh-CN"/>
                    </w:rPr>
                    <w:t>西侧，</w:t>
                  </w:r>
                  <w:r>
                    <w:rPr>
                      <w:rFonts w:hint="default" w:ascii="Times New Roman" w:hAnsi="Times New Roman" w:cs="Times New Roman" w:eastAsiaTheme="minorEastAsia"/>
                      <w:color w:val="auto"/>
                      <w:sz w:val="21"/>
                      <w:szCs w:val="21"/>
                      <w:highlight w:val="none"/>
                      <w:lang w:eastAsia="zh-CN"/>
                    </w:rPr>
                    <w:t>建筑面积</w:t>
                  </w:r>
                  <w:r>
                    <w:rPr>
                      <w:rFonts w:hint="default" w:ascii="Times New Roman" w:hAnsi="Times New Roman" w:cs="Times New Roman" w:eastAsiaTheme="minorEastAsia"/>
                      <w:color w:val="auto"/>
                      <w:sz w:val="21"/>
                      <w:szCs w:val="21"/>
                      <w:highlight w:val="none"/>
                      <w:lang w:val="en-US" w:eastAsia="zh-CN"/>
                    </w:rPr>
                    <w:t>30m</w:t>
                  </w:r>
                  <w:r>
                    <w:rPr>
                      <w:rFonts w:hint="default" w:ascii="Times New Roman" w:hAnsi="Times New Roman" w:cs="Times New Roman" w:eastAsiaTheme="minorEastAsia"/>
                      <w:color w:val="auto"/>
                      <w:sz w:val="21"/>
                      <w:szCs w:val="21"/>
                      <w:highlight w:val="none"/>
                      <w:vertAlign w:val="superscript"/>
                      <w:lang w:val="en-US" w:eastAsia="zh-CN"/>
                    </w:rPr>
                    <w:t>2</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eastAsia="zh-CN"/>
                    </w:rPr>
                    <w:t>主要</w:t>
                  </w:r>
                  <w:r>
                    <w:rPr>
                      <w:rFonts w:hint="default" w:ascii="Times New Roman" w:hAnsi="Times New Roman" w:cs="Times New Roman" w:eastAsiaTheme="minorEastAsia"/>
                      <w:color w:val="auto"/>
                      <w:sz w:val="21"/>
                      <w:szCs w:val="21"/>
                      <w:highlight w:val="none"/>
                      <w:lang w:val="en-US" w:eastAsia="zh-CN"/>
                    </w:rPr>
                    <w:t>用于不合格产品、废旧塑料袋等一般固体废物的存放。</w:t>
                  </w:r>
                </w:p>
              </w:tc>
              <w:tc>
                <w:tcPr>
                  <w:tcW w:w="606" w:type="pct"/>
                  <w:noWrap w:val="0"/>
                  <w:vAlign w:val="center"/>
                </w:tcPr>
                <w:p w14:paraId="25FF2F33">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02DBA38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832" w:hRule="atLeast"/>
                <w:jc w:val="center"/>
              </w:trPr>
              <w:tc>
                <w:tcPr>
                  <w:tcW w:w="391" w:type="pct"/>
                  <w:vMerge w:val="continue"/>
                  <w:noWrap w:val="0"/>
                  <w:vAlign w:val="center"/>
                </w:tcPr>
                <w:p w14:paraId="7F86779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p>
              </w:tc>
              <w:tc>
                <w:tcPr>
                  <w:tcW w:w="1189" w:type="pct"/>
                  <w:gridSpan w:val="3"/>
                  <w:noWrap w:val="0"/>
                  <w:vAlign w:val="center"/>
                </w:tcPr>
                <w:p w14:paraId="1D547232">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危险废物暂存间</w:t>
                  </w:r>
                </w:p>
              </w:tc>
              <w:tc>
                <w:tcPr>
                  <w:tcW w:w="2812" w:type="pct"/>
                  <w:noWrap w:val="0"/>
                  <w:vAlign w:val="center"/>
                </w:tcPr>
                <w:p w14:paraId="691AB70A">
                  <w:pPr>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设1座危废</w:t>
                  </w:r>
                  <w:r>
                    <w:rPr>
                      <w:rFonts w:hint="default" w:ascii="Times New Roman" w:hAnsi="Times New Roman" w:cs="Times New Roman" w:eastAsiaTheme="minorEastAsia"/>
                      <w:color w:val="auto"/>
                      <w:sz w:val="21"/>
                      <w:szCs w:val="21"/>
                      <w:highlight w:val="none"/>
                      <w:lang w:val="en-US" w:eastAsia="zh-CN"/>
                    </w:rPr>
                    <w:t>贮存库</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eastAsiaTheme="minorEastAsia"/>
                      <w:color w:val="auto"/>
                      <w:sz w:val="21"/>
                      <w:szCs w:val="21"/>
                      <w:highlight w:val="none"/>
                      <w:lang w:eastAsia="zh-CN"/>
                    </w:rPr>
                    <w:t>位于厂房西</w:t>
                  </w:r>
                  <w:r>
                    <w:rPr>
                      <w:rFonts w:hint="default" w:ascii="Times New Roman" w:hAnsi="Times New Roman" w:cs="Times New Roman" w:eastAsiaTheme="minorEastAsia"/>
                      <w:color w:val="auto"/>
                      <w:sz w:val="21"/>
                      <w:szCs w:val="21"/>
                      <w:highlight w:val="none"/>
                      <w:lang w:val="en-US" w:eastAsia="zh-CN"/>
                    </w:rPr>
                    <w:t>侧</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暂存</w:t>
                  </w:r>
                  <w:r>
                    <w:rPr>
                      <w:rFonts w:hint="default" w:ascii="Times New Roman" w:hAnsi="Times New Roman" w:cs="Times New Roman" w:eastAsiaTheme="minorEastAsia"/>
                      <w:color w:val="auto"/>
                      <w:sz w:val="21"/>
                      <w:szCs w:val="21"/>
                      <w:highlight w:val="none"/>
                      <w:lang w:eastAsia="zh-CN"/>
                    </w:rPr>
                    <w:t>注塑、挤出工序</w:t>
                  </w:r>
                  <w:r>
                    <w:rPr>
                      <w:rFonts w:hint="default" w:ascii="Times New Roman" w:hAnsi="Times New Roman" w:cs="Times New Roman" w:eastAsiaTheme="minorEastAsia"/>
                      <w:color w:val="auto"/>
                      <w:sz w:val="21"/>
                      <w:szCs w:val="21"/>
                      <w:highlight w:val="none"/>
                    </w:rPr>
                    <w:t>产生的危险废物，建筑面积</w:t>
                  </w:r>
                  <w:r>
                    <w:rPr>
                      <w:rFonts w:hint="default" w:ascii="Times New Roman" w:hAnsi="Times New Roman" w:cs="Times New Roman" w:eastAsiaTheme="minorEastAsia"/>
                      <w:color w:val="auto"/>
                      <w:sz w:val="21"/>
                      <w:szCs w:val="21"/>
                      <w:highlight w:val="none"/>
                      <w:lang w:val="en-US" w:eastAsia="zh-CN"/>
                    </w:rPr>
                    <w:t>10</w:t>
                  </w:r>
                  <w:r>
                    <w:rPr>
                      <w:rFonts w:hint="default" w:ascii="Times New Roman" w:hAnsi="Times New Roman" w:cs="Times New Roman" w:eastAsiaTheme="minorEastAsia"/>
                      <w:color w:val="auto"/>
                      <w:sz w:val="21"/>
                      <w:szCs w:val="21"/>
                      <w:highlight w:val="none"/>
                    </w:rPr>
                    <w:t>m</w:t>
                  </w:r>
                  <w:r>
                    <w:rPr>
                      <w:rFonts w:hint="default" w:ascii="Times New Roman" w:hAnsi="Times New Roman" w:cs="Times New Roman" w:eastAsiaTheme="minorEastAsia"/>
                      <w:color w:val="auto"/>
                      <w:sz w:val="21"/>
                      <w:szCs w:val="21"/>
                      <w:highlight w:val="none"/>
                      <w:vertAlign w:val="superscript"/>
                    </w:rPr>
                    <w:t>2</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281D4C7D">
                  <w:pPr>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新建</w:t>
                  </w:r>
                </w:p>
              </w:tc>
            </w:tr>
            <w:tr w14:paraId="78A51C89">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917" w:hRule="atLeast"/>
                <w:jc w:val="center"/>
              </w:trPr>
              <w:tc>
                <w:tcPr>
                  <w:tcW w:w="391" w:type="pct"/>
                  <w:vMerge w:val="restart"/>
                  <w:noWrap w:val="0"/>
                  <w:vAlign w:val="center"/>
                </w:tcPr>
                <w:p w14:paraId="2CD34E0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公用</w:t>
                  </w:r>
                </w:p>
                <w:p w14:paraId="317A2A9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1189" w:type="pct"/>
                  <w:gridSpan w:val="3"/>
                  <w:noWrap w:val="0"/>
                  <w:vAlign w:val="center"/>
                </w:tcPr>
                <w:p w14:paraId="03C3102F">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lang w:eastAsia="zh-CN"/>
                    </w:rPr>
                    <w:t>供水</w:t>
                  </w:r>
                  <w:r>
                    <w:rPr>
                      <w:rFonts w:hint="default" w:ascii="Times New Roman" w:hAnsi="Times New Roman" w:cs="Times New Roman" w:eastAsiaTheme="minorEastAsia"/>
                      <w:color w:val="auto"/>
                      <w:szCs w:val="21"/>
                      <w:highlight w:val="none"/>
                    </w:rPr>
                    <w:t>工程</w:t>
                  </w:r>
                </w:p>
              </w:tc>
              <w:tc>
                <w:tcPr>
                  <w:tcW w:w="2812" w:type="pct"/>
                  <w:noWrap w:val="0"/>
                  <w:vAlign w:val="center"/>
                </w:tcPr>
                <w:p w14:paraId="6660392B">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kern w:val="2"/>
                      <w:sz w:val="21"/>
                      <w:szCs w:val="21"/>
                      <w:highlight w:val="none"/>
                      <w:lang w:eastAsia="zh-CN"/>
                    </w:rPr>
                    <w:t>依托租赁厂房供水</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5C2E08BE">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依托</w:t>
                  </w:r>
                  <w:bookmarkStart w:id="4" w:name="OLE_LINK2"/>
                  <w:r>
                    <w:rPr>
                      <w:rFonts w:hint="default" w:ascii="Times New Roman" w:hAnsi="Times New Roman" w:cs="Times New Roman" w:eastAsiaTheme="minorEastAsia"/>
                      <w:color w:val="auto"/>
                      <w:sz w:val="21"/>
                      <w:szCs w:val="21"/>
                      <w:highlight w:val="none"/>
                    </w:rPr>
                    <w:t>现有供水系统</w:t>
                  </w:r>
                  <w:bookmarkEnd w:id="4"/>
                </w:p>
              </w:tc>
            </w:tr>
            <w:tr w14:paraId="11B8F9B2">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67" w:hRule="atLeast"/>
                <w:jc w:val="center"/>
              </w:trPr>
              <w:tc>
                <w:tcPr>
                  <w:tcW w:w="391" w:type="pct"/>
                  <w:vMerge w:val="continue"/>
                  <w:noWrap w:val="0"/>
                  <w:vAlign w:val="center"/>
                </w:tcPr>
                <w:p w14:paraId="5C748FD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125E588E">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排水工程</w:t>
                  </w:r>
                </w:p>
              </w:tc>
              <w:tc>
                <w:tcPr>
                  <w:tcW w:w="2812" w:type="pct"/>
                  <w:noWrap w:val="0"/>
                  <w:vAlign w:val="center"/>
                </w:tcPr>
                <w:p w14:paraId="7368974B">
                  <w:pPr>
                    <w:keepNext w:val="0"/>
                    <w:keepLines w:val="0"/>
                    <w:pageBreakBefore w:val="0"/>
                    <w:kinsoku/>
                    <w:wordWrap/>
                    <w:overflowPunct/>
                    <w:topLinePunct w:val="0"/>
                    <w:autoSpaceDE/>
                    <w:autoSpaceDN/>
                    <w:bidi w:val="0"/>
                    <w:adjustRightInd w:val="0"/>
                    <w:snapToGrid w:val="0"/>
                    <w:spacing w:line="264" w:lineRule="auto"/>
                    <w:ind w:firstLine="0" w:firstLineChars="0"/>
                    <w:jc w:val="left"/>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项目无生产废水产生，</w:t>
                  </w:r>
                  <w:r>
                    <w:rPr>
                      <w:rFonts w:hint="default" w:ascii="Times New Roman" w:hAnsi="Times New Roman" w:cs="Times New Roman" w:eastAsiaTheme="minorEastAsia"/>
                      <w:color w:val="auto"/>
                      <w:sz w:val="21"/>
                      <w:szCs w:val="21"/>
                      <w:highlight w:val="none"/>
                    </w:rPr>
                    <w:t>生活污水经化粪池</w:t>
                  </w:r>
                  <w:r>
                    <w:rPr>
                      <w:rFonts w:hint="default" w:ascii="Times New Roman" w:hAnsi="Times New Roman" w:cs="Times New Roman" w:eastAsiaTheme="minorEastAsia"/>
                      <w:color w:val="auto"/>
                      <w:sz w:val="21"/>
                      <w:szCs w:val="21"/>
                      <w:highlight w:val="none"/>
                      <w:lang w:val="en-US" w:eastAsia="zh-CN"/>
                    </w:rPr>
                    <w:t>收集后定期清掏外运周边农田施肥。</w:t>
                  </w:r>
                </w:p>
              </w:tc>
              <w:tc>
                <w:tcPr>
                  <w:tcW w:w="606" w:type="pct"/>
                  <w:noWrap w:val="0"/>
                  <w:vAlign w:val="center"/>
                </w:tcPr>
                <w:p w14:paraId="3FF34C1E">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eastAsia="zh-CN"/>
                    </w:rPr>
                    <w:t>新建</w:t>
                  </w:r>
                </w:p>
              </w:tc>
            </w:tr>
            <w:tr w14:paraId="6B1D238B">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985" w:hRule="atLeast"/>
                <w:jc w:val="center"/>
              </w:trPr>
              <w:tc>
                <w:tcPr>
                  <w:tcW w:w="391" w:type="pct"/>
                  <w:vMerge w:val="continue"/>
                  <w:noWrap w:val="0"/>
                  <w:vAlign w:val="center"/>
                </w:tcPr>
                <w:p w14:paraId="76DC09C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3E67AB8D">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供电</w:t>
                  </w:r>
                </w:p>
              </w:tc>
              <w:tc>
                <w:tcPr>
                  <w:tcW w:w="2812" w:type="pct"/>
                  <w:noWrap w:val="0"/>
                  <w:vAlign w:val="center"/>
                </w:tcPr>
                <w:p w14:paraId="1E4D8614">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 w:val="21"/>
                      <w:szCs w:val="21"/>
                      <w:highlight w:val="none"/>
                    </w:rPr>
                    <w:t>由</w:t>
                  </w:r>
                  <w:r>
                    <w:rPr>
                      <w:rFonts w:hint="default" w:ascii="Times New Roman" w:hAnsi="Times New Roman" w:cs="Times New Roman" w:eastAsiaTheme="minorEastAsia"/>
                      <w:color w:val="auto"/>
                      <w:sz w:val="21"/>
                      <w:szCs w:val="21"/>
                      <w:highlight w:val="none"/>
                      <w:lang w:val="en-US" w:eastAsia="zh-CN"/>
                    </w:rPr>
                    <w:t>市政</w:t>
                  </w:r>
                  <w:r>
                    <w:rPr>
                      <w:rFonts w:hint="default" w:ascii="Times New Roman" w:hAnsi="Times New Roman" w:cs="Times New Roman" w:eastAsiaTheme="minorEastAsia"/>
                      <w:color w:val="auto"/>
                      <w:sz w:val="21"/>
                      <w:szCs w:val="21"/>
                      <w:highlight w:val="none"/>
                    </w:rPr>
                    <w:t>电网提供</w:t>
                  </w:r>
                  <w:r>
                    <w:rPr>
                      <w:rFonts w:hint="default" w:ascii="Times New Roman" w:hAnsi="Times New Roman" w:cs="Times New Roman" w:eastAsiaTheme="minorEastAsia"/>
                      <w:color w:val="auto"/>
                      <w:sz w:val="21"/>
                      <w:szCs w:val="21"/>
                      <w:highlight w:val="none"/>
                      <w:lang w:val="en-US" w:eastAsia="zh-CN"/>
                    </w:rPr>
                    <w:t>。</w:t>
                  </w:r>
                </w:p>
              </w:tc>
              <w:tc>
                <w:tcPr>
                  <w:tcW w:w="606" w:type="pct"/>
                  <w:noWrap w:val="0"/>
                  <w:vAlign w:val="center"/>
                </w:tcPr>
                <w:p w14:paraId="1BD4E43F">
                  <w:pPr>
                    <w:keepNext w:val="0"/>
                    <w:keepLines w:val="0"/>
                    <w:pageBreakBefore w:val="0"/>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 w:val="21"/>
                      <w:szCs w:val="21"/>
                      <w:highlight w:val="none"/>
                    </w:rPr>
                    <w:t>依托现有供电工程</w:t>
                  </w:r>
                </w:p>
              </w:tc>
            </w:tr>
            <w:tr w14:paraId="05DAFF58">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34" w:hRule="atLeast"/>
                <w:jc w:val="center"/>
              </w:trPr>
              <w:tc>
                <w:tcPr>
                  <w:tcW w:w="391" w:type="pct"/>
                  <w:vMerge w:val="continue"/>
                  <w:noWrap w:val="0"/>
                  <w:vAlign w:val="center"/>
                </w:tcPr>
                <w:p w14:paraId="079B04E8">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6FAD0E0B">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供暖制冷</w:t>
                  </w:r>
                </w:p>
              </w:tc>
              <w:tc>
                <w:tcPr>
                  <w:tcW w:w="2812" w:type="pct"/>
                  <w:noWrap w:val="0"/>
                  <w:vAlign w:val="center"/>
                </w:tcPr>
                <w:p w14:paraId="4E81D42F">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cs="Times New Roman" w:eastAsiaTheme="minorEastAsia"/>
                      <w:kern w:val="0"/>
                      <w:sz w:val="21"/>
                      <w:szCs w:val="21"/>
                      <w:highlight w:val="none"/>
                      <w:lang w:val="en-US" w:eastAsia="zh-CN" w:bidi="ar-SA"/>
                    </w:rPr>
                    <w:t>本项目生产车间不采暖，生产用热采用电加热；办公区供热制冷均采用分体空调。</w:t>
                  </w:r>
                </w:p>
              </w:tc>
              <w:tc>
                <w:tcPr>
                  <w:tcW w:w="606" w:type="pct"/>
                  <w:noWrap w:val="0"/>
                  <w:vAlign w:val="center"/>
                </w:tcPr>
                <w:p w14:paraId="52C216C3">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新建</w:t>
                  </w:r>
                </w:p>
              </w:tc>
            </w:tr>
            <w:tr w14:paraId="1E848BA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753" w:hRule="atLeast"/>
                <w:jc w:val="center"/>
              </w:trPr>
              <w:tc>
                <w:tcPr>
                  <w:tcW w:w="391" w:type="pct"/>
                  <w:vMerge w:val="restart"/>
                  <w:noWrap w:val="0"/>
                  <w:vAlign w:val="center"/>
                </w:tcPr>
                <w:p w14:paraId="5B5E4F4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环保</w:t>
                  </w:r>
                </w:p>
                <w:p w14:paraId="2EEE6210">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工程</w:t>
                  </w:r>
                </w:p>
              </w:tc>
              <w:tc>
                <w:tcPr>
                  <w:tcW w:w="1189" w:type="pct"/>
                  <w:gridSpan w:val="3"/>
                  <w:noWrap w:val="0"/>
                  <w:vAlign w:val="center"/>
                </w:tcPr>
                <w:p w14:paraId="158D0AA7">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废水</w:t>
                  </w:r>
                </w:p>
              </w:tc>
              <w:tc>
                <w:tcPr>
                  <w:tcW w:w="3419" w:type="pct"/>
                  <w:gridSpan w:val="2"/>
                  <w:noWrap w:val="0"/>
                  <w:vAlign w:val="center"/>
                </w:tcPr>
                <w:p w14:paraId="72DE27E5">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color w:val="auto"/>
                      <w:szCs w:val="21"/>
                      <w:highlight w:val="none"/>
                      <w:lang w:val="en-US"/>
                    </w:rPr>
                  </w:pPr>
                  <w:r>
                    <w:rPr>
                      <w:rFonts w:hint="default" w:ascii="Times New Roman" w:hAnsi="Times New Roman" w:cs="Times New Roman" w:eastAsiaTheme="minorEastAsia"/>
                      <w:color w:val="auto"/>
                      <w:sz w:val="21"/>
                      <w:szCs w:val="21"/>
                      <w:highlight w:val="none"/>
                      <w:lang w:val="en-US" w:eastAsia="zh-CN"/>
                    </w:rPr>
                    <w:t>项目无生产废水产生，</w:t>
                  </w:r>
                  <w:r>
                    <w:rPr>
                      <w:rFonts w:hint="default" w:ascii="Times New Roman" w:hAnsi="Times New Roman" w:cs="Times New Roman" w:eastAsiaTheme="minorEastAsia"/>
                      <w:color w:val="auto"/>
                      <w:sz w:val="21"/>
                      <w:szCs w:val="21"/>
                      <w:highlight w:val="none"/>
                    </w:rPr>
                    <w:t>生活污水经化粪池</w:t>
                  </w:r>
                  <w:r>
                    <w:rPr>
                      <w:rFonts w:hint="default" w:ascii="Times New Roman" w:hAnsi="Times New Roman" w:cs="Times New Roman" w:eastAsiaTheme="minorEastAsia"/>
                      <w:color w:val="auto"/>
                      <w:sz w:val="21"/>
                      <w:szCs w:val="21"/>
                      <w:highlight w:val="none"/>
                      <w:lang w:val="en-US" w:eastAsia="zh-CN"/>
                    </w:rPr>
                    <w:t>收集后定期清掏外运周边农田施肥</w:t>
                  </w:r>
                  <w:r>
                    <w:rPr>
                      <w:rFonts w:hint="default" w:ascii="Times New Roman" w:hAnsi="Times New Roman" w:cs="Times New Roman" w:eastAsiaTheme="minorEastAsia"/>
                      <w:kern w:val="0"/>
                      <w:sz w:val="21"/>
                      <w:szCs w:val="21"/>
                      <w:highlight w:val="none"/>
                      <w:lang w:val="en-US" w:eastAsia="zh-CN" w:bidi="ar-SA"/>
                    </w:rPr>
                    <w:t>。</w:t>
                  </w:r>
                </w:p>
              </w:tc>
            </w:tr>
            <w:tr w14:paraId="7D8D2E7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1063" w:hRule="atLeast"/>
                <w:jc w:val="center"/>
              </w:trPr>
              <w:tc>
                <w:tcPr>
                  <w:tcW w:w="391" w:type="pct"/>
                  <w:vMerge w:val="continue"/>
                  <w:noWrap w:val="0"/>
                  <w:vAlign w:val="center"/>
                </w:tcPr>
                <w:p w14:paraId="612FEA7E">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6C602796">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废气</w:t>
                  </w:r>
                </w:p>
              </w:tc>
              <w:tc>
                <w:tcPr>
                  <w:tcW w:w="3419" w:type="pct"/>
                  <w:gridSpan w:val="2"/>
                  <w:noWrap w:val="0"/>
                  <w:vAlign w:val="center"/>
                </w:tcPr>
                <w:p w14:paraId="3469D2FA">
                  <w:pPr>
                    <w:pStyle w:val="7"/>
                    <w:keepNext w:val="0"/>
                    <w:keepLines w:val="0"/>
                    <w:pageBreakBefore w:val="0"/>
                    <w:kinsoku/>
                    <w:wordWrap/>
                    <w:overflowPunct/>
                    <w:topLinePunct w:val="0"/>
                    <w:autoSpaceDE/>
                    <w:autoSpaceDN/>
                    <w:bidi w:val="0"/>
                    <w:spacing w:line="264" w:lineRule="auto"/>
                    <w:ind w:firstLine="0" w:firstLineChars="0"/>
                    <w:jc w:val="left"/>
                    <w:textAlignment w:val="auto"/>
                    <w:rPr>
                      <w:rFonts w:hint="default" w:ascii="Times New Roman" w:hAnsi="Times New Roman" w:cs="Times New Roman" w:eastAsiaTheme="minorEastAsia"/>
                      <w:color w:val="auto"/>
                      <w:kern w:val="0"/>
                      <w:szCs w:val="21"/>
                      <w:highlight w:val="none"/>
                      <w:lang w:val="en-US" w:eastAsia="zh-CN"/>
                    </w:rPr>
                  </w:pPr>
                  <w:r>
                    <w:rPr>
                      <w:rFonts w:hint="default" w:ascii="Times New Roman" w:hAnsi="Times New Roman" w:cs="Times New Roman" w:eastAsiaTheme="minorEastAsia"/>
                      <w:color w:val="auto"/>
                      <w:szCs w:val="21"/>
                      <w:highlight w:val="none"/>
                      <w:shd w:val="clear" w:color="auto" w:fill="FFFFFF"/>
                      <w:lang w:eastAsia="zh-CN"/>
                    </w:rPr>
                    <w:t>注塑、挤出工序产生的有机废气经集气罩收集进入二级活性炭吸附装置进行处理，处理之后经</w:t>
                  </w:r>
                  <w:r>
                    <w:rPr>
                      <w:rFonts w:hint="default" w:ascii="Times New Roman" w:hAnsi="Times New Roman" w:cs="Times New Roman" w:eastAsiaTheme="minorEastAsia"/>
                      <w:color w:val="auto"/>
                      <w:szCs w:val="21"/>
                      <w:highlight w:val="none"/>
                      <w:shd w:val="clear" w:color="auto" w:fill="FFFFFF"/>
                      <w:lang w:val="en-US" w:eastAsia="zh-CN"/>
                    </w:rPr>
                    <w:t>15m高排气筒（DA001）高空排放</w:t>
                  </w:r>
                  <w:r>
                    <w:rPr>
                      <w:rFonts w:hint="default" w:ascii="Times New Roman" w:hAnsi="Times New Roman" w:cs="Times New Roman" w:eastAsiaTheme="minorEastAsia"/>
                      <w:kern w:val="0"/>
                      <w:sz w:val="21"/>
                      <w:szCs w:val="21"/>
                      <w:highlight w:val="none"/>
                      <w:lang w:val="en-US" w:eastAsia="zh-CN" w:bidi="ar-SA"/>
                    </w:rPr>
                    <w:t>。</w:t>
                  </w:r>
                </w:p>
              </w:tc>
            </w:tr>
            <w:tr w14:paraId="6A2E5D15">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391" w:type="pct"/>
                  <w:vMerge w:val="continue"/>
                  <w:noWrap w:val="0"/>
                  <w:vAlign w:val="center"/>
                </w:tcPr>
                <w:p w14:paraId="6C621309">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1189" w:type="pct"/>
                  <w:gridSpan w:val="3"/>
                  <w:noWrap w:val="0"/>
                  <w:vAlign w:val="center"/>
                </w:tcPr>
                <w:p w14:paraId="12F1C16A">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噪声</w:t>
                  </w:r>
                </w:p>
              </w:tc>
              <w:tc>
                <w:tcPr>
                  <w:tcW w:w="3419" w:type="pct"/>
                  <w:gridSpan w:val="2"/>
                  <w:shd w:val="clear" w:color="auto" w:fill="auto"/>
                  <w:noWrap w:val="0"/>
                  <w:vAlign w:val="center"/>
                </w:tcPr>
                <w:p w14:paraId="51382510">
                  <w:pPr>
                    <w:pStyle w:val="36"/>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2"/>
                      <w:sz w:val="21"/>
                      <w:szCs w:val="21"/>
                      <w:highlight w:val="none"/>
                      <w:lang w:val="en-US" w:eastAsia="zh-CN" w:bidi="ar-SA"/>
                    </w:rPr>
                    <w:t>优先选用低噪设备，设置减振基座，厂房隔声，绿化隔声等。</w:t>
                  </w:r>
                </w:p>
              </w:tc>
            </w:tr>
            <w:tr w14:paraId="2139560F">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391" w:type="pct"/>
                  <w:vMerge w:val="continue"/>
                  <w:noWrap w:val="0"/>
                  <w:vAlign w:val="center"/>
                </w:tcPr>
                <w:p w14:paraId="636F4F33">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bookmarkStart w:id="5" w:name="OLE_LINK1" w:colFirst="2" w:colLast="3"/>
                </w:p>
              </w:tc>
              <w:tc>
                <w:tcPr>
                  <w:tcW w:w="361" w:type="pct"/>
                  <w:vMerge w:val="restart"/>
                  <w:noWrap w:val="0"/>
                  <w:vAlign w:val="center"/>
                </w:tcPr>
                <w:p w14:paraId="48CB0309">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rPr>
                    <w:t>固废</w:t>
                  </w:r>
                </w:p>
              </w:tc>
              <w:tc>
                <w:tcPr>
                  <w:tcW w:w="828" w:type="pct"/>
                  <w:gridSpan w:val="2"/>
                  <w:noWrap w:val="0"/>
                  <w:vAlign w:val="center"/>
                </w:tcPr>
                <w:p w14:paraId="6EE25D26">
                  <w:pPr>
                    <w:pStyle w:val="7"/>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shd w:val="clear" w:color="auto" w:fill="FFFFFF"/>
                    </w:rPr>
                    <w:t>生活垃圾</w:t>
                  </w:r>
                </w:p>
              </w:tc>
              <w:tc>
                <w:tcPr>
                  <w:tcW w:w="3419" w:type="pct"/>
                  <w:gridSpan w:val="2"/>
                  <w:noWrap w:val="0"/>
                  <w:vAlign w:val="center"/>
                </w:tcPr>
                <w:p w14:paraId="5227FA06">
                  <w:pPr>
                    <w:pStyle w:val="7"/>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bCs/>
                      <w:color w:val="auto"/>
                      <w:kern w:val="2"/>
                      <w:sz w:val="21"/>
                      <w:szCs w:val="21"/>
                      <w:highlight w:val="none"/>
                      <w:lang w:val="en-US" w:eastAsia="zh-CN" w:bidi="ar-SA"/>
                    </w:rPr>
                  </w:pPr>
                  <w:r>
                    <w:rPr>
                      <w:rFonts w:hint="default" w:ascii="Times New Roman" w:hAnsi="Times New Roman" w:cs="Times New Roman" w:eastAsiaTheme="minorEastAsia"/>
                      <w:b w:val="0"/>
                      <w:bCs w:val="0"/>
                      <w:color w:val="auto"/>
                      <w:kern w:val="0"/>
                      <w:sz w:val="21"/>
                      <w:szCs w:val="21"/>
                      <w:highlight w:val="none"/>
                      <w:lang w:eastAsia="zh-CN"/>
                    </w:rPr>
                    <w:t>带盖</w:t>
                  </w:r>
                  <w:r>
                    <w:rPr>
                      <w:rFonts w:hint="default" w:ascii="Times New Roman" w:hAnsi="Times New Roman" w:cs="Times New Roman" w:eastAsiaTheme="minorEastAsia"/>
                      <w:b w:val="0"/>
                      <w:bCs w:val="0"/>
                      <w:color w:val="auto"/>
                      <w:kern w:val="0"/>
                      <w:sz w:val="21"/>
                      <w:szCs w:val="21"/>
                      <w:highlight w:val="none"/>
                    </w:rPr>
                    <w:t>垃圾桶</w:t>
                  </w:r>
                  <w:r>
                    <w:rPr>
                      <w:rFonts w:hint="default" w:ascii="Times New Roman" w:hAnsi="Times New Roman" w:cs="Times New Roman" w:eastAsiaTheme="minorEastAsia"/>
                      <w:b w:val="0"/>
                      <w:bCs w:val="0"/>
                      <w:color w:val="auto"/>
                      <w:kern w:val="0"/>
                      <w:sz w:val="21"/>
                      <w:szCs w:val="21"/>
                      <w:highlight w:val="none"/>
                      <w:lang w:eastAsia="zh-CN"/>
                    </w:rPr>
                    <w:t>分类收集后由环卫部门每日进行清运。</w:t>
                  </w:r>
                </w:p>
              </w:tc>
            </w:tr>
            <w:tr w14:paraId="02520021">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821" w:hRule="atLeast"/>
                <w:jc w:val="center"/>
              </w:trPr>
              <w:tc>
                <w:tcPr>
                  <w:tcW w:w="391" w:type="pct"/>
                  <w:vMerge w:val="continue"/>
                  <w:noWrap w:val="0"/>
                  <w:vAlign w:val="center"/>
                </w:tcPr>
                <w:p w14:paraId="51269C30">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361" w:type="pct"/>
                  <w:vMerge w:val="continue"/>
                  <w:noWrap w:val="0"/>
                  <w:vAlign w:val="center"/>
                </w:tcPr>
                <w:p w14:paraId="18DCCC99">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p>
              </w:tc>
              <w:tc>
                <w:tcPr>
                  <w:tcW w:w="828" w:type="pct"/>
                  <w:gridSpan w:val="2"/>
                  <w:noWrap w:val="0"/>
                  <w:vAlign w:val="center"/>
                </w:tcPr>
                <w:p w14:paraId="742B9E25">
                  <w:pPr>
                    <w:pStyle w:val="7"/>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color w:val="auto"/>
                      <w:szCs w:val="21"/>
                      <w:highlight w:val="none"/>
                      <w:shd w:val="clear" w:color="auto" w:fill="FFFFFF"/>
                      <w:lang w:eastAsia="zh-CN"/>
                    </w:rPr>
                  </w:pPr>
                  <w:r>
                    <w:rPr>
                      <w:rFonts w:hint="default" w:ascii="Times New Roman" w:hAnsi="Times New Roman" w:cs="Times New Roman" w:eastAsiaTheme="minorEastAsia"/>
                      <w:color w:val="auto"/>
                      <w:szCs w:val="21"/>
                      <w:highlight w:val="none"/>
                      <w:shd w:val="clear" w:color="auto" w:fill="FFFFFF"/>
                      <w:lang w:eastAsia="zh-CN"/>
                    </w:rPr>
                    <w:t>一般固废</w:t>
                  </w:r>
                </w:p>
              </w:tc>
              <w:tc>
                <w:tcPr>
                  <w:tcW w:w="3419" w:type="pct"/>
                  <w:gridSpan w:val="2"/>
                  <w:noWrap w:val="0"/>
                  <w:vAlign w:val="center"/>
                </w:tcPr>
                <w:p w14:paraId="23404464">
                  <w:pPr>
                    <w:pStyle w:val="7"/>
                    <w:keepNext w:val="0"/>
                    <w:keepLines w:val="0"/>
                    <w:pageBreakBefore w:val="0"/>
                    <w:kinsoku/>
                    <w:wordWrap/>
                    <w:overflowPunct/>
                    <w:topLinePunct w:val="0"/>
                    <w:autoSpaceDE/>
                    <w:autoSpaceDN/>
                    <w:bidi w:val="0"/>
                    <w:spacing w:line="264" w:lineRule="auto"/>
                    <w:ind w:firstLine="0" w:firstLineChars="0"/>
                    <w:jc w:val="center"/>
                    <w:textAlignment w:val="auto"/>
                    <w:rPr>
                      <w:rFonts w:hint="default" w:ascii="Times New Roman" w:hAnsi="Times New Roman" w:cs="Times New Roman" w:eastAsiaTheme="minorEastAsia"/>
                      <w:b w:val="0"/>
                      <w:bCs w:val="0"/>
                      <w:color w:val="auto"/>
                      <w:kern w:val="0"/>
                      <w:sz w:val="21"/>
                      <w:szCs w:val="21"/>
                      <w:highlight w:val="none"/>
                      <w:lang w:val="en-US" w:eastAsia="zh-CN"/>
                    </w:rPr>
                  </w:pPr>
                  <w:r>
                    <w:rPr>
                      <w:rFonts w:hint="default" w:ascii="Times New Roman" w:hAnsi="Times New Roman" w:cs="Times New Roman" w:eastAsiaTheme="minorEastAsia"/>
                      <w:b w:val="0"/>
                      <w:bCs w:val="0"/>
                      <w:color w:val="auto"/>
                      <w:kern w:val="0"/>
                      <w:sz w:val="21"/>
                      <w:szCs w:val="21"/>
                      <w:highlight w:val="none"/>
                      <w:lang w:val="en-US" w:eastAsia="zh-CN"/>
                    </w:rPr>
                    <w:t>不合格产品、废包装袋等一般固废暂存于一般固废暂存间</w:t>
                  </w:r>
                  <w:r>
                    <w:rPr>
                      <w:rFonts w:hint="default" w:ascii="Times New Roman" w:hAnsi="Times New Roman" w:cs="Times New Roman" w:eastAsiaTheme="minorEastAsia"/>
                      <w:bCs/>
                      <w:color w:val="auto"/>
                      <w:szCs w:val="21"/>
                      <w:highlight w:val="none"/>
                      <w:lang w:eastAsia="zh-CN"/>
                    </w:rPr>
                    <w:t>（</w:t>
                  </w:r>
                  <w:r>
                    <w:rPr>
                      <w:rFonts w:hint="default" w:ascii="Times New Roman" w:hAnsi="Times New Roman" w:cs="Times New Roman" w:eastAsiaTheme="minorEastAsia"/>
                      <w:bCs/>
                      <w:color w:val="auto"/>
                      <w:szCs w:val="21"/>
                      <w:highlight w:val="none"/>
                      <w:lang w:val="en-US" w:eastAsia="zh-CN"/>
                    </w:rPr>
                    <w:t>30m</w:t>
                  </w:r>
                  <w:r>
                    <w:rPr>
                      <w:rFonts w:hint="default" w:ascii="Times New Roman" w:hAnsi="Times New Roman" w:cs="Times New Roman" w:eastAsiaTheme="minorEastAsia"/>
                      <w:bCs/>
                      <w:color w:val="auto"/>
                      <w:szCs w:val="21"/>
                      <w:highlight w:val="none"/>
                      <w:vertAlign w:val="superscript"/>
                      <w:lang w:val="en-US" w:eastAsia="zh-CN"/>
                    </w:rPr>
                    <w:t>2</w:t>
                  </w:r>
                  <w:r>
                    <w:rPr>
                      <w:rFonts w:hint="default" w:ascii="Times New Roman" w:hAnsi="Times New Roman" w:cs="Times New Roman" w:eastAsiaTheme="minorEastAsia"/>
                      <w:bCs/>
                      <w:color w:val="auto"/>
                      <w:szCs w:val="21"/>
                      <w:highlight w:val="none"/>
                      <w:lang w:val="en-US" w:eastAsia="zh-CN"/>
                    </w:rPr>
                    <w:t>）</w:t>
                  </w:r>
                  <w:r>
                    <w:rPr>
                      <w:rFonts w:hint="default" w:ascii="Times New Roman" w:hAnsi="Times New Roman" w:cs="Times New Roman" w:eastAsiaTheme="minorEastAsia"/>
                      <w:b w:val="0"/>
                      <w:bCs w:val="0"/>
                      <w:color w:val="auto"/>
                      <w:kern w:val="0"/>
                      <w:sz w:val="21"/>
                      <w:szCs w:val="21"/>
                      <w:highlight w:val="none"/>
                      <w:lang w:val="en-US" w:eastAsia="zh-CN"/>
                    </w:rPr>
                    <w:t>，定期外售废旧物资回收公司回收利用。</w:t>
                  </w:r>
                </w:p>
              </w:tc>
            </w:tr>
            <w:tr w14:paraId="3689F520">
              <w:tblPrEx>
                <w:tblBorders>
                  <w:top w:val="single" w:color="000000" w:sz="4" w:space="0"/>
                  <w:left w:val="single" w:color="000000" w:sz="4" w:space="0"/>
                  <w:bottom w:val="single" w:color="000000" w:sz="4" w:space="0"/>
                  <w:right w:val="single" w:color="000000" w:sz="4"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1" w:type="pct"/>
                  <w:vMerge w:val="continue"/>
                  <w:noWrap w:val="0"/>
                  <w:vAlign w:val="center"/>
                </w:tcPr>
                <w:p w14:paraId="2226ECFA">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highlight w:val="none"/>
                    </w:rPr>
                  </w:pPr>
                </w:p>
              </w:tc>
              <w:tc>
                <w:tcPr>
                  <w:tcW w:w="361" w:type="pct"/>
                  <w:vMerge w:val="continue"/>
                  <w:noWrap w:val="0"/>
                  <w:vAlign w:val="center"/>
                </w:tcPr>
                <w:p w14:paraId="5B021231">
                  <w:pPr>
                    <w:pStyle w:val="10"/>
                    <w:keepNext w:val="0"/>
                    <w:keepLines w:val="0"/>
                    <w:pageBreakBefore w:val="0"/>
                    <w:tabs>
                      <w:tab w:val="left" w:pos="3794"/>
                    </w:tabs>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Cs w:val="21"/>
                      <w:highlight w:val="none"/>
                    </w:rPr>
                  </w:pPr>
                </w:p>
              </w:tc>
              <w:tc>
                <w:tcPr>
                  <w:tcW w:w="828" w:type="pct"/>
                  <w:gridSpan w:val="2"/>
                  <w:noWrap w:val="0"/>
                  <w:vAlign w:val="center"/>
                </w:tcPr>
                <w:p w14:paraId="33B3987A">
                  <w:pPr>
                    <w:keepNext w:val="0"/>
                    <w:keepLines w:val="0"/>
                    <w:pageBreakBefore w:val="0"/>
                    <w:widowControl/>
                    <w:kinsoku/>
                    <w:wordWrap/>
                    <w:overflowPunct/>
                    <w:topLinePunct w:val="0"/>
                    <w:autoSpaceDE/>
                    <w:autoSpaceDN/>
                    <w:bidi w:val="0"/>
                    <w:adjustRightInd w:val="0"/>
                    <w:snapToGrid w:val="0"/>
                    <w:spacing w:beforeAutospacing="0" w:afterAutospacing="0" w:line="264" w:lineRule="auto"/>
                    <w:jc w:val="center"/>
                    <w:textAlignment w:val="auto"/>
                    <w:rPr>
                      <w:rFonts w:hint="default" w:ascii="Times New Roman" w:hAnsi="Times New Roman" w:cs="Times New Roman" w:eastAsiaTheme="minorEastAsia"/>
                      <w:color w:val="auto"/>
                      <w:szCs w:val="21"/>
                      <w:highlight w:val="none"/>
                    </w:rPr>
                  </w:pPr>
                  <w:r>
                    <w:rPr>
                      <w:rFonts w:hint="default" w:ascii="Times New Roman" w:hAnsi="Times New Roman" w:cs="Times New Roman" w:eastAsiaTheme="minorEastAsia"/>
                      <w:color w:val="auto"/>
                      <w:szCs w:val="21"/>
                      <w:highlight w:val="none"/>
                      <w:lang w:eastAsia="zh-CN"/>
                    </w:rPr>
                    <w:t>危险废物</w:t>
                  </w:r>
                </w:p>
              </w:tc>
              <w:tc>
                <w:tcPr>
                  <w:tcW w:w="3419" w:type="pct"/>
                  <w:gridSpan w:val="2"/>
                  <w:noWrap w:val="0"/>
                  <w:vAlign w:val="center"/>
                </w:tcPr>
                <w:p w14:paraId="3B267AE7">
                  <w:pPr>
                    <w:keepNext w:val="0"/>
                    <w:keepLines w:val="0"/>
                    <w:pageBreakBefore w:val="0"/>
                    <w:widowControl/>
                    <w:kinsoku/>
                    <w:wordWrap/>
                    <w:overflowPunct/>
                    <w:topLinePunct w:val="0"/>
                    <w:autoSpaceDE/>
                    <w:autoSpaceDN/>
                    <w:bidi w:val="0"/>
                    <w:adjustRightInd w:val="0"/>
                    <w:snapToGrid w:val="0"/>
                    <w:spacing w:beforeAutospacing="0" w:afterAutospacing="0" w:line="264" w:lineRule="auto"/>
                    <w:jc w:val="center"/>
                    <w:textAlignment w:val="auto"/>
                    <w:rPr>
                      <w:rFonts w:hint="default" w:ascii="Times New Roman" w:hAnsi="Times New Roman" w:cs="Times New Roman" w:eastAsiaTheme="minorEastAsia"/>
                      <w:color w:val="auto"/>
                      <w:szCs w:val="21"/>
                      <w:highlight w:val="none"/>
                      <w:shd w:val="clear" w:color="auto" w:fill="FFFFFF"/>
                    </w:rPr>
                  </w:pPr>
                  <w:r>
                    <w:rPr>
                      <w:rFonts w:hint="default" w:ascii="Times New Roman" w:hAnsi="Times New Roman" w:cs="Times New Roman" w:eastAsiaTheme="minorEastAsia"/>
                      <w:color w:val="auto"/>
                      <w:highlight w:val="none"/>
                      <w:lang w:eastAsia="zh-CN"/>
                    </w:rPr>
                    <w:t>废气处理工序产生的废活性炭，设备维修过程产生的废润滑油、含油抹布和手套，废润滑油桶分类暂存于</w:t>
                  </w:r>
                  <w:r>
                    <w:rPr>
                      <w:rFonts w:hint="default" w:ascii="Times New Roman" w:hAnsi="Times New Roman" w:cs="Times New Roman" w:eastAsiaTheme="minorEastAsia"/>
                      <w:color w:val="auto"/>
                      <w:highlight w:val="none"/>
                    </w:rPr>
                    <w:t>危险</w:t>
                  </w:r>
                  <w:r>
                    <w:rPr>
                      <w:rFonts w:hint="default" w:ascii="Times New Roman" w:hAnsi="Times New Roman" w:cs="Times New Roman" w:eastAsiaTheme="minorEastAsia"/>
                      <w:bCs/>
                      <w:color w:val="auto"/>
                      <w:szCs w:val="21"/>
                      <w:highlight w:val="none"/>
                    </w:rPr>
                    <w:t>废物</w:t>
                  </w:r>
                  <w:r>
                    <w:rPr>
                      <w:rFonts w:hint="default" w:ascii="Times New Roman" w:hAnsi="Times New Roman" w:cs="Times New Roman" w:eastAsiaTheme="minorEastAsia"/>
                      <w:bCs/>
                      <w:color w:val="auto"/>
                      <w:szCs w:val="21"/>
                      <w:highlight w:val="none"/>
                      <w:lang w:eastAsia="zh-CN"/>
                    </w:rPr>
                    <w:t>暂存间（</w:t>
                  </w:r>
                  <w:r>
                    <w:rPr>
                      <w:rFonts w:hint="default" w:ascii="Times New Roman" w:hAnsi="Times New Roman" w:cs="Times New Roman" w:eastAsiaTheme="minorEastAsia"/>
                      <w:bCs/>
                      <w:color w:val="auto"/>
                      <w:szCs w:val="21"/>
                      <w:highlight w:val="none"/>
                      <w:lang w:val="en-US" w:eastAsia="zh-CN"/>
                    </w:rPr>
                    <w:t>10m</w:t>
                  </w:r>
                  <w:r>
                    <w:rPr>
                      <w:rFonts w:hint="default" w:ascii="Times New Roman" w:hAnsi="Times New Roman" w:cs="Times New Roman" w:eastAsiaTheme="minorEastAsia"/>
                      <w:bCs/>
                      <w:color w:val="auto"/>
                      <w:szCs w:val="21"/>
                      <w:highlight w:val="none"/>
                      <w:vertAlign w:val="superscript"/>
                      <w:lang w:val="en-US" w:eastAsia="zh-CN"/>
                    </w:rPr>
                    <w:t>2</w:t>
                  </w:r>
                  <w:r>
                    <w:rPr>
                      <w:rFonts w:hint="default" w:ascii="Times New Roman" w:hAnsi="Times New Roman" w:cs="Times New Roman" w:eastAsiaTheme="minorEastAsia"/>
                      <w:bCs/>
                      <w:color w:val="auto"/>
                      <w:szCs w:val="21"/>
                      <w:highlight w:val="none"/>
                      <w:lang w:val="en-US" w:eastAsia="zh-CN"/>
                    </w:rPr>
                    <w:t>）</w:t>
                  </w:r>
                  <w:r>
                    <w:rPr>
                      <w:rFonts w:hint="default" w:ascii="Times New Roman" w:hAnsi="Times New Roman" w:cs="Times New Roman" w:eastAsiaTheme="minorEastAsia"/>
                      <w:color w:val="auto"/>
                      <w:sz w:val="21"/>
                      <w:szCs w:val="21"/>
                      <w:highlight w:val="none"/>
                      <w:lang w:val="en-US" w:eastAsia="zh-CN"/>
                    </w:rPr>
                    <w:t>，定期交由有资质的单位进行处理。</w:t>
                  </w:r>
                </w:p>
              </w:tc>
            </w:tr>
            <w:bookmarkEnd w:id="5"/>
          </w:tbl>
          <w:p w14:paraId="3E6CC036">
            <w:pPr>
              <w:adjustRightInd w:val="0"/>
              <w:snapToGrid w:val="0"/>
              <w:jc w:val="center"/>
              <w:rPr>
                <w:b/>
                <w:color w:val="auto"/>
                <w:szCs w:val="21"/>
                <w:highlight w:val="none"/>
              </w:rPr>
            </w:pPr>
          </w:p>
          <w:p w14:paraId="5BF6DDDF">
            <w:pPr>
              <w:numPr>
                <w:ilvl w:val="0"/>
                <w:numId w:val="0"/>
              </w:numPr>
              <w:adjustRightInd w:val="0"/>
              <w:snapToGrid w:val="0"/>
              <w:spacing w:line="360" w:lineRule="auto"/>
              <w:jc w:val="left"/>
              <w:rPr>
                <w:b/>
                <w:color w:val="auto"/>
                <w:sz w:val="24"/>
                <w:highlight w:val="none"/>
              </w:rPr>
            </w:pPr>
            <w:r>
              <w:rPr>
                <w:rFonts w:hint="eastAsia"/>
                <w:b/>
                <w:color w:val="auto"/>
                <w:sz w:val="24"/>
                <w:highlight w:val="none"/>
                <w:lang w:eastAsia="zh-CN"/>
              </w:rPr>
              <w:t>三、</w:t>
            </w:r>
            <w:r>
              <w:rPr>
                <w:b/>
                <w:color w:val="auto"/>
                <w:sz w:val="24"/>
                <w:highlight w:val="none"/>
              </w:rPr>
              <w:t>产品方案</w:t>
            </w:r>
          </w:p>
          <w:p w14:paraId="0F7E6BD2">
            <w:pPr>
              <w:numPr>
                <w:ilvl w:val="0"/>
                <w:numId w:val="0"/>
              </w:numPr>
              <w:adjustRightInd w:val="0"/>
              <w:snapToGrid w:val="0"/>
              <w:spacing w:line="360" w:lineRule="auto"/>
              <w:ind w:firstLine="480" w:firstLineChars="200"/>
              <w:jc w:val="left"/>
              <w:rPr>
                <w:rFonts w:hint="eastAsia"/>
                <w:color w:val="auto"/>
                <w:kern w:val="0"/>
                <w:sz w:val="24"/>
                <w:highlight w:val="none"/>
                <w:lang w:val="en-US" w:eastAsia="zh-CN" w:bidi="ar"/>
              </w:rPr>
            </w:pPr>
            <w:r>
              <w:rPr>
                <w:color w:val="auto"/>
                <w:kern w:val="0"/>
                <w:sz w:val="24"/>
                <w:highlight w:val="none"/>
                <w:lang w:bidi="ar"/>
              </w:rPr>
              <w:t>本项目产品主要为</w:t>
            </w:r>
            <w:r>
              <w:rPr>
                <w:rFonts w:hint="eastAsia"/>
                <w:color w:val="auto"/>
                <w:kern w:val="0"/>
                <w:sz w:val="24"/>
                <w:highlight w:val="none"/>
                <w:lang w:eastAsia="zh-CN" w:bidi="ar"/>
              </w:rPr>
              <w:t>电力护套管</w:t>
            </w:r>
            <w:r>
              <w:rPr>
                <w:color w:val="auto"/>
                <w:kern w:val="0"/>
                <w:sz w:val="24"/>
                <w:highlight w:val="none"/>
                <w:lang w:bidi="ar"/>
              </w:rPr>
              <w:t>，具体</w:t>
            </w:r>
            <w:r>
              <w:rPr>
                <w:rFonts w:hint="eastAsia"/>
                <w:color w:val="auto"/>
                <w:kern w:val="0"/>
                <w:sz w:val="24"/>
                <w:highlight w:val="none"/>
                <w:lang w:bidi="ar"/>
              </w:rPr>
              <w:t>产品方案</w:t>
            </w:r>
            <w:r>
              <w:rPr>
                <w:color w:val="auto"/>
                <w:kern w:val="0"/>
                <w:sz w:val="24"/>
                <w:highlight w:val="none"/>
                <w:lang w:bidi="ar"/>
              </w:rPr>
              <w:t>见表</w:t>
            </w:r>
            <w:r>
              <w:rPr>
                <w:rFonts w:hint="eastAsia"/>
                <w:color w:val="auto"/>
                <w:kern w:val="0"/>
                <w:sz w:val="24"/>
                <w:highlight w:val="none"/>
                <w:lang w:bidi="ar"/>
              </w:rPr>
              <w:t>2-</w:t>
            </w:r>
            <w:r>
              <w:rPr>
                <w:rFonts w:hint="eastAsia"/>
                <w:color w:val="auto"/>
                <w:kern w:val="0"/>
                <w:sz w:val="24"/>
                <w:highlight w:val="none"/>
                <w:lang w:val="en-US" w:eastAsia="zh-CN" w:bidi="ar"/>
              </w:rPr>
              <w:t>2。</w:t>
            </w:r>
          </w:p>
          <w:p w14:paraId="152889A5">
            <w:pPr>
              <w:numPr>
                <w:ilvl w:val="0"/>
                <w:numId w:val="0"/>
              </w:numPr>
              <w:adjustRightInd w:val="0"/>
              <w:snapToGrid w:val="0"/>
              <w:spacing w:line="360" w:lineRule="auto"/>
              <w:ind w:firstLine="422" w:firstLineChars="200"/>
              <w:jc w:val="center"/>
              <w:rPr>
                <w:rFonts w:eastAsia="宋体"/>
                <w:b/>
                <w:color w:val="auto"/>
                <w:szCs w:val="21"/>
                <w:highlight w:val="none"/>
              </w:rPr>
            </w:pPr>
            <w:r>
              <w:rPr>
                <w:rFonts w:hint="default" w:ascii="Times New Roman" w:hAnsi="Times New Roman" w:cs="Times New Roman" w:eastAsiaTheme="majorEastAsia"/>
                <w:b/>
                <w:color w:val="auto"/>
                <w:szCs w:val="21"/>
                <w:highlight w:val="none"/>
              </w:rPr>
              <w:t>表2-2 项目产品方案</w:t>
            </w:r>
          </w:p>
          <w:tbl>
            <w:tblPr>
              <w:tblStyle w:val="25"/>
              <w:tblpPr w:leftFromText="180" w:rightFromText="180" w:vertAnchor="text" w:horzAnchor="page" w:tblpX="121" w:tblpY="54"/>
              <w:tblOverlap w:val="never"/>
              <w:tblW w:w="8385" w:type="dxa"/>
              <w:tblInd w:w="10" w:type="dxa"/>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1972"/>
              <w:gridCol w:w="1867"/>
              <w:gridCol w:w="1512"/>
              <w:gridCol w:w="1500"/>
            </w:tblGrid>
            <w:tr w14:paraId="57D8684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534" w:type="dxa"/>
                  <w:vAlign w:val="center"/>
                </w:tcPr>
                <w:p w14:paraId="318CDE3D">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rPr>
                  </w:pPr>
                  <w:r>
                    <w:rPr>
                      <w:rFonts w:hint="eastAsia" w:ascii="Times New Roman" w:hAnsi="Times New Roman" w:cs="Times New Roman"/>
                      <w:b/>
                      <w:color w:val="auto"/>
                      <w:szCs w:val="21"/>
                      <w:highlight w:val="none"/>
                    </w:rPr>
                    <w:t>序号</w:t>
                  </w:r>
                </w:p>
              </w:tc>
              <w:tc>
                <w:tcPr>
                  <w:tcW w:w="1972" w:type="dxa"/>
                  <w:vAlign w:val="center"/>
                </w:tcPr>
                <w:p w14:paraId="25D27342">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eastAsia="zh-CN"/>
                    </w:rPr>
                  </w:pPr>
                  <w:r>
                    <w:rPr>
                      <w:rFonts w:hint="eastAsia" w:ascii="Times New Roman" w:hAnsi="Times New Roman" w:cs="Times New Roman"/>
                      <w:b/>
                      <w:color w:val="auto"/>
                      <w:szCs w:val="21"/>
                      <w:highlight w:val="none"/>
                    </w:rPr>
                    <w:t>产品</w:t>
                  </w:r>
                  <w:r>
                    <w:rPr>
                      <w:rFonts w:hint="eastAsia" w:ascii="Times New Roman" w:hAnsi="Times New Roman" w:cs="Times New Roman"/>
                      <w:b/>
                      <w:color w:val="auto"/>
                      <w:szCs w:val="21"/>
                      <w:highlight w:val="none"/>
                      <w:lang w:eastAsia="zh-CN"/>
                    </w:rPr>
                    <w:t>名称</w:t>
                  </w:r>
                </w:p>
              </w:tc>
              <w:tc>
                <w:tcPr>
                  <w:tcW w:w="1867" w:type="dxa"/>
                  <w:vAlign w:val="center"/>
                </w:tcPr>
                <w:p w14:paraId="7375B3E1">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rPr>
                    <w:t>年产量</w:t>
                  </w:r>
                </w:p>
              </w:tc>
              <w:tc>
                <w:tcPr>
                  <w:tcW w:w="1512" w:type="dxa"/>
                  <w:vAlign w:val="center"/>
                </w:tcPr>
                <w:p w14:paraId="322ECD4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lang w:val="en-US" w:eastAsia="zh-CN"/>
                    </w:rPr>
                    <w:t>单位/吨</w:t>
                  </w:r>
                </w:p>
              </w:tc>
              <w:tc>
                <w:tcPr>
                  <w:tcW w:w="1500" w:type="dxa"/>
                  <w:vAlign w:val="center"/>
                </w:tcPr>
                <w:p w14:paraId="1B4D128C">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lang w:val="en-US" w:eastAsia="zh-CN"/>
                    </w:rPr>
                    <w:t>备注</w:t>
                  </w:r>
                </w:p>
              </w:tc>
            </w:tr>
            <w:tr w14:paraId="7D32AEA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534" w:type="dxa"/>
                  <w:vAlign w:val="center"/>
                </w:tcPr>
                <w:p w14:paraId="42EEA25E">
                  <w:pPr>
                    <w:jc w:val="center"/>
                    <w:rPr>
                      <w:szCs w:val="21"/>
                      <w:highlight w:val="none"/>
                    </w:rPr>
                  </w:pPr>
                  <w:r>
                    <w:rPr>
                      <w:rFonts w:hint="eastAsia"/>
                      <w:szCs w:val="21"/>
                      <w:highlight w:val="none"/>
                    </w:rPr>
                    <w:t>1</w:t>
                  </w:r>
                </w:p>
              </w:tc>
              <w:tc>
                <w:tcPr>
                  <w:tcW w:w="1972" w:type="dxa"/>
                  <w:vAlign w:val="center"/>
                </w:tcPr>
                <w:p w14:paraId="67A97417">
                  <w:pPr>
                    <w:jc w:val="center"/>
                    <w:rPr>
                      <w:rFonts w:hint="default" w:eastAsiaTheme="minorEastAsia"/>
                      <w:szCs w:val="21"/>
                      <w:highlight w:val="none"/>
                      <w:lang w:val="en-US" w:eastAsia="zh-CN"/>
                    </w:rPr>
                  </w:pPr>
                  <w:r>
                    <w:rPr>
                      <w:rFonts w:hint="eastAsia"/>
                      <w:szCs w:val="21"/>
                      <w:highlight w:val="none"/>
                      <w:lang w:val="en-US" w:eastAsia="zh-CN"/>
                    </w:rPr>
                    <w:t>MPP电力护套管</w:t>
                  </w:r>
                </w:p>
              </w:tc>
              <w:tc>
                <w:tcPr>
                  <w:tcW w:w="1867" w:type="dxa"/>
                  <w:vAlign w:val="center"/>
                </w:tcPr>
                <w:p w14:paraId="30FE0C2A">
                  <w:pPr>
                    <w:jc w:val="center"/>
                    <w:rPr>
                      <w:rFonts w:hint="eastAsia"/>
                      <w:szCs w:val="21"/>
                      <w:highlight w:val="none"/>
                      <w:lang w:val="en-US" w:eastAsia="zh-CN"/>
                    </w:rPr>
                  </w:pPr>
                  <w:r>
                    <w:rPr>
                      <w:rFonts w:hint="eastAsia"/>
                      <w:szCs w:val="21"/>
                      <w:highlight w:val="none"/>
                      <w:lang w:val="en-US" w:eastAsia="zh-CN"/>
                    </w:rPr>
                    <w:t>1000</w:t>
                  </w:r>
                </w:p>
              </w:tc>
              <w:tc>
                <w:tcPr>
                  <w:tcW w:w="1512" w:type="dxa"/>
                  <w:vAlign w:val="center"/>
                </w:tcPr>
                <w:p w14:paraId="393A50EE">
                  <w:pPr>
                    <w:adjustRightInd w:val="0"/>
                    <w:snapToGrid w:val="0"/>
                    <w:jc w:val="center"/>
                    <w:textAlignment w:val="center"/>
                    <w:rPr>
                      <w:rFonts w:hint="default" w:eastAsiaTheme="minorEastAsia"/>
                      <w:szCs w:val="21"/>
                      <w:highlight w:val="none"/>
                      <w:lang w:val="en-US" w:eastAsia="zh-CN"/>
                    </w:rPr>
                  </w:pPr>
                  <w:r>
                    <w:rPr>
                      <w:rFonts w:hint="eastAsia" w:eastAsiaTheme="minorEastAsia"/>
                      <w:szCs w:val="21"/>
                      <w:highlight w:val="none"/>
                      <w:lang w:val="en-US" w:eastAsia="zh-CN"/>
                    </w:rPr>
                    <w:t>t</w:t>
                  </w:r>
                </w:p>
              </w:tc>
              <w:tc>
                <w:tcPr>
                  <w:tcW w:w="1500" w:type="dxa"/>
                  <w:vAlign w:val="center"/>
                </w:tcPr>
                <w:p w14:paraId="61084543">
                  <w:pPr>
                    <w:adjustRightInd w:val="0"/>
                    <w:snapToGrid w:val="0"/>
                    <w:jc w:val="center"/>
                    <w:textAlignment w:val="center"/>
                    <w:rPr>
                      <w:rFonts w:hint="default"/>
                      <w:szCs w:val="21"/>
                      <w:highlight w:val="none"/>
                      <w:lang w:val="en-US" w:eastAsia="zh-CN"/>
                    </w:rPr>
                  </w:pPr>
                  <w:r>
                    <w:rPr>
                      <w:rFonts w:hint="eastAsia"/>
                      <w:szCs w:val="21"/>
                      <w:highlight w:val="none"/>
                      <w:lang w:val="en-US" w:eastAsia="zh-CN"/>
                    </w:rPr>
                    <w:t>/</w:t>
                  </w:r>
                </w:p>
              </w:tc>
            </w:tr>
            <w:tr w14:paraId="5F0A727C">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534" w:type="dxa"/>
                  <w:vAlign w:val="center"/>
                </w:tcPr>
                <w:p w14:paraId="284D5AD9">
                  <w:pPr>
                    <w:jc w:val="center"/>
                    <w:rPr>
                      <w:szCs w:val="21"/>
                      <w:highlight w:val="none"/>
                    </w:rPr>
                  </w:pPr>
                  <w:r>
                    <w:rPr>
                      <w:rFonts w:hint="eastAsia"/>
                      <w:szCs w:val="21"/>
                      <w:highlight w:val="none"/>
                    </w:rPr>
                    <w:t>2</w:t>
                  </w:r>
                </w:p>
              </w:tc>
              <w:tc>
                <w:tcPr>
                  <w:tcW w:w="1972" w:type="dxa"/>
                  <w:vAlign w:val="center"/>
                </w:tcPr>
                <w:p w14:paraId="00636A41">
                  <w:pPr>
                    <w:jc w:val="center"/>
                    <w:rPr>
                      <w:rFonts w:hint="default" w:eastAsiaTheme="minorEastAsia"/>
                      <w:szCs w:val="21"/>
                      <w:highlight w:val="none"/>
                      <w:lang w:val="en-US" w:eastAsia="zh-CN"/>
                    </w:rPr>
                  </w:pPr>
                  <w:r>
                    <w:rPr>
                      <w:rFonts w:hint="eastAsia"/>
                      <w:szCs w:val="21"/>
                      <w:highlight w:val="none"/>
                      <w:lang w:val="en-US" w:eastAsia="zh-CN"/>
                    </w:rPr>
                    <w:t>PE电力护套管</w:t>
                  </w:r>
                </w:p>
              </w:tc>
              <w:tc>
                <w:tcPr>
                  <w:tcW w:w="1867" w:type="dxa"/>
                  <w:vAlign w:val="center"/>
                </w:tcPr>
                <w:p w14:paraId="2E15ADC4">
                  <w:pPr>
                    <w:jc w:val="center"/>
                    <w:rPr>
                      <w:rFonts w:hint="eastAsia" w:eastAsia="宋体"/>
                      <w:szCs w:val="21"/>
                      <w:highlight w:val="none"/>
                      <w:lang w:val="en-US" w:eastAsia="zh-CN"/>
                    </w:rPr>
                  </w:pPr>
                  <w:r>
                    <w:rPr>
                      <w:rFonts w:hint="eastAsia"/>
                      <w:szCs w:val="21"/>
                      <w:highlight w:val="none"/>
                      <w:lang w:val="en-US" w:eastAsia="zh-CN"/>
                    </w:rPr>
                    <w:t>1000</w:t>
                  </w:r>
                </w:p>
              </w:tc>
              <w:tc>
                <w:tcPr>
                  <w:tcW w:w="1512" w:type="dxa"/>
                  <w:vAlign w:val="center"/>
                </w:tcPr>
                <w:p w14:paraId="54077CBC">
                  <w:pPr>
                    <w:adjustRightInd w:val="0"/>
                    <w:snapToGrid w:val="0"/>
                    <w:jc w:val="center"/>
                    <w:textAlignment w:val="center"/>
                    <w:rPr>
                      <w:rFonts w:hint="default" w:eastAsiaTheme="minorEastAsia"/>
                      <w:szCs w:val="21"/>
                      <w:highlight w:val="none"/>
                      <w:lang w:val="en-US" w:eastAsia="zh-CN"/>
                    </w:rPr>
                  </w:pPr>
                  <w:r>
                    <w:rPr>
                      <w:rFonts w:hint="eastAsia" w:eastAsiaTheme="minorEastAsia"/>
                      <w:szCs w:val="21"/>
                      <w:highlight w:val="none"/>
                      <w:lang w:val="en-US" w:eastAsia="zh-CN"/>
                    </w:rPr>
                    <w:t>t</w:t>
                  </w:r>
                </w:p>
              </w:tc>
              <w:tc>
                <w:tcPr>
                  <w:tcW w:w="1500" w:type="dxa"/>
                  <w:vAlign w:val="center"/>
                </w:tcPr>
                <w:p w14:paraId="1B8BC240">
                  <w:pPr>
                    <w:adjustRightInd w:val="0"/>
                    <w:snapToGrid w:val="0"/>
                    <w:jc w:val="center"/>
                    <w:textAlignment w:val="center"/>
                    <w:rPr>
                      <w:rFonts w:hint="default"/>
                      <w:szCs w:val="21"/>
                      <w:highlight w:val="none"/>
                      <w:lang w:val="en-US" w:eastAsia="zh-CN"/>
                    </w:rPr>
                  </w:pPr>
                  <w:r>
                    <w:rPr>
                      <w:rFonts w:hint="eastAsia"/>
                      <w:szCs w:val="21"/>
                      <w:highlight w:val="none"/>
                      <w:lang w:val="en-US" w:eastAsia="zh-CN"/>
                    </w:rPr>
                    <w:t>/</w:t>
                  </w:r>
                </w:p>
              </w:tc>
            </w:tr>
          </w:tbl>
          <w:p w14:paraId="1AD08BA7">
            <w:pPr>
              <w:keepNext w:val="0"/>
              <w:keepLines w:val="0"/>
              <w:pageBreakBefore w:val="0"/>
              <w:widowControl w:val="0"/>
              <w:kinsoku/>
              <w:wordWrap/>
              <w:overflowPunct/>
              <w:topLinePunct w:val="0"/>
              <w:autoSpaceDE/>
              <w:autoSpaceDN/>
              <w:bidi w:val="0"/>
              <w:adjustRightInd w:val="0"/>
              <w:snapToGrid w:val="0"/>
              <w:spacing w:before="120" w:line="360" w:lineRule="auto"/>
              <w:jc w:val="left"/>
              <w:textAlignment w:val="auto"/>
              <w:rPr>
                <w:b/>
                <w:color w:val="auto"/>
                <w:sz w:val="24"/>
                <w:highlight w:val="none"/>
              </w:rPr>
            </w:pPr>
            <w:r>
              <w:rPr>
                <w:rFonts w:hint="eastAsia"/>
                <w:b/>
                <w:color w:val="auto"/>
                <w:sz w:val="24"/>
                <w:highlight w:val="none"/>
                <w:lang w:eastAsia="zh-CN"/>
              </w:rPr>
              <w:t>四、</w:t>
            </w:r>
            <w:r>
              <w:rPr>
                <w:b/>
                <w:color w:val="auto"/>
                <w:sz w:val="24"/>
                <w:highlight w:val="none"/>
              </w:rPr>
              <w:t>主要</w:t>
            </w:r>
            <w:r>
              <w:rPr>
                <w:rFonts w:hint="eastAsia"/>
                <w:b/>
                <w:color w:val="auto"/>
                <w:sz w:val="24"/>
                <w:highlight w:val="none"/>
                <w:lang w:eastAsia="zh-CN"/>
              </w:rPr>
              <w:t>生产</w:t>
            </w:r>
            <w:r>
              <w:rPr>
                <w:b/>
                <w:color w:val="auto"/>
                <w:sz w:val="24"/>
                <w:highlight w:val="none"/>
              </w:rPr>
              <w:t>设备</w:t>
            </w:r>
          </w:p>
          <w:p w14:paraId="5B759BE8">
            <w:pPr>
              <w:adjustRightInd w:val="0"/>
              <w:snapToGrid w:val="0"/>
              <w:spacing w:line="360" w:lineRule="auto"/>
              <w:ind w:firstLine="480" w:firstLineChars="200"/>
              <w:jc w:val="left"/>
              <w:rPr>
                <w:bCs/>
                <w:color w:val="auto"/>
                <w:sz w:val="24"/>
                <w:highlight w:val="none"/>
              </w:rPr>
            </w:pPr>
            <w:r>
              <w:rPr>
                <w:bCs/>
                <w:color w:val="auto"/>
                <w:sz w:val="24"/>
                <w:highlight w:val="none"/>
              </w:rPr>
              <w:t>项目主要生产设备清单见表</w:t>
            </w:r>
            <w:r>
              <w:rPr>
                <w:rFonts w:hint="eastAsia"/>
                <w:bCs/>
                <w:color w:val="auto"/>
                <w:sz w:val="24"/>
                <w:highlight w:val="none"/>
              </w:rPr>
              <w:t>2-3</w:t>
            </w:r>
            <w:r>
              <w:rPr>
                <w:bCs/>
                <w:color w:val="auto"/>
                <w:sz w:val="24"/>
                <w:highlight w:val="none"/>
              </w:rPr>
              <w:t>。</w:t>
            </w:r>
          </w:p>
          <w:p w14:paraId="3B709B35">
            <w:pPr>
              <w:numPr>
                <w:ilvl w:val="0"/>
                <w:numId w:val="0"/>
              </w:numPr>
              <w:adjustRightInd w:val="0"/>
              <w:snapToGrid w:val="0"/>
              <w:spacing w:line="360" w:lineRule="auto"/>
              <w:ind w:firstLine="422" w:firstLineChars="200"/>
              <w:jc w:val="center"/>
              <w:rPr>
                <w:rFonts w:hint="default" w:ascii="Times New Roman" w:hAnsi="Times New Roman" w:cs="Times New Roman" w:eastAsiaTheme="majorEastAsia"/>
                <w:b/>
                <w:color w:val="auto"/>
                <w:szCs w:val="21"/>
                <w:highlight w:val="none"/>
              </w:rPr>
            </w:pPr>
            <w:r>
              <w:rPr>
                <w:rFonts w:hint="default" w:ascii="Times New Roman" w:hAnsi="Times New Roman" w:cs="Times New Roman" w:eastAsiaTheme="majorEastAsia"/>
                <w:b/>
                <w:color w:val="auto"/>
                <w:szCs w:val="21"/>
                <w:highlight w:val="none"/>
              </w:rPr>
              <w:t>表2-3 项目主要生产设备一览表</w:t>
            </w:r>
          </w:p>
          <w:tbl>
            <w:tblPr>
              <w:tblStyle w:val="25"/>
              <w:tblW w:w="8457"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170"/>
              <w:gridCol w:w="1087"/>
              <w:gridCol w:w="1138"/>
              <w:gridCol w:w="1906"/>
              <w:gridCol w:w="2318"/>
            </w:tblGrid>
            <w:tr w14:paraId="22B9027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838" w:type="dxa"/>
                  <w:vAlign w:val="center"/>
                </w:tcPr>
                <w:p w14:paraId="270E4346">
                  <w:pPr>
                    <w:jc w:val="center"/>
                    <w:rPr>
                      <w:b/>
                      <w:bCs/>
                      <w:sz w:val="21"/>
                      <w:szCs w:val="21"/>
                      <w:highlight w:val="none"/>
                    </w:rPr>
                  </w:pPr>
                  <w:r>
                    <w:rPr>
                      <w:b/>
                      <w:bCs/>
                      <w:sz w:val="21"/>
                      <w:szCs w:val="21"/>
                      <w:highlight w:val="none"/>
                    </w:rPr>
                    <w:t>序号</w:t>
                  </w:r>
                </w:p>
              </w:tc>
              <w:tc>
                <w:tcPr>
                  <w:tcW w:w="1170" w:type="dxa"/>
                  <w:vAlign w:val="center"/>
                </w:tcPr>
                <w:p w14:paraId="1D7C45E7">
                  <w:pPr>
                    <w:jc w:val="center"/>
                    <w:rPr>
                      <w:b/>
                      <w:bCs/>
                      <w:sz w:val="21"/>
                      <w:szCs w:val="21"/>
                      <w:highlight w:val="none"/>
                    </w:rPr>
                  </w:pPr>
                  <w:r>
                    <w:rPr>
                      <w:rFonts w:hint="eastAsia"/>
                      <w:b/>
                      <w:bCs/>
                      <w:sz w:val="21"/>
                      <w:szCs w:val="21"/>
                      <w:highlight w:val="none"/>
                      <w:lang w:eastAsia="zh-CN"/>
                    </w:rPr>
                    <w:t>设备名称</w:t>
                  </w:r>
                </w:p>
              </w:tc>
              <w:tc>
                <w:tcPr>
                  <w:tcW w:w="1087" w:type="dxa"/>
                  <w:vAlign w:val="center"/>
                </w:tcPr>
                <w:p w14:paraId="15E62B00">
                  <w:pPr>
                    <w:jc w:val="center"/>
                    <w:rPr>
                      <w:b/>
                      <w:bCs/>
                      <w:sz w:val="21"/>
                      <w:szCs w:val="21"/>
                      <w:highlight w:val="none"/>
                    </w:rPr>
                  </w:pPr>
                  <w:r>
                    <w:rPr>
                      <w:rFonts w:hint="eastAsia"/>
                      <w:b/>
                      <w:bCs/>
                      <w:sz w:val="21"/>
                      <w:szCs w:val="21"/>
                      <w:highlight w:val="none"/>
                      <w:lang w:eastAsia="zh-CN"/>
                    </w:rPr>
                    <w:t>数量</w:t>
                  </w:r>
                </w:p>
              </w:tc>
              <w:tc>
                <w:tcPr>
                  <w:tcW w:w="1138" w:type="dxa"/>
                  <w:vAlign w:val="center"/>
                </w:tcPr>
                <w:p w14:paraId="4258A57D">
                  <w:pPr>
                    <w:jc w:val="center"/>
                    <w:rPr>
                      <w:rFonts w:hint="default" w:eastAsia="宋体"/>
                      <w:b/>
                      <w:bCs/>
                      <w:sz w:val="21"/>
                      <w:szCs w:val="21"/>
                      <w:highlight w:val="none"/>
                      <w:lang w:val="en-US" w:eastAsia="zh-CN"/>
                    </w:rPr>
                  </w:pPr>
                  <w:r>
                    <w:rPr>
                      <w:rFonts w:hint="eastAsia"/>
                      <w:b/>
                      <w:bCs/>
                      <w:sz w:val="21"/>
                      <w:szCs w:val="21"/>
                      <w:highlight w:val="none"/>
                      <w:lang w:val="en-US" w:eastAsia="zh-CN"/>
                    </w:rPr>
                    <w:t>单位</w:t>
                  </w:r>
                </w:p>
              </w:tc>
              <w:tc>
                <w:tcPr>
                  <w:tcW w:w="1906" w:type="dxa"/>
                  <w:vAlign w:val="center"/>
                </w:tcPr>
                <w:p w14:paraId="79B69753">
                  <w:pPr>
                    <w:jc w:val="center"/>
                    <w:rPr>
                      <w:rFonts w:hint="eastAsia"/>
                      <w:b/>
                      <w:bCs/>
                      <w:sz w:val="21"/>
                      <w:szCs w:val="21"/>
                      <w:highlight w:val="yellow"/>
                      <w:lang w:val="en-US" w:eastAsia="zh-CN"/>
                    </w:rPr>
                  </w:pPr>
                  <w:r>
                    <w:rPr>
                      <w:rFonts w:hint="eastAsia"/>
                      <w:b/>
                      <w:bCs/>
                      <w:color w:val="auto"/>
                      <w:sz w:val="21"/>
                      <w:szCs w:val="21"/>
                      <w:highlight w:val="none"/>
                      <w:lang w:val="en-US" w:eastAsia="zh-CN"/>
                    </w:rPr>
                    <w:t>设备型号</w:t>
                  </w:r>
                </w:p>
              </w:tc>
              <w:tc>
                <w:tcPr>
                  <w:tcW w:w="2318" w:type="dxa"/>
                  <w:vAlign w:val="center"/>
                </w:tcPr>
                <w:p w14:paraId="28C08010">
                  <w:pPr>
                    <w:jc w:val="center"/>
                    <w:rPr>
                      <w:rFonts w:hint="default" w:eastAsia="宋体"/>
                      <w:b/>
                      <w:bCs/>
                      <w:sz w:val="21"/>
                      <w:szCs w:val="21"/>
                      <w:highlight w:val="none"/>
                      <w:lang w:val="en-US" w:eastAsia="zh-CN"/>
                    </w:rPr>
                  </w:pPr>
                  <w:r>
                    <w:rPr>
                      <w:rFonts w:hint="eastAsia"/>
                      <w:b/>
                      <w:bCs/>
                      <w:sz w:val="21"/>
                      <w:szCs w:val="21"/>
                      <w:highlight w:val="none"/>
                      <w:lang w:val="en-US" w:eastAsia="zh-CN"/>
                    </w:rPr>
                    <w:t>备注</w:t>
                  </w:r>
                </w:p>
              </w:tc>
            </w:tr>
            <w:tr w14:paraId="0BFF147F">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38" w:type="dxa"/>
                  <w:vAlign w:val="center"/>
                </w:tcPr>
                <w:p w14:paraId="021FE83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w:t>
                  </w:r>
                </w:p>
              </w:tc>
              <w:tc>
                <w:tcPr>
                  <w:tcW w:w="1170" w:type="dxa"/>
                  <w:vAlign w:val="center"/>
                </w:tcPr>
                <w:p w14:paraId="65C2816A">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注塑机</w:t>
                  </w:r>
                </w:p>
              </w:tc>
              <w:tc>
                <w:tcPr>
                  <w:tcW w:w="1087" w:type="dxa"/>
                  <w:vAlign w:val="center"/>
                </w:tcPr>
                <w:p w14:paraId="7828CEB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4</w:t>
                  </w:r>
                </w:p>
              </w:tc>
              <w:tc>
                <w:tcPr>
                  <w:tcW w:w="1138" w:type="dxa"/>
                  <w:vAlign w:val="center"/>
                </w:tcPr>
                <w:p w14:paraId="3172C7F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套</w:t>
                  </w:r>
                </w:p>
              </w:tc>
              <w:tc>
                <w:tcPr>
                  <w:tcW w:w="1906" w:type="dxa"/>
                  <w:shd w:val="clear" w:color="auto" w:fill="auto"/>
                  <w:vAlign w:val="center"/>
                </w:tcPr>
                <w:p w14:paraId="15BE063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20-630</w:t>
                  </w:r>
                </w:p>
              </w:tc>
              <w:tc>
                <w:tcPr>
                  <w:tcW w:w="2318" w:type="dxa"/>
                  <w:vMerge w:val="restart"/>
                  <w:shd w:val="clear" w:color="auto" w:fill="auto"/>
                  <w:vAlign w:val="center"/>
                </w:tcPr>
                <w:p w14:paraId="4FDBAD52">
                  <w:pPr>
                    <w:keepNext w:val="0"/>
                    <w:keepLines w:val="0"/>
                    <w:pageBreakBefore w:val="0"/>
                    <w:widowControl w:val="0"/>
                    <w:kinsoku/>
                    <w:wordWrap/>
                    <w:overflowPunct/>
                    <w:topLinePunct w:val="0"/>
                    <w:autoSpaceDE/>
                    <w:autoSpaceDN/>
                    <w:bidi w:val="0"/>
                    <w:adjustRightInd/>
                    <w:snapToGrid/>
                    <w:spacing w:line="264" w:lineRule="auto"/>
                    <w:jc w:val="both"/>
                    <w:textAlignment w:val="auto"/>
                    <w:rPr>
                      <w:rFonts w:hint="eastAsia"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浙江双林机械有限公司、苏州新驰程机械有限公司、张家港华德机械有限公司</w:t>
                  </w:r>
                </w:p>
              </w:tc>
            </w:tr>
            <w:tr w14:paraId="75236B13">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838" w:type="dxa"/>
                  <w:vAlign w:val="center"/>
                </w:tcPr>
                <w:p w14:paraId="7A30B55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2</w:t>
                  </w:r>
                </w:p>
              </w:tc>
              <w:tc>
                <w:tcPr>
                  <w:tcW w:w="1170" w:type="dxa"/>
                  <w:vAlign w:val="center"/>
                </w:tcPr>
                <w:p w14:paraId="11132098">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挤出机</w:t>
                  </w:r>
                </w:p>
              </w:tc>
              <w:tc>
                <w:tcPr>
                  <w:tcW w:w="1087" w:type="dxa"/>
                  <w:vAlign w:val="center"/>
                </w:tcPr>
                <w:p w14:paraId="1126A34D">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4</w:t>
                  </w:r>
                </w:p>
              </w:tc>
              <w:tc>
                <w:tcPr>
                  <w:tcW w:w="1138" w:type="dxa"/>
                  <w:vAlign w:val="center"/>
                </w:tcPr>
                <w:p w14:paraId="4D6DA88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套</w:t>
                  </w:r>
                </w:p>
              </w:tc>
              <w:tc>
                <w:tcPr>
                  <w:tcW w:w="1906" w:type="dxa"/>
                  <w:shd w:val="clear" w:color="auto" w:fill="auto"/>
                  <w:vAlign w:val="center"/>
                </w:tcPr>
                <w:p w14:paraId="6F8FE83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20-630</w:t>
                  </w:r>
                </w:p>
              </w:tc>
              <w:tc>
                <w:tcPr>
                  <w:tcW w:w="2318" w:type="dxa"/>
                  <w:vMerge w:val="continue"/>
                  <w:shd w:val="clear" w:color="auto" w:fill="auto"/>
                  <w:vAlign w:val="center"/>
                </w:tcPr>
                <w:p w14:paraId="7EBC18F3">
                  <w:pPr>
                    <w:jc w:val="center"/>
                    <w:rPr>
                      <w:rFonts w:hint="eastAsia" w:cs="Times New Roman" w:eastAsiaTheme="minorEastAsia"/>
                      <w:color w:val="auto"/>
                      <w:sz w:val="24"/>
                      <w:szCs w:val="24"/>
                      <w:highlight w:val="none"/>
                      <w:lang w:val="en-US" w:eastAsia="zh-CN"/>
                    </w:rPr>
                  </w:pPr>
                </w:p>
              </w:tc>
            </w:tr>
            <w:tr w14:paraId="513FE40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628" w:hRule="exact"/>
                <w:jc w:val="center"/>
              </w:trPr>
              <w:tc>
                <w:tcPr>
                  <w:tcW w:w="838" w:type="dxa"/>
                  <w:vAlign w:val="center"/>
                </w:tcPr>
                <w:p w14:paraId="52E5D5E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1170" w:type="dxa"/>
                  <w:vAlign w:val="center"/>
                </w:tcPr>
                <w:p w14:paraId="3626017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冷却塔</w:t>
                  </w:r>
                </w:p>
              </w:tc>
              <w:tc>
                <w:tcPr>
                  <w:tcW w:w="1087" w:type="dxa"/>
                  <w:vAlign w:val="center"/>
                </w:tcPr>
                <w:p w14:paraId="56E4DE8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w:t>
                  </w:r>
                </w:p>
              </w:tc>
              <w:tc>
                <w:tcPr>
                  <w:tcW w:w="1138" w:type="dxa"/>
                  <w:vAlign w:val="center"/>
                </w:tcPr>
                <w:p w14:paraId="14BA0C8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台</w:t>
                  </w:r>
                </w:p>
              </w:tc>
              <w:tc>
                <w:tcPr>
                  <w:tcW w:w="1906" w:type="dxa"/>
                  <w:shd w:val="clear" w:color="auto" w:fill="auto"/>
                  <w:vAlign w:val="center"/>
                </w:tcPr>
                <w:p w14:paraId="5A71625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LYT-60T</w:t>
                  </w:r>
                </w:p>
              </w:tc>
              <w:tc>
                <w:tcPr>
                  <w:tcW w:w="2318" w:type="dxa"/>
                  <w:shd w:val="clear" w:color="auto" w:fill="auto"/>
                  <w:vAlign w:val="center"/>
                </w:tcPr>
                <w:p w14:paraId="06AB09C0">
                  <w:pPr>
                    <w:jc w:val="center"/>
                    <w:rPr>
                      <w:rFonts w:hint="default" w:cs="Times New Roman" w:eastAsiaTheme="minorEastAsia"/>
                      <w:color w:val="auto"/>
                      <w:sz w:val="24"/>
                      <w:szCs w:val="24"/>
                      <w:highlight w:val="none"/>
                      <w:lang w:val="en-US" w:eastAsia="zh-CN"/>
                    </w:rPr>
                  </w:pPr>
                  <w:r>
                    <w:rPr>
                      <w:rFonts w:hint="eastAsia" w:cs="Times New Roman" w:eastAsiaTheme="minorEastAsia"/>
                      <w:color w:val="auto"/>
                      <w:sz w:val="21"/>
                      <w:szCs w:val="21"/>
                      <w:highlight w:val="none"/>
                      <w:lang w:val="en-US" w:eastAsia="zh-CN"/>
                    </w:rPr>
                    <w:t>西安菱宇制冷设备有限公司</w:t>
                  </w:r>
                </w:p>
              </w:tc>
            </w:tr>
            <w:tr w14:paraId="76F47360">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838" w:type="dxa"/>
                  <w:vAlign w:val="center"/>
                </w:tcPr>
                <w:p w14:paraId="0ACBE49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4</w:t>
                  </w:r>
                </w:p>
              </w:tc>
              <w:tc>
                <w:tcPr>
                  <w:tcW w:w="1170" w:type="dxa"/>
                  <w:vAlign w:val="center"/>
                </w:tcPr>
                <w:p w14:paraId="172D17E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环保风机</w:t>
                  </w:r>
                </w:p>
              </w:tc>
              <w:tc>
                <w:tcPr>
                  <w:tcW w:w="1087" w:type="dxa"/>
                  <w:vAlign w:val="center"/>
                </w:tcPr>
                <w:p w14:paraId="219C260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w:t>
                  </w:r>
                </w:p>
              </w:tc>
              <w:tc>
                <w:tcPr>
                  <w:tcW w:w="1138" w:type="dxa"/>
                  <w:vAlign w:val="center"/>
                </w:tcPr>
                <w:p w14:paraId="4C84D8F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台</w:t>
                  </w:r>
                </w:p>
              </w:tc>
              <w:tc>
                <w:tcPr>
                  <w:tcW w:w="1906" w:type="dxa"/>
                  <w:shd w:val="clear" w:color="auto" w:fill="auto"/>
                  <w:vAlign w:val="center"/>
                </w:tcPr>
                <w:p w14:paraId="6F4C9CC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w:t>
                  </w:r>
                </w:p>
              </w:tc>
              <w:tc>
                <w:tcPr>
                  <w:tcW w:w="2318" w:type="dxa"/>
                  <w:shd w:val="clear" w:color="auto" w:fill="auto"/>
                  <w:vAlign w:val="center"/>
                </w:tcPr>
                <w:p w14:paraId="7B360858">
                  <w:pPr>
                    <w:jc w:val="center"/>
                    <w:rPr>
                      <w:rFonts w:hint="default"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w:t>
                  </w:r>
                </w:p>
              </w:tc>
            </w:tr>
          </w:tbl>
          <w:p w14:paraId="0462A0D0">
            <w:pPr>
              <w:adjustRightInd w:val="0"/>
              <w:snapToGrid w:val="0"/>
              <w:spacing w:line="360" w:lineRule="auto"/>
              <w:jc w:val="left"/>
              <w:rPr>
                <w:b/>
                <w:color w:val="auto"/>
                <w:sz w:val="24"/>
                <w:highlight w:val="none"/>
              </w:rPr>
            </w:pPr>
          </w:p>
          <w:p w14:paraId="494665D8">
            <w:pPr>
              <w:numPr>
                <w:ilvl w:val="0"/>
                <w:numId w:val="3"/>
              </w:numPr>
              <w:adjustRightInd w:val="0"/>
              <w:snapToGrid w:val="0"/>
              <w:spacing w:line="360" w:lineRule="auto"/>
              <w:jc w:val="left"/>
              <w:rPr>
                <w:rFonts w:hint="eastAsia"/>
                <w:b/>
                <w:color w:val="auto"/>
                <w:sz w:val="24"/>
                <w:highlight w:val="none"/>
                <w:lang w:eastAsia="zh-CN"/>
              </w:rPr>
            </w:pPr>
            <w:r>
              <w:rPr>
                <w:b/>
                <w:color w:val="auto"/>
                <w:sz w:val="24"/>
                <w:highlight w:val="none"/>
              </w:rPr>
              <w:t>主要原辅材料</w:t>
            </w:r>
            <w:r>
              <w:rPr>
                <w:rFonts w:hint="eastAsia"/>
                <w:b/>
                <w:color w:val="auto"/>
                <w:sz w:val="24"/>
                <w:highlight w:val="none"/>
                <w:lang w:eastAsia="zh-CN"/>
              </w:rPr>
              <w:t>及能源消耗</w:t>
            </w:r>
          </w:p>
          <w:p w14:paraId="5DBFFFB9">
            <w:pPr>
              <w:adjustRightInd w:val="0"/>
              <w:snapToGrid w:val="0"/>
              <w:spacing w:line="360" w:lineRule="auto"/>
              <w:ind w:firstLine="420"/>
              <w:jc w:val="left"/>
              <w:rPr>
                <w:bCs/>
                <w:color w:val="auto"/>
                <w:sz w:val="24"/>
                <w:highlight w:val="none"/>
              </w:rPr>
            </w:pPr>
            <w:r>
              <w:rPr>
                <w:bCs/>
                <w:color w:val="auto"/>
                <w:sz w:val="24"/>
                <w:highlight w:val="none"/>
              </w:rPr>
              <w:t>本项目</w:t>
            </w:r>
            <w:r>
              <w:rPr>
                <w:rFonts w:hint="eastAsia"/>
                <w:bCs/>
                <w:color w:val="auto"/>
                <w:sz w:val="24"/>
                <w:highlight w:val="none"/>
                <w:lang w:eastAsia="zh-CN"/>
              </w:rPr>
              <w:t>采用的原材料为新料，外购于延长中煤、兰州石化公司，不涉及再生塑料。</w:t>
            </w:r>
            <w:r>
              <w:rPr>
                <w:bCs/>
                <w:color w:val="auto"/>
                <w:sz w:val="24"/>
                <w:highlight w:val="none"/>
              </w:rPr>
              <w:t>主要原辅材料见表</w:t>
            </w:r>
            <w:r>
              <w:rPr>
                <w:rFonts w:hint="eastAsia"/>
                <w:bCs/>
                <w:color w:val="auto"/>
                <w:sz w:val="24"/>
                <w:highlight w:val="none"/>
              </w:rPr>
              <w:t>2-4</w:t>
            </w:r>
            <w:r>
              <w:rPr>
                <w:bCs/>
                <w:color w:val="auto"/>
                <w:sz w:val="24"/>
                <w:highlight w:val="none"/>
              </w:rPr>
              <w:t xml:space="preserve">。 </w:t>
            </w:r>
          </w:p>
          <w:p w14:paraId="7A20D42F">
            <w:pPr>
              <w:numPr>
                <w:ilvl w:val="0"/>
                <w:numId w:val="0"/>
              </w:numPr>
              <w:adjustRightInd w:val="0"/>
              <w:snapToGrid w:val="0"/>
              <w:spacing w:line="360" w:lineRule="auto"/>
              <w:ind w:firstLine="422" w:firstLineChars="200"/>
              <w:jc w:val="center"/>
              <w:rPr>
                <w:rFonts w:hint="default" w:ascii="Times New Roman" w:hAnsi="Times New Roman" w:cs="Times New Roman" w:eastAsiaTheme="majorEastAsia"/>
                <w:b/>
                <w:color w:val="auto"/>
                <w:szCs w:val="21"/>
                <w:highlight w:val="none"/>
                <w:lang w:eastAsia="zh-CN"/>
              </w:rPr>
            </w:pPr>
            <w:r>
              <w:rPr>
                <w:rFonts w:hint="default" w:ascii="Times New Roman" w:hAnsi="Times New Roman" w:cs="Times New Roman" w:eastAsiaTheme="majorEastAsia"/>
                <w:b/>
                <w:color w:val="auto"/>
                <w:szCs w:val="21"/>
                <w:highlight w:val="none"/>
              </w:rPr>
              <w:t>表2-4 原辅材料</w:t>
            </w:r>
            <w:r>
              <w:rPr>
                <w:rFonts w:hint="default" w:ascii="Times New Roman" w:hAnsi="Times New Roman" w:cs="Times New Roman" w:eastAsiaTheme="majorEastAsia"/>
                <w:b/>
                <w:color w:val="auto"/>
                <w:szCs w:val="21"/>
                <w:highlight w:val="none"/>
                <w:lang w:eastAsia="zh-CN"/>
              </w:rPr>
              <w:t>供应情况</w:t>
            </w:r>
          </w:p>
          <w:tbl>
            <w:tblPr>
              <w:tblStyle w:val="25"/>
              <w:tblW w:w="8364"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2446"/>
              <w:gridCol w:w="1760"/>
              <w:gridCol w:w="1633"/>
              <w:gridCol w:w="1779"/>
            </w:tblGrid>
            <w:tr w14:paraId="178060F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46" w:type="dxa"/>
                  <w:vAlign w:val="center"/>
                </w:tcPr>
                <w:p w14:paraId="65DE4AFC">
                  <w:pPr>
                    <w:jc w:val="center"/>
                    <w:rPr>
                      <w:rFonts w:hint="eastAsia"/>
                      <w:b/>
                      <w:bCs/>
                      <w:sz w:val="21"/>
                      <w:szCs w:val="21"/>
                      <w:highlight w:val="none"/>
                      <w:lang w:eastAsia="zh-CN"/>
                    </w:rPr>
                  </w:pPr>
                  <w:r>
                    <w:rPr>
                      <w:rFonts w:hint="eastAsia"/>
                      <w:b/>
                      <w:bCs/>
                      <w:sz w:val="21"/>
                      <w:szCs w:val="21"/>
                      <w:highlight w:val="none"/>
                      <w:lang w:eastAsia="zh-CN"/>
                    </w:rPr>
                    <w:t>序号</w:t>
                  </w:r>
                </w:p>
              </w:tc>
              <w:tc>
                <w:tcPr>
                  <w:tcW w:w="2446" w:type="dxa"/>
                  <w:vAlign w:val="center"/>
                </w:tcPr>
                <w:p w14:paraId="2DA3F45A">
                  <w:pPr>
                    <w:jc w:val="center"/>
                    <w:rPr>
                      <w:rFonts w:hint="eastAsia"/>
                      <w:b/>
                      <w:bCs/>
                      <w:sz w:val="21"/>
                      <w:szCs w:val="21"/>
                      <w:highlight w:val="none"/>
                      <w:lang w:eastAsia="zh-CN"/>
                    </w:rPr>
                  </w:pPr>
                  <w:r>
                    <w:rPr>
                      <w:rFonts w:hint="eastAsia"/>
                      <w:b/>
                      <w:bCs/>
                      <w:sz w:val="21"/>
                      <w:szCs w:val="21"/>
                      <w:highlight w:val="none"/>
                      <w:lang w:eastAsia="zh-CN"/>
                    </w:rPr>
                    <w:t>名称</w:t>
                  </w:r>
                </w:p>
              </w:tc>
              <w:tc>
                <w:tcPr>
                  <w:tcW w:w="1760" w:type="dxa"/>
                  <w:vAlign w:val="center"/>
                </w:tcPr>
                <w:p w14:paraId="6517830E">
                  <w:pPr>
                    <w:jc w:val="center"/>
                    <w:rPr>
                      <w:rFonts w:hint="default"/>
                      <w:b/>
                      <w:bCs/>
                      <w:sz w:val="21"/>
                      <w:szCs w:val="21"/>
                      <w:highlight w:val="none"/>
                      <w:lang w:val="en-US" w:eastAsia="zh-CN"/>
                    </w:rPr>
                  </w:pPr>
                  <w:r>
                    <w:rPr>
                      <w:rFonts w:hint="eastAsia"/>
                      <w:b/>
                      <w:bCs/>
                      <w:sz w:val="21"/>
                      <w:szCs w:val="21"/>
                      <w:highlight w:val="none"/>
                      <w:lang w:val="en-US" w:eastAsia="zh-CN"/>
                    </w:rPr>
                    <w:t>年用量</w:t>
                  </w:r>
                </w:p>
              </w:tc>
              <w:tc>
                <w:tcPr>
                  <w:tcW w:w="1633" w:type="dxa"/>
                  <w:vAlign w:val="center"/>
                </w:tcPr>
                <w:p w14:paraId="105B17DC">
                  <w:pPr>
                    <w:jc w:val="center"/>
                    <w:rPr>
                      <w:rFonts w:hint="eastAsia"/>
                      <w:b/>
                      <w:bCs/>
                      <w:sz w:val="21"/>
                      <w:szCs w:val="21"/>
                      <w:highlight w:val="none"/>
                      <w:lang w:val="en-US" w:eastAsia="zh-CN"/>
                    </w:rPr>
                  </w:pPr>
                  <w:r>
                    <w:rPr>
                      <w:rFonts w:hint="eastAsia"/>
                      <w:b/>
                      <w:bCs/>
                      <w:sz w:val="21"/>
                      <w:szCs w:val="21"/>
                      <w:highlight w:val="none"/>
                      <w:lang w:val="en-US" w:eastAsia="zh-CN"/>
                    </w:rPr>
                    <w:t>单位</w:t>
                  </w:r>
                </w:p>
              </w:tc>
              <w:tc>
                <w:tcPr>
                  <w:tcW w:w="1779" w:type="dxa"/>
                  <w:vAlign w:val="center"/>
                </w:tcPr>
                <w:p w14:paraId="6A8F5EC2">
                  <w:pPr>
                    <w:jc w:val="center"/>
                    <w:rPr>
                      <w:rFonts w:hint="eastAsia"/>
                      <w:b/>
                      <w:bCs/>
                      <w:sz w:val="21"/>
                      <w:szCs w:val="21"/>
                      <w:highlight w:val="none"/>
                      <w:lang w:eastAsia="zh-CN"/>
                    </w:rPr>
                  </w:pPr>
                  <w:r>
                    <w:rPr>
                      <w:rFonts w:hint="eastAsia"/>
                      <w:b/>
                      <w:bCs/>
                      <w:sz w:val="21"/>
                      <w:szCs w:val="21"/>
                      <w:highlight w:val="none"/>
                      <w:lang w:eastAsia="zh-CN"/>
                    </w:rPr>
                    <w:t>备注</w:t>
                  </w:r>
                </w:p>
              </w:tc>
            </w:tr>
            <w:tr w14:paraId="17A06D3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7D84014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w:t>
                  </w:r>
                </w:p>
              </w:tc>
              <w:tc>
                <w:tcPr>
                  <w:tcW w:w="2446" w:type="dxa"/>
                  <w:vAlign w:val="center"/>
                </w:tcPr>
                <w:p w14:paraId="2CEE724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聚丙烯（PP）</w:t>
                  </w:r>
                </w:p>
              </w:tc>
              <w:tc>
                <w:tcPr>
                  <w:tcW w:w="1760" w:type="dxa"/>
                  <w:vAlign w:val="center"/>
                </w:tcPr>
                <w:p w14:paraId="41D8508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1000</w:t>
                  </w:r>
                </w:p>
              </w:tc>
              <w:tc>
                <w:tcPr>
                  <w:tcW w:w="1633" w:type="dxa"/>
                  <w:vAlign w:val="center"/>
                </w:tcPr>
                <w:p w14:paraId="03A2E39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239ECE1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延长中煤</w:t>
                  </w:r>
                </w:p>
              </w:tc>
            </w:tr>
            <w:tr w14:paraId="26695CD7">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3A4633E6">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2</w:t>
                  </w:r>
                </w:p>
              </w:tc>
              <w:tc>
                <w:tcPr>
                  <w:tcW w:w="2446" w:type="dxa"/>
                  <w:vAlign w:val="center"/>
                </w:tcPr>
                <w:p w14:paraId="499DDB63">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聚乙烯(PE)</w:t>
                  </w:r>
                </w:p>
              </w:tc>
              <w:tc>
                <w:tcPr>
                  <w:tcW w:w="1760" w:type="dxa"/>
                  <w:vAlign w:val="center"/>
                </w:tcPr>
                <w:p w14:paraId="2ADF69F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1000</w:t>
                  </w:r>
                </w:p>
              </w:tc>
              <w:tc>
                <w:tcPr>
                  <w:tcW w:w="1633" w:type="dxa"/>
                  <w:vAlign w:val="center"/>
                </w:tcPr>
                <w:p w14:paraId="24356D8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2C1A4EA0">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兰州石化</w:t>
                  </w:r>
                </w:p>
              </w:tc>
            </w:tr>
            <w:tr w14:paraId="7B8545D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5E50123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3</w:t>
                  </w:r>
                </w:p>
              </w:tc>
              <w:tc>
                <w:tcPr>
                  <w:tcW w:w="2446" w:type="dxa"/>
                  <w:vAlign w:val="center"/>
                </w:tcPr>
                <w:p w14:paraId="6C624EE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色母粒</w:t>
                  </w:r>
                </w:p>
              </w:tc>
              <w:tc>
                <w:tcPr>
                  <w:tcW w:w="1760" w:type="dxa"/>
                  <w:vAlign w:val="center"/>
                </w:tcPr>
                <w:p w14:paraId="2078F149">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60</w:t>
                  </w:r>
                </w:p>
              </w:tc>
              <w:tc>
                <w:tcPr>
                  <w:tcW w:w="1633" w:type="dxa"/>
                  <w:vAlign w:val="center"/>
                </w:tcPr>
                <w:p w14:paraId="2EAA59C7">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t/a</w:t>
                  </w:r>
                </w:p>
              </w:tc>
              <w:tc>
                <w:tcPr>
                  <w:tcW w:w="1779" w:type="dxa"/>
                  <w:vAlign w:val="center"/>
                </w:tcPr>
                <w:p w14:paraId="4E85D62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r>
            <w:tr w14:paraId="7D161698">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2C388FE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4</w:t>
                  </w:r>
                </w:p>
              </w:tc>
              <w:tc>
                <w:tcPr>
                  <w:tcW w:w="2446" w:type="dxa"/>
                  <w:vAlign w:val="center"/>
                </w:tcPr>
                <w:p w14:paraId="17D537B4">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润滑油</w:t>
                  </w:r>
                </w:p>
              </w:tc>
              <w:tc>
                <w:tcPr>
                  <w:tcW w:w="1760" w:type="dxa"/>
                  <w:vAlign w:val="center"/>
                </w:tcPr>
                <w:p w14:paraId="357BE39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bCs/>
                      <w:color w:val="auto"/>
                      <w:lang w:val="en-US" w:eastAsia="zh-CN"/>
                    </w:rPr>
                    <w:t>0.2</w:t>
                  </w:r>
                </w:p>
              </w:tc>
              <w:tc>
                <w:tcPr>
                  <w:tcW w:w="1633" w:type="dxa"/>
                  <w:vAlign w:val="center"/>
                </w:tcPr>
                <w:p w14:paraId="5939B19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bCs/>
                      <w:color w:val="auto"/>
                      <w:lang w:val="en-US" w:eastAsia="zh-CN"/>
                    </w:rPr>
                    <w:t>t/a</w:t>
                  </w:r>
                </w:p>
              </w:tc>
              <w:tc>
                <w:tcPr>
                  <w:tcW w:w="1779" w:type="dxa"/>
                  <w:shd w:val="clear" w:color="auto" w:fill="auto"/>
                  <w:vAlign w:val="center"/>
                </w:tcPr>
                <w:p w14:paraId="2E1FF26B">
                  <w:pPr>
                    <w:keepNext w:val="0"/>
                    <w:keepLines w:val="0"/>
                    <w:pageBreakBefore w:val="0"/>
                    <w:kinsoku/>
                    <w:wordWrap/>
                    <w:topLinePunct w:val="0"/>
                    <w:autoSpaceDE/>
                    <w:autoSpaceDN/>
                    <w:bidi w:val="0"/>
                    <w:adjustRightInd/>
                    <w:spacing w:line="360" w:lineRule="exact"/>
                    <w:jc w:val="center"/>
                    <w:textAlignment w:val="auto"/>
                    <w:rPr>
                      <w:rFonts w:hint="default" w:ascii="Times New Roman" w:hAnsi="Times New Roman" w:eastAsia="宋体" w:cs="Times New Roman"/>
                      <w:bCs/>
                      <w:color w:val="auto"/>
                      <w:kern w:val="2"/>
                      <w:sz w:val="21"/>
                      <w:szCs w:val="24"/>
                      <w:lang w:val="en-US" w:eastAsia="zh-CN" w:bidi="ar-SA"/>
                    </w:rPr>
                  </w:pPr>
                  <w:r>
                    <w:rPr>
                      <w:rFonts w:hint="eastAsia" w:ascii="Times New Roman" w:hAnsi="Times New Roman" w:cs="Times New Roman" w:eastAsiaTheme="minorEastAsia"/>
                      <w:sz w:val="21"/>
                      <w:szCs w:val="21"/>
                      <w:highlight w:val="none"/>
                      <w:lang w:val="en-US" w:eastAsia="zh-CN"/>
                    </w:rPr>
                    <w:t>200L/桶、铁桶，用于设备维护，最大存贮量0.2t</w:t>
                  </w:r>
                  <w:r>
                    <w:rPr>
                      <w:rFonts w:hint="eastAsia"/>
                      <w:bCs/>
                      <w:color w:val="auto"/>
                      <w:lang w:val="en-US" w:eastAsia="zh-CN"/>
                    </w:rPr>
                    <w:t xml:space="preserve"> </w:t>
                  </w:r>
                </w:p>
              </w:tc>
            </w:tr>
            <w:tr w14:paraId="43C1236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5262587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5</w:t>
                  </w:r>
                </w:p>
              </w:tc>
              <w:tc>
                <w:tcPr>
                  <w:tcW w:w="2446" w:type="dxa"/>
                  <w:vAlign w:val="center"/>
                </w:tcPr>
                <w:p w14:paraId="7F97EAF1">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水</w:t>
                  </w:r>
                </w:p>
              </w:tc>
              <w:tc>
                <w:tcPr>
                  <w:tcW w:w="1760" w:type="dxa"/>
                  <w:vAlign w:val="center"/>
                </w:tcPr>
                <w:p w14:paraId="523D4A1F">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bCs/>
                      <w:color w:val="auto"/>
                      <w:highlight w:val="none"/>
                      <w:lang w:val="en-US" w:eastAsia="zh-CN"/>
                    </w:rPr>
                  </w:pPr>
                  <w:r>
                    <w:rPr>
                      <w:rFonts w:hint="eastAsia"/>
                      <w:bCs/>
                      <w:color w:val="auto"/>
                      <w:highlight w:val="none"/>
                      <w:lang w:val="en-US" w:eastAsia="zh-CN"/>
                    </w:rPr>
                    <w:t>620</w:t>
                  </w:r>
                </w:p>
              </w:tc>
              <w:tc>
                <w:tcPr>
                  <w:tcW w:w="1633" w:type="dxa"/>
                  <w:vAlign w:val="center"/>
                </w:tcPr>
                <w:p w14:paraId="153702E6">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bCs/>
                      <w:color w:val="auto"/>
                      <w:highlight w:val="none"/>
                      <w:lang w:val="en-US" w:eastAsia="zh-CN"/>
                    </w:rPr>
                  </w:pPr>
                  <w:r>
                    <w:rPr>
                      <w:rFonts w:hint="eastAsia"/>
                      <w:bCs/>
                      <w:color w:val="auto"/>
                      <w:highlight w:val="none"/>
                      <w:lang w:val="en-US" w:eastAsia="zh-CN"/>
                    </w:rPr>
                    <w:t>t/a</w:t>
                  </w:r>
                </w:p>
              </w:tc>
              <w:tc>
                <w:tcPr>
                  <w:tcW w:w="1779" w:type="dxa"/>
                  <w:shd w:val="clear" w:color="auto" w:fill="auto"/>
                  <w:vAlign w:val="center"/>
                </w:tcPr>
                <w:p w14:paraId="2D5138A8">
                  <w:pPr>
                    <w:keepNext w:val="0"/>
                    <w:keepLines w:val="0"/>
                    <w:pageBreakBefore w:val="0"/>
                    <w:kinsoku/>
                    <w:wordWrap/>
                    <w:topLinePunct w:val="0"/>
                    <w:autoSpaceDE/>
                    <w:autoSpaceDN/>
                    <w:bidi w:val="0"/>
                    <w:adjustRightInd/>
                    <w:spacing w:line="360" w:lineRule="exact"/>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auto"/>
                      <w:sz w:val="21"/>
                      <w:szCs w:val="21"/>
                      <w:lang w:val="en-US" w:eastAsia="zh-CN"/>
                    </w:rPr>
                    <w:t>市政</w:t>
                  </w:r>
                  <w:r>
                    <w:rPr>
                      <w:rFonts w:hint="eastAsia" w:ascii="Times New Roman" w:hAnsi="Times New Roman" w:cs="Times New Roman"/>
                      <w:color w:val="auto"/>
                      <w:sz w:val="21"/>
                      <w:szCs w:val="21"/>
                    </w:rPr>
                    <w:t>供水管网</w:t>
                  </w:r>
                </w:p>
              </w:tc>
            </w:tr>
            <w:tr w14:paraId="4644E4DD">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7B7EE7E2">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6</w:t>
                  </w:r>
                </w:p>
              </w:tc>
              <w:tc>
                <w:tcPr>
                  <w:tcW w:w="2446" w:type="dxa"/>
                  <w:vAlign w:val="center"/>
                </w:tcPr>
                <w:p w14:paraId="49A1C77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电</w:t>
                  </w:r>
                </w:p>
              </w:tc>
              <w:tc>
                <w:tcPr>
                  <w:tcW w:w="1760" w:type="dxa"/>
                  <w:vAlign w:val="center"/>
                </w:tcPr>
                <w:p w14:paraId="6FF284CE">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bCs/>
                      <w:color w:val="auto"/>
                      <w:highlight w:val="none"/>
                      <w:lang w:val="en-US" w:eastAsia="zh-CN"/>
                    </w:rPr>
                  </w:pPr>
                  <w:r>
                    <w:rPr>
                      <w:rFonts w:hint="eastAsia"/>
                      <w:bCs/>
                      <w:color w:val="auto"/>
                      <w:highlight w:val="none"/>
                      <w:lang w:val="en-US" w:eastAsia="zh-CN"/>
                    </w:rPr>
                    <w:t>10</w:t>
                  </w:r>
                </w:p>
              </w:tc>
              <w:tc>
                <w:tcPr>
                  <w:tcW w:w="1633" w:type="dxa"/>
                  <w:vAlign w:val="center"/>
                </w:tcPr>
                <w:p w14:paraId="65F02005">
                  <w:pPr>
                    <w:keepNext w:val="0"/>
                    <w:keepLines w:val="0"/>
                    <w:pageBreakBefore w:val="0"/>
                    <w:kinsoku/>
                    <w:wordWrap/>
                    <w:topLinePunct w:val="0"/>
                    <w:autoSpaceDE/>
                    <w:autoSpaceDN/>
                    <w:bidi w:val="0"/>
                    <w:adjustRightInd/>
                    <w:snapToGrid w:val="0"/>
                    <w:spacing w:line="360" w:lineRule="exact"/>
                    <w:jc w:val="center"/>
                    <w:textAlignment w:val="auto"/>
                    <w:rPr>
                      <w:rFonts w:hint="eastAsia"/>
                      <w:bCs/>
                      <w:color w:val="auto"/>
                      <w:highlight w:val="none"/>
                      <w:lang w:val="en-US" w:eastAsia="zh-CN"/>
                    </w:rPr>
                  </w:pPr>
                  <w:r>
                    <w:rPr>
                      <w:rFonts w:hint="eastAsia" w:ascii="Times New Roman" w:hAnsi="Times New Roman"/>
                      <w:color w:val="auto"/>
                      <w:szCs w:val="21"/>
                      <w:highlight w:val="none"/>
                    </w:rPr>
                    <w:t>万</w:t>
                  </w:r>
                  <w:r>
                    <w:rPr>
                      <w:rFonts w:ascii="Times New Roman" w:hAnsi="Times New Roman"/>
                      <w:color w:val="auto"/>
                      <w:szCs w:val="21"/>
                      <w:highlight w:val="none"/>
                    </w:rPr>
                    <w:t>kWh/a</w:t>
                  </w:r>
                </w:p>
              </w:tc>
              <w:tc>
                <w:tcPr>
                  <w:tcW w:w="1779" w:type="dxa"/>
                  <w:shd w:val="clear" w:color="auto" w:fill="auto"/>
                  <w:vAlign w:val="center"/>
                </w:tcPr>
                <w:p w14:paraId="5281CFEF">
                  <w:pPr>
                    <w:pStyle w:val="36"/>
                    <w:keepNext w:val="0"/>
                    <w:keepLines w:val="0"/>
                    <w:pageBreakBefore w:val="0"/>
                    <w:kinsoku/>
                    <w:wordWrap/>
                    <w:overflowPunct w:val="0"/>
                    <w:topLinePunct w:val="0"/>
                    <w:autoSpaceDE/>
                    <w:autoSpaceDN/>
                    <w:bidi w:val="0"/>
                    <w:adjustRightInd/>
                    <w:spacing w:line="360" w:lineRule="exact"/>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auto"/>
                      <w:sz w:val="21"/>
                      <w:szCs w:val="21"/>
                      <w:lang w:val="en-US" w:eastAsia="zh-CN"/>
                    </w:rPr>
                    <w:t>市政</w:t>
                  </w:r>
                  <w:r>
                    <w:rPr>
                      <w:rFonts w:hint="eastAsia" w:ascii="Times New Roman" w:hAnsi="Times New Roman" w:cs="Times New Roman"/>
                      <w:color w:val="auto"/>
                      <w:sz w:val="21"/>
                      <w:szCs w:val="21"/>
                    </w:rPr>
                    <w:t>供电管网</w:t>
                  </w:r>
                </w:p>
              </w:tc>
            </w:tr>
            <w:tr w14:paraId="3C683CED">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46" w:type="dxa"/>
                  <w:vAlign w:val="center"/>
                </w:tcPr>
                <w:p w14:paraId="5559460C">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7</w:t>
                  </w:r>
                </w:p>
              </w:tc>
              <w:tc>
                <w:tcPr>
                  <w:tcW w:w="2446" w:type="dxa"/>
                  <w:vAlign w:val="center"/>
                </w:tcPr>
                <w:p w14:paraId="5A66BCE6">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活性炭</w:t>
                  </w:r>
                </w:p>
              </w:tc>
              <w:tc>
                <w:tcPr>
                  <w:tcW w:w="1760" w:type="dxa"/>
                  <w:vAlign w:val="center"/>
                </w:tcPr>
                <w:p w14:paraId="7C8DE35B">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bCs/>
                      <w:color w:val="auto"/>
                      <w:highlight w:val="none"/>
                      <w:lang w:val="en-US" w:eastAsia="zh-CN"/>
                    </w:rPr>
                  </w:pPr>
                  <w:r>
                    <w:rPr>
                      <w:rFonts w:hint="eastAsia"/>
                      <w:bCs/>
                      <w:color w:val="auto"/>
                      <w:highlight w:val="none"/>
                      <w:lang w:val="en-US" w:eastAsia="zh-CN"/>
                    </w:rPr>
                    <w:t>2.888</w:t>
                  </w:r>
                </w:p>
              </w:tc>
              <w:tc>
                <w:tcPr>
                  <w:tcW w:w="1633" w:type="dxa"/>
                  <w:vAlign w:val="center"/>
                </w:tcPr>
                <w:p w14:paraId="094149B0">
                  <w:pPr>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bCs/>
                      <w:color w:val="auto"/>
                      <w:highlight w:val="none"/>
                      <w:lang w:val="en-US" w:eastAsia="zh-CN"/>
                    </w:rPr>
                  </w:pPr>
                  <w:r>
                    <w:rPr>
                      <w:rFonts w:hint="eastAsia"/>
                      <w:bCs/>
                      <w:color w:val="auto"/>
                      <w:highlight w:val="none"/>
                      <w:lang w:val="en-US" w:eastAsia="zh-CN"/>
                    </w:rPr>
                    <w:t>t/a</w:t>
                  </w:r>
                </w:p>
              </w:tc>
              <w:tc>
                <w:tcPr>
                  <w:tcW w:w="1779" w:type="dxa"/>
                  <w:shd w:val="clear" w:color="auto" w:fill="auto"/>
                  <w:vAlign w:val="center"/>
                </w:tcPr>
                <w:p w14:paraId="6F269D46">
                  <w:pPr>
                    <w:keepNext w:val="0"/>
                    <w:keepLines w:val="0"/>
                    <w:pageBreakBefore w:val="0"/>
                    <w:kinsoku/>
                    <w:wordWrap/>
                    <w:topLinePunct w:val="0"/>
                    <w:autoSpaceDE/>
                    <w:autoSpaceDN/>
                    <w:bidi w:val="0"/>
                    <w:adjustRightInd/>
                    <w:spacing w:line="360" w:lineRule="exact"/>
                    <w:jc w:val="center"/>
                    <w:textAlignment w:val="auto"/>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r>
          </w:tbl>
          <w:p w14:paraId="2AD85812">
            <w:pPr>
              <w:keepNext w:val="0"/>
              <w:keepLines w:val="0"/>
              <w:pageBreakBefore w:val="0"/>
              <w:widowControl w:val="0"/>
              <w:kinsoku/>
              <w:wordWrap/>
              <w:overflowPunct/>
              <w:topLinePunct w:val="0"/>
              <w:autoSpaceDE/>
              <w:autoSpaceDN/>
              <w:bidi w:val="0"/>
              <w:adjustRightInd w:val="0"/>
              <w:snapToGrid w:val="0"/>
              <w:spacing w:before="120" w:line="360" w:lineRule="auto"/>
              <w:ind w:firstLine="480" w:firstLineChars="200"/>
              <w:jc w:val="left"/>
              <w:textAlignment w:val="auto"/>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bCs/>
                <w:color w:val="auto"/>
                <w:sz w:val="24"/>
                <w:highlight w:val="none"/>
              </w:rPr>
              <w:t>主要原辅材料理化性质见表</w:t>
            </w:r>
            <w:r>
              <w:rPr>
                <w:rFonts w:hint="default" w:ascii="Times New Roman" w:hAnsi="Times New Roman" w:eastAsia="宋体" w:cs="Times New Roman"/>
                <w:bCs/>
                <w:color w:val="auto"/>
                <w:sz w:val="24"/>
                <w:highlight w:val="none"/>
                <w:lang w:val="en-US" w:eastAsia="zh-CN"/>
              </w:rPr>
              <w:t>2-</w:t>
            </w:r>
            <w:r>
              <w:rPr>
                <w:rFonts w:hint="eastAsia" w:cs="Times New Roman"/>
                <w:bCs/>
                <w:color w:val="auto"/>
                <w:sz w:val="24"/>
                <w:highlight w:val="none"/>
                <w:lang w:val="en-US" w:eastAsia="zh-CN"/>
              </w:rPr>
              <w:t>5</w:t>
            </w:r>
            <w:r>
              <w:rPr>
                <w:rFonts w:hint="default" w:ascii="Times New Roman" w:hAnsi="Times New Roman" w:eastAsia="宋体" w:cs="Times New Roman"/>
                <w:bCs/>
                <w:color w:val="auto"/>
                <w:sz w:val="24"/>
                <w:highlight w:val="none"/>
                <w:lang w:eastAsia="zh-CN"/>
              </w:rPr>
              <w:t>。</w:t>
            </w:r>
          </w:p>
          <w:p w14:paraId="02D0707E">
            <w:pPr>
              <w:adjustRightInd w:val="0"/>
              <w:snapToGrid w:val="0"/>
              <w:spacing w:line="360" w:lineRule="auto"/>
              <w:ind w:firstLine="422" w:firstLineChars="200"/>
              <w:jc w:val="center"/>
              <w:rPr>
                <w:rFonts w:hint="default" w:ascii="Times New Roman" w:hAnsi="Times New Roman" w:cs="Times New Roman" w:eastAsiaTheme="majorEastAsia"/>
                <w:b/>
                <w:snapToGrid w:val="0"/>
                <w:color w:val="auto"/>
                <w:kern w:val="0"/>
                <w:sz w:val="24"/>
                <w:szCs w:val="24"/>
                <w:highlight w:val="none"/>
              </w:rPr>
            </w:pPr>
            <w:r>
              <w:rPr>
                <w:rFonts w:hint="default" w:ascii="Times New Roman" w:hAnsi="Times New Roman" w:cs="Times New Roman" w:eastAsiaTheme="majorEastAsia"/>
                <w:b/>
                <w:color w:val="auto"/>
                <w:sz w:val="21"/>
                <w:szCs w:val="21"/>
                <w:highlight w:val="none"/>
              </w:rPr>
              <w:t>表</w:t>
            </w:r>
            <w:r>
              <w:rPr>
                <w:rFonts w:hint="default" w:ascii="Times New Roman" w:hAnsi="Times New Roman" w:cs="Times New Roman" w:eastAsiaTheme="majorEastAsia"/>
                <w:b/>
                <w:color w:val="auto"/>
                <w:sz w:val="21"/>
                <w:szCs w:val="21"/>
                <w:highlight w:val="none"/>
                <w:lang w:val="en-US" w:eastAsia="zh-CN"/>
              </w:rPr>
              <w:t>2-5</w:t>
            </w:r>
            <w:r>
              <w:rPr>
                <w:rFonts w:hint="default" w:ascii="Times New Roman" w:hAnsi="Times New Roman" w:cs="Times New Roman" w:eastAsiaTheme="majorEastAsia"/>
                <w:b/>
                <w:color w:val="auto"/>
                <w:sz w:val="21"/>
                <w:szCs w:val="21"/>
                <w:highlight w:val="none"/>
              </w:rPr>
              <w:t xml:space="preserve">  原辅材料理化性质</w:t>
            </w:r>
          </w:p>
          <w:tbl>
            <w:tblPr>
              <w:tblStyle w:val="25"/>
              <w:tblW w:w="4966"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136"/>
              <w:gridCol w:w="6517"/>
            </w:tblGrid>
            <w:tr w14:paraId="799276AE">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 w:type="pct"/>
                  <w:tcBorders>
                    <w:tl2br w:val="nil"/>
                    <w:tr2bl w:val="nil"/>
                  </w:tcBorders>
                  <w:noWrap w:val="0"/>
                  <w:vAlign w:val="center"/>
                </w:tcPr>
                <w:p w14:paraId="0F80D420">
                  <w:pPr>
                    <w:jc w:val="center"/>
                    <w:rPr>
                      <w:rFonts w:hint="default"/>
                      <w:b/>
                      <w:bCs/>
                      <w:sz w:val="21"/>
                      <w:szCs w:val="21"/>
                      <w:highlight w:val="none"/>
                      <w:lang w:eastAsia="zh-CN"/>
                    </w:rPr>
                  </w:pPr>
                  <w:r>
                    <w:rPr>
                      <w:rFonts w:hint="default"/>
                      <w:b/>
                      <w:bCs/>
                      <w:sz w:val="21"/>
                      <w:szCs w:val="21"/>
                      <w:highlight w:val="none"/>
                      <w:lang w:eastAsia="zh-CN"/>
                    </w:rPr>
                    <w:t>序号</w:t>
                  </w:r>
                </w:p>
              </w:tc>
              <w:tc>
                <w:tcPr>
                  <w:tcW w:w="679" w:type="pct"/>
                  <w:tcBorders>
                    <w:tl2br w:val="nil"/>
                    <w:tr2bl w:val="nil"/>
                  </w:tcBorders>
                  <w:noWrap w:val="0"/>
                  <w:vAlign w:val="center"/>
                </w:tcPr>
                <w:p w14:paraId="3679F0FD">
                  <w:pPr>
                    <w:jc w:val="center"/>
                    <w:rPr>
                      <w:rFonts w:hint="default"/>
                      <w:b/>
                      <w:bCs/>
                      <w:sz w:val="21"/>
                      <w:szCs w:val="21"/>
                      <w:highlight w:val="none"/>
                      <w:lang w:eastAsia="zh-CN"/>
                    </w:rPr>
                  </w:pPr>
                  <w:r>
                    <w:rPr>
                      <w:rFonts w:hint="default"/>
                      <w:b/>
                      <w:bCs/>
                      <w:sz w:val="21"/>
                      <w:szCs w:val="21"/>
                      <w:highlight w:val="none"/>
                      <w:lang w:eastAsia="zh-CN"/>
                    </w:rPr>
                    <w:t>名称</w:t>
                  </w:r>
                </w:p>
              </w:tc>
              <w:tc>
                <w:tcPr>
                  <w:tcW w:w="3897" w:type="pct"/>
                  <w:tcBorders>
                    <w:tl2br w:val="nil"/>
                    <w:tr2bl w:val="nil"/>
                  </w:tcBorders>
                  <w:noWrap w:val="0"/>
                  <w:vAlign w:val="center"/>
                </w:tcPr>
                <w:p w14:paraId="4A474AA9">
                  <w:pPr>
                    <w:jc w:val="center"/>
                    <w:rPr>
                      <w:rFonts w:hint="default"/>
                      <w:b/>
                      <w:bCs/>
                      <w:sz w:val="21"/>
                      <w:szCs w:val="21"/>
                      <w:highlight w:val="none"/>
                      <w:lang w:eastAsia="zh-CN"/>
                    </w:rPr>
                  </w:pPr>
                  <w:r>
                    <w:rPr>
                      <w:rFonts w:hint="default"/>
                      <w:b/>
                      <w:bCs/>
                      <w:sz w:val="21"/>
                      <w:szCs w:val="21"/>
                      <w:highlight w:val="none"/>
                      <w:lang w:eastAsia="zh-CN"/>
                    </w:rPr>
                    <w:t>理化性质</w:t>
                  </w:r>
                </w:p>
              </w:tc>
            </w:tr>
            <w:tr w14:paraId="07426BA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422" w:type="pct"/>
                  <w:tcBorders>
                    <w:tl2br w:val="nil"/>
                    <w:tr2bl w:val="nil"/>
                  </w:tcBorders>
                  <w:noWrap w:val="0"/>
                  <w:vAlign w:val="center"/>
                </w:tcPr>
                <w:p w14:paraId="55547EE9">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rPr>
                    <w:t>1</w:t>
                  </w:r>
                </w:p>
              </w:tc>
              <w:tc>
                <w:tcPr>
                  <w:tcW w:w="679" w:type="pct"/>
                  <w:tcBorders>
                    <w:tl2br w:val="nil"/>
                    <w:tr2bl w:val="nil"/>
                  </w:tcBorders>
                  <w:noWrap w:val="0"/>
                  <w:vAlign w:val="center"/>
                </w:tcPr>
                <w:p w14:paraId="16FCBD5E">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eastAsia="zh-CN"/>
                    </w:rPr>
                    <w:t>聚丙烯</w:t>
                  </w:r>
                </w:p>
              </w:tc>
              <w:tc>
                <w:tcPr>
                  <w:tcW w:w="3897" w:type="pct"/>
                  <w:tcBorders>
                    <w:tl2br w:val="nil"/>
                    <w:tr2bl w:val="nil"/>
                  </w:tcBorders>
                  <w:noWrap w:val="0"/>
                  <w:vAlign w:val="center"/>
                </w:tcPr>
                <w:p w14:paraId="48C0083C">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kern w:val="0"/>
                      <w:sz w:val="21"/>
                      <w:szCs w:val="21"/>
                      <w:highlight w:val="none"/>
                      <w:lang w:val="en-US"/>
                    </w:rPr>
                  </w:pPr>
                  <w:r>
                    <w:rPr>
                      <w:rFonts w:hint="default" w:ascii="Times New Roman" w:hAnsi="Times New Roman" w:cs="Times New Roman" w:eastAsiaTheme="minorEastAsia"/>
                      <w:color w:val="auto"/>
                      <w:sz w:val="21"/>
                      <w:szCs w:val="21"/>
                      <w:highlight w:val="none"/>
                      <w:lang w:eastAsia="zh-CN"/>
                    </w:rPr>
                    <w:t>聚丙烯（PP）是由丙烯单体通过加聚反应制成的半结晶的热塑性聚合物。通常呈白色蜡状固体，无毒、无味，外观透明且质地轻盈。其化学式为(C</w:t>
                  </w:r>
                  <w:r>
                    <w:rPr>
                      <w:rFonts w:hint="default" w:ascii="Times New Roman" w:hAnsi="Times New Roman" w:cs="Times New Roman" w:eastAsiaTheme="minorEastAsia"/>
                      <w:color w:val="auto"/>
                      <w:sz w:val="21"/>
                      <w:szCs w:val="21"/>
                      <w:highlight w:val="none"/>
                      <w:vertAlign w:val="subscript"/>
                      <w:lang w:eastAsia="zh-CN"/>
                    </w:rPr>
                    <w:t>3</w:t>
                  </w:r>
                  <w:r>
                    <w:rPr>
                      <w:rFonts w:hint="default" w:ascii="Times New Roman" w:hAnsi="Times New Roman" w:cs="Times New Roman" w:eastAsiaTheme="minorEastAsia"/>
                      <w:color w:val="auto"/>
                      <w:sz w:val="21"/>
                      <w:szCs w:val="21"/>
                      <w:highlight w:val="none"/>
                      <w:lang w:eastAsia="zh-CN"/>
                    </w:rPr>
                    <w:t>H</w:t>
                  </w:r>
                  <w:r>
                    <w:rPr>
                      <w:rFonts w:hint="default" w:ascii="Times New Roman" w:hAnsi="Times New Roman" w:cs="Times New Roman" w:eastAsiaTheme="minorEastAsia"/>
                      <w:color w:val="auto"/>
                      <w:sz w:val="21"/>
                      <w:szCs w:val="21"/>
                      <w:highlight w:val="none"/>
                      <w:vertAlign w:val="subscript"/>
                      <w:lang w:eastAsia="zh-CN"/>
                    </w:rPr>
                    <w:t>6</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vertAlign w:val="subscript"/>
                      <w:lang w:eastAsia="zh-CN"/>
                    </w:rPr>
                    <w:t>n</w:t>
                  </w:r>
                  <w:r>
                    <w:rPr>
                      <w:rFonts w:hint="default" w:ascii="Times New Roman" w:hAnsi="Times New Roman" w:cs="Times New Roman" w:eastAsiaTheme="minorEastAsia"/>
                      <w:color w:val="auto"/>
                      <w:sz w:val="21"/>
                      <w:szCs w:val="21"/>
                      <w:highlight w:val="none"/>
                      <w:lang w:eastAsia="zh-CN"/>
                    </w:rPr>
                    <w:t>，密度为0.89～0.92g/cm</w:t>
                  </w:r>
                  <w:r>
                    <w:rPr>
                      <w:rFonts w:hint="default" w:ascii="Times New Roman" w:hAnsi="Times New Roman" w:cs="Times New Roman" w:eastAsiaTheme="minorEastAsia"/>
                      <w:color w:val="auto"/>
                      <w:sz w:val="21"/>
                      <w:szCs w:val="21"/>
                      <w:highlight w:val="none"/>
                      <w:vertAlign w:val="superscript"/>
                      <w:lang w:eastAsia="zh-CN"/>
                    </w:rPr>
                    <w:t>3</w:t>
                  </w:r>
                  <w:r>
                    <w:rPr>
                      <w:rFonts w:hint="default" w:ascii="Times New Roman" w:hAnsi="Times New Roman" w:cs="Times New Roman" w:eastAsiaTheme="minorEastAsia"/>
                      <w:color w:val="auto"/>
                      <w:sz w:val="21"/>
                      <w:szCs w:val="21"/>
                      <w:highlight w:val="none"/>
                      <w:lang w:eastAsia="zh-CN"/>
                    </w:rPr>
                    <w:t>，是密度最小的热塑性树脂；熔点为164~176℃，</w:t>
                  </w:r>
                  <w:r>
                    <w:rPr>
                      <w:rFonts w:hint="eastAsia" w:cs="Times New Roman" w:eastAsiaTheme="minorEastAsia"/>
                      <w:color w:val="auto"/>
                      <w:sz w:val="21"/>
                      <w:szCs w:val="21"/>
                      <w:highlight w:val="none"/>
                      <w:lang w:eastAsia="zh-CN"/>
                    </w:rPr>
                    <w:t>分解温度为</w:t>
                  </w:r>
                  <w:r>
                    <w:rPr>
                      <w:rFonts w:hint="eastAsia" w:cs="Times New Roman" w:eastAsiaTheme="minorEastAsia"/>
                      <w:color w:val="auto"/>
                      <w:sz w:val="21"/>
                      <w:szCs w:val="21"/>
                      <w:highlight w:val="none"/>
                      <w:lang w:val="en-US" w:eastAsia="zh-CN"/>
                    </w:rPr>
                    <w:t>300~380</w:t>
                  </w:r>
                  <w:r>
                    <w:rPr>
                      <w:rFonts w:hint="default" w:ascii="Times New Roman" w:hAnsi="Times New Roman" w:cs="Times New Roman" w:eastAsiaTheme="minorEastAsia"/>
                      <w:color w:val="auto"/>
                      <w:sz w:val="21"/>
                      <w:szCs w:val="21"/>
                      <w:highlight w:val="none"/>
                      <w:lang w:eastAsia="zh-CN"/>
                    </w:rPr>
                    <w:t>℃</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在155℃左右软化，使用温度范围为-30～140℃。聚丙烯具有轻巧、耐磨损、抗菌性和易染色等特性，具有良好的绝缘性能；具有良好的化学稳定性、耐热性、透明度和机械性能；具有良好的耐腐蚀性、耐候性和可塑性</w:t>
                  </w:r>
                  <w:r>
                    <w:rPr>
                      <w:rFonts w:hint="default" w:ascii="Times New Roman" w:hAnsi="Times New Roman" w:cs="Times New Roman" w:eastAsiaTheme="minorEastAsia"/>
                      <w:color w:val="auto"/>
                      <w:sz w:val="21"/>
                      <w:szCs w:val="21"/>
                      <w:highlight w:val="none"/>
                      <w:shd w:val="clear" w:color="auto" w:fill="FFFFFF"/>
                    </w:rPr>
                    <w:t>。</w:t>
                  </w:r>
                </w:p>
              </w:tc>
            </w:tr>
            <w:tr w14:paraId="4D826781">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422" w:type="pct"/>
                  <w:tcBorders>
                    <w:tl2br w:val="nil"/>
                    <w:tr2bl w:val="nil"/>
                  </w:tcBorders>
                  <w:noWrap w:val="0"/>
                  <w:vAlign w:val="center"/>
                </w:tcPr>
                <w:p w14:paraId="2DD2E264">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lang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2</w:t>
                  </w:r>
                </w:p>
              </w:tc>
              <w:tc>
                <w:tcPr>
                  <w:tcW w:w="679" w:type="pct"/>
                  <w:tcBorders>
                    <w:tl2br w:val="nil"/>
                    <w:tr2bl w:val="nil"/>
                  </w:tcBorders>
                  <w:noWrap w:val="0"/>
                  <w:vAlign w:val="center"/>
                </w:tcPr>
                <w:p w14:paraId="633768D5">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聚乙烯</w:t>
                  </w:r>
                </w:p>
              </w:tc>
              <w:tc>
                <w:tcPr>
                  <w:tcW w:w="3897" w:type="pct"/>
                  <w:tcBorders>
                    <w:tl2br w:val="nil"/>
                    <w:tr2bl w:val="nil"/>
                  </w:tcBorders>
                  <w:noWrap w:val="0"/>
                  <w:vAlign w:val="center"/>
                </w:tcPr>
                <w:p w14:paraId="7577F4F5">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kern w:val="0"/>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聚乙烯（polyethylene ，简称PE）是乙烯经聚合制得的一种热塑性树脂</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在工业上，也包括乙烯与少量α-烯烃的共聚物</w:t>
                  </w:r>
                  <w:r>
                    <w:rPr>
                      <w:rFonts w:hint="eastAsia"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无臭，无毒，手感似蜡，具有优良的耐低温性能（最低使用温度可达-100~-70°C），化学稳定性好，因聚合物分子内通过碳-碳单键相连，能耐大多数酸碱的侵蚀（不耐具有氧化性质的酸）</w:t>
                  </w:r>
                  <w:r>
                    <w:rPr>
                      <w:rFonts w:hint="eastAsia"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常温下不溶于一般溶剂</w:t>
                  </w:r>
                  <w:r>
                    <w:rPr>
                      <w:rFonts w:hint="eastAsia"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聚乙烯的分解温度为‌300-400℃‌</w:t>
                  </w:r>
                  <w:r>
                    <w:rPr>
                      <w:rFonts w:hint="eastAsia"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eastAsia="zh-CN"/>
                    </w:rPr>
                    <w:t>软化温度为‌125-135℃‌。</w:t>
                  </w:r>
                  <w:r>
                    <w:rPr>
                      <w:rFonts w:hint="eastAsia" w:cs="Times New Roman" w:eastAsiaTheme="minorEastAsia"/>
                      <w:color w:val="auto"/>
                      <w:sz w:val="21"/>
                      <w:szCs w:val="21"/>
                      <w:highlight w:val="none"/>
                      <w:lang w:eastAsia="zh-CN"/>
                    </w:rPr>
                    <w:t>聚乙烯</w:t>
                  </w:r>
                  <w:r>
                    <w:rPr>
                      <w:rFonts w:hint="default" w:ascii="Times New Roman" w:hAnsi="Times New Roman" w:cs="Times New Roman" w:eastAsiaTheme="minorEastAsia"/>
                      <w:color w:val="auto"/>
                      <w:sz w:val="21"/>
                      <w:szCs w:val="21"/>
                      <w:highlight w:val="none"/>
                      <w:lang w:eastAsia="zh-CN"/>
                    </w:rPr>
                    <w:t>吸水性小，电绝缘性优良。</w:t>
                  </w:r>
                </w:p>
              </w:tc>
            </w:tr>
            <w:tr w14:paraId="14BAF784">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180" w:hRule="atLeast"/>
                <w:jc w:val="center"/>
              </w:trPr>
              <w:tc>
                <w:tcPr>
                  <w:tcW w:w="422" w:type="pct"/>
                  <w:tcBorders>
                    <w:tl2br w:val="nil"/>
                    <w:tr2bl w:val="nil"/>
                  </w:tcBorders>
                  <w:noWrap w:val="0"/>
                  <w:vAlign w:val="center"/>
                </w:tcPr>
                <w:p w14:paraId="7A54FBA2">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eastAsia"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3</w:t>
                  </w:r>
                </w:p>
              </w:tc>
              <w:tc>
                <w:tcPr>
                  <w:tcW w:w="679" w:type="pct"/>
                  <w:tcBorders>
                    <w:tl2br w:val="nil"/>
                    <w:tr2bl w:val="nil"/>
                  </w:tcBorders>
                  <w:noWrap w:val="0"/>
                  <w:vAlign w:val="center"/>
                </w:tcPr>
                <w:p w14:paraId="7B3BA3F6">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色母粒</w:t>
                  </w:r>
                </w:p>
              </w:tc>
              <w:tc>
                <w:tcPr>
                  <w:tcW w:w="3897" w:type="pct"/>
                  <w:tcBorders>
                    <w:tl2br w:val="nil"/>
                    <w:tr2bl w:val="nil"/>
                  </w:tcBorders>
                  <w:noWrap w:val="0"/>
                  <w:vAlign w:val="center"/>
                </w:tcPr>
                <w:p w14:paraId="37F614AB">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"https://baike.baidu.com/item/%E8%89%B2%E6%AF%8D%E7%B2%92/735898?fromModule=lemma_inlink"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色母粒</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，也叫</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"https://baike.baidu.com/item/%E8%89%B2%E7%A7%8D/917214?fromModule=lemma_inlink"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色种</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，是一种新型高分子</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"https://baike.baidu.com/item/%E6%9D%90%E6%96%99/0?fromModule=lemma_inlink"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材料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专用</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"https://baike.baidu.com/item/%E7%9D%80%E8%89%B2%E5%89%82/2531263?fromModule=lemma_inlink"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着色剂</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，亦称颜料制备物（Pigment Preparation）。色母主要用在塑料上。色母由</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颜料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或</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"https://baike.baidu.com/item/%E6%9F%93%E6%96%99/1145782?fromModule=lemma_inlink"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染料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、载体和</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"https://baike.baidu.com/item/%E6%B7%BB%E5%8A%A0%E5%89%82/5134870?fromModule=lemma_inlink"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添加剂</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三种基本</w:t>
                  </w:r>
                  <w:r>
                    <w:rPr>
                      <w:rFonts w:hint="eastAsia" w:asciiTheme="minorEastAsia" w:hAnsiTheme="minorEastAsia" w:eastAsiaTheme="minorEastAsia" w:cstheme="minorEastAsia"/>
                      <w:color w:val="auto"/>
                      <w:sz w:val="21"/>
                      <w:szCs w:val="21"/>
                      <w:highlight w:val="none"/>
                      <w:lang w:eastAsia="zh-CN"/>
                    </w:rPr>
                    <w:t>要素所组成，是把超常量的</w:t>
                  </w:r>
                  <w:r>
                    <w:rPr>
                      <w:rFonts w:hint="eastAsia" w:asciiTheme="minorEastAsia" w:hAnsiTheme="minorEastAsia" w:eastAsiaTheme="minorEastAsia" w:cstheme="minorEastAsia"/>
                      <w:color w:val="auto"/>
                      <w:sz w:val="21"/>
                      <w:szCs w:val="21"/>
                      <w:highlight w:val="none"/>
                      <w:lang w:eastAsia="zh-CN"/>
                    </w:rPr>
                    <w:fldChar w:fldCharType="begin"/>
                  </w:r>
                  <w:r>
                    <w:rPr>
                      <w:rFonts w:hint="eastAsia" w:asciiTheme="minorEastAsia" w:hAnsiTheme="minorEastAsia" w:eastAsiaTheme="minorEastAsia" w:cs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eastAsia" w:asciiTheme="minorEastAsia" w:hAnsiTheme="minorEastAsia" w:eastAsiaTheme="minorEastAsia" w:cstheme="minorEastAsia"/>
                      <w:color w:val="auto"/>
                      <w:sz w:val="21"/>
                      <w:szCs w:val="21"/>
                      <w:highlight w:val="none"/>
                      <w:lang w:eastAsia="zh-CN"/>
                    </w:rPr>
                    <w:fldChar w:fldCharType="separate"/>
                  </w:r>
                  <w:r>
                    <w:rPr>
                      <w:rFonts w:hint="eastAsia" w:asciiTheme="minorEastAsia" w:hAnsiTheme="minorEastAsia" w:eastAsiaTheme="minorEastAsia" w:cstheme="minorEastAsia"/>
                      <w:color w:val="auto"/>
                      <w:sz w:val="21"/>
                      <w:szCs w:val="21"/>
                      <w:highlight w:val="none"/>
                      <w:lang w:eastAsia="zh-CN"/>
                    </w:rPr>
                    <w:t>颜料</w:t>
                  </w:r>
                  <w:r>
                    <w:rPr>
                      <w:rFonts w:hint="eastAsia" w:asciiTheme="minorEastAsia" w:hAnsiTheme="minorEastAsia" w:eastAsiaTheme="minorEastAsia" w:cstheme="minorEastAsia"/>
                      <w:color w:val="auto"/>
                      <w:sz w:val="21"/>
                      <w:szCs w:val="21"/>
                      <w:highlight w:val="none"/>
                      <w:lang w:eastAsia="zh-CN"/>
                    </w:rPr>
                    <w:fldChar w:fldCharType="end"/>
                  </w:r>
                  <w:r>
                    <w:rPr>
                      <w:rFonts w:hint="eastAsia" w:asciiTheme="minorEastAsia" w:hAnsiTheme="minorEastAsia" w:eastAsiaTheme="minorEastAsia" w:cstheme="minorEastAsia"/>
                      <w:color w:val="auto"/>
                      <w:sz w:val="21"/>
                      <w:szCs w:val="21"/>
                      <w:highlight w:val="none"/>
                      <w:lang w:eastAsia="zh-CN"/>
                    </w:rPr>
                    <w:t>均匀载附于</w:t>
                  </w:r>
                  <w:r>
                    <w:rPr>
                      <w:rFonts w:hint="eastAsia" w:asciiTheme="minorEastAsia" w:hAnsiTheme="minorEastAsia" w:eastAsiaTheme="minorEastAsia" w:cstheme="minorEastAsia"/>
                      <w:color w:val="auto"/>
                      <w:sz w:val="21"/>
                      <w:szCs w:val="21"/>
                      <w:highlight w:val="none"/>
                      <w:lang w:eastAsia="zh-CN"/>
                    </w:rPr>
                    <w:fldChar w:fldCharType="begin"/>
                  </w:r>
                  <w:r>
                    <w:rPr>
                      <w:rFonts w:hint="eastAsia" w:asciiTheme="minorEastAsia" w:hAnsiTheme="minorEastAsia" w:eastAsiaTheme="minorEastAsia" w:cstheme="minorEastAsia"/>
                      <w:color w:val="auto"/>
                      <w:sz w:val="21"/>
                      <w:szCs w:val="21"/>
                      <w:highlight w:val="none"/>
                      <w:lang w:eastAsia="zh-CN"/>
                    </w:rPr>
                    <w:instrText xml:space="preserve"> HYPERLINK "https://baike.baidu.com/item/%E6%A0%91%E8%84%82/281282?fromModule=lemma_inlink" \t "https://baike.baidu.com/item/%E8%89%B2%E6%AF%8D/_blank" </w:instrText>
                  </w:r>
                  <w:r>
                    <w:rPr>
                      <w:rFonts w:hint="eastAsia" w:asciiTheme="minorEastAsia" w:hAnsiTheme="minorEastAsia" w:eastAsiaTheme="minorEastAsia" w:cstheme="minorEastAsia"/>
                      <w:color w:val="auto"/>
                      <w:sz w:val="21"/>
                      <w:szCs w:val="21"/>
                      <w:highlight w:val="none"/>
                      <w:lang w:eastAsia="zh-CN"/>
                    </w:rPr>
                    <w:fldChar w:fldCharType="separate"/>
                  </w:r>
                  <w:r>
                    <w:rPr>
                      <w:rFonts w:hint="eastAsia" w:asciiTheme="minorEastAsia" w:hAnsiTheme="minorEastAsia" w:eastAsiaTheme="minorEastAsia" w:cstheme="minorEastAsia"/>
                      <w:color w:val="auto"/>
                      <w:sz w:val="21"/>
                      <w:szCs w:val="21"/>
                      <w:highlight w:val="none"/>
                      <w:lang w:eastAsia="zh-CN"/>
                    </w:rPr>
                    <w:t>树脂</w:t>
                  </w:r>
                  <w:r>
                    <w:rPr>
                      <w:rFonts w:hint="eastAsia" w:asciiTheme="minorEastAsia" w:hAnsiTheme="minorEastAsia" w:eastAsiaTheme="minorEastAsia" w:cstheme="minorEastAsia"/>
                      <w:color w:val="auto"/>
                      <w:sz w:val="21"/>
                      <w:szCs w:val="21"/>
                      <w:highlight w:val="none"/>
                      <w:lang w:eastAsia="zh-CN"/>
                    </w:rPr>
                    <w:fldChar w:fldCharType="end"/>
                  </w:r>
                  <w:r>
                    <w:rPr>
                      <w:rFonts w:hint="eastAsia" w:asciiTheme="minorEastAsia" w:hAnsiTheme="minorEastAsia" w:eastAsiaTheme="minorEastAsia" w:cstheme="minorEastAsia"/>
                      <w:color w:val="auto"/>
                      <w:sz w:val="21"/>
                      <w:szCs w:val="21"/>
                      <w:highlight w:val="none"/>
                      <w:lang w:eastAsia="zh-CN"/>
                    </w:rPr>
                    <w:t>之中而制得的聚集</w:t>
                  </w:r>
                  <w:r>
                    <w:rPr>
                      <w:rFonts w:hint="default" w:ascii="Times New Roman" w:hAnsi="Times New Roman" w:cs="Times New Roman" w:eastAsiaTheme="minorEastAsia"/>
                      <w:color w:val="auto"/>
                      <w:sz w:val="21"/>
                      <w:szCs w:val="21"/>
                      <w:highlight w:val="none"/>
                      <w:lang w:eastAsia="zh-CN"/>
                    </w:rPr>
                    <w:t>体，可称颜料浓缩物（Pigment</w:t>
                  </w:r>
                  <w:r>
                    <w:rPr>
                      <w:rFonts w:hint="eastAsia" w:cs="Times New Roman" w:eastAsiaTheme="minorEastAsia"/>
                      <w:color w:val="auto"/>
                      <w:sz w:val="21"/>
                      <w:szCs w:val="21"/>
                      <w:highlight w:val="none"/>
                      <w:lang w:val="en-US" w:eastAsia="zh-CN"/>
                    </w:rPr>
                    <w:t xml:space="preserve"> </w:t>
                  </w:r>
                  <w:r>
                    <w:rPr>
                      <w:rFonts w:hint="default" w:ascii="Times New Roman" w:hAnsi="Times New Roman" w:cs="Times New Roman" w:eastAsiaTheme="minorEastAsia"/>
                      <w:color w:val="auto"/>
                      <w:sz w:val="21"/>
                      <w:szCs w:val="21"/>
                      <w:highlight w:val="none"/>
                      <w:lang w:eastAsia="zh-CN"/>
                    </w:rPr>
                    <w:t>Conce</w:t>
                  </w:r>
                  <w:r>
                    <w:rPr>
                      <w:rFonts w:hint="eastAsia" w:cs="Times New Roman" w:eastAsiaTheme="minorEastAsia"/>
                      <w:color w:val="auto"/>
                      <w:sz w:val="21"/>
                      <w:szCs w:val="21"/>
                      <w:highlight w:val="none"/>
                      <w:lang w:val="en-US" w:eastAsia="zh-CN"/>
                    </w:rPr>
                    <w:t>n</w:t>
                  </w:r>
                  <w:r>
                    <w:rPr>
                      <w:rFonts w:hint="default" w:ascii="Times New Roman" w:hAnsi="Times New Roman" w:cs="Times New Roman" w:eastAsiaTheme="minorEastAsia"/>
                      <w:color w:val="auto"/>
                      <w:sz w:val="21"/>
                      <w:szCs w:val="21"/>
                      <w:highlight w:val="none"/>
                      <w:lang w:eastAsia="zh-CN"/>
                    </w:rPr>
                    <w:t>tration</w:t>
                  </w:r>
                </w:p>
                <w:p w14:paraId="607488F3">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），所以它的着色力高于</w:t>
                  </w:r>
                  <w:r>
                    <w:rPr>
                      <w:rFonts w:hint="default" w:ascii="Times New Roman" w:hAnsi="Times New Roman" w:cs="Times New Roman" w:eastAsiaTheme="minorEastAsia"/>
                      <w:color w:val="auto"/>
                      <w:sz w:val="21"/>
                      <w:szCs w:val="21"/>
                      <w:highlight w:val="none"/>
                      <w:lang w:eastAsia="zh-CN"/>
                    </w:rPr>
                    <w:fldChar w:fldCharType="begin"/>
                  </w:r>
                  <w:r>
                    <w:rPr>
                      <w:rFonts w:hint="default" w:ascii="Times New Roman" w:hAnsi="Times New Roman" w:cs="Times New Roman" w:eastAsiaTheme="minorEastAsia"/>
                      <w:color w:val="auto"/>
                      <w:sz w:val="21"/>
                      <w:szCs w:val="21"/>
                      <w:highlight w:val="none"/>
                      <w:lang w:eastAsia="zh-CN"/>
                    </w:rPr>
                    <w:instrText xml:space="preserve"> HYPERLINK "https://baike.baidu.com/item/%E9%A2%9C%E6%96%99/465850?fromModule=lemma_inlink" \t "https://baike.baidu.com/item/%E8%89%B2%E6%AF%8D/_blank" </w:instrText>
                  </w:r>
                  <w:r>
                    <w:rPr>
                      <w:rFonts w:hint="default" w:ascii="Times New Roman" w:hAnsi="Times New Roman" w:cs="Times New Roman" w:eastAsiaTheme="minorEastAsia"/>
                      <w:color w:val="auto"/>
                      <w:sz w:val="21"/>
                      <w:szCs w:val="21"/>
                      <w:highlight w:val="none"/>
                      <w:lang w:eastAsia="zh-CN"/>
                    </w:rPr>
                    <w:fldChar w:fldCharType="separate"/>
                  </w:r>
                  <w:r>
                    <w:rPr>
                      <w:rFonts w:hint="default" w:ascii="Times New Roman" w:hAnsi="Times New Roman" w:cs="Times New Roman" w:eastAsiaTheme="minorEastAsia"/>
                      <w:color w:val="auto"/>
                      <w:sz w:val="21"/>
                      <w:szCs w:val="21"/>
                      <w:highlight w:val="none"/>
                      <w:lang w:eastAsia="zh-CN"/>
                    </w:rPr>
                    <w:t>颜料</w:t>
                  </w:r>
                  <w:r>
                    <w:rPr>
                      <w:rFonts w:hint="default" w:ascii="Times New Roman" w:hAnsi="Times New Roman" w:cs="Times New Roman" w:eastAsiaTheme="minorEastAsia"/>
                      <w:color w:val="auto"/>
                      <w:sz w:val="21"/>
                      <w:szCs w:val="21"/>
                      <w:highlight w:val="none"/>
                      <w:lang w:eastAsia="zh-CN"/>
                    </w:rPr>
                    <w:fldChar w:fldCharType="end"/>
                  </w:r>
                  <w:r>
                    <w:rPr>
                      <w:rFonts w:hint="default" w:ascii="Times New Roman" w:hAnsi="Times New Roman" w:cs="Times New Roman" w:eastAsiaTheme="minorEastAsia"/>
                      <w:color w:val="auto"/>
                      <w:sz w:val="21"/>
                      <w:szCs w:val="21"/>
                      <w:highlight w:val="none"/>
                      <w:lang w:eastAsia="zh-CN"/>
                    </w:rPr>
                    <w:t>本身。加工时用少量色母料和未着色树脂掺混，就可达到设计颜料浓度的着色树脂或制品。</w:t>
                  </w:r>
                </w:p>
              </w:tc>
            </w:tr>
            <w:tr w14:paraId="4BA9D655">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422" w:type="pct"/>
                  <w:tcBorders>
                    <w:tl2br w:val="nil"/>
                    <w:tr2bl w:val="nil"/>
                  </w:tcBorders>
                  <w:noWrap w:val="0"/>
                  <w:vAlign w:val="center"/>
                </w:tcPr>
                <w:p w14:paraId="79014586">
                  <w:pPr>
                    <w:keepNext w:val="0"/>
                    <w:keepLines w:val="0"/>
                    <w:pageBreakBefore w:val="0"/>
                    <w:widowControl/>
                    <w:kinsoku/>
                    <w:wordWrap/>
                    <w:overflowPunct/>
                    <w:topLinePunct w:val="0"/>
                    <w:autoSpaceDE/>
                    <w:autoSpaceDN/>
                    <w:bidi w:val="0"/>
                    <w:adjustRightInd w:val="0"/>
                    <w:snapToGrid w:val="0"/>
                    <w:spacing w:line="264" w:lineRule="auto"/>
                    <w:jc w:val="center"/>
                    <w:textAlignment w:val="auto"/>
                    <w:rPr>
                      <w:rFonts w:hint="default"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4</w:t>
                  </w:r>
                </w:p>
              </w:tc>
              <w:tc>
                <w:tcPr>
                  <w:tcW w:w="679" w:type="pct"/>
                  <w:tcBorders>
                    <w:tl2br w:val="nil"/>
                    <w:tr2bl w:val="nil"/>
                  </w:tcBorders>
                  <w:noWrap w:val="0"/>
                  <w:vAlign w:val="center"/>
                </w:tcPr>
                <w:p w14:paraId="4123D670">
                  <w:pPr>
                    <w:keepNext w:val="0"/>
                    <w:keepLines w:val="0"/>
                    <w:pageBreakBefore w:val="0"/>
                    <w:widowControl w:val="0"/>
                    <w:kinsoku/>
                    <w:wordWrap/>
                    <w:overflowPunct/>
                    <w:topLinePunct w:val="0"/>
                    <w:autoSpaceDE/>
                    <w:autoSpaceDN/>
                    <w:bidi w:val="0"/>
                    <w:adjustRightInd w:val="0"/>
                    <w:snapToGrid w:val="0"/>
                    <w:spacing w:line="264" w:lineRule="auto"/>
                    <w:ind w:firstLine="0" w:firstLineChars="0"/>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润滑油</w:t>
                  </w:r>
                </w:p>
              </w:tc>
              <w:tc>
                <w:tcPr>
                  <w:tcW w:w="3897" w:type="pct"/>
                  <w:tcBorders>
                    <w:tl2br w:val="nil"/>
                    <w:tr2bl w:val="nil"/>
                  </w:tcBorders>
                  <w:noWrap w:val="0"/>
                  <w:vAlign w:val="center"/>
                </w:tcPr>
                <w:p w14:paraId="76CF09E8">
                  <w:pPr>
                    <w:keepNext w:val="0"/>
                    <w:keepLines w:val="0"/>
                    <w:pageBreakBefore w:val="0"/>
                    <w:kinsoku/>
                    <w:wordWrap/>
                    <w:overflowPunct/>
                    <w:topLinePunct w:val="0"/>
                    <w:autoSpaceDE/>
                    <w:autoSpaceDN/>
                    <w:bidi w:val="0"/>
                    <w:adjustRightInd w:val="0"/>
                    <w:snapToGrid w:val="0"/>
                    <w:spacing w:beforeAutospacing="0" w:afterAutospacing="0" w:line="264" w:lineRule="auto"/>
                    <w:jc w:val="left"/>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润滑油是用以降低摩擦副的摩擦阻力、减缓其磨损的润滑介质，其理化特征如下：外观：润滑油的外观多样，通常为液体、半固体（如润滑脂）或固体形态。液体润滑油一般清澈透明或呈淡黄色，半固体润滑油多为膏状，颜色从白色到深色不等，固体润滑油则有粉末状、片状等形态。</w:t>
                  </w:r>
                </w:p>
                <w:p w14:paraId="744F9CE6">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000000"/>
                      <w:kern w:val="2"/>
                      <w:sz w:val="21"/>
                      <w:szCs w:val="21"/>
                      <w:lang w:val="en-US" w:eastAsia="zh-CN" w:bidi="ar-SA"/>
                    </w:rPr>
                    <w:t>密度：不同类型的润滑油密度有所差异。一般来说，常见的液体矿物油基润滑油密度在0.8-0.95g/cm³之间；合成润滑油的密度因成分不同而有所不同，如聚醚类合成油密度约为1.0-1.1g/cm³；润滑脂的密度通常在1.0-1.5g/cm³左右。</w:t>
                  </w:r>
                </w:p>
              </w:tc>
            </w:tr>
          </w:tbl>
          <w:p w14:paraId="73E7A863">
            <w:pPr>
              <w:pStyle w:val="2"/>
              <w:rPr>
                <w:highlight w:val="none"/>
              </w:rPr>
            </w:pPr>
          </w:p>
          <w:p w14:paraId="270FAA96">
            <w:pPr>
              <w:numPr>
                <w:ilvl w:val="0"/>
                <w:numId w:val="4"/>
              </w:numPr>
              <w:adjustRightInd w:val="0"/>
              <w:snapToGrid w:val="0"/>
              <w:spacing w:line="360" w:lineRule="auto"/>
              <w:jc w:val="left"/>
              <w:rPr>
                <w:b/>
                <w:color w:val="auto"/>
                <w:sz w:val="24"/>
                <w:highlight w:val="none"/>
              </w:rPr>
            </w:pPr>
            <w:r>
              <w:rPr>
                <w:rFonts w:hint="eastAsia"/>
                <w:b/>
                <w:color w:val="auto"/>
                <w:sz w:val="24"/>
                <w:highlight w:val="none"/>
                <w:lang w:eastAsia="zh-CN"/>
              </w:rPr>
              <w:t>公用</w:t>
            </w:r>
            <w:r>
              <w:rPr>
                <w:b/>
                <w:color w:val="auto"/>
                <w:sz w:val="24"/>
                <w:highlight w:val="none"/>
              </w:rPr>
              <w:t>工程</w:t>
            </w:r>
          </w:p>
          <w:p w14:paraId="18A09604">
            <w:pPr>
              <w:numPr>
                <w:ilvl w:val="0"/>
                <w:numId w:val="0"/>
              </w:numPr>
              <w:adjustRightInd w:val="0"/>
              <w:snapToGrid w:val="0"/>
              <w:spacing w:line="360" w:lineRule="auto"/>
              <w:ind w:firstLine="482" w:firstLineChars="200"/>
              <w:jc w:val="left"/>
              <w:rPr>
                <w:rFonts w:hint="eastAsia"/>
                <w:bCs/>
                <w:color w:val="auto"/>
                <w:sz w:val="24"/>
                <w:szCs w:val="24"/>
                <w:highlight w:val="none"/>
                <w:lang w:val="en-US" w:eastAsia="zh-CN"/>
              </w:rPr>
            </w:pPr>
            <w:r>
              <w:rPr>
                <w:rFonts w:hint="eastAsia" w:ascii="Times New Roman" w:hAnsi="Times New Roman" w:eastAsia="宋体" w:cs="Times New Roman"/>
                <w:b/>
                <w:color w:val="auto"/>
                <w:sz w:val="24"/>
                <w:szCs w:val="22"/>
                <w:highlight w:val="none"/>
                <w:lang w:val="en-US" w:eastAsia="zh-CN"/>
              </w:rPr>
              <w:t>1、给排水</w:t>
            </w:r>
          </w:p>
          <w:p w14:paraId="17983343">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（1）给水</w:t>
            </w:r>
          </w:p>
          <w:p w14:paraId="01935738">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eastAsia="宋体" w:cs="Times New Roman"/>
                <w:bCs/>
                <w:caps w:val="0"/>
                <w:color w:val="0000FF"/>
                <w:sz w:val="24"/>
                <w:szCs w:val="24"/>
                <w:highlight w:val="none"/>
                <w:lang w:val="en-US" w:eastAsia="zh-CN"/>
              </w:rPr>
            </w:pPr>
            <w:r>
              <w:rPr>
                <w:rFonts w:hint="default" w:ascii="Times New Roman" w:hAnsi="Times New Roman" w:eastAsia="宋体" w:cs="Times New Roman"/>
                <w:bCs/>
                <w:color w:val="auto"/>
                <w:sz w:val="24"/>
                <w:szCs w:val="24"/>
                <w:highlight w:val="none"/>
              </w:rPr>
              <w:t>本项目</w:t>
            </w:r>
            <w:r>
              <w:rPr>
                <w:rFonts w:hint="default" w:ascii="Times New Roman" w:hAnsi="Times New Roman" w:cs="Times New Roman"/>
                <w:bCs/>
                <w:color w:val="auto"/>
                <w:sz w:val="24"/>
                <w:szCs w:val="24"/>
                <w:highlight w:val="none"/>
                <w:lang w:eastAsia="zh-CN"/>
              </w:rPr>
              <w:t>依托租赁厂房</w:t>
            </w:r>
            <w:r>
              <w:rPr>
                <w:rFonts w:hint="default" w:ascii="Times New Roman" w:hAnsi="Times New Roman" w:cs="Times New Roman"/>
                <w:bCs/>
                <w:color w:val="auto"/>
                <w:sz w:val="24"/>
                <w:szCs w:val="24"/>
                <w:highlight w:val="none"/>
                <w:lang w:val="en-US" w:eastAsia="zh-CN"/>
              </w:rPr>
              <w:t>供水</w:t>
            </w:r>
            <w:r>
              <w:rPr>
                <w:rFonts w:hint="default" w:ascii="Times New Roman" w:hAnsi="Times New Roman" w:eastAsia="宋体" w:cs="Times New Roman"/>
                <w:bCs/>
                <w:caps w:val="0"/>
                <w:color w:val="auto"/>
                <w:sz w:val="24"/>
                <w:szCs w:val="24"/>
                <w:highlight w:val="none"/>
              </w:rPr>
              <w:t>，总用水量约</w:t>
            </w:r>
            <w:r>
              <w:rPr>
                <w:rFonts w:hint="eastAsia" w:cs="Times New Roman"/>
                <w:bCs/>
                <w:caps w:val="0"/>
                <w:color w:val="auto"/>
                <w:sz w:val="24"/>
                <w:szCs w:val="24"/>
                <w:highlight w:val="none"/>
                <w:lang w:val="en-US" w:eastAsia="zh-CN"/>
              </w:rPr>
              <w:t>2.07</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/d</w:t>
            </w:r>
            <w:r>
              <w:rPr>
                <w:rFonts w:hint="default" w:ascii="Times New Roman" w:hAnsi="Times New Roman" w:eastAsia="宋体" w:cs="Times New Roman"/>
                <w:bCs/>
                <w:caps w:val="0"/>
                <w:color w:val="auto"/>
                <w:sz w:val="24"/>
                <w:szCs w:val="24"/>
                <w:highlight w:val="none"/>
                <w:lang w:eastAsia="zh-CN"/>
              </w:rPr>
              <w:t>（</w:t>
            </w:r>
            <w:r>
              <w:rPr>
                <w:rFonts w:hint="eastAsia" w:cs="Times New Roman"/>
                <w:bCs/>
                <w:caps w:val="0"/>
                <w:color w:val="auto"/>
                <w:sz w:val="24"/>
                <w:szCs w:val="24"/>
                <w:highlight w:val="none"/>
                <w:lang w:val="en-US" w:eastAsia="zh-CN"/>
              </w:rPr>
              <w:t>620</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/a</w:t>
            </w:r>
            <w:r>
              <w:rPr>
                <w:rFonts w:hint="default" w:ascii="Times New Roman" w:hAnsi="Times New Roman" w:eastAsia="宋体" w:cs="Times New Roman"/>
                <w:bCs/>
                <w:caps w:val="0"/>
                <w:color w:val="auto"/>
                <w:sz w:val="24"/>
                <w:szCs w:val="24"/>
                <w:highlight w:val="none"/>
                <w:lang w:eastAsia="zh-CN"/>
              </w:rPr>
              <w:t>）</w:t>
            </w:r>
            <w:r>
              <w:rPr>
                <w:rFonts w:hint="default" w:ascii="Times New Roman" w:hAnsi="Times New Roman" w:eastAsia="宋体" w:cs="Times New Roman"/>
                <w:bCs/>
                <w:caps w:val="0"/>
                <w:color w:val="auto"/>
                <w:sz w:val="24"/>
                <w:szCs w:val="24"/>
                <w:highlight w:val="none"/>
              </w:rPr>
              <w:t>。主要</w:t>
            </w:r>
            <w:r>
              <w:rPr>
                <w:rFonts w:hint="default" w:ascii="Times New Roman" w:hAnsi="Times New Roman" w:eastAsia="宋体" w:cs="Times New Roman"/>
                <w:bCs/>
                <w:caps w:val="0"/>
                <w:color w:val="auto"/>
                <w:sz w:val="24"/>
                <w:szCs w:val="24"/>
                <w:highlight w:val="none"/>
                <w:lang w:val="en-US" w:eastAsia="zh-CN"/>
              </w:rPr>
              <w:t>为</w:t>
            </w:r>
            <w:r>
              <w:rPr>
                <w:rFonts w:hint="default" w:ascii="Times New Roman" w:hAnsi="Times New Roman" w:eastAsia="宋体" w:cs="Times New Roman"/>
                <w:bCs/>
                <w:caps w:val="0"/>
                <w:color w:val="auto"/>
                <w:sz w:val="24"/>
                <w:szCs w:val="24"/>
                <w:highlight w:val="none"/>
              </w:rPr>
              <w:t>生活用水</w:t>
            </w:r>
            <w:r>
              <w:rPr>
                <w:rFonts w:hint="default" w:ascii="Times New Roman" w:hAnsi="Times New Roman" w:eastAsia="宋体" w:cs="Times New Roman"/>
                <w:bCs/>
                <w:caps w:val="0"/>
                <w:color w:val="auto"/>
                <w:sz w:val="24"/>
                <w:szCs w:val="24"/>
                <w:highlight w:val="none"/>
                <w:lang w:val="en-US" w:eastAsia="zh-CN"/>
              </w:rPr>
              <w:t>和</w:t>
            </w:r>
            <w:r>
              <w:rPr>
                <w:rFonts w:hint="default" w:ascii="Times New Roman" w:hAnsi="Times New Roman" w:cs="Times New Roman"/>
                <w:bCs/>
                <w:caps w:val="0"/>
                <w:color w:val="auto"/>
                <w:sz w:val="24"/>
                <w:szCs w:val="24"/>
                <w:highlight w:val="none"/>
                <w:lang w:val="en-US" w:eastAsia="zh-CN"/>
              </w:rPr>
              <w:t>循环设备</w:t>
            </w:r>
            <w:r>
              <w:rPr>
                <w:rFonts w:hint="default" w:ascii="Times New Roman" w:hAnsi="Times New Roman" w:eastAsia="宋体" w:cs="Times New Roman"/>
                <w:bCs/>
                <w:caps w:val="0"/>
                <w:color w:val="auto"/>
                <w:sz w:val="24"/>
                <w:szCs w:val="24"/>
                <w:highlight w:val="none"/>
                <w:lang w:val="en-US" w:eastAsia="zh-CN"/>
              </w:rPr>
              <w:t>冷却用水；</w:t>
            </w:r>
          </w:p>
          <w:p w14:paraId="2A513EA3">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color w:val="auto"/>
                <w:sz w:val="24"/>
                <w:szCs w:val="24"/>
                <w:highlight w:val="none"/>
                <w:lang w:val="zh-CN"/>
              </w:rPr>
              <w:t>①</w:t>
            </w:r>
            <w:r>
              <w:rPr>
                <w:rFonts w:hint="default" w:ascii="Times New Roman" w:hAnsi="Times New Roman" w:eastAsia="宋体" w:cs="Times New Roman"/>
                <w:bCs/>
                <w:caps w:val="0"/>
                <w:color w:val="auto"/>
                <w:sz w:val="24"/>
                <w:szCs w:val="24"/>
                <w:highlight w:val="none"/>
                <w:lang w:val="en-US" w:eastAsia="zh-CN"/>
              </w:rPr>
              <w:t>生活用水</w:t>
            </w:r>
          </w:p>
          <w:p w14:paraId="75370DE7">
            <w:pPr>
              <w:numPr>
                <w:ilvl w:val="0"/>
                <w:numId w:val="0"/>
              </w:numPr>
              <w:adjustRightInd w:val="0"/>
              <w:snapToGrid w:val="0"/>
              <w:spacing w:line="360" w:lineRule="auto"/>
              <w:ind w:firstLine="480" w:firstLineChars="200"/>
              <w:jc w:val="both"/>
              <w:rPr>
                <w:rFonts w:hint="default" w:ascii="Times New Roman" w:hAnsi="Times New Roman" w:eastAsia="宋体" w:cs="Times New Roman"/>
                <w:bCs/>
                <w:caps w:val="0"/>
                <w:color w:val="auto"/>
                <w:sz w:val="24"/>
                <w:szCs w:val="24"/>
                <w:highlight w:val="none"/>
                <w:lang w:eastAsia="zh-CN"/>
              </w:rPr>
            </w:pPr>
            <w:r>
              <w:rPr>
                <w:rFonts w:hint="default" w:ascii="Times New Roman" w:hAnsi="Times New Roman" w:cs="Times New Roman"/>
                <w:b w:val="0"/>
                <w:bCs/>
                <w:color w:val="000000"/>
                <w:sz w:val="24"/>
                <w:szCs w:val="24"/>
                <w:lang w:val="en-US" w:eastAsia="zh-CN"/>
              </w:rPr>
              <w:t>本项目劳动定员为</w:t>
            </w:r>
            <w:r>
              <w:rPr>
                <w:rFonts w:hint="eastAsia" w:ascii="Times New Roman" w:hAnsi="Times New Roman" w:cs="Times New Roman"/>
                <w:b w:val="0"/>
                <w:bCs/>
                <w:color w:val="000000"/>
                <w:sz w:val="24"/>
                <w:szCs w:val="24"/>
                <w:lang w:val="en-US" w:eastAsia="zh-CN"/>
              </w:rPr>
              <w:t>8</w:t>
            </w:r>
            <w:r>
              <w:rPr>
                <w:rFonts w:hint="default" w:ascii="Times New Roman" w:hAnsi="Times New Roman" w:cs="Times New Roman"/>
                <w:b w:val="0"/>
                <w:bCs/>
                <w:color w:val="000000"/>
                <w:sz w:val="24"/>
                <w:szCs w:val="24"/>
                <w:lang w:val="en-US" w:eastAsia="zh-CN"/>
              </w:rPr>
              <w:t>人，厂区内不提供食宿，</w:t>
            </w:r>
            <w:r>
              <w:rPr>
                <w:rFonts w:hint="default" w:ascii="Times New Roman" w:hAnsi="Times New Roman" w:cs="Times New Roman"/>
                <w:b w:val="0"/>
                <w:bCs/>
                <w:color w:val="auto"/>
                <w:sz w:val="24"/>
                <w:szCs w:val="24"/>
                <w:highlight w:val="none"/>
                <w:lang w:val="en-US" w:eastAsia="zh-CN"/>
              </w:rPr>
              <w:t>年工作</w:t>
            </w:r>
            <w:r>
              <w:rPr>
                <w:rFonts w:hint="eastAsia" w:cs="Times New Roman"/>
                <w:b w:val="0"/>
                <w:bCs/>
                <w:color w:val="auto"/>
                <w:sz w:val="24"/>
                <w:szCs w:val="24"/>
                <w:highlight w:val="none"/>
                <w:lang w:val="en-US" w:eastAsia="zh-CN"/>
              </w:rPr>
              <w:t>3</w:t>
            </w:r>
            <w:r>
              <w:rPr>
                <w:rFonts w:hint="eastAsia" w:ascii="Times New Roman" w:hAnsi="Times New Roman" w:cs="Times New Roman"/>
                <w:b w:val="0"/>
                <w:bCs/>
                <w:color w:val="auto"/>
                <w:sz w:val="24"/>
                <w:szCs w:val="24"/>
                <w:highlight w:val="none"/>
                <w:lang w:val="en-US" w:eastAsia="zh-CN"/>
              </w:rPr>
              <w:t>00</w:t>
            </w:r>
            <w:r>
              <w:rPr>
                <w:rFonts w:hint="default" w:ascii="Times New Roman" w:hAnsi="Times New Roman" w:cs="Times New Roman"/>
                <w:b w:val="0"/>
                <w:bCs/>
                <w:color w:val="auto"/>
                <w:sz w:val="24"/>
                <w:szCs w:val="24"/>
                <w:highlight w:val="none"/>
                <w:lang w:val="en-US" w:eastAsia="zh-CN"/>
              </w:rPr>
              <w:t>天。</w:t>
            </w:r>
            <w:r>
              <w:rPr>
                <w:rFonts w:hint="default" w:ascii="Times New Roman" w:hAnsi="Times New Roman" w:cs="Times New Roman"/>
                <w:color w:val="auto"/>
                <w:kern w:val="0"/>
                <w:sz w:val="24"/>
                <w:szCs w:val="22"/>
                <w:highlight w:val="none"/>
              </w:rPr>
              <w:t>根据《行业用水定额》（DB61/T943-2020），生活用水量按行政办公</w:t>
            </w:r>
            <w:r>
              <w:rPr>
                <w:rFonts w:hint="eastAsia" w:ascii="Times New Roman" w:hAnsi="Times New Roman" w:cs="Times New Roman"/>
                <w:color w:val="auto"/>
                <w:kern w:val="0"/>
                <w:sz w:val="24"/>
                <w:szCs w:val="22"/>
                <w:highlight w:val="none"/>
                <w:lang w:val="en-US" w:eastAsia="zh-CN"/>
              </w:rPr>
              <w:t>通用</w:t>
            </w:r>
            <w:r>
              <w:rPr>
                <w:rFonts w:hint="default" w:ascii="Times New Roman" w:hAnsi="Times New Roman" w:cs="Times New Roman"/>
                <w:color w:val="auto"/>
                <w:kern w:val="0"/>
                <w:sz w:val="24"/>
                <w:szCs w:val="22"/>
                <w:highlight w:val="none"/>
              </w:rPr>
              <w:t>值计，为</w:t>
            </w:r>
            <w:r>
              <w:rPr>
                <w:rFonts w:hint="eastAsia" w:ascii="Times New Roman" w:hAnsi="Times New Roman" w:cs="Times New Roman"/>
                <w:color w:val="auto"/>
                <w:kern w:val="0"/>
                <w:sz w:val="24"/>
                <w:szCs w:val="22"/>
                <w:highlight w:val="none"/>
                <w:lang w:val="en-US" w:eastAsia="zh-CN"/>
              </w:rPr>
              <w:t>25</w:t>
            </w:r>
            <w:r>
              <w:rPr>
                <w:rFonts w:hint="default" w:ascii="Times New Roman" w:hAnsi="Times New Roman" w:cs="Times New Roman"/>
                <w:color w:val="auto"/>
                <w:kern w:val="0"/>
                <w:sz w:val="24"/>
                <w:szCs w:val="22"/>
                <w:highlight w:val="none"/>
                <w:lang w:val="en-US" w:eastAsia="zh-CN"/>
              </w:rPr>
              <w:t>m</w:t>
            </w:r>
            <w:r>
              <w:rPr>
                <w:rFonts w:hint="default" w:ascii="Times New Roman" w:hAnsi="Times New Roman" w:cs="Times New Roman"/>
                <w:color w:val="auto"/>
                <w:kern w:val="0"/>
                <w:sz w:val="24"/>
                <w:szCs w:val="22"/>
                <w:highlight w:val="none"/>
                <w:vertAlign w:val="superscript"/>
                <w:lang w:val="en-US" w:eastAsia="zh-CN"/>
              </w:rPr>
              <w:t>3</w:t>
            </w:r>
            <w:r>
              <w:rPr>
                <w:rFonts w:hint="default" w:ascii="Times New Roman" w:hAnsi="Times New Roman" w:cs="Times New Roman"/>
                <w:color w:val="auto"/>
                <w:kern w:val="0"/>
                <w:sz w:val="24"/>
                <w:szCs w:val="22"/>
                <w:highlight w:val="none"/>
              </w:rPr>
              <w:t>/（人·</w:t>
            </w:r>
            <w:r>
              <w:rPr>
                <w:rFonts w:hint="default" w:ascii="Times New Roman" w:hAnsi="Times New Roman" w:cs="Times New Roman"/>
                <w:color w:val="auto"/>
                <w:kern w:val="0"/>
                <w:sz w:val="24"/>
                <w:szCs w:val="22"/>
                <w:highlight w:val="none"/>
                <w:lang w:val="en-US" w:eastAsia="zh-CN"/>
              </w:rPr>
              <w:t>a</w:t>
            </w:r>
            <w:r>
              <w:rPr>
                <w:rFonts w:hint="default" w:ascii="Times New Roman" w:hAnsi="Times New Roman" w:cs="Times New Roman"/>
                <w:color w:val="auto"/>
                <w:kern w:val="0"/>
                <w:sz w:val="24"/>
                <w:szCs w:val="22"/>
                <w:highlight w:val="none"/>
              </w:rPr>
              <w:t>）</w:t>
            </w:r>
            <w:r>
              <w:rPr>
                <w:rFonts w:hint="default" w:ascii="Times New Roman" w:hAnsi="Times New Roman" w:cs="Times New Roman"/>
                <w:color w:val="auto"/>
                <w:kern w:val="0"/>
                <w:sz w:val="24"/>
                <w:szCs w:val="22"/>
                <w:highlight w:val="none"/>
                <w:lang w:val="zh-TW"/>
              </w:rPr>
              <w:t>，</w:t>
            </w:r>
            <w:r>
              <w:rPr>
                <w:rFonts w:hint="default" w:ascii="Times New Roman" w:hAnsi="Times New Roman" w:cs="Times New Roman"/>
                <w:color w:val="auto"/>
                <w:kern w:val="0"/>
                <w:sz w:val="24"/>
                <w:szCs w:val="22"/>
                <w:highlight w:val="none"/>
                <w:lang w:val="en-US" w:eastAsia="zh-CN"/>
              </w:rPr>
              <w:t>则生活用水量为</w:t>
            </w:r>
            <w:r>
              <w:rPr>
                <w:rFonts w:hint="eastAsia" w:cs="Times New Roman"/>
                <w:color w:val="auto"/>
                <w:kern w:val="0"/>
                <w:sz w:val="24"/>
                <w:szCs w:val="22"/>
                <w:highlight w:val="none"/>
                <w:lang w:val="en-US" w:eastAsia="zh-CN"/>
              </w:rPr>
              <w:t>0.67</w:t>
            </w:r>
            <w:r>
              <w:rPr>
                <w:rFonts w:hint="default" w:ascii="Times New Roman" w:hAnsi="Times New Roman" w:cs="Times New Roman"/>
                <w:color w:val="auto"/>
                <w:kern w:val="0"/>
                <w:sz w:val="24"/>
                <w:szCs w:val="22"/>
                <w:highlight w:val="none"/>
              </w:rPr>
              <w:t>m</w:t>
            </w:r>
            <w:r>
              <w:rPr>
                <w:rFonts w:hint="default" w:ascii="Times New Roman" w:hAnsi="Times New Roman" w:cs="Times New Roman"/>
                <w:color w:val="auto"/>
                <w:kern w:val="0"/>
                <w:sz w:val="24"/>
                <w:szCs w:val="22"/>
                <w:highlight w:val="none"/>
                <w:vertAlign w:val="superscript"/>
              </w:rPr>
              <w:t>3</w:t>
            </w:r>
            <w:r>
              <w:rPr>
                <w:rFonts w:hint="default" w:ascii="Times New Roman" w:hAnsi="Times New Roman" w:cs="Times New Roman"/>
                <w:color w:val="auto"/>
                <w:kern w:val="0"/>
                <w:sz w:val="24"/>
                <w:szCs w:val="22"/>
                <w:highlight w:val="none"/>
              </w:rPr>
              <w:t>/d</w:t>
            </w:r>
            <w:r>
              <w:rPr>
                <w:rFonts w:hint="default" w:ascii="Times New Roman" w:hAnsi="Times New Roman" w:cs="Times New Roman"/>
                <w:color w:val="auto"/>
                <w:kern w:val="0"/>
                <w:sz w:val="24"/>
                <w:szCs w:val="22"/>
                <w:highlight w:val="none"/>
                <w:lang w:eastAsia="zh-CN"/>
              </w:rPr>
              <w:t>，</w:t>
            </w:r>
            <w:r>
              <w:rPr>
                <w:rFonts w:hint="eastAsia" w:ascii="Times New Roman" w:hAnsi="Times New Roman" w:cs="Times New Roman"/>
                <w:color w:val="auto"/>
                <w:kern w:val="0"/>
                <w:sz w:val="24"/>
                <w:szCs w:val="22"/>
                <w:highlight w:val="none"/>
                <w:lang w:val="en-US" w:eastAsia="zh-CN"/>
              </w:rPr>
              <w:t>200.0</w:t>
            </w:r>
            <w:r>
              <w:rPr>
                <w:rFonts w:hint="default" w:ascii="Times New Roman" w:hAnsi="Times New Roman" w:cs="Times New Roman"/>
                <w:color w:val="auto"/>
                <w:kern w:val="0"/>
                <w:sz w:val="24"/>
                <w:szCs w:val="22"/>
                <w:highlight w:val="none"/>
              </w:rPr>
              <w:t>m</w:t>
            </w:r>
            <w:r>
              <w:rPr>
                <w:rFonts w:hint="default" w:ascii="Times New Roman" w:hAnsi="Times New Roman" w:cs="Times New Roman"/>
                <w:color w:val="auto"/>
                <w:kern w:val="0"/>
                <w:sz w:val="24"/>
                <w:szCs w:val="22"/>
                <w:highlight w:val="none"/>
                <w:vertAlign w:val="superscript"/>
              </w:rPr>
              <w:t>3</w:t>
            </w:r>
            <w:r>
              <w:rPr>
                <w:rFonts w:hint="default" w:ascii="Times New Roman" w:hAnsi="Times New Roman" w:cs="Times New Roman"/>
                <w:color w:val="auto"/>
                <w:kern w:val="0"/>
                <w:sz w:val="24"/>
                <w:szCs w:val="22"/>
                <w:highlight w:val="none"/>
              </w:rPr>
              <w:t>/</w:t>
            </w:r>
            <w:r>
              <w:rPr>
                <w:rFonts w:hint="default" w:ascii="Times New Roman" w:hAnsi="Times New Roman" w:eastAsia="宋体" w:cs="Times New Roman"/>
                <w:color w:val="auto"/>
                <w:kern w:val="0"/>
                <w:sz w:val="24"/>
                <w:szCs w:val="22"/>
                <w:highlight w:val="none"/>
                <w:lang w:val="en-US" w:eastAsia="zh-CN"/>
              </w:rPr>
              <w:t>a。</w:t>
            </w:r>
          </w:p>
          <w:p w14:paraId="7830FCDA">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color w:val="0000FF"/>
                <w:sz w:val="24"/>
                <w:szCs w:val="24"/>
                <w:highlight w:val="none"/>
              </w:rPr>
            </w:pPr>
            <w:r>
              <w:rPr>
                <w:rFonts w:hint="default" w:ascii="Times New Roman" w:hAnsi="Times New Roman" w:eastAsia="宋体" w:cs="Times New Roman"/>
                <w:bCs/>
                <w:caps w:val="0"/>
                <w:color w:val="auto"/>
                <w:sz w:val="24"/>
                <w:szCs w:val="24"/>
                <w:highlight w:val="none"/>
                <w:lang w:val="zh-CN" w:eastAsia="zh-CN"/>
              </w:rPr>
              <w:t>②冷却循环补充水</w:t>
            </w:r>
          </w:p>
          <w:p w14:paraId="2029DA0A">
            <w:pPr>
              <w:pStyle w:val="13"/>
              <w:tabs>
                <w:tab w:val="left" w:pos="6855"/>
              </w:tabs>
              <w:spacing w:line="360" w:lineRule="auto"/>
              <w:ind w:left="0" w:leftChars="0" w:firstLine="420" w:firstLineChars="175"/>
              <w:rPr>
                <w:rFonts w:hint="default" w:ascii="Times New Roman" w:hAnsi="Times New Roman" w:eastAsia="宋体" w:cs="Times New Roman"/>
                <w:bCs/>
                <w:caps w:val="0"/>
                <w:color w:val="auto"/>
                <w:sz w:val="24"/>
                <w:szCs w:val="24"/>
                <w:highlight w:val="none"/>
                <w:lang w:val="en-US" w:eastAsia="zh-CN"/>
              </w:rPr>
            </w:pPr>
            <w:r>
              <w:rPr>
                <w:rFonts w:hint="eastAsia" w:cs="Times New Roman"/>
                <w:color w:val="auto"/>
                <w:kern w:val="0"/>
                <w:sz w:val="24"/>
                <w:szCs w:val="24"/>
                <w:highlight w:val="none"/>
                <w:lang w:val="en-US" w:eastAsia="zh-CN" w:bidi="ar-SA"/>
              </w:rPr>
              <w:t>冷却塔位于厂房外南侧中间区域，</w:t>
            </w:r>
            <w:r>
              <w:rPr>
                <w:rFonts w:hint="default" w:ascii="Times New Roman" w:hAnsi="Times New Roman" w:eastAsia="宋体" w:cs="Times New Roman"/>
                <w:color w:val="auto"/>
                <w:kern w:val="0"/>
                <w:sz w:val="24"/>
                <w:szCs w:val="24"/>
                <w:highlight w:val="none"/>
                <w:lang w:val="en-US" w:eastAsia="zh-CN" w:bidi="ar-SA"/>
              </w:rPr>
              <w:t>项目注塑过程中冷却塔冷却循环水约为</w:t>
            </w:r>
            <w:r>
              <w:rPr>
                <w:rFonts w:hint="eastAsia" w:cs="Times New Roman"/>
                <w:color w:val="auto"/>
                <w:kern w:val="0"/>
                <w:sz w:val="24"/>
                <w:szCs w:val="24"/>
                <w:highlight w:val="none"/>
                <w:lang w:val="en-US" w:eastAsia="zh-CN" w:bidi="ar-SA"/>
              </w:rPr>
              <w:t>5</w:t>
            </w:r>
            <w:r>
              <w:rPr>
                <w:rFonts w:hint="default" w:ascii="Times New Roman" w:hAnsi="Times New Roman" w:eastAsia="宋体" w:cs="Times New Roman"/>
                <w:color w:val="auto"/>
                <w:kern w:val="0"/>
                <w:sz w:val="24"/>
                <w:szCs w:val="24"/>
                <w:highlight w:val="none"/>
                <w:lang w:val="en-US" w:eastAsia="zh-CN" w:bidi="ar-SA"/>
              </w:rPr>
              <w:t>m</w:t>
            </w:r>
            <w:r>
              <w:rPr>
                <w:rFonts w:hint="default" w:ascii="Times New Roman" w:hAnsi="Times New Roman" w:eastAsia="宋体" w:cs="Times New Roman"/>
                <w:color w:val="auto"/>
                <w:kern w:val="0"/>
                <w:sz w:val="24"/>
                <w:szCs w:val="24"/>
                <w:highlight w:val="none"/>
                <w:vertAlign w:val="superscript"/>
                <w:lang w:val="en-US" w:eastAsia="zh-CN" w:bidi="ar-SA"/>
              </w:rPr>
              <w:t>3</w:t>
            </w:r>
            <w:r>
              <w:rPr>
                <w:rFonts w:hint="default" w:ascii="Times New Roman" w:hAnsi="Times New Roman" w:eastAsia="宋体" w:cs="Times New Roman"/>
                <w:color w:val="auto"/>
                <w:kern w:val="0"/>
                <w:sz w:val="24"/>
                <w:szCs w:val="24"/>
                <w:highlight w:val="none"/>
                <w:lang w:val="en-US" w:eastAsia="zh-CN" w:bidi="ar-SA"/>
              </w:rPr>
              <w:t>/h，</w:t>
            </w:r>
            <w:r>
              <w:rPr>
                <w:rFonts w:hint="default" w:ascii="Times New Roman" w:hAnsi="Times New Roman" w:cs="Times New Roman"/>
                <w:color w:val="auto"/>
                <w:sz w:val="24"/>
                <w:szCs w:val="24"/>
                <w:highlight w:val="none"/>
              </w:rPr>
              <w:t>每天工作</w:t>
            </w:r>
            <w:r>
              <w:rPr>
                <w:rFonts w:hint="eastAsia" w:cs="Times New Roman"/>
                <w:color w:val="auto"/>
                <w:sz w:val="24"/>
                <w:szCs w:val="24"/>
                <w:highlight w:val="none"/>
                <w:lang w:val="en-US" w:eastAsia="zh-CN"/>
              </w:rPr>
              <w:t>14</w:t>
            </w:r>
            <w:r>
              <w:rPr>
                <w:rFonts w:hint="default" w:ascii="Times New Roman" w:hAnsi="Times New Roman" w:cs="Times New Roman"/>
                <w:color w:val="auto"/>
                <w:sz w:val="24"/>
                <w:szCs w:val="24"/>
                <w:highlight w:val="none"/>
              </w:rPr>
              <w:t>小时，则每天循环水量为</w:t>
            </w:r>
            <w:r>
              <w:rPr>
                <w:rFonts w:hint="eastAsia" w:cs="Times New Roman"/>
                <w:color w:val="auto"/>
                <w:sz w:val="24"/>
                <w:szCs w:val="24"/>
                <w:highlight w:val="none"/>
                <w:lang w:val="en-US" w:eastAsia="zh-CN"/>
              </w:rPr>
              <w:t>70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w:t>
            </w:r>
            <w:r>
              <w:rPr>
                <w:rFonts w:hint="eastAsia" w:ascii="Times New Roman" w:hAnsi="Times New Roman" w:eastAsia="宋体" w:cs="Times New Roman"/>
                <w:bCs/>
                <w:caps w:val="0"/>
                <w:color w:val="auto"/>
                <w:kern w:val="2"/>
                <w:sz w:val="24"/>
                <w:szCs w:val="24"/>
                <w:highlight w:val="none"/>
                <w:lang w:val="en-US" w:eastAsia="zh-CN" w:bidi="ar-SA"/>
              </w:rPr>
              <w:t>由于循环过程中少量的水因受热蒸发等因素损失，需定期补充冷却水，补充量按照循环水量的2%计算，</w:t>
            </w:r>
            <w:r>
              <w:rPr>
                <w:rFonts w:hint="eastAsia"/>
                <w:color w:val="auto"/>
                <w:sz w:val="24"/>
                <w:szCs w:val="24"/>
              </w:rPr>
              <w:t>则补水量约为</w:t>
            </w:r>
            <w:r>
              <w:rPr>
                <w:rFonts w:hint="eastAsia" w:ascii="Times New Roman" w:hAnsi="Times New Roman" w:eastAsia="宋体" w:cs="Times New Roman"/>
                <w:bCs/>
                <w:caps w:val="0"/>
                <w:color w:val="auto"/>
                <w:kern w:val="2"/>
                <w:sz w:val="24"/>
                <w:szCs w:val="24"/>
                <w:highlight w:val="none"/>
                <w:lang w:val="en-US" w:eastAsia="zh-CN" w:bidi="ar-SA"/>
              </w:rPr>
              <w:t>0.1m</w:t>
            </w:r>
            <w:r>
              <w:rPr>
                <w:rFonts w:hint="eastAsia" w:ascii="Times New Roman" w:hAnsi="Times New Roman" w:eastAsia="宋体" w:cs="Times New Roman"/>
                <w:bCs/>
                <w:caps w:val="0"/>
                <w:color w:val="auto"/>
                <w:kern w:val="2"/>
                <w:sz w:val="24"/>
                <w:szCs w:val="24"/>
                <w:highlight w:val="none"/>
                <w:vertAlign w:val="superscript"/>
                <w:lang w:val="en-US" w:eastAsia="zh-CN" w:bidi="ar-SA"/>
              </w:rPr>
              <w:t>3</w:t>
            </w:r>
            <w:r>
              <w:rPr>
                <w:rFonts w:hint="eastAsia" w:ascii="Times New Roman" w:hAnsi="Times New Roman" w:eastAsia="宋体" w:cs="Times New Roman"/>
                <w:bCs/>
                <w:caps w:val="0"/>
                <w:color w:val="auto"/>
                <w:kern w:val="2"/>
                <w:sz w:val="24"/>
                <w:szCs w:val="24"/>
                <w:highlight w:val="none"/>
                <w:lang w:val="en-US" w:eastAsia="zh-CN" w:bidi="ar-SA"/>
              </w:rPr>
              <w:t>/h ，即1.4m</w:t>
            </w:r>
            <w:r>
              <w:rPr>
                <w:rFonts w:hint="eastAsia" w:ascii="Times New Roman" w:hAnsi="Times New Roman" w:eastAsia="宋体" w:cs="Times New Roman"/>
                <w:bCs/>
                <w:caps w:val="0"/>
                <w:color w:val="auto"/>
                <w:kern w:val="2"/>
                <w:sz w:val="24"/>
                <w:szCs w:val="24"/>
                <w:highlight w:val="none"/>
                <w:vertAlign w:val="superscript"/>
                <w:lang w:val="en-US" w:eastAsia="zh-CN" w:bidi="ar-SA"/>
              </w:rPr>
              <w:t>3</w:t>
            </w:r>
            <w:r>
              <w:rPr>
                <w:rFonts w:hint="eastAsia" w:ascii="Times New Roman" w:hAnsi="Times New Roman" w:eastAsia="宋体" w:cs="Times New Roman"/>
                <w:bCs/>
                <w:caps w:val="0"/>
                <w:color w:val="auto"/>
                <w:kern w:val="2"/>
                <w:sz w:val="24"/>
                <w:szCs w:val="24"/>
                <w:highlight w:val="none"/>
                <w:lang w:val="en-US" w:eastAsia="zh-CN" w:bidi="ar-SA"/>
              </w:rPr>
              <w:t>/d，即420.0m</w:t>
            </w:r>
            <w:r>
              <w:rPr>
                <w:rFonts w:hint="eastAsia" w:ascii="Times New Roman" w:hAnsi="Times New Roman" w:eastAsia="宋体" w:cs="Times New Roman"/>
                <w:bCs/>
                <w:caps w:val="0"/>
                <w:color w:val="auto"/>
                <w:kern w:val="2"/>
                <w:sz w:val="24"/>
                <w:szCs w:val="24"/>
                <w:highlight w:val="none"/>
                <w:vertAlign w:val="superscript"/>
                <w:lang w:val="en-US" w:eastAsia="zh-CN" w:bidi="ar-SA"/>
              </w:rPr>
              <w:t>3</w:t>
            </w:r>
            <w:r>
              <w:rPr>
                <w:rFonts w:hint="eastAsia" w:ascii="Times New Roman" w:hAnsi="Times New Roman" w:eastAsia="宋体" w:cs="Times New Roman"/>
                <w:bCs/>
                <w:caps w:val="0"/>
                <w:color w:val="auto"/>
                <w:kern w:val="2"/>
                <w:sz w:val="24"/>
                <w:szCs w:val="24"/>
                <w:highlight w:val="none"/>
                <w:lang w:val="en-US" w:eastAsia="zh-CN" w:bidi="ar-SA"/>
              </w:rPr>
              <w:t>/a</w:t>
            </w:r>
            <w:r>
              <w:rPr>
                <w:rFonts w:hint="default" w:ascii="Times New Roman" w:hAnsi="Times New Roman" w:eastAsia="宋体" w:cs="Times New Roman"/>
                <w:color w:val="auto"/>
                <w:kern w:val="0"/>
                <w:sz w:val="24"/>
                <w:szCs w:val="24"/>
                <w:highlight w:val="none"/>
                <w:lang w:val="en-US" w:eastAsia="zh-CN" w:bidi="ar-SA"/>
              </w:rPr>
              <w:t>。</w:t>
            </w:r>
          </w:p>
          <w:p w14:paraId="6B0B34A0">
            <w:pPr>
              <w:keepNext w:val="0"/>
              <w:keepLines w:val="0"/>
              <w:pageBreakBefore w:val="0"/>
              <w:kinsoku/>
              <w:overflowPunct/>
              <w:topLinePunct w:val="0"/>
              <w:autoSpaceDE/>
              <w:autoSpaceDN/>
              <w:bidi w:val="0"/>
              <w:adjustRightInd w:val="0"/>
              <w:snapToGrid w:val="0"/>
              <w:spacing w:line="360" w:lineRule="auto"/>
              <w:ind w:right="0" w:rightChars="0" w:firstLine="480" w:firstLineChars="200"/>
              <w:rPr>
                <w:rFonts w:hint="default" w:ascii="Times New Roman" w:hAnsi="Times New Roman" w:cs="Times New Roman"/>
                <w:bCs/>
                <w:color w:val="auto"/>
                <w:sz w:val="24"/>
                <w:szCs w:val="24"/>
                <w:highlight w:val="none"/>
                <w:lang w:val="en-US" w:eastAsia="zh-CN"/>
              </w:rPr>
            </w:pPr>
            <w:r>
              <w:rPr>
                <w:rFonts w:hint="default" w:ascii="Times New Roman" w:hAnsi="Times New Roman" w:cs="Times New Roman"/>
                <w:bCs/>
                <w:color w:val="auto"/>
                <w:sz w:val="24"/>
                <w:szCs w:val="24"/>
                <w:highlight w:val="none"/>
                <w:lang w:val="en-US" w:eastAsia="zh-CN"/>
              </w:rPr>
              <w:t>（2）排水</w:t>
            </w:r>
          </w:p>
          <w:p w14:paraId="116861EF">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default" w:ascii="Times New Roman" w:hAnsi="Times New Roman" w:eastAsia="宋体" w:cs="Times New Roman"/>
                <w:bCs/>
                <w:caps w:val="0"/>
                <w:color w:val="auto"/>
                <w:sz w:val="24"/>
                <w:szCs w:val="24"/>
                <w:highlight w:val="none"/>
                <w:lang w:val="en-US" w:eastAsia="zh-CN"/>
              </w:rPr>
            </w:pPr>
            <w:r>
              <w:rPr>
                <w:rFonts w:hint="default" w:ascii="Times New Roman" w:hAnsi="Times New Roman" w:eastAsia="宋体" w:cs="Times New Roman"/>
                <w:bCs/>
                <w:caps w:val="0"/>
                <w:color w:val="auto"/>
                <w:sz w:val="24"/>
                <w:szCs w:val="24"/>
                <w:highlight w:val="none"/>
                <w:lang w:val="en-US" w:eastAsia="zh-CN"/>
              </w:rPr>
              <w:t>项目设备冷却水循环使用，不外排；</w:t>
            </w:r>
            <w:r>
              <w:rPr>
                <w:rFonts w:hint="default" w:ascii="Times New Roman" w:hAnsi="Times New Roman" w:eastAsia="宋体" w:cs="Times New Roman"/>
                <w:bCs/>
                <w:caps w:val="0"/>
                <w:color w:val="auto"/>
                <w:sz w:val="24"/>
                <w:szCs w:val="24"/>
                <w:highlight w:val="none"/>
              </w:rPr>
              <w:t>生活污水量以用水量的80%计，则生活污水排放量为</w:t>
            </w:r>
            <w:r>
              <w:rPr>
                <w:rFonts w:hint="eastAsia" w:cs="Times New Roman"/>
                <w:bCs/>
                <w:caps w:val="0"/>
                <w:color w:val="auto"/>
                <w:sz w:val="24"/>
                <w:szCs w:val="24"/>
                <w:highlight w:val="none"/>
                <w:lang w:val="en-US" w:eastAsia="zh-CN"/>
              </w:rPr>
              <w:t>0.53</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/d</w:t>
            </w:r>
            <w:r>
              <w:rPr>
                <w:rFonts w:hint="default" w:ascii="Times New Roman" w:hAnsi="Times New Roman" w:eastAsia="宋体" w:cs="Times New Roman"/>
                <w:bCs/>
                <w:caps w:val="0"/>
                <w:color w:val="auto"/>
                <w:sz w:val="24"/>
                <w:szCs w:val="24"/>
                <w:highlight w:val="none"/>
                <w:lang w:eastAsia="zh-CN"/>
              </w:rPr>
              <w:t>（</w:t>
            </w:r>
            <w:r>
              <w:rPr>
                <w:rFonts w:hint="eastAsia" w:cs="Times New Roman"/>
                <w:bCs/>
                <w:caps w:val="0"/>
                <w:color w:val="auto"/>
                <w:sz w:val="24"/>
                <w:szCs w:val="24"/>
                <w:highlight w:val="none"/>
                <w:lang w:val="en-US" w:eastAsia="zh-CN"/>
              </w:rPr>
              <w:t>160.0</w:t>
            </w:r>
            <w:r>
              <w:rPr>
                <w:rFonts w:hint="default" w:ascii="Times New Roman" w:hAnsi="Times New Roman" w:eastAsia="宋体" w:cs="Times New Roman"/>
                <w:bCs/>
                <w:caps w:val="0"/>
                <w:color w:val="auto"/>
                <w:sz w:val="24"/>
                <w:szCs w:val="24"/>
                <w:highlight w:val="none"/>
              </w:rPr>
              <w:t>m</w:t>
            </w:r>
            <w:r>
              <w:rPr>
                <w:rFonts w:hint="default" w:ascii="Times New Roman" w:hAnsi="Times New Roman" w:eastAsia="宋体" w:cs="Times New Roman"/>
                <w:bCs/>
                <w:caps w:val="0"/>
                <w:color w:val="auto"/>
                <w:sz w:val="24"/>
                <w:szCs w:val="24"/>
                <w:highlight w:val="none"/>
                <w:vertAlign w:val="superscript"/>
              </w:rPr>
              <w:t>3</w:t>
            </w:r>
            <w:r>
              <w:rPr>
                <w:rFonts w:hint="default" w:ascii="Times New Roman" w:hAnsi="Times New Roman" w:eastAsia="宋体" w:cs="Times New Roman"/>
                <w:bCs/>
                <w:caps w:val="0"/>
                <w:color w:val="auto"/>
                <w:sz w:val="24"/>
                <w:szCs w:val="24"/>
                <w:highlight w:val="none"/>
              </w:rPr>
              <w:t>/a</w:t>
            </w:r>
            <w:r>
              <w:rPr>
                <w:rFonts w:hint="default" w:ascii="Times New Roman" w:hAnsi="Times New Roman" w:eastAsia="宋体" w:cs="Times New Roman"/>
                <w:bCs/>
                <w:caps w:val="0"/>
                <w:color w:val="auto"/>
                <w:sz w:val="24"/>
                <w:szCs w:val="24"/>
                <w:highlight w:val="none"/>
                <w:lang w:eastAsia="zh-CN"/>
              </w:rPr>
              <w:t>），</w:t>
            </w:r>
            <w:r>
              <w:rPr>
                <w:rFonts w:hint="default" w:ascii="Times New Roman" w:hAnsi="Times New Roman" w:eastAsia="宋体" w:cs="Times New Roman"/>
                <w:bCs/>
                <w:caps w:val="0"/>
                <w:color w:val="auto"/>
                <w:sz w:val="24"/>
                <w:szCs w:val="24"/>
                <w:highlight w:val="none"/>
                <w:lang w:val="en-US" w:eastAsia="zh-CN"/>
              </w:rPr>
              <w:t>排入化粪池预处理后，定期清掏，</w:t>
            </w:r>
            <w:r>
              <w:rPr>
                <w:rFonts w:hint="default" w:ascii="Times New Roman" w:hAnsi="Times New Roman" w:cs="Times New Roman"/>
                <w:bCs/>
                <w:caps w:val="0"/>
                <w:color w:val="auto"/>
                <w:sz w:val="24"/>
                <w:szCs w:val="24"/>
                <w:highlight w:val="none"/>
                <w:lang w:val="en-US" w:eastAsia="zh-CN"/>
              </w:rPr>
              <w:t>后用于农田施肥</w:t>
            </w:r>
            <w:r>
              <w:rPr>
                <w:rFonts w:hint="default" w:ascii="Times New Roman" w:hAnsi="Times New Roman" w:eastAsia="宋体" w:cs="Times New Roman"/>
                <w:bCs/>
                <w:caps w:val="0"/>
                <w:color w:val="auto"/>
                <w:sz w:val="24"/>
                <w:szCs w:val="24"/>
                <w:highlight w:val="none"/>
                <w:lang w:val="en-US" w:eastAsia="zh-CN"/>
              </w:rPr>
              <w:t>。</w:t>
            </w:r>
          </w:p>
          <w:p w14:paraId="49CFF29C">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textAlignment w:val="auto"/>
              <w:rPr>
                <w:rFonts w:hint="default" w:ascii="Times New Roman" w:hAnsi="Times New Roman" w:cs="Times New Roman"/>
                <w:sz w:val="24"/>
                <w:szCs w:val="24"/>
                <w:highlight w:val="none"/>
              </w:rPr>
            </w:pPr>
            <w:r>
              <w:rPr>
                <w:rFonts w:hint="default" w:ascii="Times New Roman" w:hAnsi="Times New Roman" w:eastAsia="宋体" w:cs="Times New Roman"/>
                <w:bCs/>
                <w:caps w:val="0"/>
                <w:color w:val="auto"/>
                <w:sz w:val="24"/>
                <w:szCs w:val="24"/>
                <w:highlight w:val="none"/>
              </w:rPr>
              <w:t>根据计算本项目给排水平衡表见表</w:t>
            </w:r>
            <w:r>
              <w:rPr>
                <w:rFonts w:hint="default" w:ascii="Times New Roman" w:hAnsi="Times New Roman" w:eastAsia="宋体" w:cs="Times New Roman"/>
                <w:bCs/>
                <w:caps w:val="0"/>
                <w:color w:val="auto"/>
                <w:sz w:val="24"/>
                <w:szCs w:val="24"/>
                <w:highlight w:val="none"/>
                <w:lang w:val="en-US" w:eastAsia="zh-CN"/>
              </w:rPr>
              <w:t>2-</w:t>
            </w:r>
            <w:r>
              <w:rPr>
                <w:rFonts w:hint="default" w:ascii="Times New Roman" w:hAnsi="Times New Roman" w:cs="Times New Roman"/>
                <w:bCs/>
                <w:caps w:val="0"/>
                <w:color w:val="auto"/>
                <w:sz w:val="24"/>
                <w:szCs w:val="24"/>
                <w:highlight w:val="none"/>
                <w:lang w:val="en-US" w:eastAsia="zh-CN"/>
              </w:rPr>
              <w:t>6</w:t>
            </w:r>
            <w:r>
              <w:rPr>
                <w:rFonts w:hint="default" w:ascii="Times New Roman" w:hAnsi="Times New Roman" w:eastAsia="宋体" w:cs="Times New Roman"/>
                <w:bCs/>
                <w:caps w:val="0"/>
                <w:color w:val="auto"/>
                <w:sz w:val="24"/>
                <w:szCs w:val="24"/>
                <w:highlight w:val="none"/>
              </w:rPr>
              <w:t>，项目水平衡图见图</w:t>
            </w:r>
            <w:r>
              <w:rPr>
                <w:rFonts w:hint="default" w:ascii="Times New Roman" w:hAnsi="Times New Roman" w:cs="Times New Roman"/>
                <w:bCs/>
                <w:caps w:val="0"/>
                <w:color w:val="auto"/>
                <w:sz w:val="24"/>
                <w:szCs w:val="24"/>
                <w:highlight w:val="none"/>
                <w:lang w:val="en-US" w:eastAsia="zh-CN"/>
              </w:rPr>
              <w:t>2-</w:t>
            </w:r>
            <w:r>
              <w:rPr>
                <w:rFonts w:hint="default" w:ascii="Times New Roman" w:hAnsi="Times New Roman" w:eastAsia="宋体" w:cs="Times New Roman"/>
                <w:bCs/>
                <w:caps w:val="0"/>
                <w:color w:val="auto"/>
                <w:sz w:val="24"/>
                <w:szCs w:val="24"/>
                <w:highlight w:val="none"/>
              </w:rPr>
              <w:t>1。</w:t>
            </w:r>
          </w:p>
          <w:p w14:paraId="72D5F91C">
            <w:pPr>
              <w:pStyle w:val="48"/>
              <w:adjustRightInd w:val="0"/>
              <w:snapToGrid w:val="0"/>
              <w:spacing w:line="360" w:lineRule="auto"/>
              <w:jc w:val="center"/>
              <w:rPr>
                <w:rFonts w:hint="eastAsia" w:ascii="Times New Roman" w:hAnsi="Times New Roman" w:cs="Times New Roman" w:eastAsiaTheme="majorEastAsia"/>
                <w:b/>
                <w:bCs w:val="0"/>
                <w:color w:val="auto"/>
                <w:kern w:val="2"/>
                <w:sz w:val="21"/>
                <w:szCs w:val="21"/>
                <w:highlight w:val="none"/>
                <w:lang w:val="en-US" w:eastAsia="zh-CN" w:bidi="ar-SA"/>
              </w:rPr>
            </w:pPr>
            <w:r>
              <w:rPr>
                <w:rFonts w:hint="eastAsia" w:ascii="Times New Roman" w:hAnsi="Times New Roman" w:cs="Times New Roman" w:eastAsiaTheme="majorEastAsia"/>
                <w:b/>
                <w:bCs w:val="0"/>
                <w:color w:val="auto"/>
                <w:kern w:val="2"/>
                <w:sz w:val="21"/>
                <w:szCs w:val="21"/>
                <w:highlight w:val="none"/>
                <w:lang w:val="en-US" w:eastAsia="zh-CN" w:bidi="ar-SA"/>
              </w:rPr>
              <w:t>表2-6 项目给排水平衡表  单位：m</w:t>
            </w:r>
            <w:r>
              <w:rPr>
                <w:rFonts w:hint="eastAsia" w:ascii="Times New Roman" w:hAnsi="Times New Roman" w:cs="Times New Roman" w:eastAsiaTheme="majorEastAsia"/>
                <w:b/>
                <w:bCs w:val="0"/>
                <w:color w:val="auto"/>
                <w:kern w:val="2"/>
                <w:sz w:val="21"/>
                <w:szCs w:val="21"/>
                <w:highlight w:val="none"/>
                <w:vertAlign w:val="superscript"/>
                <w:lang w:val="en-US" w:eastAsia="zh-CN" w:bidi="ar-SA"/>
              </w:rPr>
              <w:t>3</w:t>
            </w:r>
            <w:r>
              <w:rPr>
                <w:rFonts w:hint="eastAsia" w:ascii="Times New Roman" w:hAnsi="Times New Roman" w:cs="Times New Roman" w:eastAsiaTheme="majorEastAsia"/>
                <w:b/>
                <w:bCs w:val="0"/>
                <w:color w:val="auto"/>
                <w:kern w:val="2"/>
                <w:sz w:val="21"/>
                <w:szCs w:val="21"/>
                <w:highlight w:val="none"/>
                <w:lang w:val="en-US" w:eastAsia="zh-CN" w:bidi="ar-SA"/>
              </w:rPr>
              <w:t>/d</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749"/>
              <w:gridCol w:w="1620"/>
              <w:gridCol w:w="1150"/>
              <w:gridCol w:w="1090"/>
              <w:gridCol w:w="1000"/>
              <w:gridCol w:w="1119"/>
            </w:tblGrid>
            <w:tr w14:paraId="5C0B0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pct"/>
                  <w:vMerge w:val="restart"/>
                  <w:noWrap w:val="0"/>
                  <w:vAlign w:val="center"/>
                </w:tcPr>
                <w:p w14:paraId="641D9D7A">
                  <w:pPr>
                    <w:pStyle w:val="49"/>
                    <w:rPr>
                      <w:b/>
                      <w:bCs/>
                      <w:highlight w:val="none"/>
                    </w:rPr>
                  </w:pPr>
                  <w:r>
                    <w:rPr>
                      <w:b/>
                      <w:bCs/>
                      <w:highlight w:val="none"/>
                    </w:rPr>
                    <w:t>序号</w:t>
                  </w:r>
                </w:p>
              </w:tc>
              <w:tc>
                <w:tcPr>
                  <w:tcW w:w="1039" w:type="pct"/>
                  <w:vMerge w:val="restart"/>
                  <w:noWrap w:val="0"/>
                  <w:vAlign w:val="center"/>
                </w:tcPr>
                <w:p w14:paraId="6DFC01F6">
                  <w:pPr>
                    <w:pStyle w:val="49"/>
                    <w:rPr>
                      <w:b/>
                      <w:bCs/>
                      <w:highlight w:val="none"/>
                    </w:rPr>
                  </w:pPr>
                  <w:r>
                    <w:rPr>
                      <w:b/>
                      <w:bCs/>
                      <w:highlight w:val="none"/>
                    </w:rPr>
                    <w:t>名  称</w:t>
                  </w:r>
                </w:p>
              </w:tc>
              <w:tc>
                <w:tcPr>
                  <w:tcW w:w="962" w:type="pct"/>
                  <w:vMerge w:val="restart"/>
                  <w:noWrap w:val="0"/>
                  <w:vAlign w:val="center"/>
                </w:tcPr>
                <w:p w14:paraId="4BB4F0C4">
                  <w:pPr>
                    <w:pStyle w:val="49"/>
                    <w:rPr>
                      <w:b/>
                      <w:bCs/>
                      <w:highlight w:val="none"/>
                    </w:rPr>
                  </w:pPr>
                  <w:r>
                    <w:rPr>
                      <w:b/>
                      <w:bCs/>
                      <w:highlight w:val="none"/>
                    </w:rPr>
                    <w:t>用水标准</w:t>
                  </w:r>
                </w:p>
              </w:tc>
              <w:tc>
                <w:tcPr>
                  <w:tcW w:w="1331" w:type="pct"/>
                  <w:gridSpan w:val="2"/>
                  <w:noWrap w:val="0"/>
                  <w:vAlign w:val="center"/>
                </w:tcPr>
                <w:p w14:paraId="10E971F4">
                  <w:pPr>
                    <w:pStyle w:val="49"/>
                    <w:rPr>
                      <w:b/>
                      <w:bCs/>
                      <w:highlight w:val="none"/>
                    </w:rPr>
                  </w:pPr>
                  <w:r>
                    <w:rPr>
                      <w:b/>
                      <w:bCs/>
                      <w:highlight w:val="none"/>
                    </w:rPr>
                    <w:t>用水量</w:t>
                  </w:r>
                </w:p>
              </w:tc>
              <w:tc>
                <w:tcPr>
                  <w:tcW w:w="1259" w:type="pct"/>
                  <w:gridSpan w:val="2"/>
                  <w:noWrap w:val="0"/>
                  <w:vAlign w:val="center"/>
                </w:tcPr>
                <w:p w14:paraId="716C85A2">
                  <w:pPr>
                    <w:pStyle w:val="49"/>
                    <w:rPr>
                      <w:b/>
                      <w:bCs/>
                      <w:highlight w:val="none"/>
                    </w:rPr>
                  </w:pPr>
                  <w:r>
                    <w:rPr>
                      <w:b/>
                      <w:bCs/>
                      <w:highlight w:val="none"/>
                    </w:rPr>
                    <w:t>排水量</w:t>
                  </w:r>
                </w:p>
              </w:tc>
            </w:tr>
            <w:tr w14:paraId="6C95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pct"/>
                  <w:vMerge w:val="continue"/>
                  <w:noWrap w:val="0"/>
                  <w:vAlign w:val="center"/>
                </w:tcPr>
                <w:p w14:paraId="3012D1FE">
                  <w:pPr>
                    <w:pStyle w:val="49"/>
                    <w:rPr>
                      <w:highlight w:val="none"/>
                    </w:rPr>
                  </w:pPr>
                </w:p>
              </w:tc>
              <w:tc>
                <w:tcPr>
                  <w:tcW w:w="1039" w:type="pct"/>
                  <w:vMerge w:val="continue"/>
                  <w:noWrap w:val="0"/>
                  <w:vAlign w:val="center"/>
                </w:tcPr>
                <w:p w14:paraId="4DE43513">
                  <w:pPr>
                    <w:pStyle w:val="49"/>
                    <w:rPr>
                      <w:highlight w:val="none"/>
                    </w:rPr>
                  </w:pPr>
                </w:p>
              </w:tc>
              <w:tc>
                <w:tcPr>
                  <w:tcW w:w="962" w:type="pct"/>
                  <w:vMerge w:val="continue"/>
                  <w:noWrap w:val="0"/>
                  <w:vAlign w:val="center"/>
                </w:tcPr>
                <w:p w14:paraId="5BF1211C">
                  <w:pPr>
                    <w:pStyle w:val="49"/>
                    <w:rPr>
                      <w:highlight w:val="none"/>
                    </w:rPr>
                  </w:pPr>
                </w:p>
              </w:tc>
              <w:tc>
                <w:tcPr>
                  <w:tcW w:w="683" w:type="pct"/>
                  <w:noWrap w:val="0"/>
                  <w:vAlign w:val="center"/>
                </w:tcPr>
                <w:p w14:paraId="17453BF8">
                  <w:pPr>
                    <w:pStyle w:val="49"/>
                    <w:rPr>
                      <w:highlight w:val="none"/>
                    </w:rPr>
                  </w:pPr>
                  <w:r>
                    <w:rPr>
                      <w:highlight w:val="none"/>
                    </w:rPr>
                    <w:t>t/d</w:t>
                  </w:r>
                </w:p>
              </w:tc>
              <w:tc>
                <w:tcPr>
                  <w:tcW w:w="647" w:type="pct"/>
                  <w:noWrap w:val="0"/>
                  <w:vAlign w:val="center"/>
                </w:tcPr>
                <w:p w14:paraId="4B289AFB">
                  <w:pPr>
                    <w:pStyle w:val="49"/>
                    <w:rPr>
                      <w:highlight w:val="none"/>
                    </w:rPr>
                  </w:pPr>
                  <w:r>
                    <w:rPr>
                      <w:highlight w:val="none"/>
                    </w:rPr>
                    <w:t>t/a</w:t>
                  </w:r>
                </w:p>
              </w:tc>
              <w:tc>
                <w:tcPr>
                  <w:tcW w:w="594" w:type="pct"/>
                  <w:noWrap w:val="0"/>
                  <w:vAlign w:val="center"/>
                </w:tcPr>
                <w:p w14:paraId="61CB269F">
                  <w:pPr>
                    <w:pStyle w:val="49"/>
                    <w:rPr>
                      <w:highlight w:val="none"/>
                    </w:rPr>
                  </w:pPr>
                  <w:r>
                    <w:rPr>
                      <w:highlight w:val="none"/>
                    </w:rPr>
                    <w:t>t/d</w:t>
                  </w:r>
                </w:p>
              </w:tc>
              <w:tc>
                <w:tcPr>
                  <w:tcW w:w="664" w:type="pct"/>
                  <w:noWrap w:val="0"/>
                  <w:vAlign w:val="center"/>
                </w:tcPr>
                <w:p w14:paraId="076BA157">
                  <w:pPr>
                    <w:pStyle w:val="49"/>
                    <w:rPr>
                      <w:highlight w:val="none"/>
                    </w:rPr>
                  </w:pPr>
                  <w:r>
                    <w:rPr>
                      <w:highlight w:val="none"/>
                    </w:rPr>
                    <w:t>t/a</w:t>
                  </w:r>
                </w:p>
              </w:tc>
            </w:tr>
            <w:tr w14:paraId="2E48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7" w:type="pct"/>
                  <w:noWrap w:val="0"/>
                  <w:vAlign w:val="center"/>
                </w:tcPr>
                <w:p w14:paraId="14C6FDAE">
                  <w:pPr>
                    <w:pStyle w:val="49"/>
                    <w:rPr>
                      <w:highlight w:val="none"/>
                    </w:rPr>
                  </w:pPr>
                  <w:r>
                    <w:rPr>
                      <w:highlight w:val="none"/>
                    </w:rPr>
                    <w:t>1</w:t>
                  </w:r>
                </w:p>
              </w:tc>
              <w:tc>
                <w:tcPr>
                  <w:tcW w:w="1039" w:type="pct"/>
                  <w:noWrap w:val="0"/>
                  <w:vAlign w:val="center"/>
                </w:tcPr>
                <w:p w14:paraId="4BA7D216">
                  <w:pPr>
                    <w:pStyle w:val="49"/>
                    <w:rPr>
                      <w:highlight w:val="none"/>
                    </w:rPr>
                  </w:pPr>
                  <w:r>
                    <w:rPr>
                      <w:highlight w:val="none"/>
                    </w:rPr>
                    <w:t>职工生活用水</w:t>
                  </w:r>
                </w:p>
              </w:tc>
              <w:tc>
                <w:tcPr>
                  <w:tcW w:w="962" w:type="pct"/>
                  <w:noWrap w:val="0"/>
                  <w:vAlign w:val="center"/>
                </w:tcPr>
                <w:p w14:paraId="40EF5317">
                  <w:pPr>
                    <w:pStyle w:val="49"/>
                    <w:jc w:val="center"/>
                    <w:rPr>
                      <w:color w:val="auto"/>
                      <w:highlight w:val="none"/>
                    </w:rPr>
                  </w:pPr>
                  <w:r>
                    <w:rPr>
                      <w:rFonts w:hint="eastAsia" w:ascii="Times New Roman" w:hAnsi="Times New Roman" w:cs="Times New Roman"/>
                      <w:color w:val="auto"/>
                      <w:kern w:val="0"/>
                      <w:sz w:val="21"/>
                      <w:szCs w:val="21"/>
                      <w:highlight w:val="none"/>
                      <w:lang w:val="en-US" w:eastAsia="zh-CN"/>
                    </w:rPr>
                    <w:t>25</w:t>
                  </w:r>
                  <w:r>
                    <w:rPr>
                      <w:rFonts w:hint="default" w:ascii="Times New Roman" w:hAnsi="Times New Roman" w:cs="Times New Roman"/>
                      <w:color w:val="auto"/>
                      <w:kern w:val="0"/>
                      <w:sz w:val="21"/>
                      <w:szCs w:val="21"/>
                      <w:highlight w:val="none"/>
                      <w:lang w:val="en-US" w:eastAsia="zh-CN"/>
                    </w:rPr>
                    <w:t>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val="en-US" w:eastAsia="zh-CN" w:bidi="ar-SA"/>
                    </w:rPr>
                    <w:t>（人·a</w:t>
                  </w:r>
                  <w:r>
                    <w:rPr>
                      <w:rFonts w:hint="default" w:ascii="Times New Roman" w:hAnsi="Times New Roman" w:cs="Times New Roman"/>
                      <w:color w:val="auto"/>
                      <w:kern w:val="0"/>
                      <w:sz w:val="21"/>
                      <w:szCs w:val="21"/>
                      <w:highlight w:val="none"/>
                    </w:rPr>
                    <w:t>）</w:t>
                  </w:r>
                </w:p>
              </w:tc>
              <w:tc>
                <w:tcPr>
                  <w:tcW w:w="683" w:type="pct"/>
                  <w:noWrap w:val="0"/>
                  <w:vAlign w:val="center"/>
                </w:tcPr>
                <w:p w14:paraId="1A5DC26E">
                  <w:pPr>
                    <w:pStyle w:val="49"/>
                    <w:jc w:val="center"/>
                    <w:rPr>
                      <w:rFonts w:hint="default" w:eastAsia="宋体"/>
                      <w:color w:val="auto"/>
                      <w:highlight w:val="none"/>
                      <w:lang w:val="en-US" w:eastAsia="zh-CN"/>
                    </w:rPr>
                  </w:pPr>
                  <w:r>
                    <w:rPr>
                      <w:rFonts w:hint="eastAsia" w:cs="Times New Roman"/>
                      <w:color w:val="auto"/>
                      <w:kern w:val="0"/>
                      <w:sz w:val="21"/>
                      <w:szCs w:val="21"/>
                      <w:highlight w:val="none"/>
                      <w:lang w:val="en-US" w:eastAsia="zh-CN" w:bidi="ar-SA"/>
                    </w:rPr>
                    <w:t>0.67</w:t>
                  </w:r>
                </w:p>
              </w:tc>
              <w:tc>
                <w:tcPr>
                  <w:tcW w:w="647" w:type="pct"/>
                  <w:noWrap w:val="0"/>
                  <w:vAlign w:val="center"/>
                </w:tcPr>
                <w:p w14:paraId="4AA41878">
                  <w:pPr>
                    <w:pStyle w:val="49"/>
                    <w:jc w:val="center"/>
                    <w:rPr>
                      <w:rFonts w:hint="default" w:eastAsia="宋体"/>
                      <w:color w:val="auto"/>
                      <w:highlight w:val="none"/>
                      <w:lang w:val="en-US" w:eastAsia="zh-CN"/>
                    </w:rPr>
                  </w:pPr>
                  <w:r>
                    <w:rPr>
                      <w:rFonts w:hint="eastAsia" w:ascii="Times New Roman" w:hAnsi="Times New Roman" w:eastAsia="宋体" w:cs="Times New Roman"/>
                      <w:color w:val="auto"/>
                      <w:kern w:val="0"/>
                      <w:sz w:val="21"/>
                      <w:szCs w:val="21"/>
                      <w:highlight w:val="none"/>
                      <w:lang w:val="en-US" w:eastAsia="zh-CN" w:bidi="ar-SA"/>
                    </w:rPr>
                    <w:t>200.0</w:t>
                  </w:r>
                </w:p>
              </w:tc>
              <w:tc>
                <w:tcPr>
                  <w:tcW w:w="594" w:type="pct"/>
                  <w:shd w:val="clear" w:color="auto" w:fill="auto"/>
                  <w:noWrap w:val="0"/>
                  <w:vAlign w:val="center"/>
                </w:tcPr>
                <w:p w14:paraId="30F30B8E">
                  <w:pPr>
                    <w:pStyle w:val="49"/>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0.53</w:t>
                  </w:r>
                </w:p>
              </w:tc>
              <w:tc>
                <w:tcPr>
                  <w:tcW w:w="664" w:type="pct"/>
                  <w:shd w:val="clear" w:color="auto" w:fill="auto"/>
                  <w:noWrap w:val="0"/>
                  <w:vAlign w:val="center"/>
                </w:tcPr>
                <w:p w14:paraId="0862490D">
                  <w:pPr>
                    <w:pStyle w:val="49"/>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160.0</w:t>
                  </w:r>
                </w:p>
              </w:tc>
            </w:tr>
            <w:tr w14:paraId="026D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07" w:type="pct"/>
                  <w:noWrap w:val="0"/>
                  <w:vAlign w:val="center"/>
                </w:tcPr>
                <w:p w14:paraId="7A768E23">
                  <w:pPr>
                    <w:pStyle w:val="49"/>
                    <w:rPr>
                      <w:highlight w:val="none"/>
                    </w:rPr>
                  </w:pPr>
                  <w:r>
                    <w:rPr>
                      <w:highlight w:val="none"/>
                    </w:rPr>
                    <w:t>2</w:t>
                  </w:r>
                </w:p>
              </w:tc>
              <w:tc>
                <w:tcPr>
                  <w:tcW w:w="1039" w:type="pct"/>
                  <w:noWrap w:val="0"/>
                  <w:vAlign w:val="center"/>
                </w:tcPr>
                <w:p w14:paraId="564DB466">
                  <w:pPr>
                    <w:pStyle w:val="49"/>
                    <w:rPr>
                      <w:highlight w:val="none"/>
                    </w:rPr>
                  </w:pPr>
                  <w:r>
                    <w:rPr>
                      <w:highlight w:val="none"/>
                    </w:rPr>
                    <w:t>循环水补水</w:t>
                  </w:r>
                </w:p>
              </w:tc>
              <w:tc>
                <w:tcPr>
                  <w:tcW w:w="962" w:type="pct"/>
                  <w:noWrap w:val="0"/>
                  <w:vAlign w:val="center"/>
                </w:tcPr>
                <w:p w14:paraId="25DDE164">
                  <w:pPr>
                    <w:pStyle w:val="49"/>
                    <w:ind w:firstLine="210" w:firstLineChars="100"/>
                    <w:jc w:val="both"/>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1.4</w:t>
                  </w:r>
                  <w:r>
                    <w:rPr>
                      <w:rFonts w:hint="default" w:ascii="Times New Roman" w:hAnsi="Times New Roman" w:eastAsia="宋体" w:cs="Times New Roman"/>
                      <w:color w:val="auto"/>
                      <w:kern w:val="0"/>
                      <w:sz w:val="21"/>
                      <w:szCs w:val="21"/>
                      <w:highlight w:val="none"/>
                      <w:lang w:val="en-US" w:eastAsia="zh-CN" w:bidi="ar-SA"/>
                    </w:rPr>
                    <w:t>m</w:t>
                  </w:r>
                  <w:r>
                    <w:rPr>
                      <w:rFonts w:hint="default" w:ascii="Times New Roman" w:hAnsi="Times New Roman" w:eastAsia="宋体" w:cs="Times New Roman"/>
                      <w:color w:val="auto"/>
                      <w:kern w:val="0"/>
                      <w:sz w:val="21"/>
                      <w:szCs w:val="21"/>
                      <w:highlight w:val="none"/>
                      <w:vertAlign w:val="superscript"/>
                      <w:lang w:val="en-US" w:eastAsia="zh-CN" w:bidi="ar-SA"/>
                    </w:rPr>
                    <w:t>3</w:t>
                  </w:r>
                  <w:r>
                    <w:rPr>
                      <w:rFonts w:hint="default" w:ascii="Times New Roman" w:hAnsi="Times New Roman" w:eastAsia="宋体" w:cs="Times New Roman"/>
                      <w:color w:val="auto"/>
                      <w:kern w:val="0"/>
                      <w:sz w:val="21"/>
                      <w:szCs w:val="21"/>
                      <w:highlight w:val="none"/>
                      <w:lang w:val="en-US" w:eastAsia="zh-CN" w:bidi="ar-SA"/>
                    </w:rPr>
                    <w:t>/d</w:t>
                  </w:r>
                </w:p>
              </w:tc>
              <w:tc>
                <w:tcPr>
                  <w:tcW w:w="683" w:type="pct"/>
                  <w:noWrap w:val="0"/>
                  <w:vAlign w:val="center"/>
                </w:tcPr>
                <w:p w14:paraId="1226A846">
                  <w:pPr>
                    <w:pStyle w:val="49"/>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1.4</w:t>
                  </w:r>
                </w:p>
              </w:tc>
              <w:tc>
                <w:tcPr>
                  <w:tcW w:w="647" w:type="pct"/>
                  <w:noWrap w:val="0"/>
                  <w:vAlign w:val="center"/>
                </w:tcPr>
                <w:p w14:paraId="44A45217">
                  <w:pPr>
                    <w:pStyle w:val="49"/>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420</w:t>
                  </w:r>
                </w:p>
              </w:tc>
              <w:tc>
                <w:tcPr>
                  <w:tcW w:w="594" w:type="pct"/>
                  <w:noWrap w:val="0"/>
                  <w:vAlign w:val="center"/>
                </w:tcPr>
                <w:p w14:paraId="450AE178">
                  <w:pPr>
                    <w:pStyle w:val="49"/>
                    <w:jc w:val="center"/>
                    <w:rPr>
                      <w:rFonts w:hint="eastAsia" w:eastAsia="宋体"/>
                      <w:color w:val="auto"/>
                      <w:highlight w:val="none"/>
                      <w:lang w:val="en-US" w:eastAsia="zh-CN"/>
                    </w:rPr>
                  </w:pPr>
                  <w:r>
                    <w:rPr>
                      <w:rFonts w:hint="eastAsia"/>
                      <w:color w:val="auto"/>
                      <w:highlight w:val="none"/>
                      <w:lang w:val="en-US" w:eastAsia="zh-CN"/>
                    </w:rPr>
                    <w:t>/</w:t>
                  </w:r>
                </w:p>
              </w:tc>
              <w:tc>
                <w:tcPr>
                  <w:tcW w:w="664" w:type="pct"/>
                  <w:noWrap w:val="0"/>
                  <w:vAlign w:val="center"/>
                </w:tcPr>
                <w:p w14:paraId="7F1AF70E">
                  <w:pPr>
                    <w:pStyle w:val="49"/>
                    <w:jc w:val="center"/>
                    <w:rPr>
                      <w:rFonts w:hint="eastAsia" w:eastAsia="宋体"/>
                      <w:color w:val="auto"/>
                      <w:highlight w:val="none"/>
                      <w:lang w:val="en-US" w:eastAsia="zh-CN"/>
                    </w:rPr>
                  </w:pPr>
                  <w:r>
                    <w:rPr>
                      <w:rFonts w:hint="eastAsia"/>
                      <w:color w:val="auto"/>
                      <w:highlight w:val="none"/>
                      <w:lang w:val="en-US" w:eastAsia="zh-CN"/>
                    </w:rPr>
                    <w:t>/</w:t>
                  </w:r>
                </w:p>
              </w:tc>
            </w:tr>
            <w:tr w14:paraId="3AE6C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7" w:type="pct"/>
                  <w:noWrap w:val="0"/>
                  <w:vAlign w:val="center"/>
                </w:tcPr>
                <w:p w14:paraId="4D684148">
                  <w:pPr>
                    <w:pStyle w:val="49"/>
                    <w:rPr>
                      <w:rFonts w:hint="eastAsia" w:eastAsia="宋体"/>
                      <w:highlight w:val="none"/>
                      <w:lang w:val="en-US" w:eastAsia="zh-CN"/>
                    </w:rPr>
                  </w:pPr>
                  <w:r>
                    <w:rPr>
                      <w:rFonts w:hint="eastAsia"/>
                      <w:highlight w:val="none"/>
                      <w:lang w:val="en-US" w:eastAsia="zh-CN"/>
                    </w:rPr>
                    <w:t>3</w:t>
                  </w:r>
                </w:p>
              </w:tc>
              <w:tc>
                <w:tcPr>
                  <w:tcW w:w="1039" w:type="pct"/>
                  <w:noWrap w:val="0"/>
                  <w:vAlign w:val="center"/>
                </w:tcPr>
                <w:p w14:paraId="68C57A1C">
                  <w:pPr>
                    <w:pStyle w:val="49"/>
                    <w:rPr>
                      <w:highlight w:val="none"/>
                    </w:rPr>
                  </w:pPr>
                  <w:r>
                    <w:rPr>
                      <w:highlight w:val="none"/>
                    </w:rPr>
                    <w:t>合计</w:t>
                  </w:r>
                </w:p>
              </w:tc>
              <w:tc>
                <w:tcPr>
                  <w:tcW w:w="962" w:type="pct"/>
                  <w:noWrap w:val="0"/>
                  <w:vAlign w:val="center"/>
                </w:tcPr>
                <w:p w14:paraId="64602648">
                  <w:pPr>
                    <w:pStyle w:val="49"/>
                    <w:jc w:val="center"/>
                    <w:rPr>
                      <w:color w:val="auto"/>
                      <w:highlight w:val="none"/>
                    </w:rPr>
                  </w:pPr>
                  <w:r>
                    <w:rPr>
                      <w:color w:val="auto"/>
                      <w:highlight w:val="none"/>
                    </w:rPr>
                    <w:t>/</w:t>
                  </w:r>
                </w:p>
              </w:tc>
              <w:tc>
                <w:tcPr>
                  <w:tcW w:w="683" w:type="pct"/>
                  <w:noWrap w:val="0"/>
                  <w:vAlign w:val="center"/>
                </w:tcPr>
                <w:p w14:paraId="651AC5B1">
                  <w:pPr>
                    <w:pStyle w:val="49"/>
                    <w:jc w:val="center"/>
                    <w:rPr>
                      <w:rFonts w:hint="default" w:eastAsia="宋体"/>
                      <w:color w:val="auto"/>
                      <w:highlight w:val="none"/>
                      <w:lang w:val="en-US" w:eastAsia="zh-CN"/>
                    </w:rPr>
                  </w:pPr>
                  <w:r>
                    <w:rPr>
                      <w:rFonts w:hint="eastAsia"/>
                      <w:color w:val="auto"/>
                      <w:highlight w:val="none"/>
                      <w:lang w:val="en-US" w:eastAsia="zh-CN"/>
                    </w:rPr>
                    <w:t>2.07</w:t>
                  </w:r>
                </w:p>
              </w:tc>
              <w:tc>
                <w:tcPr>
                  <w:tcW w:w="647" w:type="pct"/>
                  <w:noWrap w:val="0"/>
                  <w:vAlign w:val="center"/>
                </w:tcPr>
                <w:p w14:paraId="6EF12832">
                  <w:pPr>
                    <w:pStyle w:val="49"/>
                    <w:jc w:val="center"/>
                    <w:rPr>
                      <w:rFonts w:hint="default" w:eastAsia="宋体"/>
                      <w:color w:val="auto"/>
                      <w:highlight w:val="none"/>
                      <w:lang w:val="en-US" w:eastAsia="zh-CN"/>
                    </w:rPr>
                  </w:pPr>
                  <w:r>
                    <w:rPr>
                      <w:rFonts w:hint="eastAsia"/>
                      <w:color w:val="auto"/>
                      <w:highlight w:val="none"/>
                      <w:lang w:val="en-US" w:eastAsia="zh-CN"/>
                    </w:rPr>
                    <w:t>620</w:t>
                  </w:r>
                </w:p>
              </w:tc>
              <w:tc>
                <w:tcPr>
                  <w:tcW w:w="1000" w:type="dxa"/>
                  <w:noWrap w:val="0"/>
                  <w:vAlign w:val="center"/>
                </w:tcPr>
                <w:p w14:paraId="70BDFF1A">
                  <w:pPr>
                    <w:pStyle w:val="49"/>
                    <w:jc w:val="center"/>
                    <w:rPr>
                      <w:rFonts w:hint="default" w:eastAsia="宋体"/>
                      <w:color w:val="auto"/>
                      <w:highlight w:val="none"/>
                      <w:lang w:val="en-US" w:eastAsia="zh-CN"/>
                    </w:rPr>
                  </w:pPr>
                  <w:r>
                    <w:rPr>
                      <w:rFonts w:hint="eastAsia" w:cs="Times New Roman"/>
                      <w:color w:val="auto"/>
                      <w:kern w:val="0"/>
                      <w:sz w:val="21"/>
                      <w:szCs w:val="21"/>
                      <w:highlight w:val="none"/>
                      <w:lang w:val="en-US" w:eastAsia="zh-CN" w:bidi="ar-SA"/>
                    </w:rPr>
                    <w:t>0.53</w:t>
                  </w:r>
                </w:p>
              </w:tc>
              <w:tc>
                <w:tcPr>
                  <w:tcW w:w="1119" w:type="dxa"/>
                  <w:noWrap w:val="0"/>
                  <w:vAlign w:val="center"/>
                </w:tcPr>
                <w:p w14:paraId="2D247897">
                  <w:pPr>
                    <w:pStyle w:val="49"/>
                    <w:jc w:val="center"/>
                    <w:rPr>
                      <w:rFonts w:hint="default" w:eastAsia="宋体"/>
                      <w:color w:val="auto"/>
                      <w:highlight w:val="none"/>
                      <w:lang w:val="en-US" w:eastAsia="zh-CN"/>
                    </w:rPr>
                  </w:pPr>
                  <w:r>
                    <w:rPr>
                      <w:rFonts w:hint="eastAsia" w:ascii="Times New Roman" w:hAnsi="Times New Roman" w:eastAsia="宋体" w:cs="Times New Roman"/>
                      <w:color w:val="auto"/>
                      <w:kern w:val="0"/>
                      <w:sz w:val="21"/>
                      <w:szCs w:val="21"/>
                      <w:highlight w:val="none"/>
                      <w:lang w:val="en-US" w:eastAsia="zh-CN" w:bidi="ar-SA"/>
                    </w:rPr>
                    <w:t>160.0</w:t>
                  </w:r>
                </w:p>
              </w:tc>
            </w:tr>
          </w:tbl>
          <w:p w14:paraId="647917A9">
            <w:pPr>
              <w:adjustRightInd w:val="0"/>
              <w:snapToGrid w:val="0"/>
              <w:spacing w:line="360" w:lineRule="auto"/>
              <w:jc w:val="both"/>
              <w:rPr>
                <w:highlight w:val="yellow"/>
              </w:rPr>
            </w:pPr>
            <w:r>
              <mc:AlternateContent>
                <mc:Choice Requires="wpc">
                  <w:drawing>
                    <wp:inline distT="0" distB="0" distL="0" distR="0">
                      <wp:extent cx="5349240" cy="1572260"/>
                      <wp:effectExtent l="0" t="0" r="0" b="0"/>
                      <wp:docPr id="30" name="画布 3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49" name="Text Box 36"/>
                              <wps:cNvSpPr txBox="1">
                                <a:spLocks noChangeArrowheads="1"/>
                              </wps:cNvSpPr>
                              <wps:spPr bwMode="auto">
                                <a:xfrm>
                                  <a:off x="1263650" y="905510"/>
                                  <a:ext cx="457200" cy="390525"/>
                                </a:xfrm>
                                <a:prstGeom prst="rect">
                                  <a:avLst/>
                                </a:prstGeom>
                                <a:solidFill>
                                  <a:srgbClr val="FFFFFF"/>
                                </a:solidFill>
                                <a:ln>
                                  <a:noFill/>
                                </a:ln>
                              </wps:spPr>
                              <wps:txbx>
                                <w:txbxContent>
                                  <w:p w14:paraId="0A81C611">
                                    <w:pPr>
                                      <w:rPr>
                                        <w:rFonts w:hint="default" w:eastAsia="宋体"/>
                                        <w:lang w:val="en-US" w:eastAsia="zh-CN"/>
                                      </w:rPr>
                                    </w:pPr>
                                    <w:r>
                                      <w:rPr>
                                        <w:rFonts w:hint="eastAsia"/>
                                        <w:lang w:val="en-US" w:eastAsia="zh-CN"/>
                                      </w:rPr>
                                      <w:t>1.4</w:t>
                                    </w:r>
                                  </w:p>
                                </w:txbxContent>
                              </wps:txbx>
                              <wps:bodyPr rot="0" vert="horz" wrap="square" lIns="91440" tIns="45720" rIns="91440" bIns="45720" anchor="t" anchorCtr="0" upright="1">
                                <a:noAutofit/>
                              </wps:bodyPr>
                            </wps:wsp>
                            <wps:wsp>
                              <wps:cNvPr id="150" name="Text Box 37"/>
                              <wps:cNvSpPr txBox="1">
                                <a:spLocks noChangeArrowheads="1"/>
                              </wps:cNvSpPr>
                              <wps:spPr bwMode="auto">
                                <a:xfrm>
                                  <a:off x="1268730" y="288925"/>
                                  <a:ext cx="640080" cy="390525"/>
                                </a:xfrm>
                                <a:prstGeom prst="rect">
                                  <a:avLst/>
                                </a:prstGeom>
                                <a:solidFill>
                                  <a:srgbClr val="FFFFFF"/>
                                </a:solidFill>
                                <a:ln>
                                  <a:noFill/>
                                </a:ln>
                              </wps:spPr>
                              <wps:txbx>
                                <w:txbxContent>
                                  <w:p w14:paraId="42868A00">
                                    <w:pPr>
                                      <w:rPr>
                                        <w:rFonts w:hint="default" w:eastAsia="宋体"/>
                                        <w:lang w:val="en-US" w:eastAsia="zh-CN"/>
                                      </w:rPr>
                                    </w:pPr>
                                    <w:r>
                                      <w:rPr>
                                        <w:rFonts w:hint="eastAsia"/>
                                        <w:lang w:val="en-US" w:eastAsia="zh-CN"/>
                                      </w:rPr>
                                      <w:t>0.67</w:t>
                                    </w:r>
                                  </w:p>
                                </w:txbxContent>
                              </wps:txbx>
                              <wps:bodyPr rot="0" vert="horz" wrap="square" lIns="91440" tIns="45720" rIns="91440" bIns="45720" anchor="t" anchorCtr="0" upright="1">
                                <a:noAutofit/>
                              </wps:bodyPr>
                            </wps:wsp>
                            <wps:wsp>
                              <wps:cNvPr id="151" name="Text Box 38"/>
                              <wps:cNvSpPr txBox="1">
                                <a:spLocks noChangeArrowheads="1"/>
                              </wps:cNvSpPr>
                              <wps:spPr bwMode="auto">
                                <a:xfrm>
                                  <a:off x="796925" y="459105"/>
                                  <a:ext cx="551815" cy="390525"/>
                                </a:xfrm>
                                <a:prstGeom prst="rect">
                                  <a:avLst/>
                                </a:prstGeom>
                                <a:solidFill>
                                  <a:srgbClr val="FFFFFF"/>
                                </a:solidFill>
                                <a:ln>
                                  <a:noFill/>
                                </a:ln>
                              </wps:spPr>
                              <wps:txbx>
                                <w:txbxContent>
                                  <w:p w14:paraId="6EE3C347">
                                    <w:pPr>
                                      <w:rPr>
                                        <w:rFonts w:hint="default" w:eastAsia="宋体"/>
                                        <w:lang w:val="en-US" w:eastAsia="zh-CN"/>
                                      </w:rPr>
                                    </w:pPr>
                                    <w:r>
                                      <w:rPr>
                                        <w:rFonts w:hint="eastAsia"/>
                                        <w:lang w:val="en-US" w:eastAsia="zh-CN"/>
                                      </w:rPr>
                                      <w:t>2.07</w:t>
                                    </w:r>
                                  </w:p>
                                </w:txbxContent>
                              </wps:txbx>
                              <wps:bodyPr rot="0" vert="horz" wrap="square" lIns="91440" tIns="45720" rIns="91440" bIns="45720" anchor="t" anchorCtr="0" upright="1">
                                <a:noAutofit/>
                              </wps:bodyPr>
                            </wps:wsp>
                            <wps:wsp>
                              <wps:cNvPr id="152" name="Text Box 39"/>
                              <wps:cNvSpPr txBox="1">
                                <a:spLocks noChangeArrowheads="1"/>
                              </wps:cNvSpPr>
                              <wps:spPr bwMode="auto">
                                <a:xfrm>
                                  <a:off x="109220" y="677545"/>
                                  <a:ext cx="839470" cy="304165"/>
                                </a:xfrm>
                                <a:prstGeom prst="rect">
                                  <a:avLst/>
                                </a:prstGeom>
                                <a:solidFill>
                                  <a:srgbClr val="FFFFFF"/>
                                </a:solidFill>
                                <a:ln w="9525">
                                  <a:solidFill>
                                    <a:srgbClr val="000000"/>
                                  </a:solidFill>
                                  <a:miter lim="800000"/>
                                </a:ln>
                              </wps:spPr>
                              <wps:txbx>
                                <w:txbxContent>
                                  <w:p w14:paraId="11F15705">
                                    <w:pPr>
                                      <w:jc w:val="center"/>
                                      <w:rPr>
                                        <w:rFonts w:hint="eastAsia" w:eastAsia="宋体"/>
                                        <w:lang w:eastAsia="zh-CN"/>
                                      </w:rPr>
                                    </w:pPr>
                                    <w:r>
                                      <w:rPr>
                                        <w:rFonts w:hint="eastAsia"/>
                                        <w:lang w:eastAsia="zh-CN"/>
                                      </w:rPr>
                                      <w:t>厂房供水</w:t>
                                    </w:r>
                                  </w:p>
                                </w:txbxContent>
                              </wps:txbx>
                              <wps:bodyPr rot="0" vert="horz" wrap="square" lIns="91440" tIns="45720" rIns="91440" bIns="45720" anchor="t" anchorCtr="0" upright="1">
                                <a:noAutofit/>
                              </wps:bodyPr>
                            </wps:wsp>
                            <wps:wsp>
                              <wps:cNvPr id="153" name="AutoShape 40"/>
                              <wps:cNvCnPr>
                                <a:cxnSpLocks noChangeShapeType="1"/>
                                <a:stCxn id="10" idx="3"/>
                              </wps:cNvCnPr>
                              <wps:spPr bwMode="auto">
                                <a:xfrm>
                                  <a:off x="1908810" y="484505"/>
                                  <a:ext cx="314325" cy="4445"/>
                                </a:xfrm>
                                <a:prstGeom prst="straightConnector1">
                                  <a:avLst/>
                                </a:prstGeom>
                                <a:noFill/>
                                <a:ln w="9525">
                                  <a:solidFill>
                                    <a:srgbClr val="000000"/>
                                  </a:solidFill>
                                  <a:round/>
                                </a:ln>
                              </wps:spPr>
                              <wps:bodyPr/>
                            </wps:wsp>
                            <wps:wsp>
                              <wps:cNvPr id="154" name="AutoShape 41"/>
                              <wps:cNvCnPr>
                                <a:cxnSpLocks noChangeShapeType="1"/>
                              </wps:cNvCnPr>
                              <wps:spPr bwMode="auto">
                                <a:xfrm flipH="1">
                                  <a:off x="1263015" y="543560"/>
                                  <a:ext cx="635" cy="590550"/>
                                </a:xfrm>
                                <a:prstGeom prst="straightConnector1">
                                  <a:avLst/>
                                </a:prstGeom>
                                <a:noFill/>
                                <a:ln w="9525">
                                  <a:solidFill>
                                    <a:srgbClr val="000000"/>
                                  </a:solidFill>
                                  <a:round/>
                                </a:ln>
                              </wps:spPr>
                              <wps:bodyPr/>
                            </wps:wsp>
                            <wps:wsp>
                              <wps:cNvPr id="155" name="AutoShape 42"/>
                              <wps:cNvCnPr>
                                <a:cxnSpLocks noChangeShapeType="1"/>
                              </wps:cNvCnPr>
                              <wps:spPr bwMode="auto">
                                <a:xfrm>
                                  <a:off x="1263650" y="543560"/>
                                  <a:ext cx="618490" cy="635"/>
                                </a:xfrm>
                                <a:prstGeom prst="straightConnector1">
                                  <a:avLst/>
                                </a:prstGeom>
                                <a:noFill/>
                                <a:ln w="9525">
                                  <a:solidFill>
                                    <a:srgbClr val="000000"/>
                                  </a:solidFill>
                                  <a:round/>
                                  <a:tailEnd type="triangle" w="med" len="med"/>
                                </a:ln>
                              </wps:spPr>
                              <wps:bodyPr/>
                            </wps:wsp>
                            <wps:wsp>
                              <wps:cNvPr id="156" name="AutoShape 43"/>
                              <wps:cNvCnPr>
                                <a:cxnSpLocks noChangeShapeType="1"/>
                              </wps:cNvCnPr>
                              <wps:spPr bwMode="auto">
                                <a:xfrm>
                                  <a:off x="1263015" y="1134110"/>
                                  <a:ext cx="619125" cy="635"/>
                                </a:xfrm>
                                <a:prstGeom prst="straightConnector1">
                                  <a:avLst/>
                                </a:prstGeom>
                                <a:noFill/>
                                <a:ln w="9525">
                                  <a:solidFill>
                                    <a:srgbClr val="000000"/>
                                  </a:solidFill>
                                  <a:round/>
                                  <a:tailEnd type="triangle" w="med" len="med"/>
                                </a:ln>
                              </wps:spPr>
                              <wps:bodyPr/>
                            </wps:wsp>
                            <wps:wsp>
                              <wps:cNvPr id="157" name="Text Box 44"/>
                              <wps:cNvSpPr txBox="1">
                                <a:spLocks noChangeArrowheads="1"/>
                              </wps:cNvSpPr>
                              <wps:spPr bwMode="auto">
                                <a:xfrm>
                                  <a:off x="1882140" y="410210"/>
                                  <a:ext cx="1042035" cy="276225"/>
                                </a:xfrm>
                                <a:prstGeom prst="rect">
                                  <a:avLst/>
                                </a:prstGeom>
                                <a:solidFill>
                                  <a:srgbClr val="FFFFFF"/>
                                </a:solidFill>
                                <a:ln w="9525">
                                  <a:solidFill>
                                    <a:srgbClr val="000000"/>
                                  </a:solidFill>
                                  <a:miter lim="800000"/>
                                </a:ln>
                              </wps:spPr>
                              <wps:txbx>
                                <w:txbxContent>
                                  <w:p w14:paraId="60B42EE6">
                                    <w:pPr>
                                      <w:jc w:val="center"/>
                                    </w:pPr>
                                    <w:r>
                                      <w:rPr>
                                        <w:rFonts w:hint="eastAsia"/>
                                        <w:lang w:eastAsia="zh-CN"/>
                                      </w:rPr>
                                      <w:t>职工</w:t>
                                    </w:r>
                                    <w:r>
                                      <w:t>生活用水</w:t>
                                    </w:r>
                                  </w:p>
                                </w:txbxContent>
                              </wps:txbx>
                              <wps:bodyPr rot="0" vert="horz" wrap="square" lIns="91440" tIns="45720" rIns="91440" bIns="45720" anchor="t" anchorCtr="0" upright="1">
                                <a:noAutofit/>
                              </wps:bodyPr>
                            </wps:wsp>
                            <wps:wsp>
                              <wps:cNvPr id="158" name="AutoShape 48"/>
                              <wps:cNvCnPr>
                                <a:cxnSpLocks noChangeShapeType="1"/>
                              </wps:cNvCnPr>
                              <wps:spPr bwMode="auto">
                                <a:xfrm flipV="1">
                                  <a:off x="2914015" y="557530"/>
                                  <a:ext cx="444500" cy="2540"/>
                                </a:xfrm>
                                <a:prstGeom prst="straightConnector1">
                                  <a:avLst/>
                                </a:prstGeom>
                                <a:noFill/>
                                <a:ln w="9525">
                                  <a:solidFill>
                                    <a:srgbClr val="000000"/>
                                  </a:solidFill>
                                  <a:round/>
                                  <a:tailEnd type="triangle" w="med" len="med"/>
                                </a:ln>
                              </wps:spPr>
                              <wps:bodyPr/>
                            </wps:wsp>
                            <wps:wsp>
                              <wps:cNvPr id="159" name="Text Box 49"/>
                              <wps:cNvSpPr txBox="1">
                                <a:spLocks noChangeArrowheads="1"/>
                              </wps:cNvSpPr>
                              <wps:spPr bwMode="auto">
                                <a:xfrm>
                                  <a:off x="3358515" y="410210"/>
                                  <a:ext cx="789305" cy="276225"/>
                                </a:xfrm>
                                <a:prstGeom prst="rect">
                                  <a:avLst/>
                                </a:prstGeom>
                                <a:solidFill>
                                  <a:srgbClr val="FFFFFF"/>
                                </a:solidFill>
                                <a:ln w="9525">
                                  <a:solidFill>
                                    <a:srgbClr val="000000"/>
                                  </a:solidFill>
                                  <a:miter lim="800000"/>
                                </a:ln>
                              </wps:spPr>
                              <wps:txbx>
                                <w:txbxContent>
                                  <w:p w14:paraId="18296B97">
                                    <w:pPr>
                                      <w:jc w:val="center"/>
                                    </w:pPr>
                                    <w:r>
                                      <w:rPr>
                                        <w:rFonts w:hint="eastAsia"/>
                                      </w:rPr>
                                      <w:t>化粪池</w:t>
                                    </w:r>
                                  </w:p>
                                </w:txbxContent>
                              </wps:txbx>
                              <wps:bodyPr rot="0" vert="horz" wrap="square" lIns="91440" tIns="45720" rIns="91440" bIns="45720" anchor="t" anchorCtr="0" upright="1">
                                <a:noAutofit/>
                              </wps:bodyPr>
                            </wps:wsp>
                            <wps:wsp>
                              <wps:cNvPr id="160" name="Text Box 50"/>
                              <wps:cNvSpPr txBox="1">
                                <a:spLocks noChangeArrowheads="1"/>
                              </wps:cNvSpPr>
                              <wps:spPr bwMode="auto">
                                <a:xfrm>
                                  <a:off x="1872615" y="1000760"/>
                                  <a:ext cx="904875" cy="276225"/>
                                </a:xfrm>
                                <a:prstGeom prst="rect">
                                  <a:avLst/>
                                </a:prstGeom>
                                <a:solidFill>
                                  <a:srgbClr val="FFFFFF"/>
                                </a:solidFill>
                                <a:ln w="9525">
                                  <a:solidFill>
                                    <a:srgbClr val="000000"/>
                                  </a:solidFill>
                                  <a:miter lim="800000"/>
                                </a:ln>
                              </wps:spPr>
                              <wps:txbx>
                                <w:txbxContent>
                                  <w:p w14:paraId="4C08D0E2">
                                    <w:pPr>
                                      <w:jc w:val="center"/>
                                    </w:pPr>
                                    <w:r>
                                      <w:rPr>
                                        <w:rFonts w:hint="eastAsia"/>
                                      </w:rPr>
                                      <w:t>循环冷却水</w:t>
                                    </w:r>
                                  </w:p>
                                </w:txbxContent>
                              </wps:txbx>
                              <wps:bodyPr rot="0" vert="horz" wrap="square" lIns="91440" tIns="45720" rIns="91440" bIns="45720" anchor="t" anchorCtr="0" upright="1">
                                <a:noAutofit/>
                              </wps:bodyPr>
                            </wps:wsp>
                            <wps:wsp>
                              <wps:cNvPr id="161" name="AutoShape 51"/>
                              <wps:cNvCnPr>
                                <a:cxnSpLocks noChangeShapeType="1"/>
                                <a:stCxn id="21" idx="3"/>
                                <a:endCxn id="21" idx="2"/>
                              </wps:cNvCnPr>
                              <wps:spPr bwMode="auto">
                                <a:xfrm flipH="1">
                                  <a:off x="2325370" y="1139190"/>
                                  <a:ext cx="452120" cy="137795"/>
                                </a:xfrm>
                                <a:prstGeom prst="bentConnector4">
                                  <a:avLst>
                                    <a:gd name="adj1" fmla="val -50421"/>
                                    <a:gd name="adj2" fmla="val 265440"/>
                                  </a:avLst>
                                </a:prstGeom>
                                <a:noFill/>
                                <a:ln w="9525">
                                  <a:solidFill>
                                    <a:srgbClr val="000000"/>
                                  </a:solidFill>
                                  <a:miter lim="800000"/>
                                  <a:tailEnd type="triangle" w="med" len="med"/>
                                </a:ln>
                              </wps:spPr>
                              <wps:bodyPr/>
                            </wps:wsp>
                            <wps:wsp>
                              <wps:cNvPr id="162" name="AutoShape 52"/>
                              <wps:cNvCnPr>
                                <a:cxnSpLocks noChangeShapeType="1"/>
                                <a:stCxn id="23" idx="3"/>
                                <a:endCxn id="28" idx="1"/>
                              </wps:cNvCnPr>
                              <wps:spPr bwMode="auto">
                                <a:xfrm flipV="1">
                                  <a:off x="4147820" y="543560"/>
                                  <a:ext cx="342900" cy="5080"/>
                                </a:xfrm>
                                <a:prstGeom prst="straightConnector1">
                                  <a:avLst/>
                                </a:prstGeom>
                                <a:noFill/>
                                <a:ln w="9525">
                                  <a:solidFill>
                                    <a:srgbClr val="000000"/>
                                  </a:solidFill>
                                  <a:round/>
                                  <a:tailEnd type="triangle" w="med" len="med"/>
                                </a:ln>
                              </wps:spPr>
                              <wps:bodyPr/>
                            </wps:wsp>
                            <wps:wsp>
                              <wps:cNvPr id="163" name="Text Box 53"/>
                              <wps:cNvSpPr txBox="1">
                                <a:spLocks noChangeArrowheads="1"/>
                              </wps:cNvSpPr>
                              <wps:spPr bwMode="auto">
                                <a:xfrm>
                                  <a:off x="4490720" y="401320"/>
                                  <a:ext cx="760730" cy="283845"/>
                                </a:xfrm>
                                <a:prstGeom prst="rect">
                                  <a:avLst/>
                                </a:prstGeom>
                                <a:solidFill>
                                  <a:srgbClr val="FFFFFF"/>
                                </a:solidFill>
                                <a:ln w="9525">
                                  <a:solidFill>
                                    <a:srgbClr val="000000"/>
                                  </a:solidFill>
                                  <a:miter lim="800000"/>
                                </a:ln>
                              </wps:spPr>
                              <wps:txbx>
                                <w:txbxContent>
                                  <w:p w14:paraId="1E12FA8F">
                                    <w:pPr>
                                      <w:jc w:val="both"/>
                                      <w:rPr>
                                        <w:rFonts w:hint="eastAsia" w:eastAsia="宋体"/>
                                        <w:lang w:eastAsia="zh-CN"/>
                                      </w:rPr>
                                    </w:pPr>
                                    <w:r>
                                      <w:rPr>
                                        <w:rFonts w:hint="eastAsia"/>
                                        <w:lang w:eastAsia="zh-CN"/>
                                      </w:rPr>
                                      <w:t>定期清掏</w:t>
                                    </w:r>
                                  </w:p>
                                </w:txbxContent>
                              </wps:txbx>
                              <wps:bodyPr rot="0" vert="horz" wrap="square" lIns="91440" tIns="45720" rIns="91440" bIns="45720" anchor="t" anchorCtr="0" upright="1">
                                <a:noAutofit/>
                              </wps:bodyPr>
                            </wps:wsp>
                            <wpg:wgp>
                              <wpg:cNvPr id="164" name="Group 32"/>
                              <wpg:cNvGrpSpPr/>
                              <wpg:grpSpPr>
                                <a:xfrm>
                                  <a:off x="2326640" y="26035"/>
                                  <a:ext cx="1299210" cy="383540"/>
                                  <a:chOff x="5085" y="8636"/>
                                  <a:chExt cx="2046" cy="604"/>
                                </a:xfrm>
                              </wpg:grpSpPr>
                              <wps:wsp>
                                <wps:cNvPr id="165" name="Text Box 33"/>
                                <wps:cNvSpPr txBox="1">
                                  <a:spLocks noChangeArrowheads="1"/>
                                </wps:cNvSpPr>
                                <wps:spPr bwMode="auto">
                                  <a:xfrm>
                                    <a:off x="5493" y="8636"/>
                                    <a:ext cx="1638" cy="535"/>
                                  </a:xfrm>
                                  <a:prstGeom prst="rect">
                                    <a:avLst/>
                                  </a:prstGeom>
                                  <a:solidFill>
                                    <a:srgbClr val="FFFFFF"/>
                                  </a:solidFill>
                                  <a:ln>
                                    <a:noFill/>
                                  </a:ln>
                                </wps:spPr>
                                <wps:txbx>
                                  <w:txbxContent>
                                    <w:p w14:paraId="7E93BA4D">
                                      <w:pPr>
                                        <w:rPr>
                                          <w:rFonts w:hint="default" w:eastAsia="宋体"/>
                                          <w:lang w:val="en-US" w:eastAsia="zh-CN"/>
                                        </w:rPr>
                                      </w:pPr>
                                      <w:r>
                                        <w:t>损耗</w:t>
                                      </w:r>
                                      <w:r>
                                        <w:rPr>
                                          <w:rFonts w:hint="eastAsia"/>
                                          <w:lang w:val="en-US" w:eastAsia="zh-CN"/>
                                        </w:rPr>
                                        <w:t>0.13</w:t>
                                      </w:r>
                                    </w:p>
                                  </w:txbxContent>
                                </wps:txbx>
                                <wps:bodyPr rot="0" vert="horz" wrap="square" lIns="91440" tIns="45720" rIns="91440" bIns="45720" anchor="t" anchorCtr="0" upright="1">
                                  <a:noAutofit/>
                                </wps:bodyPr>
                              </wps:wsp>
                              <wps:wsp>
                                <wps:cNvPr id="166" name="Freeform 34"/>
                                <wps:cNvSpPr/>
                                <wps:spPr bwMode="auto">
                                  <a:xfrm>
                                    <a:off x="5085" y="8915"/>
                                    <a:ext cx="735" cy="325"/>
                                  </a:xfrm>
                                  <a:custGeom>
                                    <a:avLst/>
                                    <a:gdLst>
                                      <a:gd name="T0" fmla="*/ 0 w 735"/>
                                      <a:gd name="T1" fmla="*/ 325 h 325"/>
                                      <a:gd name="T2" fmla="*/ 300 w 735"/>
                                      <a:gd name="T3" fmla="*/ 16 h 325"/>
                                      <a:gd name="T4" fmla="*/ 465 w 735"/>
                                      <a:gd name="T5" fmla="*/ 226 h 325"/>
                                      <a:gd name="T6" fmla="*/ 735 w 735"/>
                                      <a:gd name="T7" fmla="*/ 1 h 325"/>
                                    </a:gdLst>
                                    <a:ahLst/>
                                    <a:cxnLst>
                                      <a:cxn ang="0">
                                        <a:pos x="T0" y="T1"/>
                                      </a:cxn>
                                      <a:cxn ang="0">
                                        <a:pos x="T2" y="T3"/>
                                      </a:cxn>
                                      <a:cxn ang="0">
                                        <a:pos x="T4" y="T5"/>
                                      </a:cxn>
                                      <a:cxn ang="0">
                                        <a:pos x="T6" y="T7"/>
                                      </a:cxn>
                                    </a:cxnLst>
                                    <a:rect l="0" t="0" r="r" b="b"/>
                                    <a:pathLst>
                                      <a:path w="735" h="325">
                                        <a:moveTo>
                                          <a:pt x="0" y="325"/>
                                        </a:moveTo>
                                        <a:cubicBezTo>
                                          <a:pt x="111" y="178"/>
                                          <a:pt x="223" y="32"/>
                                          <a:pt x="300" y="16"/>
                                        </a:cubicBezTo>
                                        <a:cubicBezTo>
                                          <a:pt x="377" y="0"/>
                                          <a:pt x="393" y="228"/>
                                          <a:pt x="465" y="226"/>
                                        </a:cubicBezTo>
                                        <a:cubicBezTo>
                                          <a:pt x="537" y="224"/>
                                          <a:pt x="636" y="112"/>
                                          <a:pt x="735" y="1"/>
                                        </a:cubicBezTo>
                                      </a:path>
                                    </a:pathLst>
                                  </a:custGeom>
                                  <a:noFill/>
                                  <a:ln w="9525">
                                    <a:solidFill>
                                      <a:srgbClr val="000000"/>
                                    </a:solidFill>
                                    <a:round/>
                                    <a:tailEnd type="triangle" w="med" len="med"/>
                                  </a:ln>
                                </wps:spPr>
                                <wps:bodyPr rot="0" vert="horz" wrap="square" lIns="91440" tIns="45720" rIns="91440" bIns="45720" anchor="t" anchorCtr="0" upright="1">
                                  <a:noAutofit/>
                                </wps:bodyPr>
                              </wps:wsp>
                            </wpg:wgp>
                            <wps:wsp>
                              <wps:cNvPr id="167" name="Text Box 37"/>
                              <wps:cNvSpPr txBox="1">
                                <a:spLocks noChangeArrowheads="1"/>
                              </wps:cNvSpPr>
                              <wps:spPr bwMode="auto">
                                <a:xfrm>
                                  <a:off x="2940050" y="241300"/>
                                  <a:ext cx="583565" cy="252095"/>
                                </a:xfrm>
                                <a:prstGeom prst="rect">
                                  <a:avLst/>
                                </a:prstGeom>
                                <a:solidFill>
                                  <a:srgbClr val="FFFFFF"/>
                                </a:solidFill>
                                <a:ln>
                                  <a:noFill/>
                                </a:ln>
                              </wps:spPr>
                              <wps:txbx>
                                <w:txbxContent>
                                  <w:p w14:paraId="65DDDC4D">
                                    <w:pPr>
                                      <w:rPr>
                                        <w:rFonts w:hint="default" w:eastAsia="宋体"/>
                                        <w:lang w:val="en-US" w:eastAsia="zh-CN"/>
                                      </w:rPr>
                                    </w:pPr>
                                    <w:r>
                                      <w:rPr>
                                        <w:rFonts w:hint="eastAsia" w:eastAsia="宋体"/>
                                        <w:lang w:val="en-US" w:eastAsia="zh-CN"/>
                                      </w:rPr>
                                      <w:t>0.</w:t>
                                    </w:r>
                                    <w:r>
                                      <w:rPr>
                                        <w:rFonts w:hint="eastAsia"/>
                                        <w:lang w:val="en-US" w:eastAsia="zh-CN"/>
                                      </w:rPr>
                                      <w:t>54</w:t>
                                    </w:r>
                                  </w:p>
                                </w:txbxContent>
                              </wps:txbx>
                              <wps:bodyPr rot="0" vert="horz" wrap="square" lIns="91440" tIns="45720" rIns="91440" bIns="45720" anchor="t" anchorCtr="0" upright="1">
                                <a:noAutofit/>
                              </wps:bodyPr>
                            </wps:wsp>
                            <wps:wsp>
                              <wps:cNvPr id="168" name="AutoShape 52"/>
                              <wps:cNvCnPr>
                                <a:cxnSpLocks noChangeShapeType="1"/>
                              </wps:cNvCnPr>
                              <wps:spPr bwMode="auto">
                                <a:xfrm flipV="1">
                                  <a:off x="941705" y="817880"/>
                                  <a:ext cx="342900" cy="5080"/>
                                </a:xfrm>
                                <a:prstGeom prst="straightConnector1">
                                  <a:avLst/>
                                </a:prstGeom>
                                <a:noFill/>
                                <a:ln w="9525">
                                  <a:solidFill>
                                    <a:srgbClr val="000000"/>
                                  </a:solidFill>
                                  <a:round/>
                                  <a:tailEnd type="triangle" w="med" len="med"/>
                                </a:ln>
                              </wps:spPr>
                              <wps:bodyPr/>
                            </wps:wsp>
                          </wpc:wpc>
                        </a:graphicData>
                      </a:graphic>
                    </wp:inline>
                  </w:drawing>
                </mc:Choice>
                <mc:Fallback>
                  <w:pict>
                    <v:group id="_x0000_s1026" o:spid="_x0000_s1026" o:spt="203" style="height:123.8pt;width:421.2pt;" coordsize="5349240,1572260" editas="canvas" o:gfxdata="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">
                      <o:lock v:ext="edit" aspectratio="f"/>
                      <v:shape id="_x0000_s1026" o:spid="_x0000_s1026" style="position:absolute;left:0;top:0;height:1572260;width:5349240;" filled="f" stroked="f" coordsize="21600,21600" o:gfxdata="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">
                        <v:fill on="f" focussize="0,0"/>
                        <v:stroke on="f"/>
                        <v:imagedata o:title=""/>
                        <o:lock v:ext="edit" aspectratio="t"/>
                      </v:shape>
                      <v:shape id="Text Box 36" o:spid="_x0000_s1026" o:spt="202" type="#_x0000_t202" style="position:absolute;left:1263650;top:905510;height:390525;width:457200;"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OR5FfV&#10;AAAABQEAAA8AAAAAAAAAAQAgAAAAIgAAAGRycy9kb3ducmV2LnhtbFBLAQIUABQAAAAIAIdO4kDr&#10;X7vnIwIAAEoEAAAOAAAAAAAAAAEAIAAAACQBAABkcnMvZTJvRG9jLnhtbFBLBQYAAAAABgAGAFkB&#10;AAC5BQAAAAA=&#10;">
                        <v:fill on="t" focussize="0,0"/>
                        <v:stroke on="f"/>
                        <v:imagedata o:title=""/>
                        <o:lock v:ext="edit" aspectratio="f"/>
                        <v:textbox>
                          <w:txbxContent>
                            <w:p w14:paraId="0A81C611">
                              <w:pPr>
                                <w:rPr>
                                  <w:rFonts w:hint="default" w:eastAsia="宋体"/>
                                  <w:lang w:val="en-US" w:eastAsia="zh-CN"/>
                                </w:rPr>
                              </w:pPr>
                              <w:r>
                                <w:rPr>
                                  <w:rFonts w:hint="eastAsia"/>
                                  <w:lang w:val="en-US" w:eastAsia="zh-CN"/>
                                </w:rPr>
                                <w:t>1.4</w:t>
                              </w:r>
                            </w:p>
                          </w:txbxContent>
                        </v:textbox>
                      </v:shape>
                      <v:shape id="Text Box 37" o:spid="_x0000_s1026" o:spt="202" type="#_x0000_t202" style="position:absolute;left:1268730;top:288925;height:390525;width:640080;"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OR&#10;5FfVAAAABQEAAA8AAAAAAAAAAQAgAAAAIgAAAGRycy9kb3ducmV2LnhtbFBLAQIUABQAAAAIAIdO&#10;4kDgPZIwJgIAAEoEAAAOAAAAAAAAAAEAIAAAACQBAABkcnMvZTJvRG9jLnhtbFBLBQYAAAAABgAG&#10;AFkBAAC8BQAAAAA=&#10;">
                        <v:fill on="t" focussize="0,0"/>
                        <v:stroke on="f"/>
                        <v:imagedata o:title=""/>
                        <o:lock v:ext="edit" aspectratio="f"/>
                        <v:textbox>
                          <w:txbxContent>
                            <w:p w14:paraId="42868A00">
                              <w:pPr>
                                <w:rPr>
                                  <w:rFonts w:hint="default" w:eastAsia="宋体"/>
                                  <w:lang w:val="en-US" w:eastAsia="zh-CN"/>
                                </w:rPr>
                              </w:pPr>
                              <w:r>
                                <w:rPr>
                                  <w:rFonts w:hint="eastAsia"/>
                                  <w:lang w:val="en-US" w:eastAsia="zh-CN"/>
                                </w:rPr>
                                <w:t>0.67</w:t>
                              </w:r>
                            </w:p>
                          </w:txbxContent>
                        </v:textbox>
                      </v:shape>
                      <v:shape id="Text Box 38" o:spid="_x0000_s1026" o:spt="202" type="#_x0000_t202" style="position:absolute;left:796925;top:459105;height:390525;width:551815;"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OR&#10;5FfVAAAABQEAAA8AAAAAAAAAAQAgAAAAIgAAAGRycy9kb3ducmV2LnhtbFBLAQIUABQAAAAIAIdO&#10;4kAoJ2wSJgIAAEkEAAAOAAAAAAAAAAEAIAAAACQBAABkcnMvZTJvRG9jLnhtbFBLBQYAAAAABgAG&#10;AFkBAAC8BQAAAAA=&#10;">
                        <v:fill on="t" focussize="0,0"/>
                        <v:stroke on="f"/>
                        <v:imagedata o:title=""/>
                        <o:lock v:ext="edit" aspectratio="f"/>
                        <v:textbox>
                          <w:txbxContent>
                            <w:p w14:paraId="6EE3C347">
                              <w:pPr>
                                <w:rPr>
                                  <w:rFonts w:hint="default" w:eastAsia="宋体"/>
                                  <w:lang w:val="en-US" w:eastAsia="zh-CN"/>
                                </w:rPr>
                              </w:pPr>
                              <w:r>
                                <w:rPr>
                                  <w:rFonts w:hint="eastAsia"/>
                                  <w:lang w:val="en-US" w:eastAsia="zh-CN"/>
                                </w:rPr>
                                <w:t>2.07</w:t>
                              </w:r>
                            </w:p>
                          </w:txbxContent>
                        </v:textbox>
                      </v:shape>
                      <v:shape id="Text Box 39" o:spid="_x0000_s1026" o:spt="202" type="#_x0000_t202" style="position:absolute;left:109220;top:677545;height:304165;width:839470;"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BoOCuQOgIAAJIEAAAOAAAAAAAAAAEAIAAAACUBAABkcnMv&#10;ZTJvRG9jLnhtbFBLBQYAAAAABgAGAFkBAADRBQAAAAA=&#10;">
                        <v:fill on="t" focussize="0,0"/>
                        <v:stroke color="#000000" miterlimit="8" joinstyle="miter"/>
                        <v:imagedata o:title=""/>
                        <o:lock v:ext="edit" aspectratio="f"/>
                        <v:textbox>
                          <w:txbxContent>
                            <w:p w14:paraId="11F15705">
                              <w:pPr>
                                <w:jc w:val="center"/>
                                <w:rPr>
                                  <w:rFonts w:hint="eastAsia" w:eastAsia="宋体"/>
                                  <w:lang w:eastAsia="zh-CN"/>
                                </w:rPr>
                              </w:pPr>
                              <w:r>
                                <w:rPr>
                                  <w:rFonts w:hint="eastAsia"/>
                                  <w:lang w:eastAsia="zh-CN"/>
                                </w:rPr>
                                <w:t>厂房供水</w:t>
                              </w:r>
                            </w:p>
                          </w:txbxContent>
                        </v:textbox>
                      </v:shape>
                      <v:shape id="AutoShape 40" o:spid="_x0000_s1026" o:spt="32" type="#_x0000_t32" style="position:absolute;left:1908810;top:484505;height:4445;width:314325;" filled="f" stroked="t" coordsize="21600,21600" o:gfxdata="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R7gu21gAAAAUBAAAPAAAAAAAAAAEAIAAAACIAAABkcnMvZG93bnJldi54bWxQSwECFAAUAAAA&#10;CACHTuJA5bBf3/ABAADcAwAADgAAAAAAAAABACAAAAAlAQAAZHJzL2Uyb0RvYy54bWxQSwUGAAAA&#10;AAYABgBZAQAAhwUAAAAA&#10;">
                        <v:fill on="f" focussize="0,0"/>
                        <v:stroke color="#000000" joinstyle="round"/>
                        <v:imagedata o:title=""/>
                        <o:lock v:ext="edit" aspectratio="f"/>
                      </v:shape>
                      <v:shape id="AutoShape 41" o:spid="_x0000_s1026" o:spt="32" type="#_x0000_t32" style="position:absolute;left:1263015;top:543560;flip:x;height:590550;width:635;" filled="f" stroked="t" coordsize="21600,21600" o:gfxdata="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sPp+B&#10;1QAAAAUBAAAPAAAAAAAAAAEAIAAAACIAAABkcnMvZG93bnJldi54bWxQSwECFAAUAAAACACHTuJA&#10;1T0iYesBAADLAwAADgAAAAAAAAABACAAAAAkAQAAZHJzL2Uyb0RvYy54bWxQSwUGAAAAAAYABgBZ&#10;AQAAgQUAAAAA&#10;">
                        <v:fill on="f" focussize="0,0"/>
                        <v:stroke color="#000000" joinstyle="round"/>
                        <v:imagedata o:title=""/>
                        <o:lock v:ext="edit" aspectratio="f"/>
                      </v:shape>
                      <v:shape id="AutoShape 42" o:spid="_x0000_s1026" o:spt="32" type="#_x0000_t32" style="position:absolute;left:1263650;top:543560;height:635;width:618490;" filled="f" stroked="t" coordsize="21600,21600" o:gfxdata="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qYXrWAAAABQEAAA8AAAAAAAAAAQAgAAAAIgAAAGRycy9kb3ducmV2&#10;LnhtbFBLAQIUABQAAAAIAIdO4kCBMDEl/gEAAO8DAAAOAAAAAAAAAAEAIAAAACUBAABkcnMvZTJv&#10;RG9jLnhtbFBLBQYAAAAABgAGAFkBAACVBQAAAAA=&#10;">
                        <v:fill on="f" focussize="0,0"/>
                        <v:stroke color="#000000" joinstyle="round" endarrow="block"/>
                        <v:imagedata o:title=""/>
                        <o:lock v:ext="edit" aspectratio="f"/>
                      </v:shape>
                      <v:shape id="AutoShape 43" o:spid="_x0000_s1026" o:spt="32" type="#_x0000_t32" style="position:absolute;left:1263015;top:1134110;height:635;width:619125;" filled="f" stroked="t" coordsize="21600,21600" o:gfxdata="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SphetYAAAAFAQAADwAAAAAAAAABACAAAAAiAAAAZHJzL2Rvd25yZXYu&#10;eG1sUEsBAhQAFAAAAAgAh07iQJOMTKr9AQAA8AMAAA4AAAAAAAAAAQAgAAAAJQEAAGRycy9lMm9E&#10;b2MueG1sUEsFBgAAAAAGAAYAWQEAAJQFAAAAAA==&#10;">
                        <v:fill on="f" focussize="0,0"/>
                        <v:stroke color="#000000" joinstyle="round" endarrow="block"/>
                        <v:imagedata o:title=""/>
                        <o:lock v:ext="edit" aspectratio="f"/>
                      </v:shape>
                      <v:shape id="Text Box 44" o:spid="_x0000_s1026" o:spt="202" type="#_x0000_t202" style="position:absolute;left:1882140;top:410210;height:276225;width:104203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dqjYNYAAAAFAQAADwAAAAAAAAABACAAAAAiAAAAZHJzL2Rvd25y&#10;ZXYueG1sUEsBAhQAFAAAAAgAh07iQLdC5845AgAAlAQAAA4AAAAAAAAAAQAgAAAAJQEAAGRycy9l&#10;Mm9Eb2MueG1sUEsFBgAAAAAGAAYAWQEAANAFAAAAAA==&#10;">
                        <v:fill on="t" focussize="0,0"/>
                        <v:stroke color="#000000" miterlimit="8" joinstyle="miter"/>
                        <v:imagedata o:title=""/>
                        <o:lock v:ext="edit" aspectratio="f"/>
                        <v:textbox>
                          <w:txbxContent>
                            <w:p w14:paraId="60B42EE6">
                              <w:pPr>
                                <w:jc w:val="center"/>
                              </w:pPr>
                              <w:r>
                                <w:rPr>
                                  <w:rFonts w:hint="eastAsia"/>
                                  <w:lang w:eastAsia="zh-CN"/>
                                </w:rPr>
                                <w:t>职工</w:t>
                              </w:r>
                              <w:r>
                                <w:t>生活用水</w:t>
                              </w:r>
                            </w:p>
                          </w:txbxContent>
                        </v:textbox>
                      </v:shape>
                      <v:shape id="AutoShape 48" o:spid="_x0000_s1026" o:spt="32" type="#_x0000_t32" style="position:absolute;left:2914015;top:557530;flip:y;height:2540;width:4445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bZJBNYAAAAFAQAADwAAAAAAAAABACAAAAAiAAAAZHJz&#10;L2Rvd25yZXYueG1sUEsBAhQAFAAAAAgAh07iQGigN5AGAgAA+gMAAA4AAAAAAAAAAQAgAAAAJQEA&#10;AGRycy9lMm9Eb2MueG1sUEsFBgAAAAAGAAYAWQEAAJ0FAAAAAA==&#10;">
                        <v:fill on="f" focussize="0,0"/>
                        <v:stroke color="#000000" joinstyle="round" endarrow="block"/>
                        <v:imagedata o:title=""/>
                        <o:lock v:ext="edit" aspectratio="f"/>
                      </v:shape>
                      <v:shape id="Text Box 49" o:spid="_x0000_s1026" o:spt="202" type="#_x0000_t202" style="position:absolute;left:3358515;top:410210;height:276225;width:78930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t2qNg1gAAAAUBAAAPAAAAAAAAAAEAIAAAACIAAABkcnMvZG93&#10;bnJldi54bWxQSwECFAAUAAAACACHTuJAPqjLKjsCAACTBAAADgAAAAAAAAABACAAAAAlAQAAZHJz&#10;L2Uyb0RvYy54bWxQSwUGAAAAAAYABgBZAQAA0gUAAAAA&#10;">
                        <v:fill on="t" focussize="0,0"/>
                        <v:stroke color="#000000" miterlimit="8" joinstyle="miter"/>
                        <v:imagedata o:title=""/>
                        <o:lock v:ext="edit" aspectratio="f"/>
                        <v:textbox>
                          <w:txbxContent>
                            <w:p w14:paraId="18296B97">
                              <w:pPr>
                                <w:jc w:val="center"/>
                              </w:pPr>
                              <w:r>
                                <w:rPr>
                                  <w:rFonts w:hint="eastAsia"/>
                                </w:rPr>
                                <w:t>化粪池</w:t>
                              </w:r>
                            </w:p>
                          </w:txbxContent>
                        </v:textbox>
                      </v:shape>
                      <v:shape id="Text Box 50" o:spid="_x0000_s1026" o:spt="202" type="#_x0000_t202" style="position:absolute;left:1872615;top:1000760;height:276225;width:904875;"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DGKwHnOgIAAJQEAAAOAAAAAAAAAAEAIAAAACUBAABkcnMv&#10;ZTJvRG9jLnhtbFBLBQYAAAAABgAGAFkBAADRBQAAAAA=&#10;">
                        <v:fill on="t" focussize="0,0"/>
                        <v:stroke color="#000000" miterlimit="8" joinstyle="miter"/>
                        <v:imagedata o:title=""/>
                        <o:lock v:ext="edit" aspectratio="f"/>
                        <v:textbox>
                          <w:txbxContent>
                            <w:p w14:paraId="4C08D0E2">
                              <w:pPr>
                                <w:jc w:val="center"/>
                              </w:pPr>
                              <w:r>
                                <w:rPr>
                                  <w:rFonts w:hint="eastAsia"/>
                                </w:rPr>
                                <w:t>循环冷却水</w:t>
                              </w:r>
                            </w:p>
                          </w:txbxContent>
                        </v:textbox>
                      </v:shape>
                      <v:shape id="AutoShape 51" o:spid="_x0000_s1026" o:spt="35" type="#_x0000_t35" style="position:absolute;left:2325370;top:1139190;flip:x;height:137795;width:452120;" filled="f" stroked="t" coordsize="21600,21600" o:gfxdata="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LU5Nz/UAAAABQEAAA8AAAAAAAAAAQAgAAAA&#10;IgAAAGRycy9kb3ducmV2LnhtbFBLAQIUABQAAAAIAIdO4kBtH53RSAIAAI4EAAAOAAAAAAAAAAEA&#10;IAAAACMBAABkcnMvZTJvRG9jLnhtbFBLBQYAAAAABgAGAFkBAADdBQAAAAA=&#10;" adj="-10891,57335">
                        <v:fill on="f" focussize="0,0"/>
                        <v:stroke color="#000000" miterlimit="8" joinstyle="miter" endarrow="block"/>
                        <v:imagedata o:title=""/>
                        <o:lock v:ext="edit" aspectratio="f"/>
                      </v:shape>
                      <v:shape id="AutoShape 52" o:spid="_x0000_s1026" o:spt="32" type="#_x0000_t32" style="position:absolute;left:4147820;top:543560;flip:y;height:5080;width:3429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1tkkE1gAAAAUB&#10;AAAPAAAAAAAAAAEAIAAAACIAAABkcnMvZG93bnJldi54bWxQSwECFAAUAAAACACHTuJAzJ5aRx0C&#10;AAAvBAAADgAAAAAAAAABACAAAAAlAQAAZHJzL2Uyb0RvYy54bWxQSwUGAAAAAAYABgBZAQAAtAUA&#10;AAAA&#10;">
                        <v:fill on="f" focussize="0,0"/>
                        <v:stroke color="#000000" joinstyle="round" endarrow="block"/>
                        <v:imagedata o:title=""/>
                        <o:lock v:ext="edit" aspectratio="f"/>
                      </v:shape>
                      <v:shape id="Text Box 53" o:spid="_x0000_s1026" o:spt="202" type="#_x0000_t202" style="position:absolute;left:4490720;top:401320;height:283845;width:760730;" fillcolor="#FFFFFF" filled="t" stroked="t" coordsize="21600,21600" o:gfxdata="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3ao2DWAAAABQEAAA8AAAAAAAAAAQAgAAAAIgAAAGRycy9kb3du&#10;cmV2LnhtbFBLAQIUABQAAAAIAIdO4kATAmRIOgIAAJMEAAAOAAAAAAAAAAEAIAAAACUBAABkcnMv&#10;ZTJvRG9jLnhtbFBLBQYAAAAABgAGAFkBAADRBQAAAAA=&#10;">
                        <v:fill on="t" focussize="0,0"/>
                        <v:stroke color="#000000" miterlimit="8" joinstyle="miter"/>
                        <v:imagedata o:title=""/>
                        <o:lock v:ext="edit" aspectratio="f"/>
                        <v:textbox>
                          <w:txbxContent>
                            <w:p w14:paraId="1E12FA8F">
                              <w:pPr>
                                <w:jc w:val="both"/>
                                <w:rPr>
                                  <w:rFonts w:hint="eastAsia" w:eastAsia="宋体"/>
                                  <w:lang w:eastAsia="zh-CN"/>
                                </w:rPr>
                              </w:pPr>
                              <w:r>
                                <w:rPr>
                                  <w:rFonts w:hint="eastAsia"/>
                                  <w:lang w:eastAsia="zh-CN"/>
                                </w:rPr>
                                <w:t>定期清掏</w:t>
                              </w:r>
                            </w:p>
                          </w:txbxContent>
                        </v:textbox>
                      </v:shape>
                      <v:group id="Group 32" o:spid="_x0000_s1026" o:spt="203" style="position:absolute;left:2326640;top:26035;height:383540;width:1299210;" coordorigin="5085,8636" coordsize="2046,604" o:gfxdata="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AAA&#10;AABkcnMvUEsBAhQAFAAAAAgAh07iQCUtx2TXAAAABQEAAA8AAAAAAAAAAQAgAAAAIgAAAGRycy9k&#10;b3ducmV2LnhtbFBLAQIUABQAAAAIAIdO4kAIsVBmPQQAAHgLAAAOAAAAAAAAAAEAIAAAACYBAABk&#10;cnMvZTJvRG9jLnhtbFBLBQYAAAAABgAGAFkBAADVBwAAAAA=&#10;">
                        <o:lock v:ext="edit" aspectratio="f"/>
                        <v:shape id="Text Box 33" o:spid="_x0000_s1026" o:spt="202" type="#_x0000_t202" style="position:absolute;left:5493;top:8636;height:535;width:1638;" fillcolor="#FFFFFF" filled="t" stroked="f" coordsize="21600,21600" o:gfxdata="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Eag6ktwAAANwAAAAP&#10;AAAAAAAAAAEAIAAAACIAAABkcnMvZG93bnJldi54bWxQSwECFAAUAAAACACHTuJAMy8FnjsAAAA5&#10;AAAAEAAAAAAAAAABACAAAAAGAQAAZHJzL3NoYXBleG1sLnhtbFBLBQYAAAAABgAGAFsBAACwAwAA&#10;AAA=&#10;">
                          <v:fill on="t" focussize="0,0"/>
                          <v:stroke on="f"/>
                          <v:imagedata o:title=""/>
                          <o:lock v:ext="edit" aspectratio="f"/>
                          <v:textbox>
                            <w:txbxContent>
                              <w:p w14:paraId="7E93BA4D">
                                <w:pPr>
                                  <w:rPr>
                                    <w:rFonts w:hint="default" w:eastAsia="宋体"/>
                                    <w:lang w:val="en-US" w:eastAsia="zh-CN"/>
                                  </w:rPr>
                                </w:pPr>
                                <w:r>
                                  <w:t>损耗</w:t>
                                </w:r>
                                <w:r>
                                  <w:rPr>
                                    <w:rFonts w:hint="eastAsia"/>
                                    <w:lang w:val="en-US" w:eastAsia="zh-CN"/>
                                  </w:rPr>
                                  <w:t>0.13</w:t>
                                </w:r>
                              </w:p>
                            </w:txbxContent>
                          </v:textbox>
                        </v:shape>
                        <v:shape id="Freeform 34" o:spid="_x0000_s1026" o:spt="100" style="position:absolute;left:5085;top:8915;height:325;width:735;" filled="f" stroked="t" coordsize="735,325" o:gfxdata="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h+PjugAAANwA&#10;AAAPAAAAAAAAAAEAIAAAACIAAABkcnMvZG93bnJldi54bWxQSwECFAAUAAAACACHTuJAMy8FnjsA&#10;AAA5AAAAEAAAAAAAAAABACAAAAAJAQAAZHJzL3NoYXBleG1sLnhtbFBLBQYAAAAABgAGAFsBAACz&#10;AwAAAAA=&#10;" path="m0,325c111,178,223,32,300,16c377,0,393,228,465,226c537,224,636,112,735,1e">
                          <v:path o:connectlocs="0,325;300,16;465,226;735,1" o:connectangles="0,0,0,0"/>
                          <v:fill on="f" focussize="0,0"/>
                          <v:stroke color="#000000" joinstyle="round" endarrow="block"/>
                          <v:imagedata o:title=""/>
                          <o:lock v:ext="edit" aspectratio="f"/>
                        </v:shape>
                      </v:group>
                      <v:shape id="Text Box 37" o:spid="_x0000_s1026" o:spt="202" type="#_x0000_t202" style="position:absolute;left:2940050;top:241300;height:252095;width:583565;" fillcolor="#FFFFFF" filled="t" stroked="f" coordsize="21600,21600" o:gfxdata="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j&#10;keRX1QAAAAUBAAAPAAAAAAAAAAEAIAAAACIAAABkcnMvZG93bnJldi54bWxQSwECFAAUAAAACACH&#10;TuJAyJgWbycCAABKBAAADgAAAAAAAAABACAAAAAkAQAAZHJzL2Uyb0RvYy54bWxQSwUGAAAAAAYA&#10;BgBZAQAAvQUAAAAA&#10;">
                        <v:fill on="t" focussize="0,0"/>
                        <v:stroke on="f"/>
                        <v:imagedata o:title=""/>
                        <o:lock v:ext="edit" aspectratio="f"/>
                        <v:textbox>
                          <w:txbxContent>
                            <w:p w14:paraId="65DDDC4D">
                              <w:pPr>
                                <w:rPr>
                                  <w:rFonts w:hint="default" w:eastAsia="宋体"/>
                                  <w:lang w:val="en-US" w:eastAsia="zh-CN"/>
                                </w:rPr>
                              </w:pPr>
                              <w:r>
                                <w:rPr>
                                  <w:rFonts w:hint="eastAsia" w:eastAsia="宋体"/>
                                  <w:lang w:val="en-US" w:eastAsia="zh-CN"/>
                                </w:rPr>
                                <w:t>0.</w:t>
                              </w:r>
                              <w:r>
                                <w:rPr>
                                  <w:rFonts w:hint="eastAsia"/>
                                  <w:lang w:val="en-US" w:eastAsia="zh-CN"/>
                                </w:rPr>
                                <w:t>54</w:t>
                              </w:r>
                            </w:p>
                          </w:txbxContent>
                        </v:textbox>
                      </v:shape>
                      <v:shape id="AutoShape 52" o:spid="_x0000_s1026" o:spt="32" type="#_x0000_t32" style="position:absolute;left:941705;top:817880;flip:y;height:5080;width:342900;" filled="f" stroked="t" coordsize="21600,21600" o:gfxdata="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1tkkE1gAAAAUBAAAPAAAAAAAAAAEAIAAAACIAAABkcnMv&#10;ZG93bnJldi54bWxQSwECFAAUAAAACACHTuJAQ6nWPwUCAAD5AwAADgAAAAAAAAABACAAAAAlAQAA&#10;ZHJzL2Uyb0RvYy54bWxQSwUGAAAAAAYABgBZAQAAnAUAAAAA&#10;">
                        <v:fill on="f" focussize="0,0"/>
                        <v:stroke color="#000000" joinstyle="round" endarrow="block"/>
                        <v:imagedata o:title=""/>
                        <o:lock v:ext="edit" aspectratio="f"/>
                      </v:shape>
                      <w10:wrap type="none"/>
                      <w10:anchorlock/>
                    </v:group>
                  </w:pict>
                </mc:Fallback>
              </mc:AlternateContent>
            </w:r>
          </w:p>
          <w:p w14:paraId="205161C9">
            <w:pPr>
              <w:adjustRightInd w:val="0"/>
              <w:snapToGrid w:val="0"/>
              <w:spacing w:line="360" w:lineRule="auto"/>
              <w:jc w:val="center"/>
              <w:rPr>
                <w:rFonts w:hint="default" w:ascii="Times New Roman" w:hAnsi="Times New Roman" w:cs="Times New Roman" w:eastAsiaTheme="majorEastAsia"/>
                <w:b/>
                <w:color w:val="auto"/>
                <w:sz w:val="21"/>
                <w:szCs w:val="21"/>
                <w:highlight w:val="none"/>
                <w:lang w:val="en-US" w:eastAsia="zh-CN"/>
              </w:rPr>
            </w:pPr>
            <w:r>
              <w:rPr>
                <w:rFonts w:hint="default" w:ascii="Times New Roman" w:hAnsi="Times New Roman" w:cs="Times New Roman" w:eastAsiaTheme="majorEastAsia"/>
                <w:b/>
                <w:color w:val="auto"/>
                <w:sz w:val="21"/>
                <w:szCs w:val="21"/>
                <w:highlight w:val="none"/>
                <w:lang w:val="en-US" w:eastAsia="zh-CN"/>
              </w:rPr>
              <w:t>图2-1  水平衡图（m</w:t>
            </w:r>
            <w:r>
              <w:rPr>
                <w:rFonts w:hint="default" w:ascii="Times New Roman" w:hAnsi="Times New Roman" w:cs="Times New Roman" w:eastAsiaTheme="majorEastAsia"/>
                <w:b/>
                <w:color w:val="auto"/>
                <w:sz w:val="21"/>
                <w:szCs w:val="21"/>
                <w:highlight w:val="none"/>
                <w:vertAlign w:val="superscript"/>
                <w:lang w:val="en-US" w:eastAsia="zh-CN"/>
              </w:rPr>
              <w:t>3</w:t>
            </w:r>
            <w:r>
              <w:rPr>
                <w:rFonts w:hint="default" w:ascii="Times New Roman" w:hAnsi="Times New Roman" w:cs="Times New Roman" w:eastAsiaTheme="majorEastAsia"/>
                <w:b/>
                <w:color w:val="auto"/>
                <w:sz w:val="21"/>
                <w:szCs w:val="21"/>
                <w:highlight w:val="none"/>
                <w:lang w:val="en-US" w:eastAsia="zh-CN"/>
              </w:rPr>
              <w:t>/d）</w:t>
            </w:r>
          </w:p>
          <w:p w14:paraId="16C9DADE">
            <w:pPr>
              <w:keepNext w:val="0"/>
              <w:keepLines w:val="0"/>
              <w:pageBreakBefore w:val="0"/>
              <w:widowControl w:val="0"/>
              <w:kinsoku/>
              <w:wordWrap/>
              <w:overflowPunct/>
              <w:topLinePunct w:val="0"/>
              <w:autoSpaceDE w:val="0"/>
              <w:autoSpaceDN w:val="0"/>
              <w:bidi w:val="0"/>
              <w:adjustRightInd w:val="0"/>
              <w:snapToGrid w:val="0"/>
              <w:spacing w:line="520" w:lineRule="exact"/>
              <w:ind w:firstLine="482" w:firstLineChars="200"/>
              <w:jc w:val="both"/>
              <w:rPr>
                <w:rFonts w:hint="default" w:ascii="Times New Roman" w:hAnsi="Times New Roman" w:cs="Times New Roman"/>
                <w:b/>
                <w:color w:val="auto"/>
                <w:sz w:val="24"/>
                <w:szCs w:val="22"/>
                <w:highlight w:val="none"/>
              </w:rPr>
            </w:pPr>
            <w:r>
              <w:rPr>
                <w:rFonts w:hint="default" w:ascii="Times New Roman" w:hAnsi="Times New Roman" w:cs="Times New Roman"/>
                <w:b/>
                <w:color w:val="auto"/>
                <w:sz w:val="24"/>
                <w:szCs w:val="22"/>
                <w:highlight w:val="none"/>
              </w:rPr>
              <w:t>2、供电</w:t>
            </w:r>
          </w:p>
          <w:p w14:paraId="3B37289A">
            <w:pPr>
              <w:keepNext w:val="0"/>
              <w:keepLines w:val="0"/>
              <w:pageBreakBefore w:val="0"/>
              <w:widowControl w:val="0"/>
              <w:kinsoku/>
              <w:wordWrap/>
              <w:overflowPunct/>
              <w:topLinePunct w:val="0"/>
              <w:bidi w:val="0"/>
              <w:spacing w:line="520" w:lineRule="exact"/>
              <w:ind w:firstLine="480"/>
              <w:jc w:val="both"/>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项目供电</w:t>
            </w:r>
            <w:r>
              <w:rPr>
                <w:rFonts w:hint="eastAsia" w:cs="Times New Roman"/>
                <w:color w:val="auto"/>
                <w:sz w:val="24"/>
                <w:szCs w:val="22"/>
                <w:highlight w:val="none"/>
                <w:lang w:eastAsia="zh-CN"/>
              </w:rPr>
              <w:t>由市政供电管网提供</w:t>
            </w:r>
            <w:r>
              <w:rPr>
                <w:rFonts w:hint="default" w:ascii="Times New Roman" w:hAnsi="Times New Roman" w:cs="Times New Roman"/>
                <w:color w:val="auto"/>
                <w:sz w:val="24"/>
                <w:szCs w:val="22"/>
                <w:highlight w:val="none"/>
              </w:rPr>
              <w:t>，</w:t>
            </w:r>
            <w:r>
              <w:rPr>
                <w:rFonts w:hint="default" w:ascii="Times New Roman" w:hAnsi="Times New Roman" w:cs="Times New Roman"/>
                <w:color w:val="auto"/>
                <w:sz w:val="24"/>
                <w:szCs w:val="32"/>
                <w:highlight w:val="none"/>
              </w:rPr>
              <w:t>可保证全厂生产、生活用电</w:t>
            </w:r>
            <w:r>
              <w:rPr>
                <w:rFonts w:hint="default" w:ascii="Times New Roman" w:hAnsi="Times New Roman" w:cs="Times New Roman"/>
                <w:color w:val="auto"/>
                <w:sz w:val="24"/>
                <w:szCs w:val="22"/>
                <w:highlight w:val="none"/>
              </w:rPr>
              <w:t>负荷。</w:t>
            </w:r>
          </w:p>
          <w:p w14:paraId="7755CDD8">
            <w:pPr>
              <w:keepNext w:val="0"/>
              <w:keepLines w:val="0"/>
              <w:pageBreakBefore w:val="0"/>
              <w:widowControl w:val="0"/>
              <w:kinsoku/>
              <w:wordWrap/>
              <w:overflowPunct/>
              <w:topLinePunct w:val="0"/>
              <w:bidi w:val="0"/>
              <w:spacing w:line="520" w:lineRule="exact"/>
              <w:ind w:firstLine="482"/>
              <w:jc w:val="both"/>
              <w:rPr>
                <w:rFonts w:hint="default" w:ascii="Times New Roman" w:hAnsi="Times New Roman" w:cs="Times New Roman"/>
                <w:b/>
                <w:color w:val="auto"/>
                <w:sz w:val="24"/>
                <w:szCs w:val="22"/>
                <w:highlight w:val="none"/>
              </w:rPr>
            </w:pPr>
            <w:r>
              <w:rPr>
                <w:rFonts w:hint="default" w:ascii="Times New Roman" w:hAnsi="Times New Roman" w:cs="Times New Roman"/>
                <w:b/>
                <w:color w:val="auto"/>
                <w:sz w:val="24"/>
                <w:szCs w:val="22"/>
                <w:highlight w:val="none"/>
              </w:rPr>
              <w:t>3、供热</w:t>
            </w:r>
          </w:p>
          <w:p w14:paraId="2013AA51">
            <w:pPr>
              <w:keepNext w:val="0"/>
              <w:keepLines w:val="0"/>
              <w:pageBreakBefore w:val="0"/>
              <w:widowControl w:val="0"/>
              <w:kinsoku/>
              <w:wordWrap/>
              <w:overflowPunct/>
              <w:topLinePunct w:val="0"/>
              <w:bidi w:val="0"/>
              <w:spacing w:line="520" w:lineRule="exact"/>
              <w:ind w:firstLine="480"/>
              <w:jc w:val="both"/>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本项目厂房不供暖，</w:t>
            </w:r>
            <w:r>
              <w:rPr>
                <w:rFonts w:hint="eastAsia" w:ascii="Times New Roman" w:hAnsi="Times New Roman" w:eastAsia="宋体" w:cs="Times New Roman"/>
                <w:color w:val="auto"/>
                <w:sz w:val="24"/>
                <w:szCs w:val="22"/>
                <w:highlight w:val="none"/>
                <w:lang w:eastAsia="zh-CN"/>
              </w:rPr>
              <w:t>办公、</w:t>
            </w:r>
            <w:r>
              <w:rPr>
                <w:rFonts w:hint="default" w:ascii="Times New Roman" w:hAnsi="Times New Roman" w:eastAsia="宋体" w:cs="Times New Roman"/>
                <w:color w:val="auto"/>
                <w:sz w:val="24"/>
                <w:szCs w:val="22"/>
                <w:highlight w:val="none"/>
              </w:rPr>
              <w:t>生活供暖采用空调提供。</w:t>
            </w:r>
          </w:p>
          <w:p w14:paraId="42B35389">
            <w:pPr>
              <w:keepNext w:val="0"/>
              <w:keepLines w:val="0"/>
              <w:pageBreakBefore w:val="0"/>
              <w:widowControl w:val="0"/>
              <w:kinsoku/>
              <w:wordWrap/>
              <w:overflowPunct/>
              <w:topLinePunct w:val="0"/>
              <w:bidi w:val="0"/>
              <w:spacing w:line="520" w:lineRule="exact"/>
              <w:jc w:val="both"/>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lang w:eastAsia="zh-CN"/>
              </w:rPr>
              <w:t>七、</w:t>
            </w:r>
            <w:r>
              <w:rPr>
                <w:rFonts w:ascii="Times New Roman" w:hAnsi="Times New Roman" w:eastAsia="宋体" w:cs="Times New Roman"/>
                <w:b/>
                <w:color w:val="auto"/>
                <w:sz w:val="24"/>
                <w:highlight w:val="none"/>
              </w:rPr>
              <w:t>劳动定员及工作制度</w:t>
            </w:r>
          </w:p>
          <w:p w14:paraId="49224236">
            <w:pPr>
              <w:keepNext w:val="0"/>
              <w:keepLines w:val="0"/>
              <w:pageBreakBefore w:val="0"/>
              <w:widowControl w:val="0"/>
              <w:kinsoku/>
              <w:wordWrap/>
              <w:overflowPunct/>
              <w:topLinePunct w:val="0"/>
              <w:bidi w:val="0"/>
              <w:spacing w:line="520" w:lineRule="exact"/>
              <w:ind w:firstLine="480"/>
              <w:jc w:val="both"/>
              <w:rPr>
                <w:rFonts w:hint="eastAsia" w:ascii="Times New Roman" w:hAnsi="Times New Roman" w:cs="Times New Roman"/>
                <w:color w:val="auto"/>
                <w:sz w:val="24"/>
                <w:szCs w:val="22"/>
                <w:highlight w:val="none"/>
                <w:lang w:eastAsia="zh-CN"/>
              </w:rPr>
            </w:pPr>
            <w:r>
              <w:rPr>
                <w:rFonts w:hint="eastAsia" w:ascii="Times New Roman" w:hAnsi="Times New Roman" w:cs="Times New Roman"/>
                <w:color w:val="auto"/>
                <w:sz w:val="24"/>
                <w:szCs w:val="22"/>
                <w:highlight w:val="none"/>
                <w:lang w:eastAsia="zh-CN"/>
              </w:rPr>
              <w:t>根据企业提供的资料，本项目拟设置职工</w:t>
            </w:r>
            <w:r>
              <w:rPr>
                <w:rFonts w:hint="eastAsia" w:ascii="Times New Roman" w:hAnsi="Times New Roman" w:cs="Times New Roman"/>
                <w:color w:val="auto"/>
                <w:sz w:val="24"/>
                <w:szCs w:val="22"/>
                <w:highlight w:val="none"/>
                <w:lang w:val="en-US" w:eastAsia="zh-CN"/>
              </w:rPr>
              <w:t>8</w:t>
            </w:r>
            <w:r>
              <w:rPr>
                <w:rFonts w:hint="eastAsia" w:ascii="Times New Roman" w:hAnsi="Times New Roman" w:cs="Times New Roman"/>
                <w:color w:val="auto"/>
                <w:sz w:val="24"/>
                <w:szCs w:val="22"/>
                <w:highlight w:val="none"/>
                <w:lang w:eastAsia="zh-CN"/>
              </w:rPr>
              <w:t>人，</w:t>
            </w:r>
            <w:r>
              <w:rPr>
                <w:rFonts w:hint="eastAsia" w:asciiTheme="minorEastAsia" w:hAnsiTheme="minorEastAsia" w:eastAsiaTheme="minorEastAsia" w:cstheme="minorEastAsia"/>
                <w:color w:val="auto"/>
                <w:kern w:val="0"/>
                <w:sz w:val="24"/>
                <w:szCs w:val="24"/>
                <w:highlight w:val="none"/>
                <w:lang w:val="en-US" w:eastAsia="zh-CN" w:bidi="ar-SA"/>
              </w:rPr>
              <w:t>两班制（工作时间</w:t>
            </w:r>
            <w:r>
              <w:rPr>
                <w:rFonts w:hint="default" w:ascii="Times New Roman" w:hAnsi="Times New Roman" w:cs="Times New Roman" w:eastAsiaTheme="minorEastAsia"/>
                <w:color w:val="auto"/>
                <w:kern w:val="0"/>
                <w:sz w:val="24"/>
                <w:szCs w:val="24"/>
                <w:highlight w:val="none"/>
                <w:lang w:val="en-US" w:eastAsia="zh-CN" w:bidi="ar-SA"/>
              </w:rPr>
              <w:t>8：00-22：00），</w:t>
            </w:r>
            <w:r>
              <w:rPr>
                <w:rFonts w:hint="eastAsia" w:ascii="Times New Roman" w:hAnsi="Times New Roman" w:cs="Times New Roman"/>
                <w:color w:val="auto"/>
                <w:sz w:val="24"/>
                <w:szCs w:val="22"/>
                <w:highlight w:val="none"/>
                <w:lang w:eastAsia="zh-CN"/>
              </w:rPr>
              <w:t>全年工作</w:t>
            </w:r>
            <w:r>
              <w:rPr>
                <w:rFonts w:hint="eastAsia" w:cs="Times New Roman"/>
                <w:color w:val="auto"/>
                <w:sz w:val="24"/>
                <w:szCs w:val="22"/>
                <w:highlight w:val="none"/>
                <w:lang w:val="en-US" w:eastAsia="zh-CN"/>
              </w:rPr>
              <w:t>300</w:t>
            </w:r>
            <w:r>
              <w:rPr>
                <w:rFonts w:hint="eastAsia" w:ascii="Times New Roman" w:hAnsi="Times New Roman" w:cs="Times New Roman"/>
                <w:color w:val="auto"/>
                <w:sz w:val="24"/>
                <w:szCs w:val="22"/>
                <w:highlight w:val="none"/>
                <w:lang w:eastAsia="zh-CN"/>
              </w:rPr>
              <w:t>天</w:t>
            </w:r>
            <w:r>
              <w:rPr>
                <w:rFonts w:hint="eastAsia" w:ascii="Times New Roman" w:hAnsi="Times New Roman" w:cs="Times New Roman"/>
                <w:color w:val="0000FF"/>
                <w:sz w:val="24"/>
                <w:szCs w:val="22"/>
                <w:highlight w:val="none"/>
                <w:lang w:eastAsia="zh-CN"/>
              </w:rPr>
              <w:t>，</w:t>
            </w:r>
            <w:r>
              <w:rPr>
                <w:rFonts w:hint="eastAsia" w:ascii="Times New Roman" w:hAnsi="Times New Roman" w:cs="Times New Roman"/>
                <w:color w:val="auto"/>
                <w:sz w:val="24"/>
                <w:szCs w:val="22"/>
                <w:highlight w:val="none"/>
                <w:lang w:eastAsia="zh-CN"/>
              </w:rPr>
              <w:t>员工不在厂区食宿。</w:t>
            </w:r>
          </w:p>
          <w:p w14:paraId="0B9D907F">
            <w:pPr>
              <w:keepNext w:val="0"/>
              <w:keepLines w:val="0"/>
              <w:pageBreakBefore w:val="0"/>
              <w:widowControl w:val="0"/>
              <w:numPr>
                <w:ilvl w:val="0"/>
                <w:numId w:val="0"/>
              </w:numPr>
              <w:kinsoku/>
              <w:wordWrap/>
              <w:overflowPunct/>
              <w:topLinePunct w:val="0"/>
              <w:bidi w:val="0"/>
              <w:spacing w:line="520" w:lineRule="exact"/>
              <w:ind w:leftChars="0"/>
              <w:jc w:val="both"/>
              <w:rPr>
                <w:rFonts w:ascii="Times New Roman" w:hAnsi="Times New Roman" w:eastAsia="宋体" w:cs="Times New Roman"/>
                <w:b/>
                <w:color w:val="auto"/>
                <w:sz w:val="24"/>
                <w:highlight w:val="none"/>
              </w:rPr>
            </w:pPr>
            <w:r>
              <w:rPr>
                <w:rFonts w:hint="eastAsia" w:cs="Times New Roman"/>
                <w:b/>
                <w:color w:val="auto"/>
                <w:sz w:val="24"/>
                <w:highlight w:val="none"/>
                <w:lang w:eastAsia="zh-CN"/>
              </w:rPr>
              <w:t>八、</w:t>
            </w:r>
            <w:r>
              <w:rPr>
                <w:rFonts w:ascii="Times New Roman" w:hAnsi="Times New Roman" w:eastAsia="宋体" w:cs="Times New Roman"/>
                <w:b/>
                <w:color w:val="auto"/>
                <w:sz w:val="24"/>
                <w:highlight w:val="none"/>
              </w:rPr>
              <w:t>厂区平面布置</w:t>
            </w:r>
          </w:p>
          <w:p w14:paraId="4C1A4418">
            <w:pPr>
              <w:keepNext w:val="0"/>
              <w:keepLines w:val="0"/>
              <w:pageBreakBefore w:val="0"/>
              <w:widowControl w:val="0"/>
              <w:kinsoku/>
              <w:wordWrap/>
              <w:overflowPunct/>
              <w:topLinePunct w:val="0"/>
              <w:bidi w:val="0"/>
              <w:spacing w:line="360" w:lineRule="auto"/>
              <w:ind w:firstLine="480"/>
              <w:jc w:val="both"/>
              <w:rPr>
                <w:rFonts w:hint="eastAsia" w:ascii="Times New Roman" w:hAnsi="Times New Roman" w:cs="Times New Roman" w:eastAsiaTheme="minorEastAsia"/>
                <w:sz w:val="24"/>
                <w:highlight w:val="none"/>
              </w:rPr>
            </w:pPr>
            <w:r>
              <w:rPr>
                <w:rFonts w:hint="default" w:ascii="Times New Roman" w:hAnsi="Times New Roman" w:cs="Times New Roman"/>
                <w:color w:val="auto"/>
                <w:sz w:val="24"/>
                <w:szCs w:val="22"/>
                <w:highlight w:val="none"/>
                <w:lang w:eastAsia="zh-CN"/>
              </w:rPr>
              <w:t>依据建设单位提供的平面布局图，项目规划租赁使用</w:t>
            </w:r>
            <w:r>
              <w:rPr>
                <w:rFonts w:hint="default" w:ascii="Times New Roman" w:hAnsi="Times New Roman" w:cs="Times New Roman"/>
                <w:color w:val="auto"/>
                <w:sz w:val="24"/>
                <w:szCs w:val="22"/>
                <w:highlight w:val="none"/>
                <w:lang w:val="en-US" w:eastAsia="zh-CN"/>
              </w:rPr>
              <w:t>5号厂房</w:t>
            </w:r>
            <w:r>
              <w:rPr>
                <w:rFonts w:hint="default" w:ascii="Times New Roman" w:hAnsi="Times New Roman" w:cs="Times New Roman"/>
                <w:color w:val="auto"/>
                <w:sz w:val="24"/>
                <w:szCs w:val="22"/>
                <w:highlight w:val="none"/>
                <w:lang w:eastAsia="zh-CN"/>
              </w:rPr>
              <w:t>，主要有</w:t>
            </w:r>
            <w:r>
              <w:rPr>
                <w:rFonts w:hint="default" w:ascii="Times New Roman" w:hAnsi="Times New Roman" w:cs="Times New Roman"/>
                <w:color w:val="auto"/>
                <w:sz w:val="24"/>
                <w:szCs w:val="22"/>
                <w:highlight w:val="none"/>
                <w:lang w:val="en-US" w:eastAsia="zh-CN"/>
              </w:rPr>
              <w:t>3个区域，分为</w:t>
            </w:r>
            <w:r>
              <w:rPr>
                <w:rFonts w:hint="default" w:ascii="Times New Roman" w:hAnsi="Times New Roman" w:cs="Times New Roman"/>
                <w:color w:val="auto"/>
                <w:sz w:val="24"/>
                <w:szCs w:val="22"/>
                <w:highlight w:val="none"/>
                <w:lang w:eastAsia="zh-CN"/>
              </w:rPr>
              <w:t>原料区</w:t>
            </w:r>
            <w:r>
              <w:rPr>
                <w:rFonts w:hint="default" w:ascii="Times New Roman" w:hAnsi="Times New Roman" w:cs="Times New Roman" w:eastAsiaTheme="minorEastAsia"/>
                <w:color w:val="auto"/>
                <w:sz w:val="24"/>
                <w:szCs w:val="22"/>
                <w:highlight w:val="none"/>
                <w:lang w:eastAsia="zh-CN"/>
              </w:rPr>
              <w:t>、生产区、成品区。东侧有两个出入口</w:t>
            </w:r>
            <w:r>
              <w:rPr>
                <w:rFonts w:hint="default" w:ascii="Times New Roman" w:hAnsi="Times New Roman" w:cs="Times New Roman" w:eastAsiaTheme="minorEastAsia"/>
                <w:sz w:val="24"/>
                <w:highlight w:val="none"/>
                <w:lang w:eastAsia="zh-CN"/>
              </w:rPr>
              <w:t>，东侧区域为原料区，西侧有一个出入口，西侧区域为成品区，北侧区域有</w:t>
            </w:r>
            <w:r>
              <w:rPr>
                <w:rFonts w:hint="eastAsia" w:cs="Times New Roman" w:eastAsiaTheme="minorEastAsia"/>
                <w:color w:val="auto"/>
                <w:sz w:val="24"/>
                <w:highlight w:val="none"/>
                <w:lang w:val="en-US" w:eastAsia="zh-CN"/>
              </w:rPr>
              <w:t>4</w:t>
            </w:r>
            <w:r>
              <w:rPr>
                <w:rFonts w:hint="default" w:ascii="Times New Roman" w:hAnsi="Times New Roman" w:cs="Times New Roman" w:eastAsiaTheme="minorEastAsia"/>
                <w:color w:val="auto"/>
                <w:sz w:val="24"/>
                <w:highlight w:val="none"/>
                <w:lang w:val="en-US" w:eastAsia="zh-CN"/>
              </w:rPr>
              <w:t>套</w:t>
            </w:r>
            <w:r>
              <w:rPr>
                <w:rFonts w:hint="default" w:ascii="Times New Roman" w:hAnsi="Times New Roman" w:cs="Times New Roman" w:eastAsiaTheme="minorEastAsia"/>
                <w:sz w:val="24"/>
                <w:highlight w:val="none"/>
                <w:lang w:val="en-US" w:eastAsia="zh-CN"/>
              </w:rPr>
              <w:t>注塑机、挤出机等生产设备及配套设施，厂房</w:t>
            </w:r>
            <w:r>
              <w:rPr>
                <w:rFonts w:hint="default" w:ascii="Times New Roman" w:hAnsi="Times New Roman" w:cs="Times New Roman" w:eastAsiaTheme="minorEastAsia"/>
                <w:sz w:val="24"/>
                <w:highlight w:val="none"/>
                <w:lang w:eastAsia="zh-CN"/>
              </w:rPr>
              <w:t>外</w:t>
            </w:r>
            <w:r>
              <w:rPr>
                <w:rFonts w:hint="default" w:ascii="Times New Roman" w:hAnsi="Times New Roman" w:cs="Times New Roman" w:eastAsiaTheme="minorEastAsia"/>
                <w:sz w:val="24"/>
                <w:highlight w:val="none"/>
              </w:rPr>
              <w:t>西侧设立一般固废</w:t>
            </w:r>
            <w:r>
              <w:rPr>
                <w:rFonts w:hint="default" w:ascii="Times New Roman" w:hAnsi="Times New Roman" w:cs="Times New Roman" w:eastAsiaTheme="minorEastAsia"/>
                <w:sz w:val="24"/>
                <w:highlight w:val="none"/>
                <w:lang w:eastAsia="zh-CN"/>
              </w:rPr>
              <w:t>暂存</w:t>
            </w:r>
            <w:r>
              <w:rPr>
                <w:rFonts w:hint="default" w:ascii="Times New Roman" w:hAnsi="Times New Roman" w:cs="Times New Roman" w:eastAsiaTheme="minorEastAsia"/>
                <w:sz w:val="24"/>
                <w:highlight w:val="none"/>
              </w:rPr>
              <w:t>间</w:t>
            </w: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lang w:val="en-US" w:eastAsia="zh-CN"/>
              </w:rPr>
              <w:t>30m</w:t>
            </w:r>
            <w:r>
              <w:rPr>
                <w:rFonts w:hint="default" w:ascii="Times New Roman" w:hAnsi="Times New Roman" w:cs="Times New Roman" w:eastAsiaTheme="minorEastAsia"/>
                <w:sz w:val="24"/>
                <w:highlight w:val="none"/>
                <w:vertAlign w:val="superscript"/>
                <w:lang w:val="en-US" w:eastAsia="zh-CN"/>
              </w:rPr>
              <w:t>2</w:t>
            </w:r>
            <w:r>
              <w:rPr>
                <w:rFonts w:hint="default" w:ascii="Times New Roman" w:hAnsi="Times New Roman" w:cs="Times New Roman" w:eastAsiaTheme="minorEastAsia"/>
                <w:sz w:val="24"/>
                <w:highlight w:val="none"/>
                <w:lang w:eastAsia="zh-CN"/>
              </w:rPr>
              <w:t>）和</w:t>
            </w:r>
            <w:r>
              <w:rPr>
                <w:rFonts w:hint="default" w:ascii="Times New Roman" w:hAnsi="Times New Roman" w:cs="Times New Roman" w:eastAsiaTheme="minorEastAsia"/>
                <w:sz w:val="24"/>
                <w:highlight w:val="none"/>
              </w:rPr>
              <w:t>危废</w:t>
            </w:r>
            <w:r>
              <w:rPr>
                <w:rFonts w:hint="default" w:ascii="Times New Roman" w:hAnsi="Times New Roman" w:cs="Times New Roman" w:eastAsiaTheme="minorEastAsia"/>
                <w:sz w:val="24"/>
                <w:highlight w:val="none"/>
                <w:lang w:eastAsia="zh-CN"/>
              </w:rPr>
              <w:t>贮存库（</w:t>
            </w:r>
            <w:r>
              <w:rPr>
                <w:rFonts w:hint="default" w:ascii="Times New Roman" w:hAnsi="Times New Roman" w:cs="Times New Roman" w:eastAsiaTheme="minorEastAsia"/>
                <w:sz w:val="24"/>
                <w:highlight w:val="none"/>
                <w:lang w:val="en-US" w:eastAsia="zh-CN"/>
              </w:rPr>
              <w:t>10m</w:t>
            </w:r>
            <w:r>
              <w:rPr>
                <w:rFonts w:hint="default" w:ascii="Times New Roman" w:hAnsi="Times New Roman" w:cs="Times New Roman" w:eastAsiaTheme="minorEastAsia"/>
                <w:sz w:val="24"/>
                <w:highlight w:val="none"/>
                <w:vertAlign w:val="superscript"/>
                <w:lang w:val="en-US" w:eastAsia="zh-CN"/>
              </w:rPr>
              <w:t>2</w:t>
            </w:r>
            <w:r>
              <w:rPr>
                <w:rFonts w:hint="default" w:ascii="Times New Roman" w:hAnsi="Times New Roman" w:cs="Times New Roman" w:eastAsiaTheme="minorEastAsia"/>
                <w:sz w:val="24"/>
                <w:highlight w:val="none"/>
                <w:lang w:eastAsia="zh-CN"/>
              </w:rPr>
              <w:t>）</w:t>
            </w:r>
            <w:r>
              <w:rPr>
                <w:rFonts w:hint="eastAsia" w:cs="Times New Roman" w:eastAsiaTheme="minorEastAsia"/>
                <w:sz w:val="24"/>
                <w:highlight w:val="none"/>
                <w:lang w:eastAsia="zh-CN"/>
              </w:rPr>
              <w:t>。</w:t>
            </w:r>
          </w:p>
        </w:tc>
      </w:tr>
      <w:tr w14:paraId="364D0C4B">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4940" w:hRule="atLeast"/>
          <w:jc w:val="center"/>
        </w:trPr>
        <w:tc>
          <w:tcPr>
            <w:tcW w:w="423" w:type="dxa"/>
            <w:noWrap w:val="0"/>
            <w:vAlign w:val="center"/>
          </w:tcPr>
          <w:p w14:paraId="6DE14543">
            <w:pPr>
              <w:pStyle w:val="22"/>
              <w:adjustRightInd w:val="0"/>
              <w:snapToGrid w:val="0"/>
              <w:spacing w:before="0" w:beforeAutospacing="0" w:after="0" w:afterAutospacing="0"/>
              <w:jc w:val="center"/>
              <w:rPr>
                <w:rFonts w:cs="宋体"/>
                <w:color w:val="auto"/>
                <w:sz w:val="21"/>
                <w:szCs w:val="21"/>
                <w:highlight w:val="none"/>
              </w:rPr>
            </w:pPr>
            <w:r>
              <w:rPr>
                <w:rFonts w:hint="eastAsia" w:cs="宋体"/>
                <w:color w:val="auto"/>
                <w:sz w:val="21"/>
                <w:szCs w:val="21"/>
                <w:highlight w:val="none"/>
              </w:rPr>
              <w:t>工艺流程和产排污环节</w:t>
            </w:r>
          </w:p>
        </w:tc>
        <w:tc>
          <w:tcPr>
            <w:tcW w:w="8643" w:type="dxa"/>
            <w:shd w:val="clear" w:color="auto" w:fill="auto"/>
            <w:noWrap w:val="0"/>
            <w:vAlign w:val="top"/>
          </w:tcPr>
          <w:p w14:paraId="70B028E5">
            <w:pPr>
              <w:keepNext w:val="0"/>
              <w:keepLines w:val="0"/>
              <w:pageBreakBefore w:val="0"/>
              <w:widowControl w:val="0"/>
              <w:kinsoku/>
              <w:wordWrap/>
              <w:overflowPunct/>
              <w:topLinePunct w:val="0"/>
              <w:autoSpaceDE w:val="0"/>
              <w:autoSpaceDN w:val="0"/>
              <w:bidi w:val="0"/>
              <w:adjustRightInd w:val="0"/>
              <w:spacing w:line="520" w:lineRule="exact"/>
              <w:textAlignment w:val="auto"/>
              <w:rPr>
                <w:rFonts w:hint="default" w:ascii="Times New Roman" w:hAnsi="Times New Roman" w:cs="Times New Roman"/>
                <w:b/>
                <w:bCs/>
                <w:color w:val="auto"/>
                <w:kern w:val="0"/>
                <w:sz w:val="24"/>
                <w:szCs w:val="20"/>
                <w:highlight w:val="none"/>
                <w:lang w:bidi="ar"/>
              </w:rPr>
            </w:pPr>
            <w:r>
              <w:rPr>
                <w:rFonts w:hint="default" w:ascii="Times New Roman" w:hAnsi="Times New Roman" w:cs="Times New Roman"/>
                <w:b/>
                <w:bCs/>
                <w:color w:val="auto"/>
                <w:kern w:val="0"/>
                <w:sz w:val="24"/>
                <w:szCs w:val="20"/>
                <w:highlight w:val="none"/>
                <w:lang w:bidi="ar"/>
              </w:rPr>
              <w:t>施工期</w:t>
            </w:r>
          </w:p>
          <w:p w14:paraId="6D98CE57">
            <w:pPr>
              <w:keepNext w:val="0"/>
              <w:keepLines w:val="0"/>
              <w:pageBreakBefore w:val="0"/>
              <w:widowControl w:val="0"/>
              <w:kinsoku/>
              <w:wordWrap/>
              <w:overflowPunct/>
              <w:topLinePunct w:val="0"/>
              <w:bidi w:val="0"/>
              <w:snapToGrid w:val="0"/>
              <w:spacing w:line="520" w:lineRule="exact"/>
              <w:ind w:firstLine="480"/>
              <w:jc w:val="both"/>
              <w:textAlignment w:val="auto"/>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根据现场踏勘及建设单位提供的资料可知，本项目</w:t>
            </w:r>
            <w:r>
              <w:rPr>
                <w:rFonts w:hint="eastAsia" w:ascii="Times New Roman" w:hAnsi="Times New Roman" w:eastAsia="宋体" w:cs="Times New Roman"/>
                <w:color w:val="auto"/>
                <w:sz w:val="24"/>
                <w:szCs w:val="32"/>
                <w:highlight w:val="none"/>
                <w:lang w:val="en-US" w:eastAsia="zh-CN"/>
              </w:rPr>
              <w:t>租赁场地厂房及生活办公区域已建成</w:t>
            </w:r>
            <w:r>
              <w:rPr>
                <w:rFonts w:hint="default" w:ascii="Times New Roman" w:hAnsi="Times New Roman" w:eastAsia="宋体" w:cs="Times New Roman"/>
                <w:color w:val="auto"/>
                <w:sz w:val="24"/>
                <w:szCs w:val="32"/>
                <w:highlight w:val="none"/>
                <w:lang w:val="en-US" w:eastAsia="zh-CN"/>
              </w:rPr>
              <w:t>，本项目施工内容仅为生产设备</w:t>
            </w:r>
            <w:r>
              <w:rPr>
                <w:rFonts w:hint="eastAsia" w:ascii="Times New Roman" w:hAnsi="Times New Roman" w:eastAsia="宋体" w:cs="Times New Roman"/>
                <w:color w:val="auto"/>
                <w:sz w:val="24"/>
                <w:szCs w:val="32"/>
                <w:highlight w:val="none"/>
                <w:lang w:val="en-US" w:eastAsia="zh-CN"/>
              </w:rPr>
              <w:t>及环保设备</w:t>
            </w:r>
            <w:r>
              <w:rPr>
                <w:rFonts w:hint="default" w:ascii="Times New Roman" w:hAnsi="Times New Roman" w:eastAsia="宋体" w:cs="Times New Roman"/>
                <w:color w:val="auto"/>
                <w:sz w:val="24"/>
                <w:szCs w:val="32"/>
                <w:highlight w:val="none"/>
                <w:lang w:val="en-US" w:eastAsia="zh-CN"/>
              </w:rPr>
              <w:t>的安装，本项目施工期较短，不涉及土方施工。</w:t>
            </w:r>
          </w:p>
          <w:p w14:paraId="78AC3BD3">
            <w:pPr>
              <w:keepNext w:val="0"/>
              <w:keepLines w:val="0"/>
              <w:pageBreakBefore w:val="0"/>
              <w:widowControl w:val="0"/>
              <w:kinsoku/>
              <w:wordWrap/>
              <w:overflowPunct/>
              <w:topLinePunct w:val="0"/>
              <w:autoSpaceDE w:val="0"/>
              <w:autoSpaceDN w:val="0"/>
              <w:bidi w:val="0"/>
              <w:adjustRightInd w:val="0"/>
              <w:spacing w:line="520" w:lineRule="exact"/>
              <w:textAlignment w:val="auto"/>
              <w:rPr>
                <w:rFonts w:hint="default" w:ascii="Times New Roman" w:hAnsi="Times New Roman" w:cs="Times New Roman"/>
                <w:b/>
                <w:bCs/>
                <w:color w:val="auto"/>
                <w:kern w:val="0"/>
                <w:sz w:val="24"/>
                <w:szCs w:val="20"/>
                <w:highlight w:val="none"/>
                <w:lang w:bidi="ar"/>
              </w:rPr>
            </w:pPr>
            <w:r>
              <w:rPr>
                <w:rFonts w:hint="default" w:ascii="Times New Roman" w:hAnsi="Times New Roman" w:cs="Times New Roman"/>
                <w:b/>
                <w:bCs/>
                <w:color w:val="auto"/>
                <w:kern w:val="0"/>
                <w:sz w:val="24"/>
                <w:szCs w:val="20"/>
                <w:highlight w:val="none"/>
                <w:lang w:bidi="ar"/>
              </w:rPr>
              <w:t>运营期：</w:t>
            </w:r>
          </w:p>
          <w:p w14:paraId="6E083F2C">
            <w:pPr>
              <w:spacing w:line="360" w:lineRule="auto"/>
              <w:ind w:firstLine="480" w:firstLineChars="200"/>
              <w:rPr>
                <w:rFonts w:hint="eastAsia"/>
                <w:sz w:val="24"/>
                <w:highlight w:val="none"/>
                <w:lang w:val="en-US" w:eastAsia="zh-CN"/>
              </w:rPr>
            </w:pPr>
            <w:r>
              <w:rPr>
                <w:rFonts w:hint="eastAsia"/>
                <w:sz w:val="24"/>
                <w:highlight w:val="none"/>
                <w:lang w:eastAsia="zh-CN"/>
              </w:rPr>
              <w:t>运营</w:t>
            </w:r>
            <w:r>
              <w:rPr>
                <w:rFonts w:hint="eastAsia"/>
                <w:sz w:val="24"/>
                <w:highlight w:val="none"/>
              </w:rPr>
              <w:t>期</w:t>
            </w:r>
            <w:r>
              <w:rPr>
                <w:sz w:val="24"/>
                <w:highlight w:val="none"/>
              </w:rPr>
              <w:t>工艺</w:t>
            </w:r>
            <w:r>
              <w:rPr>
                <w:rFonts w:hint="eastAsia"/>
                <w:sz w:val="24"/>
                <w:highlight w:val="none"/>
              </w:rPr>
              <w:t>详细情况</w:t>
            </w:r>
            <w:r>
              <w:rPr>
                <w:sz w:val="24"/>
                <w:highlight w:val="none"/>
              </w:rPr>
              <w:t>如下：</w:t>
            </w:r>
          </w:p>
          <w:p w14:paraId="792ABA52">
            <w:pPr>
              <w:spacing w:line="360" w:lineRule="auto"/>
              <w:ind w:firstLine="480" w:firstLineChars="200"/>
              <w:rPr>
                <w:rFonts w:hint="default" w:ascii="Times New Roman" w:hAnsi="Times New Roman" w:cs="Times New Roman"/>
                <w:color w:val="0000FF"/>
                <w:sz w:val="21"/>
                <w:highlight w:val="none"/>
              </w:rPr>
            </w:pPr>
            <w:r>
              <w:rPr>
                <w:rFonts w:hint="eastAsia"/>
                <w:sz w:val="24"/>
                <w:highlight w:val="none"/>
                <w:lang w:val="en-US" w:eastAsia="zh-CN"/>
              </w:rPr>
              <w:t xml:space="preserve">  </w:t>
            </w:r>
            <w:r>
              <w:rPr>
                <w:rFonts w:hint="default" w:ascii="Times New Roman" w:hAnsi="Times New Roman" w:cs="Times New Roman"/>
                <w:color w:val="000000"/>
                <w:sz w:val="21"/>
                <w:highlight w:val="none"/>
              </w:rPr>
              <mc:AlternateContent>
                <mc:Choice Requires="wpc">
                  <w:drawing>
                    <wp:inline distT="0" distB="0" distL="114300" distR="114300">
                      <wp:extent cx="4415790" cy="2604770"/>
                      <wp:effectExtent l="0" t="0" r="0" b="24130"/>
                      <wp:docPr id="69" name="画布 69"/>
                      <wp:cNvGraphicFramePr/>
                      <a:graphic xmlns:a="http://schemas.openxmlformats.org/drawingml/2006/main">
                        <a:graphicData uri="http://schemas.microsoft.com/office/word/2010/wordprocessingCanvas">
                          <wpc:wpc>
                            <wpc:bg>
                              <a:noFill/>
                            </wpc:bg>
                            <wpc:whole>
                              <a:ln>
                                <a:noFill/>
                              </a:ln>
                            </wpc:whole>
                            <wps:wsp>
                              <wps:cNvPr id="41" name="文本框 52"/>
                              <wps:cNvSpPr txBox="1"/>
                              <wps:spPr>
                                <a:xfrm>
                                  <a:off x="1170940" y="114300"/>
                                  <a:ext cx="1663700" cy="285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2CE329">
                                    <w:pPr>
                                      <w:jc w:val="both"/>
                                      <w:rPr>
                                        <w:rFonts w:hint="default" w:eastAsia="宋体"/>
                                        <w:lang w:val="en-US" w:eastAsia="zh-CN"/>
                                      </w:rPr>
                                    </w:pPr>
                                    <w:r>
                                      <w:rPr>
                                        <w:rFonts w:hint="eastAsia" w:eastAsia="宋体"/>
                                        <w:lang w:val="en-US" w:eastAsia="zh-CN"/>
                                      </w:rPr>
                                      <w:t>聚丙烯、聚乙烯、色母粒</w:t>
                                    </w:r>
                                  </w:p>
                                </w:txbxContent>
                              </wps:txbx>
                              <wps:bodyPr upright="1"/>
                            </wps:wsp>
                            <wps:wsp>
                              <wps:cNvPr id="42" name="文本框 53"/>
                              <wps:cNvSpPr txBox="1"/>
                              <wps:spPr>
                                <a:xfrm>
                                  <a:off x="1548131" y="667385"/>
                                  <a:ext cx="814069"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EDDD39">
                                    <w:pPr>
                                      <w:jc w:val="center"/>
                                      <w:rPr>
                                        <w:rFonts w:hint="default" w:eastAsia="宋体"/>
                                        <w:lang w:val="en-US" w:eastAsia="zh-CN"/>
                                      </w:rPr>
                                    </w:pPr>
                                    <w:r>
                                      <w:rPr>
                                        <w:rFonts w:hint="eastAsia" w:eastAsia="宋体"/>
                                        <w:lang w:val="en-US" w:eastAsia="zh-CN"/>
                                      </w:rPr>
                                      <w:t>投料</w:t>
                                    </w:r>
                                  </w:p>
                                </w:txbxContent>
                              </wps:txbx>
                              <wps:bodyPr upright="1"/>
                            </wps:wsp>
                            <wps:wsp>
                              <wps:cNvPr id="43" name="文本框 54"/>
                              <wps:cNvSpPr txBox="1"/>
                              <wps:spPr>
                                <a:xfrm>
                                  <a:off x="1559561" y="1207135"/>
                                  <a:ext cx="817244"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89C0B2">
                                    <w:pPr>
                                      <w:ind w:firstLine="210" w:firstLineChars="100"/>
                                      <w:rPr>
                                        <w:rFonts w:hint="default" w:eastAsia="宋体"/>
                                        <w:lang w:val="en-US" w:eastAsia="zh-CN"/>
                                      </w:rPr>
                                    </w:pPr>
                                    <w:r>
                                      <w:rPr>
                                        <w:rFonts w:hint="eastAsia" w:eastAsia="宋体"/>
                                        <w:lang w:val="en-US" w:eastAsia="zh-CN"/>
                                      </w:rPr>
                                      <w:t>注塑</w:t>
                                    </w:r>
                                  </w:p>
                                </w:txbxContent>
                              </wps:txbx>
                              <wps:bodyPr upright="1"/>
                            </wps:wsp>
                            <wps:wsp>
                              <wps:cNvPr id="44" name="文本框 55"/>
                              <wps:cNvSpPr txBox="1"/>
                              <wps:spPr>
                                <a:xfrm>
                                  <a:off x="1544321" y="1754505"/>
                                  <a:ext cx="859789"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EC5615">
                                    <w:pPr>
                                      <w:jc w:val="center"/>
                                      <w:rPr>
                                        <w:rFonts w:hint="default" w:eastAsia="宋体"/>
                                        <w:lang w:val="en-US" w:eastAsia="zh-CN"/>
                                      </w:rPr>
                                    </w:pPr>
                                    <w:r>
                                      <w:rPr>
                                        <w:rFonts w:hint="eastAsia" w:eastAsia="宋体"/>
                                        <w:lang w:val="en-US" w:eastAsia="zh-CN"/>
                                      </w:rPr>
                                      <w:t>挤出</w:t>
                                    </w:r>
                                  </w:p>
                                </w:txbxContent>
                              </wps:txbx>
                              <wps:bodyPr upright="1"/>
                            </wps:wsp>
                            <wps:wsp>
                              <wps:cNvPr id="45" name="文本框 56"/>
                              <wps:cNvSpPr txBox="1"/>
                              <wps:spPr>
                                <a:xfrm>
                                  <a:off x="1712595" y="2316480"/>
                                  <a:ext cx="46355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D3E2BB">
                                    <w:pPr>
                                      <w:jc w:val="both"/>
                                      <w:rPr>
                                        <w:rFonts w:hint="default" w:eastAsia="宋体"/>
                                        <w:lang w:val="en-US" w:eastAsia="zh-CN"/>
                                      </w:rPr>
                                    </w:pPr>
                                    <w:r>
                                      <w:rPr>
                                        <w:rFonts w:hint="eastAsia" w:eastAsia="宋体"/>
                                        <w:lang w:val="en-US" w:eastAsia="zh-CN"/>
                                      </w:rPr>
                                      <w:t>检验</w:t>
                                    </w:r>
                                  </w:p>
                                </w:txbxContent>
                              </wps:txbx>
                              <wps:bodyPr upright="1"/>
                            </wps:wsp>
                            <wps:wsp>
                              <wps:cNvPr id="46" name="直接连接符 57"/>
                              <wps:cNvCnPr/>
                              <wps:spPr>
                                <a:xfrm flipH="1">
                                  <a:off x="1953260" y="416560"/>
                                  <a:ext cx="0" cy="254000"/>
                                </a:xfrm>
                                <a:prstGeom prst="line">
                                  <a:avLst/>
                                </a:prstGeom>
                                <a:ln w="9525" cap="flat" cmpd="sng">
                                  <a:solidFill>
                                    <a:srgbClr val="000000"/>
                                  </a:solidFill>
                                  <a:prstDash val="solid"/>
                                  <a:headEnd type="none" w="med" len="med"/>
                                  <a:tailEnd type="triangle" w="lg" len="med"/>
                                </a:ln>
                              </wps:spPr>
                              <wps:bodyPr upright="1"/>
                            </wps:wsp>
                            <wps:wsp>
                              <wps:cNvPr id="47" name="直接连接符 58"/>
                              <wps:cNvCnPr/>
                              <wps:spPr>
                                <a:xfrm>
                                  <a:off x="1960880" y="2045335"/>
                                  <a:ext cx="5080" cy="281305"/>
                                </a:xfrm>
                                <a:prstGeom prst="line">
                                  <a:avLst/>
                                </a:prstGeom>
                                <a:ln w="9525" cap="flat" cmpd="sng">
                                  <a:solidFill>
                                    <a:srgbClr val="000000"/>
                                  </a:solidFill>
                                  <a:prstDash val="solid"/>
                                  <a:headEnd type="none" w="med" len="med"/>
                                  <a:tailEnd type="triangle" w="lg" len="med"/>
                                </a:ln>
                              </wps:spPr>
                              <wps:bodyPr upright="1"/>
                            </wps:wsp>
                            <wps:wsp>
                              <wps:cNvPr id="48" name="直接连接符 59"/>
                              <wps:cNvCnPr/>
                              <wps:spPr>
                                <a:xfrm flipH="1">
                                  <a:off x="1959610" y="1496060"/>
                                  <a:ext cx="0" cy="254000"/>
                                </a:xfrm>
                                <a:prstGeom prst="line">
                                  <a:avLst/>
                                </a:prstGeom>
                                <a:ln w="9525" cap="flat" cmpd="sng">
                                  <a:solidFill>
                                    <a:srgbClr val="000000"/>
                                  </a:solidFill>
                                  <a:prstDash val="solid"/>
                                  <a:headEnd type="none" w="med" len="med"/>
                                  <a:tailEnd type="triangle" w="lg" len="med"/>
                                </a:ln>
                              </wps:spPr>
                              <wps:bodyPr upright="1"/>
                            </wps:wsp>
                            <wps:wsp>
                              <wps:cNvPr id="49" name="直接连接符 60"/>
                              <wps:cNvCnPr/>
                              <wps:spPr>
                                <a:xfrm>
                                  <a:off x="2390140" y="1354455"/>
                                  <a:ext cx="457200" cy="0"/>
                                </a:xfrm>
                                <a:prstGeom prst="line">
                                  <a:avLst/>
                                </a:prstGeom>
                                <a:ln w="9525" cap="flat" cmpd="sng">
                                  <a:solidFill>
                                    <a:srgbClr val="000000"/>
                                  </a:solidFill>
                                  <a:prstDash val="dash"/>
                                  <a:headEnd type="none" w="med" len="med"/>
                                  <a:tailEnd type="triangle" w="lg" len="med"/>
                                </a:ln>
                              </wps:spPr>
                              <wps:bodyPr upright="1"/>
                            </wps:wsp>
                            <wps:wsp>
                              <wps:cNvPr id="50" name="直接连接符 61"/>
                              <wps:cNvCnPr>
                                <a:stCxn id="55" idx="3"/>
                                <a:endCxn id="63" idx="1"/>
                              </wps:cNvCnPr>
                              <wps:spPr>
                                <a:xfrm>
                                  <a:off x="2404110" y="1894205"/>
                                  <a:ext cx="461010" cy="1905"/>
                                </a:xfrm>
                                <a:prstGeom prst="line">
                                  <a:avLst/>
                                </a:prstGeom>
                                <a:ln w="9525" cap="flat" cmpd="sng">
                                  <a:solidFill>
                                    <a:srgbClr val="000000"/>
                                  </a:solidFill>
                                  <a:prstDash val="dash"/>
                                  <a:headEnd type="none" w="med" len="med"/>
                                  <a:tailEnd type="triangle" w="lg" len="med"/>
                                </a:ln>
                              </wps:spPr>
                              <wps:bodyPr upright="1"/>
                            </wps:wsp>
                            <wps:wsp>
                              <wps:cNvPr id="51" name="文本框 62"/>
                              <wps:cNvSpPr txBox="1"/>
                              <wps:spPr>
                                <a:xfrm>
                                  <a:off x="2873375" y="1227455"/>
                                  <a:ext cx="1558925" cy="279400"/>
                                </a:xfrm>
                                <a:prstGeom prst="rect">
                                  <a:avLst/>
                                </a:prstGeom>
                                <a:noFill/>
                                <a:ln>
                                  <a:noFill/>
                                </a:ln>
                              </wps:spPr>
                              <wps:txbx>
                                <w:txbxContent>
                                  <w:p w14:paraId="6C43859A">
                                    <w:pPr>
                                      <w:rPr>
                                        <w:rFonts w:hint="default" w:eastAsia="宋体"/>
                                        <w:lang w:val="en-US" w:eastAsia="zh-CN"/>
                                      </w:rPr>
                                    </w:pPr>
                                    <w:r>
                                      <w:rPr>
                                        <w:rFonts w:hint="eastAsia"/>
                                        <w:lang w:val="en-US" w:eastAsia="zh-CN"/>
                                      </w:rPr>
                                      <w:t>噪声、非甲烷总烃</w:t>
                                    </w:r>
                                  </w:p>
                                </w:txbxContent>
                              </wps:txbx>
                              <wps:bodyPr upright="1"/>
                            </wps:wsp>
                            <wps:wsp>
                              <wps:cNvPr id="70" name="文本框 63"/>
                              <wps:cNvSpPr txBox="1"/>
                              <wps:spPr>
                                <a:xfrm>
                                  <a:off x="2865120" y="1756410"/>
                                  <a:ext cx="1405255" cy="279400"/>
                                </a:xfrm>
                                <a:prstGeom prst="rect">
                                  <a:avLst/>
                                </a:prstGeom>
                                <a:noFill/>
                                <a:ln>
                                  <a:noFill/>
                                </a:ln>
                              </wps:spPr>
                              <wps:txbx>
                                <w:txbxContent>
                                  <w:p w14:paraId="135D4C75">
                                    <w:pPr>
                                      <w:rPr>
                                        <w:rFonts w:hint="default"/>
                                        <w:lang w:val="en-US" w:eastAsia="zh-CN"/>
                                      </w:rPr>
                                    </w:pPr>
                                    <w:r>
                                      <w:rPr>
                                        <w:rFonts w:hint="eastAsia"/>
                                        <w:lang w:val="en-US" w:eastAsia="zh-CN"/>
                                      </w:rPr>
                                      <w:t>噪声、非甲烷总烃</w:t>
                                    </w:r>
                                  </w:p>
                                </w:txbxContent>
                              </wps:txbx>
                              <wps:bodyPr upright="1"/>
                            </wps:wsp>
                            <wps:wsp>
                              <wps:cNvPr id="71" name="文本框 64"/>
                              <wps:cNvSpPr txBox="1"/>
                              <wps:spPr>
                                <a:xfrm>
                                  <a:off x="252730" y="2327275"/>
                                  <a:ext cx="1012825" cy="286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FD1698">
                                    <w:pPr>
                                      <w:jc w:val="center"/>
                                      <w:rPr>
                                        <w:rFonts w:hint="default" w:eastAsia="宋体"/>
                                        <w:lang w:val="en-US" w:eastAsia="zh-CN"/>
                                      </w:rPr>
                                    </w:pPr>
                                    <w:r>
                                      <w:rPr>
                                        <w:rFonts w:hint="eastAsia" w:eastAsia="宋体"/>
                                        <w:lang w:val="en-US" w:eastAsia="zh-CN"/>
                                      </w:rPr>
                                      <w:t>不合格品出售</w:t>
                                    </w:r>
                                  </w:p>
                                </w:txbxContent>
                              </wps:txbx>
                              <wps:bodyPr upright="1"/>
                            </wps:wsp>
                            <wps:wsp>
                              <wps:cNvPr id="72" name="直接连接符 65"/>
                              <wps:cNvCnPr/>
                              <wps:spPr>
                                <a:xfrm flipH="1">
                                  <a:off x="1960881" y="945515"/>
                                  <a:ext cx="0" cy="254000"/>
                                </a:xfrm>
                                <a:prstGeom prst="line">
                                  <a:avLst/>
                                </a:prstGeom>
                                <a:ln w="9525" cap="flat" cmpd="sng">
                                  <a:solidFill>
                                    <a:srgbClr val="000000"/>
                                  </a:solidFill>
                                  <a:prstDash val="solid"/>
                                  <a:headEnd type="none" w="med" len="med"/>
                                  <a:tailEnd type="triangle" w="lg" len="med"/>
                                </a:ln>
                              </wps:spPr>
                              <wps:bodyPr upright="1"/>
                            </wps:wsp>
                            <wps:wsp>
                              <wps:cNvPr id="73" name="文本框 66"/>
                              <wps:cNvSpPr txBox="1"/>
                              <wps:spPr>
                                <a:xfrm>
                                  <a:off x="2759075" y="2322830"/>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88A343">
                                    <w:pPr>
                                      <w:jc w:val="center"/>
                                      <w:rPr>
                                        <w:rFonts w:hint="default" w:eastAsia="宋体"/>
                                        <w:lang w:val="en-US" w:eastAsia="zh-CN"/>
                                      </w:rPr>
                                    </w:pPr>
                                    <w:r>
                                      <w:rPr>
                                        <w:rFonts w:hint="eastAsia"/>
                                        <w:lang w:val="en-US" w:eastAsia="zh-CN"/>
                                      </w:rPr>
                                      <w:t>成品入库</w:t>
                                    </w:r>
                                  </w:p>
                                </w:txbxContent>
                              </wps:txbx>
                              <wps:bodyPr upright="1"/>
                            </wps:wsp>
                            <wps:wsp>
                              <wps:cNvPr id="74" name="直接连接符 67"/>
                              <wps:cNvCnPr>
                                <a:stCxn id="56" idx="3"/>
                              </wps:cNvCnPr>
                              <wps:spPr>
                                <a:xfrm flipV="1">
                                  <a:off x="2176145" y="2454910"/>
                                  <a:ext cx="585470" cy="1270"/>
                                </a:xfrm>
                                <a:prstGeom prst="line">
                                  <a:avLst/>
                                </a:prstGeom>
                                <a:ln w="9525" cap="flat" cmpd="sng">
                                  <a:solidFill>
                                    <a:srgbClr val="000000"/>
                                  </a:solidFill>
                                  <a:prstDash val="solid"/>
                                  <a:headEnd type="none" w="med" len="med"/>
                                  <a:tailEnd type="triangle" w="lg" len="med"/>
                                </a:ln>
                              </wps:spPr>
                              <wps:bodyPr upright="1"/>
                            </wps:wsp>
                            <wps:wsp>
                              <wps:cNvPr id="75" name="直接连接符 68"/>
                              <wps:cNvCnPr>
                                <a:stCxn id="56" idx="1"/>
                              </wps:cNvCnPr>
                              <wps:spPr>
                                <a:xfrm flipH="1" flipV="1">
                                  <a:off x="1270000" y="2453005"/>
                                  <a:ext cx="442595" cy="3175"/>
                                </a:xfrm>
                                <a:prstGeom prst="line">
                                  <a:avLst/>
                                </a:prstGeom>
                                <a:ln w="9525" cap="flat" cmpd="sng">
                                  <a:solidFill>
                                    <a:srgbClr val="000000"/>
                                  </a:solidFill>
                                  <a:prstDash val="solid"/>
                                  <a:headEnd type="none" w="med" len="med"/>
                                  <a:tailEnd type="triangle" w="lg" len="med"/>
                                </a:ln>
                              </wps:spPr>
                              <wps:bodyPr upright="1"/>
                            </wps:wsp>
                            <wps:wsp>
                              <wps:cNvPr id="22" name="直接连接符 60"/>
                              <wps:cNvCnPr/>
                              <wps:spPr>
                                <a:xfrm>
                                  <a:off x="2444115" y="798195"/>
                                  <a:ext cx="457200" cy="0"/>
                                </a:xfrm>
                                <a:prstGeom prst="line">
                                  <a:avLst/>
                                </a:prstGeom>
                                <a:ln w="9525" cap="flat" cmpd="sng">
                                  <a:solidFill>
                                    <a:srgbClr val="000000"/>
                                  </a:solidFill>
                                  <a:prstDash val="dash"/>
                                  <a:headEnd type="none" w="med" len="med"/>
                                  <a:tailEnd type="triangle" w="lg" len="med"/>
                                </a:ln>
                              </wps:spPr>
                              <wps:bodyPr upright="1"/>
                            </wps:wsp>
                            <wps:wsp>
                              <wps:cNvPr id="23" name="文本框 62"/>
                              <wps:cNvSpPr txBox="1"/>
                              <wps:spPr>
                                <a:xfrm>
                                  <a:off x="2966085" y="654050"/>
                                  <a:ext cx="1245870" cy="279400"/>
                                </a:xfrm>
                                <a:prstGeom prst="rect">
                                  <a:avLst/>
                                </a:prstGeom>
                                <a:noFill/>
                                <a:ln>
                                  <a:noFill/>
                                </a:ln>
                              </wps:spPr>
                              <wps:txbx>
                                <w:txbxContent>
                                  <w:p w14:paraId="12E381DD">
                                    <w:pPr>
                                      <w:rPr>
                                        <w:rFonts w:hint="default" w:eastAsia="宋体"/>
                                        <w:color w:val="auto"/>
                                        <w:lang w:val="en-US" w:eastAsia="zh-CN"/>
                                      </w:rPr>
                                    </w:pPr>
                                    <w:r>
                                      <w:rPr>
                                        <w:rFonts w:hint="eastAsia" w:eastAsia="宋体"/>
                                        <w:color w:val="auto"/>
                                        <w:lang w:val="en-US" w:eastAsia="zh-CN"/>
                                      </w:rPr>
                                      <w:t>废包装材料</w:t>
                                    </w:r>
                                  </w:p>
                                </w:txbxContent>
                              </wps:txbx>
                              <wps:bodyPr upright="1"/>
                            </wps:wsp>
                            <wps:wsp>
                              <wps:cNvPr id="24" name="直接连接符 61"/>
                              <wps:cNvCnPr/>
                              <wps:spPr>
                                <a:xfrm flipH="1">
                                  <a:off x="1035050" y="1903095"/>
                                  <a:ext cx="487045" cy="5715"/>
                                </a:xfrm>
                                <a:prstGeom prst="line">
                                  <a:avLst/>
                                </a:prstGeom>
                                <a:ln w="9525" cap="flat" cmpd="sng">
                                  <a:solidFill>
                                    <a:srgbClr val="000000"/>
                                  </a:solidFill>
                                  <a:prstDash val="dash"/>
                                  <a:headEnd type="none" w="med" len="med"/>
                                  <a:tailEnd type="triangle" w="lg" len="med"/>
                                </a:ln>
                              </wps:spPr>
                              <wps:bodyPr upright="1"/>
                            </wps:wsp>
                            <wps:wsp>
                              <wps:cNvPr id="25" name="文本框 62"/>
                              <wps:cNvSpPr txBox="1"/>
                              <wps:spPr>
                                <a:xfrm>
                                  <a:off x="340360" y="1708150"/>
                                  <a:ext cx="769620" cy="406400"/>
                                </a:xfrm>
                                <a:prstGeom prst="rect">
                                  <a:avLst/>
                                </a:prstGeom>
                                <a:noFill/>
                                <a:ln>
                                  <a:noFill/>
                                </a:ln>
                              </wps:spPr>
                              <wps:txbx>
                                <w:txbxContent>
                                  <w:p w14:paraId="28550DFD">
                                    <w:pPr>
                                      <w:rPr>
                                        <w:rFonts w:hint="eastAsia"/>
                                        <w:color w:val="auto"/>
                                        <w:lang w:val="en-US" w:eastAsia="zh-CN"/>
                                      </w:rPr>
                                    </w:pPr>
                                    <w:r>
                                      <w:rPr>
                                        <w:rFonts w:hint="eastAsia" w:eastAsia="宋体"/>
                                        <w:color w:val="auto"/>
                                        <w:lang w:val="en-US" w:eastAsia="zh-CN"/>
                                      </w:rPr>
                                      <w:t>边角料</w:t>
                                    </w:r>
                                    <w:r>
                                      <w:rPr>
                                        <w:rFonts w:hint="eastAsia"/>
                                        <w:color w:val="auto"/>
                                        <w:lang w:val="en-US" w:eastAsia="zh-CN"/>
                                      </w:rPr>
                                      <w:t>、</w:t>
                                    </w:r>
                                  </w:p>
                                  <w:p w14:paraId="6112D447">
                                    <w:pPr>
                                      <w:rPr>
                                        <w:rFonts w:hint="default" w:eastAsia="宋体"/>
                                        <w:color w:val="auto"/>
                                        <w:lang w:val="en-US" w:eastAsia="zh-CN"/>
                                      </w:rPr>
                                    </w:pPr>
                                    <w:r>
                                      <w:rPr>
                                        <w:rFonts w:hint="eastAsia"/>
                                        <w:color w:val="auto"/>
                                        <w:lang w:val="en-US" w:eastAsia="zh-CN"/>
                                      </w:rPr>
                                      <w:t>不合格品</w:t>
                                    </w:r>
                                  </w:p>
                                </w:txbxContent>
                              </wps:txbx>
                              <wps:bodyPr upright="1"/>
                            </wps:wsp>
                          </wpc:wpc>
                        </a:graphicData>
                      </a:graphic>
                    </wp:inline>
                  </w:drawing>
                </mc:Choice>
                <mc:Fallback>
                  <w:pict>
                    <v:group id="_x0000_s1026" o:spid="_x0000_s1026" o:spt="203" style="height:205.1pt;width:347.7pt;" coordsize="4415790,2604770" editas="canvas" o:gfxdata="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">
                      <o:lock v:ext="edit" aspectratio="f"/>
                      <v:shape id="_x0000_s1026" o:spid="_x0000_s1026" style="position:absolute;left:0;top:0;height:2604770;width:4415790;" filled="f" stroked="f" coordsize="21600,21600" o:gfxdata="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">
                        <v:fill on="f" focussize="0,0"/>
                        <v:stroke on="f"/>
                        <v:imagedata o:title=""/>
                        <o:lock v:ext="edit" aspectratio="f"/>
                      </v:shape>
                      <v:shape id="文本框 52" o:spid="_x0000_s1026" o:spt="202" type="#_x0000_t202" style="position:absolute;left:1170940;top:114300;height:285750;width:1663700;"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PgwcHWAAAABQEAAA8AAAAA&#10;AAAAAQAgAAAAIgAAAGRycy9kb3ducmV2LnhtbFBLAQIUABQAAAAIAIdO4kBBJSC+FgIAAEMEAAAO&#10;AAAAAAAAAAEAIAAAACUBAABkcnMvZTJvRG9jLnhtbFBLBQYAAAAABgAGAFkBAACtBQAAAAA=&#10;">
                        <v:fill on="t" focussize="0,0"/>
                        <v:stroke color="#000000" joinstyle="miter"/>
                        <v:imagedata o:title=""/>
                        <o:lock v:ext="edit" aspectratio="f"/>
                        <v:textbox>
                          <w:txbxContent>
                            <w:p w14:paraId="382CE329">
                              <w:pPr>
                                <w:jc w:val="both"/>
                                <w:rPr>
                                  <w:rFonts w:hint="default" w:eastAsia="宋体"/>
                                  <w:lang w:val="en-US" w:eastAsia="zh-CN"/>
                                </w:rPr>
                              </w:pPr>
                              <w:r>
                                <w:rPr>
                                  <w:rFonts w:hint="eastAsia" w:eastAsia="宋体"/>
                                  <w:lang w:val="en-US" w:eastAsia="zh-CN"/>
                                </w:rPr>
                                <w:t>聚丙烯、聚乙烯、色母粒</w:t>
                              </w:r>
                            </w:p>
                          </w:txbxContent>
                        </v:textbox>
                      </v:shape>
                      <v:shape id="文本框 53" o:spid="_x0000_s1026" o:spt="202" type="#_x0000_t202" style="position:absolute;left:1548131;top:667385;height:279400;width:814069;"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PgwcHWAAAABQEAAA8A&#10;AAAAAAAAAQAgAAAAIgAAAGRycy9kb3ducmV2LnhtbFBLAQIUABQAAAAIAIdO4kD1TsCiGQIAAEIE&#10;AAAOAAAAAAAAAAEAIAAAACUBAABkcnMvZTJvRG9jLnhtbFBLBQYAAAAABgAGAFkBAACwBQAAAAA=&#10;">
                        <v:fill on="t" focussize="0,0"/>
                        <v:stroke color="#000000" joinstyle="miter"/>
                        <v:imagedata o:title=""/>
                        <o:lock v:ext="edit" aspectratio="f"/>
                        <v:textbox>
                          <w:txbxContent>
                            <w:p w14:paraId="1FEDDD39">
                              <w:pPr>
                                <w:jc w:val="center"/>
                                <w:rPr>
                                  <w:rFonts w:hint="default" w:eastAsia="宋体"/>
                                  <w:lang w:val="en-US" w:eastAsia="zh-CN"/>
                                </w:rPr>
                              </w:pPr>
                              <w:r>
                                <w:rPr>
                                  <w:rFonts w:hint="eastAsia" w:eastAsia="宋体"/>
                                  <w:lang w:val="en-US" w:eastAsia="zh-CN"/>
                                </w:rPr>
                                <w:t>投料</w:t>
                              </w:r>
                            </w:p>
                          </w:txbxContent>
                        </v:textbox>
                      </v:shape>
                      <v:shape id="文本框 54" o:spid="_x0000_s1026" o:spt="202" type="#_x0000_t202" style="position:absolute;left:1559561;top:1207135;height:279400;width:817244;"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4MHB1gAAAAUBAAAP&#10;AAAAAAAAAAEAIAAAACIAAABkcnMvZG93bnJldi54bWxQSwECFAAUAAAACACHTuJA52y5ghoCAABD&#10;BAAADgAAAAAAAAABACAAAAAlAQAAZHJzL2Uyb0RvYy54bWxQSwUGAAAAAAYABgBZAQAAsQUAAAAA&#10;">
                        <v:fill on="t" focussize="0,0"/>
                        <v:stroke color="#000000" joinstyle="miter"/>
                        <v:imagedata o:title=""/>
                        <o:lock v:ext="edit" aspectratio="f"/>
                        <v:textbox>
                          <w:txbxContent>
                            <w:p w14:paraId="2C89C0B2">
                              <w:pPr>
                                <w:ind w:firstLine="210" w:firstLineChars="100"/>
                                <w:rPr>
                                  <w:rFonts w:hint="default" w:eastAsia="宋体"/>
                                  <w:lang w:val="en-US" w:eastAsia="zh-CN"/>
                                </w:rPr>
                              </w:pPr>
                              <w:r>
                                <w:rPr>
                                  <w:rFonts w:hint="eastAsia" w:eastAsia="宋体"/>
                                  <w:lang w:val="en-US" w:eastAsia="zh-CN"/>
                                </w:rPr>
                                <w:t>注塑</w:t>
                              </w:r>
                            </w:p>
                          </w:txbxContent>
                        </v:textbox>
                      </v:shape>
                      <v:shape id="文本框 55" o:spid="_x0000_s1026" o:spt="202" type="#_x0000_t202" style="position:absolute;left:1544321;top:1754505;height:279400;width:859789;"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PgwcHWAAAABQEAAA8A&#10;AAAAAAAAAQAgAAAAIgAAAGRycy9kb3ducmV2LnhtbFBLAQIUABQAAAAIAIdO4kD//zBJGQIAAEME&#10;AAAOAAAAAAAAAAEAIAAAACUBAABkcnMvZTJvRG9jLnhtbFBLBQYAAAAABgAGAFkBAACwBQAAAAA=&#10;">
                        <v:fill on="t" focussize="0,0"/>
                        <v:stroke color="#000000" joinstyle="miter"/>
                        <v:imagedata o:title=""/>
                        <o:lock v:ext="edit" aspectratio="f"/>
                        <v:textbox>
                          <w:txbxContent>
                            <w:p w14:paraId="5AEC5615">
                              <w:pPr>
                                <w:jc w:val="center"/>
                                <w:rPr>
                                  <w:rFonts w:hint="default" w:eastAsia="宋体"/>
                                  <w:lang w:val="en-US" w:eastAsia="zh-CN"/>
                                </w:rPr>
                              </w:pPr>
                              <w:r>
                                <w:rPr>
                                  <w:rFonts w:hint="eastAsia" w:eastAsia="宋体"/>
                                  <w:lang w:val="en-US" w:eastAsia="zh-CN"/>
                                </w:rPr>
                                <w:t>挤出</w:t>
                              </w:r>
                            </w:p>
                          </w:txbxContent>
                        </v:textbox>
                      </v:shape>
                      <v:shape id="文本框 56" o:spid="_x0000_s1026" o:spt="202" type="#_x0000_t202" style="position:absolute;left:1712595;top:2316480;height:279400;width:463550;"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PgwcHWAAAABQEAAA8A&#10;AAAAAAAAAQAgAAAAIgAAAGRycy9kb3ducmV2LnhtbFBLAQIUABQAAAAIAIdO4kDQl6QlGQIAAEME&#10;AAAOAAAAAAAAAAEAIAAAACUBAABkcnMvZTJvRG9jLnhtbFBLBQYAAAAABgAGAFkBAACwBQAAAAA=&#10;">
                        <v:fill on="t" focussize="0,0"/>
                        <v:stroke color="#000000" joinstyle="miter"/>
                        <v:imagedata o:title=""/>
                        <o:lock v:ext="edit" aspectratio="f"/>
                        <v:textbox>
                          <w:txbxContent>
                            <w:p w14:paraId="01D3E2BB">
                              <w:pPr>
                                <w:jc w:val="both"/>
                                <w:rPr>
                                  <w:rFonts w:hint="default" w:eastAsia="宋体"/>
                                  <w:lang w:val="en-US" w:eastAsia="zh-CN"/>
                                </w:rPr>
                              </w:pPr>
                              <w:r>
                                <w:rPr>
                                  <w:rFonts w:hint="eastAsia" w:eastAsia="宋体"/>
                                  <w:lang w:val="en-US" w:eastAsia="zh-CN"/>
                                </w:rPr>
                                <w:t>检验</w:t>
                              </w:r>
                            </w:p>
                          </w:txbxContent>
                        </v:textbox>
                      </v:shape>
                      <v:line id="直接连接符 57" o:spid="_x0000_s1026" o:spt="20" style="position:absolute;left:1953260;top:416560;flip:x;height:254000;width:0;" filled="f" stroked="t" coordsize="21600,21600" o:gfxdata="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dha49YAAAAFAQAADwAAAAAAAAAB&#10;ACAAAAAiAAAAZHJzL2Rvd25yZXYueG1sUEsBAhQAFAAAAAgAh07iQDE3BzESAgAA/QMAAA4AAAAA&#10;AAAAAQAgAAAAJQEAAGRycy9lMm9Eb2MueG1sUEsFBgAAAAAGAAYAWQEAAKkFAAAAAA==&#10;">
                        <v:fill on="f" focussize="0,0"/>
                        <v:stroke color="#000000" joinstyle="round" endarrow="block" endarrowwidth="wide"/>
                        <v:imagedata o:title=""/>
                        <o:lock v:ext="edit" aspectratio="f"/>
                      </v:line>
                      <v:line id="直接连接符 58" o:spid="_x0000_s1026" o:spt="20" style="position:absolute;left:1960880;top:2045335;height:281305;width:5080;" filled="f" stroked="t" coordsize="21600,21600" o:gfxdata="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zZ+uzWAAAABQEAAA8AAAAAAAAAAQAg&#10;AAAAIgAAAGRycy9kb3ducmV2LnhtbFBLAQIUABQAAAAIAIdO4kDVv9uXEAIAAPcDAAAOAAAAAAAA&#10;AAEAIAAAACUBAABkcnMvZTJvRG9jLnhtbFBLBQYAAAAABgAGAFkBAACnBQAAAAA=&#10;">
                        <v:fill on="f" focussize="0,0"/>
                        <v:stroke color="#000000" joinstyle="round" endarrow="block" endarrowwidth="wide"/>
                        <v:imagedata o:title=""/>
                        <o:lock v:ext="edit" aspectratio="f"/>
                      </v:line>
                      <v:line id="直接连接符 59" o:spid="_x0000_s1026" o:spt="20" style="position:absolute;left:1959610;top:1496060;flip:x;height:254000;width:0;" filled="f" stroked="t" coordsize="21600,21600" o:gfxdata="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nYWuPWAAAABQEAAA8AAAAAAAAA&#10;AQAgAAAAIgAAAGRycy9kb3ducmV2LnhtbFBLAQIUABQAAAAIAIdO4kCn2vn9EwIAAP4DAAAOAAAA&#10;AAAAAAEAIAAAACUBAABkcnMvZTJvRG9jLnhtbFBLBQYAAAAABgAGAFkBAACqBQAAAAA=&#10;">
                        <v:fill on="f" focussize="0,0"/>
                        <v:stroke color="#000000" joinstyle="round" endarrow="block" endarrowwidth="wide"/>
                        <v:imagedata o:title=""/>
                        <o:lock v:ext="edit" aspectratio="f"/>
                      </v:line>
                      <v:line id="直接连接符 60" o:spid="_x0000_s1026" o:spt="20" style="position:absolute;left:2390140;top:1354455;height:0;width:457200;" filled="f" stroked="t" coordsize="21600,21600" o:gfxdata="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2EEN1AAAAAUBAAAPAAAAAAAAAAEAIAAAACIA&#10;AABkcnMvZG93bnJldi54bWxQSwECFAAUAAAACACHTuJABTtNMQ0CAADzAwAADgAAAAAAAAABACAA&#10;AAAjAQAAZHJzL2Uyb0RvYy54bWxQSwUGAAAAAAYABgBZAQAAogUAAAAA&#10;">
                        <v:fill on="f" focussize="0,0"/>
                        <v:stroke color="#000000" joinstyle="round" dashstyle="dash" endarrow="block" endarrowwidth="wide"/>
                        <v:imagedata o:title=""/>
                        <o:lock v:ext="edit" aspectratio="f"/>
                      </v:line>
                      <v:line id="直接连接符 61" o:spid="_x0000_s1026" o:spt="20" style="position:absolute;left:2404110;top:1894205;height:1905;width:461010;" filled="f" stroked="t" coordsize="21600,21600" o:gfxdata="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QQ3U&#10;AAAABQEAAA8AAAAAAAAAAQAgAAAAIgAAAGRycy9kb3ducmV2LnhtbFBLAQIUABQAAAAIAIdO4kDp&#10;j7S7JAIAADgEAAAOAAAAAAAAAAEAIAAAACMBAABkcnMvZTJvRG9jLnhtbFBLBQYAAAAABgAGAFkB&#10;AAC5BQAAAAA=&#10;">
                        <v:fill on="f" focussize="0,0"/>
                        <v:stroke color="#000000" joinstyle="round" dashstyle="dash" endarrow="block" endarrowwidth="wide"/>
                        <v:imagedata o:title=""/>
                        <o:lock v:ext="edit" aspectratio="f"/>
                      </v:line>
                      <v:shape id="文本框 62" o:spid="_x0000_s1026" o:spt="202" type="#_x0000_t202" style="position:absolute;left:2873375;top:1227455;height:279400;width:1558925;" filled="f" stroked="f" coordsize="21600,21600" o:gfxdata="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NOdfNMAAAAFAQAADwAAAAAAAAABACAAAAAiAAAAZHJzL2Rvd25yZXYueG1sUEsBAhQAFAAA&#10;AAgAh07iQAhnU5a7AQAAXAMAAA4AAAAAAAAAAQAgAAAAIgEAAGRycy9lMm9Eb2MueG1sUEsFBgAA&#10;AAAGAAYAWQEAAE8FAAAAAA==&#10;">
                        <v:fill on="f" focussize="0,0"/>
                        <v:stroke on="f"/>
                        <v:imagedata o:title=""/>
                        <o:lock v:ext="edit" aspectratio="f"/>
                        <v:textbox>
                          <w:txbxContent>
                            <w:p w14:paraId="6C43859A">
                              <w:pPr>
                                <w:rPr>
                                  <w:rFonts w:hint="default" w:eastAsia="宋体"/>
                                  <w:lang w:val="en-US" w:eastAsia="zh-CN"/>
                                </w:rPr>
                              </w:pPr>
                              <w:r>
                                <w:rPr>
                                  <w:rFonts w:hint="eastAsia"/>
                                  <w:lang w:val="en-US" w:eastAsia="zh-CN"/>
                                </w:rPr>
                                <w:t>噪声、非甲烷总烃</w:t>
                              </w:r>
                            </w:p>
                          </w:txbxContent>
                        </v:textbox>
                      </v:shape>
                      <v:shape id="文本框 63" o:spid="_x0000_s1026" o:spt="202" type="#_x0000_t202" style="position:absolute;left:2865120;top:1756410;height:279400;width:1405255;" filled="f" stroked="f" coordsize="21600,21600" o:gfxdata="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DTnXzTAAAABQEAAA8AAAAAAAAAAQAgAAAAIgAAAGRycy9kb3ducmV2LnhtbFBLAQIUABQAAAAI&#10;AIdO4kB0sobpuQEAAFwDAAAOAAAAAAAAAAEAIAAAACIBAABkcnMvZTJvRG9jLnhtbFBLBQYAAAAA&#10;BgAGAFkBAABNBQAAAAA=&#10;">
                        <v:fill on="f" focussize="0,0"/>
                        <v:stroke on="f"/>
                        <v:imagedata o:title=""/>
                        <o:lock v:ext="edit" aspectratio="f"/>
                        <v:textbox>
                          <w:txbxContent>
                            <w:p w14:paraId="135D4C75">
                              <w:pPr>
                                <w:rPr>
                                  <w:rFonts w:hint="default"/>
                                  <w:lang w:val="en-US" w:eastAsia="zh-CN"/>
                                </w:rPr>
                              </w:pPr>
                              <w:r>
                                <w:rPr>
                                  <w:rFonts w:hint="eastAsia"/>
                                  <w:lang w:val="en-US" w:eastAsia="zh-CN"/>
                                </w:rPr>
                                <w:t>噪声、非甲烷总烃</w:t>
                              </w:r>
                            </w:p>
                          </w:txbxContent>
                        </v:textbox>
                      </v:shape>
                      <v:shape id="文本框 64" o:spid="_x0000_s1026" o:spt="202" type="#_x0000_t202" style="position:absolute;left:252730;top:2327275;height:286385;width:1012825;"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PgwcHWAAAABQEAAA8AAAAA&#10;AAAAAQAgAAAAIgAAAGRycy9kb3ducmV2LnhtbFBLAQIUABQAAAAIAIdO4kDjTue6FgIAAEMEAAAO&#10;AAAAAAAAAAEAIAAAACUBAABkcnMvZTJvRG9jLnhtbFBLBQYAAAAABgAGAFkBAACtBQAAAAA=&#10;">
                        <v:fill on="t" focussize="0,0"/>
                        <v:stroke color="#000000" joinstyle="miter"/>
                        <v:imagedata o:title=""/>
                        <o:lock v:ext="edit" aspectratio="f"/>
                        <v:textbox>
                          <w:txbxContent>
                            <w:p w14:paraId="0BFD1698">
                              <w:pPr>
                                <w:jc w:val="center"/>
                                <w:rPr>
                                  <w:rFonts w:hint="default" w:eastAsia="宋体"/>
                                  <w:lang w:val="en-US" w:eastAsia="zh-CN"/>
                                </w:rPr>
                              </w:pPr>
                              <w:r>
                                <w:rPr>
                                  <w:rFonts w:hint="eastAsia" w:eastAsia="宋体"/>
                                  <w:lang w:val="en-US" w:eastAsia="zh-CN"/>
                                </w:rPr>
                                <w:t>不合格品出售</w:t>
                              </w:r>
                            </w:p>
                          </w:txbxContent>
                        </v:textbox>
                      </v:shape>
                      <v:line id="直接连接符 65" o:spid="_x0000_s1026" o:spt="20" style="position:absolute;left:1960881;top:945515;flip:x;height:254000;width:0;" filled="f" stroked="t" coordsize="21600,21600" o:gfxdata="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nYWuPWAAAABQEAAA8AAAAA&#10;AAAAAQAgAAAAIgAAAGRycy9kb3ducmV2LnhtbFBLAQIUABQAAAAIAIdO4kDktx7gFgIAAP0DAAAO&#10;AAAAAAAAAAEAIAAAACUBAABkcnMvZTJvRG9jLnhtbFBLBQYAAAAABgAGAFkBAACtBQAAAAA=&#10;">
                        <v:fill on="f" focussize="0,0"/>
                        <v:stroke color="#000000" joinstyle="round" endarrow="block" endarrowwidth="wide"/>
                        <v:imagedata o:title=""/>
                        <o:lock v:ext="edit" aspectratio="f"/>
                      </v:line>
                      <v:shape id="文本框 66" o:spid="_x0000_s1026" o:spt="202" type="#_x0000_t202" style="position:absolute;left:2759075;top:2322830;height:279400;width:749300;" fillcolor="#FFFFFF" filled="t" stroked="t" coordsize="21600,21600" o:gfxdata="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PgwcHWAAAABQEAAA8AAAAA&#10;AAAAAQAgAAAAIgAAAGRycy9kb3ducmV2LnhtbFBLAQIUABQAAAAIAIdO4kBYhSH9FgIAAEMEAAAO&#10;AAAAAAAAAAEAIAAAACUBAABkcnMvZTJvRG9jLnhtbFBLBQYAAAAABgAGAFkBAACtBQAAAAA=&#10;">
                        <v:fill on="t" focussize="0,0"/>
                        <v:stroke color="#000000" joinstyle="miter"/>
                        <v:imagedata o:title=""/>
                        <o:lock v:ext="edit" aspectratio="f"/>
                        <v:textbox>
                          <w:txbxContent>
                            <w:p w14:paraId="3688A343">
                              <w:pPr>
                                <w:jc w:val="center"/>
                                <w:rPr>
                                  <w:rFonts w:hint="default" w:eastAsia="宋体"/>
                                  <w:lang w:val="en-US" w:eastAsia="zh-CN"/>
                                </w:rPr>
                              </w:pPr>
                              <w:r>
                                <w:rPr>
                                  <w:rFonts w:hint="eastAsia"/>
                                  <w:lang w:val="en-US" w:eastAsia="zh-CN"/>
                                </w:rPr>
                                <w:t>成品入库</w:t>
                              </w:r>
                            </w:p>
                          </w:txbxContent>
                        </v:textbox>
                      </v:shape>
                      <v:line id="直接连接符 67" o:spid="_x0000_s1026" o:spt="20" style="position:absolute;left:2176145;top:2454910;flip:y;height:1270;width:585470;" filled="f" stroked="t" coordsize="21600,21600" o:gfxdata="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nY&#10;WuPWAAAABQEAAA8AAAAAAAAAAQAgAAAAIgAAAGRycy9kb3ducmV2LnhtbFBLAQIUABQAAAAIAIdO&#10;4kDM1CZ9JQIAACgEAAAOAAAAAAAAAAEAIAAAACUBAABkcnMvZTJvRG9jLnhtbFBLBQYAAAAABgAG&#10;AFkBAAC8BQAAAAA=&#10;">
                        <v:fill on="f" focussize="0,0"/>
                        <v:stroke color="#000000" joinstyle="round" endarrow="block" endarrowwidth="wide"/>
                        <v:imagedata o:title=""/>
                        <o:lock v:ext="edit" aspectratio="f"/>
                      </v:line>
                      <v:line id="直接连接符 68" o:spid="_x0000_s1026" o:spt="20" style="position:absolute;left:1270000;top:2453005;flip:x y;height:3175;width:442595;" filled="f" stroked="t" coordsize="21600,21600" o:gfxdata="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E+&#10;9hnUAAAABQEAAA8AAAAAAAAAAQAgAAAAIgAAAGRycy9kb3ducmV2LnhtbFBLAQIUABQAAAAIAIdO&#10;4kCLwNDAJwIAADIEAAAOAAAAAAAAAAEAIAAAACMBAABkcnMvZTJvRG9jLnhtbFBLBQYAAAAABgAG&#10;AFkBAAC8BQAAAAA=&#10;">
                        <v:fill on="f" focussize="0,0"/>
                        <v:stroke color="#000000" joinstyle="round" endarrow="block" endarrowwidth="wide"/>
                        <v:imagedata o:title=""/>
                        <o:lock v:ext="edit" aspectratio="f"/>
                      </v:line>
                      <v:line id="直接连接符 60" o:spid="_x0000_s1026" o:spt="20" style="position:absolute;left:2444115;top:798195;height:0;width:457200;" filled="f" stroked="t" coordsize="21600,21600" o:gfxdata="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YQQ3UAAAABQEAAA8AAAAAAAAAAQAgAAAAIgAA&#10;AGRycy9kb3ducmV2LnhtbFBLAQIUABQAAAAIAIdO4kBRReMjDAIAAPIDAAAOAAAAAAAAAAEAIAAA&#10;ACMBAABkcnMvZTJvRG9jLnhtbFBLBQYAAAAABgAGAFkBAAChBQAAAAA=&#10;">
                        <v:fill on="f" focussize="0,0"/>
                        <v:stroke color="#000000" joinstyle="round" dashstyle="dash" endarrow="block" endarrowwidth="wide"/>
                        <v:imagedata o:title=""/>
                        <o:lock v:ext="edit" aspectratio="f"/>
                      </v:line>
                      <v:shape id="文本框 62" o:spid="_x0000_s1026" o:spt="202" type="#_x0000_t202" style="position:absolute;left:2966085;top:654050;height:279400;width:1245870;" filled="f" stroked="f" coordsize="21600,21600" o:gfxdata="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w05180wAAAAUBAAAPAAAAAAAAAAEAIAAAACIAAABkcnMvZG93bnJldi54bWxQSwECFAAUAAAA&#10;CACHTuJAN2T5nroBAABbAwAADgAAAAAAAAABACAAAAAiAQAAZHJzL2Uyb0RvYy54bWxQSwUGAAAA&#10;AAYABgBZAQAATgUAAAAA&#10;">
                        <v:fill on="f" focussize="0,0"/>
                        <v:stroke on="f"/>
                        <v:imagedata o:title=""/>
                        <o:lock v:ext="edit" aspectratio="f"/>
                        <v:textbox>
                          <w:txbxContent>
                            <w:p w14:paraId="12E381DD">
                              <w:pPr>
                                <w:rPr>
                                  <w:rFonts w:hint="default" w:eastAsia="宋体"/>
                                  <w:color w:val="auto"/>
                                  <w:lang w:val="en-US" w:eastAsia="zh-CN"/>
                                </w:rPr>
                              </w:pPr>
                              <w:r>
                                <w:rPr>
                                  <w:rFonts w:hint="eastAsia" w:eastAsia="宋体"/>
                                  <w:color w:val="auto"/>
                                  <w:lang w:val="en-US" w:eastAsia="zh-CN"/>
                                </w:rPr>
                                <w:t>废包装材料</w:t>
                              </w:r>
                            </w:p>
                          </w:txbxContent>
                        </v:textbox>
                      </v:shape>
                      <v:line id="直接连接符 61" o:spid="_x0000_s1026" o:spt="20" style="position:absolute;left:1035050;top:1903095;flip:x;height:5715;width:487045;" filled="f" stroked="t" coordsize="21600,21600" o:gfxdata="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9oTdYAAAAFAQAADwAA&#10;AAAAAAABACAAAAAiAAAAZHJzL2Rvd25yZXYueG1sUEsBAhQAFAAAAAgAh07iQL/CSNoYAgAAAAQA&#10;AA4AAAAAAAAAAQAgAAAAJQEAAGRycy9lMm9Eb2MueG1sUEsFBgAAAAAGAAYAWQEAAK8FAAAAAA==&#10;">
                        <v:fill on="f" focussize="0,0"/>
                        <v:stroke color="#000000" joinstyle="round" dashstyle="dash" endarrow="block" endarrowwidth="wide"/>
                        <v:imagedata o:title=""/>
                        <o:lock v:ext="edit" aspectratio="f"/>
                      </v:line>
                      <v:shape id="文本框 62" o:spid="_x0000_s1026" o:spt="202" type="#_x0000_t202" style="position:absolute;left:340360;top:1708150;height:406400;width:769620;" filled="f" stroked="f" coordsize="21600,21600" o:gfxdata="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NOdfNMAAAAFAQAADwAAAAAAAAABACAAAAAiAAAAZHJzL2Rvd25yZXYueG1sUEsBAhQAFAAAAAgA&#10;h07iQHSvIDq4AQAAWgMAAA4AAAAAAAAAAQAgAAAAIgEAAGRycy9lMm9Eb2MueG1sUEsFBgAAAAAG&#10;AAYAWQEAAEwFAAAAAA==&#10;">
                        <v:fill on="f" focussize="0,0"/>
                        <v:stroke on="f"/>
                        <v:imagedata o:title=""/>
                        <o:lock v:ext="edit" aspectratio="f"/>
                        <v:textbox>
                          <w:txbxContent>
                            <w:p w14:paraId="28550DFD">
                              <w:pPr>
                                <w:rPr>
                                  <w:rFonts w:hint="eastAsia"/>
                                  <w:color w:val="auto"/>
                                  <w:lang w:val="en-US" w:eastAsia="zh-CN"/>
                                </w:rPr>
                              </w:pPr>
                              <w:r>
                                <w:rPr>
                                  <w:rFonts w:hint="eastAsia" w:eastAsia="宋体"/>
                                  <w:color w:val="auto"/>
                                  <w:lang w:val="en-US" w:eastAsia="zh-CN"/>
                                </w:rPr>
                                <w:t>边角料</w:t>
                              </w:r>
                              <w:r>
                                <w:rPr>
                                  <w:rFonts w:hint="eastAsia"/>
                                  <w:color w:val="auto"/>
                                  <w:lang w:val="en-US" w:eastAsia="zh-CN"/>
                                </w:rPr>
                                <w:t>、</w:t>
                              </w:r>
                            </w:p>
                            <w:p w14:paraId="6112D447">
                              <w:pPr>
                                <w:rPr>
                                  <w:rFonts w:hint="default" w:eastAsia="宋体"/>
                                  <w:color w:val="auto"/>
                                  <w:lang w:val="en-US" w:eastAsia="zh-CN"/>
                                </w:rPr>
                              </w:pPr>
                              <w:r>
                                <w:rPr>
                                  <w:rFonts w:hint="eastAsia"/>
                                  <w:color w:val="auto"/>
                                  <w:lang w:val="en-US" w:eastAsia="zh-CN"/>
                                </w:rPr>
                                <w:t>不合格品</w:t>
                              </w:r>
                            </w:p>
                          </w:txbxContent>
                        </v:textbox>
                      </v:shape>
                      <w10:wrap type="none"/>
                      <w10:anchorlock/>
                    </v:group>
                  </w:pict>
                </mc:Fallback>
              </mc:AlternateContent>
            </w:r>
          </w:p>
          <w:p w14:paraId="1DE01523">
            <w:pPr>
              <w:spacing w:line="360" w:lineRule="auto"/>
              <w:jc w:val="center"/>
              <w:rPr>
                <w:rFonts w:hint="default" w:ascii="Times New Roman" w:hAnsi="Times New Roman" w:cs="Times New Roman"/>
                <w:color w:val="auto"/>
                <w:sz w:val="21"/>
                <w:highlight w:val="yellow"/>
              </w:rPr>
            </w:pPr>
            <w:r>
              <w:rPr>
                <w:rFonts w:hint="default" w:ascii="Times New Roman" w:hAnsi="Times New Roman" w:cs="Times New Roman" w:eastAsiaTheme="majorEastAsia"/>
                <w:b/>
                <w:color w:val="auto"/>
                <w:kern w:val="2"/>
                <w:sz w:val="21"/>
                <w:szCs w:val="21"/>
                <w:highlight w:val="none"/>
                <w:lang w:val="en-US" w:eastAsia="zh-CN" w:bidi="ar-SA"/>
              </w:rPr>
              <w:t>图2-2生产工艺流程及产污环节</w:t>
            </w:r>
          </w:p>
          <w:p w14:paraId="73981F17">
            <w:pPr>
              <w:keepNext w:val="0"/>
              <w:keepLines w:val="0"/>
              <w:pageBreakBefore w:val="0"/>
              <w:widowControl w:val="0"/>
              <w:numPr>
                <w:ilvl w:val="0"/>
                <w:numId w:val="0"/>
              </w:numPr>
              <w:kinsoku/>
              <w:wordWrap/>
              <w:overflowPunct/>
              <w:topLinePunct w:val="0"/>
              <w:bidi w:val="0"/>
              <w:spacing w:line="360" w:lineRule="auto"/>
              <w:jc w:val="both"/>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lang w:eastAsia="zh-CN"/>
              </w:rPr>
              <w:t>工艺简述：</w:t>
            </w:r>
          </w:p>
          <w:p w14:paraId="047FA11C">
            <w:pPr>
              <w:keepNext w:val="0"/>
              <w:keepLines w:val="0"/>
              <w:pageBreakBefore w:val="0"/>
              <w:widowControl w:val="0"/>
              <w:numPr>
                <w:ilvl w:val="0"/>
                <w:numId w:val="5"/>
              </w:numPr>
              <w:kinsoku/>
              <w:wordWrap/>
              <w:overflowPunct/>
              <w:topLinePunct w:val="0"/>
              <w:bidi w:val="0"/>
              <w:spacing w:line="360" w:lineRule="auto"/>
              <w:ind w:firstLine="482"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bCs/>
                <w:color w:val="000000"/>
                <w:kern w:val="0"/>
                <w:sz w:val="24"/>
                <w:szCs w:val="24"/>
                <w:highlight w:val="none"/>
                <w:lang w:val="en-US" w:eastAsia="zh-CN" w:bidi="ar-SA"/>
              </w:rPr>
              <w:t>投料：</w:t>
            </w:r>
            <w:r>
              <w:rPr>
                <w:rFonts w:hint="eastAsia" w:ascii="Times New Roman" w:hAnsi="Times New Roman" w:eastAsia="宋体" w:cs="Times New Roman"/>
                <w:b w:val="0"/>
                <w:bCs w:val="0"/>
                <w:color w:val="000000"/>
                <w:kern w:val="0"/>
                <w:sz w:val="24"/>
                <w:szCs w:val="24"/>
                <w:highlight w:val="none"/>
                <w:lang w:val="en-US" w:eastAsia="zh-CN" w:bidi="ar-SA"/>
              </w:rPr>
              <w:t>将</w:t>
            </w:r>
            <w:r>
              <w:rPr>
                <w:rFonts w:hint="eastAsia"/>
                <w:sz w:val="24"/>
                <w:highlight w:val="none"/>
              </w:rPr>
              <w:t>各项原辅料，聚丙烯、聚乙烯、</w:t>
            </w:r>
            <w:r>
              <w:rPr>
                <w:rFonts w:hint="eastAsia"/>
                <w:sz w:val="24"/>
                <w:highlight w:val="none"/>
                <w:lang w:eastAsia="zh-CN"/>
              </w:rPr>
              <w:t>色母粒</w:t>
            </w:r>
            <w:r>
              <w:rPr>
                <w:rFonts w:hint="eastAsia"/>
                <w:sz w:val="24"/>
                <w:highlight w:val="none"/>
              </w:rPr>
              <w:t>等，按照预定比例进行精确计量</w:t>
            </w:r>
            <w:r>
              <w:rPr>
                <w:rFonts w:hint="eastAsia"/>
                <w:sz w:val="24"/>
                <w:highlight w:val="none"/>
                <w:lang w:eastAsia="zh-CN"/>
              </w:rPr>
              <w:t>，</w:t>
            </w:r>
            <w:r>
              <w:rPr>
                <w:rFonts w:hint="default" w:ascii="Times New Roman" w:hAnsi="Times New Roman" w:eastAsia="宋体" w:cs="Times New Roman"/>
                <w:b w:val="0"/>
                <w:bCs w:val="0"/>
                <w:color w:val="000000"/>
                <w:sz w:val="24"/>
                <w:szCs w:val="24"/>
                <w:highlight w:val="none"/>
                <w:lang w:val="en-US" w:eastAsia="zh-CN" w:bidi="ar-SA"/>
              </w:rPr>
              <w:t>加入注塑机料斗</w:t>
            </w:r>
            <w:r>
              <w:rPr>
                <w:rFonts w:hint="eastAsia"/>
                <w:sz w:val="24"/>
                <w:highlight w:val="none"/>
              </w:rPr>
              <w:t>。</w:t>
            </w:r>
            <w:r>
              <w:rPr>
                <w:rFonts w:hint="eastAsia" w:ascii="Times New Roman" w:hAnsi="Times New Roman" w:eastAsia="宋体" w:cs="Times New Roman"/>
                <w:color w:val="auto"/>
                <w:sz w:val="24"/>
                <w:szCs w:val="24"/>
                <w:highlight w:val="none"/>
                <w:lang w:val="en-US" w:eastAsia="zh-CN"/>
              </w:rPr>
              <w:t>项目原料均为颗粒状，投料过程基本无粉尘产生</w:t>
            </w:r>
            <w:r>
              <w:rPr>
                <w:rFonts w:hint="eastAsia" w:cs="Times New Roman"/>
                <w:color w:val="auto"/>
                <w:sz w:val="24"/>
                <w:szCs w:val="24"/>
                <w:highlight w:val="none"/>
                <w:lang w:val="en-US" w:eastAsia="zh-CN"/>
              </w:rPr>
              <w:t>。</w:t>
            </w:r>
            <w:r>
              <w:rPr>
                <w:rFonts w:hint="eastAsia" w:ascii="Times New Roman" w:hAnsi="Times New Roman" w:eastAsia="宋体" w:cs="Times New Roman"/>
                <w:b w:val="0"/>
                <w:bCs w:val="0"/>
                <w:color w:val="auto"/>
                <w:kern w:val="2"/>
                <w:sz w:val="24"/>
                <w:szCs w:val="24"/>
                <w:highlight w:val="none"/>
                <w:lang w:val="en-US" w:eastAsia="zh-CN" w:bidi="ar-SA"/>
              </w:rPr>
              <w:t>投料过程中原辅料的包装材料废弃，会产生废包装材料。</w:t>
            </w:r>
          </w:p>
          <w:p w14:paraId="6B86ABBE">
            <w:pPr>
              <w:pStyle w:val="51"/>
              <w:keepNext w:val="0"/>
              <w:keepLines w:val="0"/>
              <w:pageBreakBefore w:val="0"/>
              <w:widowControl w:val="0"/>
              <w:numPr>
                <w:ilvl w:val="0"/>
                <w:numId w:val="5"/>
              </w:numPr>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rightChars="0" w:firstLine="482" w:firstLineChars="200"/>
              <w:jc w:val="both"/>
              <w:textAlignment w:val="auto"/>
              <w:rPr>
                <w:rFonts w:hint="default" w:ascii="Times New Roman" w:hAnsi="Times New Roman" w:cs="Times New Roman"/>
                <w:b w:val="0"/>
                <w:bCs w:val="0"/>
                <w:color w:val="auto"/>
                <w:sz w:val="24"/>
                <w:szCs w:val="24"/>
                <w:highlight w:val="none"/>
                <w:lang w:val="en-US" w:eastAsia="zh-CN" w:bidi="ar-SA"/>
              </w:rPr>
            </w:pPr>
            <w:r>
              <w:rPr>
                <w:rFonts w:hint="eastAsia" w:ascii="Times New Roman" w:hAnsi="Times New Roman" w:eastAsia="宋体" w:cs="Times New Roman"/>
                <w:b/>
                <w:bCs/>
                <w:color w:val="auto"/>
                <w:kern w:val="0"/>
                <w:sz w:val="24"/>
                <w:szCs w:val="24"/>
                <w:highlight w:val="none"/>
                <w:lang w:val="en-US" w:eastAsia="zh-CN" w:bidi="ar-SA"/>
              </w:rPr>
              <w:t>注塑</w:t>
            </w:r>
            <w:r>
              <w:rPr>
                <w:rFonts w:hint="default" w:ascii="Times New Roman" w:hAnsi="Times New Roman" w:eastAsia="宋体" w:cs="Times New Roman"/>
                <w:b/>
                <w:bCs/>
                <w:color w:val="auto"/>
                <w:kern w:val="0"/>
                <w:sz w:val="24"/>
                <w:szCs w:val="24"/>
                <w:highlight w:val="none"/>
                <w:lang w:val="en-US" w:eastAsia="zh-CN" w:bidi="ar-SA"/>
              </w:rPr>
              <w:t>：</w:t>
            </w:r>
            <w:r>
              <w:rPr>
                <w:rFonts w:hint="default" w:ascii="Times New Roman" w:hAnsi="Times New Roman" w:eastAsia="宋体" w:cs="Times New Roman"/>
                <w:b w:val="0"/>
                <w:bCs w:val="0"/>
                <w:color w:val="auto"/>
                <w:sz w:val="24"/>
                <w:szCs w:val="24"/>
                <w:highlight w:val="none"/>
                <w:lang w:val="en-US" w:eastAsia="zh-CN" w:bidi="ar-SA"/>
              </w:rPr>
              <w:t>通过注塑机</w:t>
            </w:r>
            <w:r>
              <w:rPr>
                <w:rFonts w:hint="default" w:ascii="Times New Roman" w:hAnsi="Times New Roman" w:cs="Times New Roman"/>
                <w:b w:val="0"/>
                <w:bCs w:val="0"/>
                <w:color w:val="auto"/>
                <w:sz w:val="24"/>
                <w:szCs w:val="24"/>
                <w:highlight w:val="none"/>
                <w:lang w:val="en-US" w:eastAsia="zh-CN" w:bidi="ar-SA"/>
              </w:rPr>
              <w:t>配套的模温机</w:t>
            </w:r>
            <w:r>
              <w:rPr>
                <w:rFonts w:hint="default" w:ascii="Times New Roman" w:hAnsi="Times New Roman" w:eastAsia="宋体" w:cs="Times New Roman"/>
                <w:b w:val="0"/>
                <w:bCs w:val="0"/>
                <w:color w:val="auto"/>
                <w:sz w:val="24"/>
                <w:szCs w:val="24"/>
                <w:highlight w:val="none"/>
                <w:lang w:val="en-US" w:eastAsia="zh-CN" w:bidi="ar-SA"/>
              </w:rPr>
              <w:t>对塑料粒子加热，将固体状态的塑胶颗粒加热成熔融状态的液态形状</w:t>
            </w:r>
            <w:r>
              <w:rPr>
                <w:rFonts w:hint="default" w:ascii="Times New Roman" w:hAnsi="Times New Roman" w:cs="Times New Roman"/>
                <w:b w:val="0"/>
                <w:bCs w:val="0"/>
                <w:color w:val="auto"/>
                <w:sz w:val="24"/>
                <w:szCs w:val="24"/>
                <w:highlight w:val="none"/>
                <w:lang w:val="en-US" w:eastAsia="zh-CN" w:bidi="ar-SA"/>
              </w:rPr>
              <w:t>，加热温度为160~290℃；</w:t>
            </w:r>
            <w:r>
              <w:rPr>
                <w:rFonts w:hint="eastAsia" w:ascii="Times New Roman" w:hAnsi="Times New Roman" w:cs="Times New Roman"/>
                <w:b w:val="0"/>
                <w:bCs w:val="0"/>
                <w:color w:val="auto"/>
                <w:sz w:val="24"/>
                <w:szCs w:val="24"/>
                <w:highlight w:val="none"/>
                <w:lang w:val="en-US" w:eastAsia="zh-CN" w:bidi="ar-SA"/>
              </w:rPr>
              <w:t>加热</w:t>
            </w:r>
            <w:r>
              <w:rPr>
                <w:rFonts w:hint="eastAsia" w:ascii="Times New Roman" w:hAnsi="Times New Roman" w:eastAsia="宋体" w:cs="Times New Roman"/>
                <w:b w:val="0"/>
                <w:bCs w:val="0"/>
                <w:color w:val="auto"/>
                <w:sz w:val="24"/>
                <w:szCs w:val="24"/>
                <w:highlight w:val="none"/>
                <w:lang w:val="en-US" w:eastAsia="zh-CN" w:bidi="ar-SA"/>
              </w:rPr>
              <w:t>熔融注塑</w:t>
            </w:r>
            <w:r>
              <w:rPr>
                <w:rFonts w:hint="default" w:ascii="Times New Roman" w:hAnsi="Times New Roman" w:cs="Times New Roman"/>
                <w:b w:val="0"/>
                <w:bCs w:val="0"/>
                <w:color w:val="auto"/>
                <w:sz w:val="24"/>
                <w:szCs w:val="24"/>
                <w:highlight w:val="none"/>
                <w:lang w:val="en-US" w:eastAsia="zh-CN" w:bidi="ar-SA"/>
              </w:rPr>
              <w:t>过程</w:t>
            </w:r>
            <w:r>
              <w:rPr>
                <w:rFonts w:hint="eastAsia" w:ascii="Times New Roman" w:hAnsi="Times New Roman" w:cs="Times New Roman"/>
                <w:b w:val="0"/>
                <w:bCs w:val="0"/>
                <w:color w:val="auto"/>
                <w:sz w:val="24"/>
                <w:szCs w:val="24"/>
                <w:highlight w:val="none"/>
                <w:lang w:val="en-US" w:eastAsia="zh-CN" w:bidi="ar-SA"/>
              </w:rPr>
              <w:t>中</w:t>
            </w:r>
            <w:r>
              <w:rPr>
                <w:rFonts w:hint="eastAsia" w:ascii="Times New Roman" w:hAnsi="Times New Roman" w:eastAsia="宋体" w:cs="Times New Roman"/>
                <w:b w:val="0"/>
                <w:bCs w:val="0"/>
                <w:color w:val="auto"/>
                <w:kern w:val="2"/>
                <w:sz w:val="24"/>
                <w:szCs w:val="24"/>
                <w:highlight w:val="none"/>
                <w:lang w:val="en-US" w:eastAsia="zh-CN" w:bidi="ar-SA"/>
              </w:rPr>
              <w:t>产生噪声</w:t>
            </w:r>
            <w:r>
              <w:rPr>
                <w:rFonts w:hint="eastAsia" w:ascii="Times New Roman" w:cs="Times New Roman"/>
                <w:b w:val="0"/>
                <w:bCs w:val="0"/>
                <w:color w:val="auto"/>
                <w:sz w:val="24"/>
                <w:szCs w:val="24"/>
                <w:highlight w:val="none"/>
                <w:lang w:val="en-US" w:eastAsia="zh-CN" w:bidi="ar-SA"/>
              </w:rPr>
              <w:t>和</w:t>
            </w:r>
            <w:r>
              <w:rPr>
                <w:rFonts w:hint="eastAsia" w:ascii="Times New Roman" w:hAnsi="Times New Roman" w:cs="Times New Roman"/>
                <w:b w:val="0"/>
                <w:bCs w:val="0"/>
                <w:color w:val="auto"/>
                <w:sz w:val="24"/>
                <w:szCs w:val="24"/>
                <w:highlight w:val="none"/>
                <w:lang w:val="en-US" w:eastAsia="zh-CN" w:bidi="ar-SA"/>
              </w:rPr>
              <w:t>有机废气</w:t>
            </w:r>
            <w:r>
              <w:rPr>
                <w:rFonts w:hint="default" w:ascii="Times New Roman" w:hAnsi="Times New Roman" w:cs="Times New Roman"/>
                <w:b w:val="0"/>
                <w:bCs w:val="0"/>
                <w:color w:val="auto"/>
                <w:sz w:val="24"/>
                <w:szCs w:val="24"/>
                <w:highlight w:val="none"/>
                <w:lang w:val="en-US" w:eastAsia="zh-CN" w:bidi="ar-SA"/>
              </w:rPr>
              <w:t>挥发，</w:t>
            </w:r>
            <w:r>
              <w:rPr>
                <w:rFonts w:hint="eastAsia" w:ascii="Times New Roman" w:hAnsi="Times New Roman" w:cs="Times New Roman"/>
                <w:b w:val="0"/>
                <w:bCs w:val="0"/>
                <w:color w:val="auto"/>
                <w:sz w:val="24"/>
                <w:szCs w:val="24"/>
                <w:highlight w:val="none"/>
                <w:lang w:val="en-US" w:eastAsia="zh-CN" w:bidi="ar-SA"/>
              </w:rPr>
              <w:t>以非甲烷总烃计</w:t>
            </w:r>
            <w:r>
              <w:rPr>
                <w:rFonts w:hint="eastAsia" w:ascii="Times New Roman" w:cs="Times New Roman"/>
                <w:b w:val="0"/>
                <w:bCs w:val="0"/>
                <w:color w:val="auto"/>
                <w:sz w:val="24"/>
                <w:szCs w:val="24"/>
                <w:highlight w:val="none"/>
                <w:lang w:val="en-US" w:eastAsia="zh-CN" w:bidi="ar-SA"/>
              </w:rPr>
              <w:t>。</w:t>
            </w:r>
          </w:p>
          <w:p w14:paraId="60DED86A">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2" w:firstLineChars="200"/>
              <w:textAlignment w:val="auto"/>
              <w:rPr>
                <w:rFonts w:hint="eastAsia" w:hAnsi="宋体" w:eastAsia="宋体"/>
                <w:color w:val="auto"/>
                <w:kern w:val="2"/>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bidi="ar-SA"/>
              </w:rPr>
              <w:t>挤出：</w:t>
            </w:r>
            <w:r>
              <w:rPr>
                <w:rFonts w:hint="default" w:ascii="Times New Roman" w:hAnsi="Times New Roman" w:eastAsia="宋体" w:cs="Times New Roman"/>
                <w:b w:val="0"/>
                <w:bCs w:val="0"/>
                <w:color w:val="auto"/>
                <w:sz w:val="24"/>
                <w:szCs w:val="24"/>
                <w:highlight w:val="none"/>
                <w:lang w:val="en-US" w:eastAsia="zh-CN" w:bidi="ar-SA"/>
              </w:rPr>
              <w:t>将熔融态的塑胶通过</w:t>
            </w:r>
            <w:r>
              <w:rPr>
                <w:rFonts w:hint="eastAsia" w:ascii="Times New Roman" w:hAnsi="Times New Roman" w:eastAsia="宋体" w:cs="Times New Roman"/>
                <w:b w:val="0"/>
                <w:bCs w:val="0"/>
                <w:color w:val="auto"/>
                <w:sz w:val="24"/>
                <w:szCs w:val="24"/>
                <w:highlight w:val="none"/>
                <w:lang w:val="en-US" w:eastAsia="zh-CN" w:bidi="ar-SA"/>
              </w:rPr>
              <w:t>挤出</w:t>
            </w:r>
            <w:r>
              <w:rPr>
                <w:rFonts w:hint="default" w:ascii="Times New Roman" w:hAnsi="Times New Roman" w:eastAsia="宋体" w:cs="Times New Roman"/>
                <w:b w:val="0"/>
                <w:bCs w:val="0"/>
                <w:color w:val="auto"/>
                <w:sz w:val="24"/>
                <w:szCs w:val="24"/>
                <w:highlight w:val="none"/>
                <w:lang w:val="en-US" w:eastAsia="zh-CN" w:bidi="ar-SA"/>
              </w:rPr>
              <w:t>机螺杆，</w:t>
            </w:r>
            <w:r>
              <w:rPr>
                <w:rFonts w:hint="default" w:ascii="Times New Roman" w:hAnsi="Times New Roman" w:cs="Times New Roman"/>
                <w:b w:val="0"/>
                <w:bCs w:val="0"/>
                <w:color w:val="auto"/>
                <w:sz w:val="24"/>
                <w:szCs w:val="24"/>
                <w:highlight w:val="none"/>
                <w:lang w:val="en-US" w:eastAsia="zh-CN" w:bidi="ar-SA"/>
              </w:rPr>
              <w:t>在</w:t>
            </w:r>
            <w:r>
              <w:rPr>
                <w:rFonts w:hint="default" w:ascii="Times New Roman" w:hAnsi="Times New Roman" w:eastAsia="宋体" w:cs="Times New Roman"/>
                <w:b w:val="0"/>
                <w:bCs w:val="0"/>
                <w:color w:val="auto"/>
                <w:sz w:val="24"/>
                <w:szCs w:val="24"/>
                <w:highlight w:val="none"/>
                <w:lang w:val="en-US" w:eastAsia="zh-CN" w:bidi="ar-SA"/>
              </w:rPr>
              <w:t>挤压作用下推进模具的型腔，固化后</w:t>
            </w:r>
            <w:r>
              <w:rPr>
                <w:rFonts w:hint="default" w:ascii="Times New Roman" w:hAnsi="Times New Roman" w:cs="Times New Roman"/>
                <w:b w:val="0"/>
                <w:bCs w:val="0"/>
                <w:color w:val="auto"/>
                <w:sz w:val="24"/>
                <w:szCs w:val="24"/>
                <w:highlight w:val="none"/>
                <w:lang w:val="en-US" w:eastAsia="zh-CN" w:bidi="ar-SA"/>
              </w:rPr>
              <w:t>形成</w:t>
            </w:r>
            <w:r>
              <w:rPr>
                <w:rFonts w:hint="default" w:ascii="Times New Roman" w:hAnsi="Times New Roman" w:eastAsia="宋体" w:cs="Times New Roman"/>
                <w:b w:val="0"/>
                <w:bCs w:val="0"/>
                <w:color w:val="auto"/>
                <w:sz w:val="24"/>
                <w:szCs w:val="24"/>
                <w:highlight w:val="none"/>
                <w:lang w:val="en-US" w:eastAsia="zh-CN" w:bidi="ar-SA"/>
              </w:rPr>
              <w:t>所需要的制品</w:t>
            </w:r>
            <w:r>
              <w:rPr>
                <w:rFonts w:hint="default" w:ascii="Times New Roman" w:hAnsi="Times New Roman" w:cs="Times New Roman"/>
                <w:b w:val="0"/>
                <w:bCs w:val="0"/>
                <w:color w:val="auto"/>
                <w:sz w:val="24"/>
                <w:szCs w:val="24"/>
                <w:highlight w:val="none"/>
                <w:lang w:val="en-US" w:eastAsia="zh-CN" w:bidi="ar-SA"/>
              </w:rPr>
              <w:t>；</w:t>
            </w:r>
            <w:r>
              <w:rPr>
                <w:rFonts w:hint="eastAsia" w:ascii="Times New Roman" w:hAnsi="Times New Roman" w:cs="Times New Roman"/>
                <w:b w:val="0"/>
                <w:bCs w:val="0"/>
                <w:color w:val="auto"/>
                <w:sz w:val="24"/>
                <w:szCs w:val="24"/>
                <w:highlight w:val="none"/>
                <w:lang w:val="en-US" w:eastAsia="zh-CN" w:bidi="ar-SA"/>
              </w:rPr>
              <w:t>挤出</w:t>
            </w:r>
            <w:r>
              <w:rPr>
                <w:rFonts w:hint="default" w:ascii="Times New Roman" w:hAnsi="Times New Roman" w:cs="Times New Roman"/>
                <w:b w:val="0"/>
                <w:bCs w:val="0"/>
                <w:color w:val="auto"/>
                <w:sz w:val="24"/>
                <w:szCs w:val="24"/>
                <w:highlight w:val="none"/>
                <w:lang w:val="en-US" w:eastAsia="zh-CN" w:bidi="ar-SA"/>
              </w:rPr>
              <w:t>过程</w:t>
            </w:r>
            <w:r>
              <w:rPr>
                <w:rFonts w:hint="eastAsia" w:ascii="Times New Roman" w:hAnsi="Times New Roman" w:eastAsia="宋体" w:cs="Times New Roman"/>
                <w:b w:val="0"/>
                <w:bCs w:val="0"/>
                <w:color w:val="auto"/>
                <w:kern w:val="2"/>
                <w:sz w:val="24"/>
                <w:szCs w:val="24"/>
                <w:highlight w:val="none"/>
                <w:lang w:val="en-US" w:eastAsia="zh-CN" w:bidi="ar-SA"/>
              </w:rPr>
              <w:t>产生噪声</w:t>
            </w:r>
            <w:r>
              <w:rPr>
                <w:rFonts w:hint="eastAsia" w:cs="Times New Roman"/>
                <w:b w:val="0"/>
                <w:bCs w:val="0"/>
                <w:color w:val="auto"/>
                <w:sz w:val="24"/>
                <w:szCs w:val="24"/>
                <w:highlight w:val="none"/>
                <w:lang w:val="en-US" w:eastAsia="zh-CN" w:bidi="ar-SA"/>
              </w:rPr>
              <w:t>和</w:t>
            </w:r>
            <w:r>
              <w:rPr>
                <w:rFonts w:hint="eastAsia" w:ascii="Times New Roman" w:hAnsi="Times New Roman" w:cs="Times New Roman"/>
                <w:b w:val="0"/>
                <w:bCs w:val="0"/>
                <w:color w:val="auto"/>
                <w:sz w:val="24"/>
                <w:szCs w:val="24"/>
                <w:highlight w:val="none"/>
                <w:lang w:val="en-US" w:eastAsia="zh-CN" w:bidi="ar-SA"/>
              </w:rPr>
              <w:t>有机废气</w:t>
            </w:r>
            <w:r>
              <w:rPr>
                <w:rFonts w:hint="default" w:ascii="Times New Roman" w:hAnsi="Times New Roman" w:cs="Times New Roman"/>
                <w:b w:val="0"/>
                <w:bCs w:val="0"/>
                <w:color w:val="auto"/>
                <w:sz w:val="24"/>
                <w:szCs w:val="24"/>
                <w:highlight w:val="none"/>
                <w:lang w:val="en-US" w:eastAsia="zh-CN" w:bidi="ar-SA"/>
              </w:rPr>
              <w:t>挥发，</w:t>
            </w:r>
            <w:r>
              <w:rPr>
                <w:rFonts w:hint="eastAsia" w:ascii="Times New Roman" w:hAnsi="Times New Roman" w:cs="Times New Roman"/>
                <w:b w:val="0"/>
                <w:bCs w:val="0"/>
                <w:color w:val="auto"/>
                <w:sz w:val="24"/>
                <w:szCs w:val="24"/>
                <w:highlight w:val="none"/>
                <w:lang w:val="en-US" w:eastAsia="zh-CN" w:bidi="ar-SA"/>
              </w:rPr>
              <w:t>以非甲烷总烃计</w:t>
            </w:r>
            <w:r>
              <w:rPr>
                <w:rFonts w:hint="default" w:ascii="Times New Roman" w:hAnsi="Times New Roman" w:cs="Times New Roman"/>
                <w:b w:val="0"/>
                <w:bCs w:val="0"/>
                <w:color w:val="auto"/>
                <w:sz w:val="24"/>
                <w:szCs w:val="24"/>
                <w:highlight w:val="none"/>
                <w:lang w:val="en-US" w:eastAsia="zh-CN" w:bidi="ar-SA"/>
              </w:rPr>
              <w:t>。</w:t>
            </w:r>
          </w:p>
          <w:p w14:paraId="453F39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20" w:firstLineChars="300"/>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sz w:val="24"/>
                <w:szCs w:val="24"/>
                <w:highlight w:val="none"/>
                <w:lang w:val="en-US" w:eastAsia="zh-CN" w:bidi="ar-SA"/>
              </w:rPr>
              <w:t>注塑、挤出工序产生废气经集气罩收集，二级活性炭吸附处理后通过15m高（DA001）排气筒排放。</w:t>
            </w:r>
            <w:r>
              <w:rPr>
                <w:rFonts w:hint="eastAsia" w:ascii="Times New Roman" w:hAnsi="Times New Roman" w:eastAsia="宋体" w:cs="Times New Roman"/>
                <w:b w:val="0"/>
                <w:bCs w:val="0"/>
                <w:color w:val="auto"/>
                <w:kern w:val="2"/>
                <w:sz w:val="24"/>
                <w:szCs w:val="24"/>
                <w:highlight w:val="none"/>
                <w:lang w:val="en-US" w:eastAsia="zh-CN" w:bidi="ar-SA"/>
              </w:rPr>
              <w:t>活性炭吸附装置需要定期更换吸附剂（活性炭），会产生废活性炭。</w:t>
            </w:r>
            <w:r>
              <w:rPr>
                <w:rFonts w:hint="eastAsia" w:hAnsi="宋体" w:eastAsia="宋体"/>
                <w:color w:val="auto"/>
                <w:kern w:val="2"/>
                <w:sz w:val="24"/>
                <w:szCs w:val="24"/>
                <w:highlight w:val="none"/>
                <w:lang w:val="en-US" w:eastAsia="zh-CN"/>
              </w:rPr>
              <w:t>挤出成型的管产品在设备内部通过循环冷却水冷却。喷淋后的冷却水循环使用，不外排。此过程无废水产生，</w:t>
            </w:r>
            <w:r>
              <w:rPr>
                <w:rFonts w:hint="default" w:ascii="Times New Roman" w:hAnsi="Times New Roman" w:eastAsia="宋体" w:cs="Times New Roman"/>
                <w:b w:val="0"/>
                <w:bCs w:val="0"/>
                <w:color w:val="auto"/>
                <w:kern w:val="2"/>
                <w:sz w:val="24"/>
                <w:szCs w:val="24"/>
                <w:highlight w:val="none"/>
                <w:lang w:val="en-US" w:eastAsia="zh-CN" w:bidi="ar-SA"/>
              </w:rPr>
              <w:t>将固化后的产品从模具型腔里</w:t>
            </w:r>
            <w:r>
              <w:rPr>
                <w:rFonts w:hint="eastAsia" w:ascii="Times New Roman" w:hAnsi="Times New Roman" w:eastAsia="宋体" w:cs="Times New Roman"/>
                <w:b w:val="0"/>
                <w:bCs w:val="0"/>
                <w:color w:val="auto"/>
                <w:kern w:val="2"/>
                <w:sz w:val="24"/>
                <w:szCs w:val="24"/>
                <w:highlight w:val="none"/>
                <w:lang w:val="en-US" w:eastAsia="zh-CN" w:bidi="ar-SA"/>
              </w:rPr>
              <w:t>挤</w:t>
            </w:r>
            <w:r>
              <w:rPr>
                <w:rFonts w:hint="default" w:ascii="Times New Roman" w:hAnsi="Times New Roman" w:eastAsia="宋体" w:cs="Times New Roman"/>
                <w:b w:val="0"/>
                <w:bCs w:val="0"/>
                <w:color w:val="auto"/>
                <w:kern w:val="2"/>
                <w:sz w:val="24"/>
                <w:szCs w:val="24"/>
                <w:highlight w:val="none"/>
                <w:lang w:val="en-US" w:eastAsia="zh-CN" w:bidi="ar-SA"/>
              </w:rPr>
              <w:t>出来</w:t>
            </w:r>
            <w:r>
              <w:rPr>
                <w:rFonts w:hint="eastAsia" w:ascii="Times New Roman" w:hAnsi="Times New Roman" w:eastAsia="宋体" w:cs="Times New Roman"/>
                <w:b w:val="0"/>
                <w:bCs w:val="0"/>
                <w:color w:val="auto"/>
                <w:kern w:val="2"/>
                <w:sz w:val="24"/>
                <w:szCs w:val="24"/>
                <w:highlight w:val="none"/>
                <w:lang w:val="en-US" w:eastAsia="zh-CN" w:bidi="ar-SA"/>
              </w:rPr>
              <w:t>，按照尺寸采用旋转切割</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0"/>
                <w:sz w:val="24"/>
                <w:szCs w:val="24"/>
                <w:highlight w:val="none"/>
                <w:lang w:val="en-US" w:eastAsia="zh-CN" w:bidi="ar-SA"/>
              </w:rPr>
              <w:t>对挤出切割后的产品，</w:t>
            </w:r>
            <w:r>
              <w:rPr>
                <w:rFonts w:hint="default" w:ascii="Times New Roman" w:hAnsi="Times New Roman" w:eastAsia="宋体" w:cs="Times New Roman"/>
                <w:color w:val="auto"/>
                <w:sz w:val="24"/>
                <w:szCs w:val="24"/>
                <w:highlight w:val="none"/>
                <w:lang w:val="en-US" w:eastAsia="zh-CN"/>
              </w:rPr>
              <w:t>人工进行简单的边沿修整</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修边过程为人工简单修边，修边过程基本不会产生粉尘。</w:t>
            </w:r>
            <w:r>
              <w:rPr>
                <w:rFonts w:hint="eastAsia" w:ascii="Times New Roman" w:hAnsi="Times New Roman" w:eastAsia="宋体" w:cs="Times New Roman"/>
                <w:b w:val="0"/>
                <w:bCs w:val="0"/>
                <w:color w:val="auto"/>
                <w:kern w:val="2"/>
                <w:sz w:val="24"/>
                <w:szCs w:val="24"/>
                <w:highlight w:val="none"/>
                <w:lang w:val="en-US" w:eastAsia="zh-CN" w:bidi="ar-SA"/>
              </w:rPr>
              <w:t>此工段会产生边角料和不合格产品。</w:t>
            </w:r>
          </w:p>
          <w:p w14:paraId="09A8884A">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2" w:firstLineChars="200"/>
              <w:textAlignment w:val="auto"/>
              <w:rPr>
                <w:rFonts w:hint="eastAsia" w:cs="Times New Roman"/>
                <w:b w:val="0"/>
                <w:bCs w:val="0"/>
                <w:color w:val="auto"/>
                <w:sz w:val="24"/>
                <w:szCs w:val="24"/>
                <w:highlight w:val="none"/>
                <w:lang w:val="en-US" w:eastAsia="zh-CN" w:bidi="ar-SA"/>
              </w:rPr>
            </w:pPr>
            <w:r>
              <w:rPr>
                <w:rFonts w:hint="eastAsia" w:ascii="Times New Roman" w:hAnsi="Times New Roman" w:eastAsia="宋体" w:cs="Times New Roman"/>
                <w:b/>
                <w:bCs/>
                <w:color w:val="auto"/>
                <w:sz w:val="24"/>
                <w:szCs w:val="24"/>
                <w:highlight w:val="none"/>
                <w:lang w:val="en-US" w:eastAsia="zh-CN" w:bidi="ar-SA"/>
              </w:rPr>
              <w:t>检</w:t>
            </w:r>
            <w:r>
              <w:rPr>
                <w:rFonts w:hint="eastAsia" w:ascii="Times New Roman" w:hAnsi="Times New Roman" w:eastAsia="宋体" w:cs="Times New Roman"/>
                <w:b/>
                <w:bCs/>
                <w:color w:val="auto"/>
                <w:kern w:val="2"/>
                <w:sz w:val="24"/>
                <w:szCs w:val="24"/>
                <w:highlight w:val="none"/>
                <w:lang w:val="en-US" w:eastAsia="zh-CN" w:bidi="ar-SA"/>
              </w:rPr>
              <w:t>验</w:t>
            </w:r>
            <w:r>
              <w:rPr>
                <w:rFonts w:hint="default"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0"/>
                <w:sz w:val="24"/>
                <w:szCs w:val="24"/>
                <w:highlight w:val="none"/>
                <w:lang w:val="en-US" w:eastAsia="zh-CN" w:bidi="ar-SA"/>
              </w:rPr>
              <w:t>对旋转切割、修边后的产品进行检验，合格产品入库待售</w:t>
            </w:r>
            <w:r>
              <w:rPr>
                <w:rFonts w:hint="eastAsia" w:cs="Times New Roman"/>
                <w:b w:val="0"/>
                <w:bCs w:val="0"/>
                <w:color w:val="auto"/>
                <w:kern w:val="0"/>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不合格产品、边角料</w:t>
            </w:r>
            <w:r>
              <w:rPr>
                <w:rFonts w:hint="eastAsia" w:ascii="Times New Roman" w:hAnsi="Times New Roman" w:eastAsia="宋体" w:cs="Times New Roman"/>
                <w:b w:val="0"/>
                <w:bCs w:val="0"/>
                <w:color w:val="auto"/>
                <w:kern w:val="2"/>
                <w:sz w:val="24"/>
                <w:szCs w:val="24"/>
                <w:highlight w:val="none"/>
                <w:lang w:val="en-US" w:eastAsia="zh-CN" w:bidi="ar-SA"/>
              </w:rPr>
              <w:t>和投料过程产生的废包装材料统一收集</w:t>
            </w:r>
            <w:r>
              <w:rPr>
                <w:rFonts w:hint="eastAsia" w:ascii="Times New Roman" w:hAnsi="Times New Roman" w:cs="Times New Roman"/>
                <w:b w:val="0"/>
                <w:bCs w:val="0"/>
                <w:color w:val="auto"/>
                <w:kern w:val="2"/>
                <w:sz w:val="24"/>
                <w:szCs w:val="24"/>
                <w:highlight w:val="none"/>
                <w:lang w:val="en-US" w:eastAsia="zh-CN" w:bidi="ar-SA"/>
              </w:rPr>
              <w:t>后</w:t>
            </w:r>
            <w:r>
              <w:rPr>
                <w:rFonts w:hint="eastAsia" w:ascii="Times New Roman" w:hAnsi="Times New Roman" w:eastAsia="宋体" w:cs="Times New Roman"/>
                <w:b w:val="0"/>
                <w:bCs w:val="0"/>
                <w:color w:val="auto"/>
                <w:kern w:val="2"/>
                <w:sz w:val="24"/>
                <w:szCs w:val="24"/>
                <w:highlight w:val="none"/>
                <w:lang w:val="en-US" w:eastAsia="zh-CN" w:bidi="ar-SA"/>
              </w:rPr>
              <w:t>以废品形式</w:t>
            </w:r>
            <w:r>
              <w:rPr>
                <w:rFonts w:hint="eastAsia" w:ascii="Times New Roman" w:hAnsi="Times New Roman" w:cs="Times New Roman"/>
                <w:b w:val="0"/>
                <w:bCs w:val="0"/>
                <w:color w:val="auto"/>
                <w:kern w:val="2"/>
                <w:sz w:val="24"/>
                <w:szCs w:val="24"/>
                <w:highlight w:val="none"/>
                <w:lang w:val="en-US" w:eastAsia="zh-CN" w:bidi="ar-SA"/>
              </w:rPr>
              <w:t>出</w:t>
            </w:r>
            <w:r>
              <w:rPr>
                <w:rFonts w:hint="eastAsia" w:ascii="Times New Roman" w:hAnsi="Times New Roman" w:eastAsia="宋体" w:cs="Times New Roman"/>
                <w:b w:val="0"/>
                <w:bCs w:val="0"/>
                <w:color w:val="auto"/>
                <w:kern w:val="2"/>
                <w:sz w:val="24"/>
                <w:szCs w:val="24"/>
                <w:highlight w:val="none"/>
                <w:lang w:val="en-US" w:eastAsia="zh-CN" w:bidi="ar-SA"/>
              </w:rPr>
              <w:t>售。</w:t>
            </w:r>
          </w:p>
          <w:p w14:paraId="2E41CA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960" w:firstLineChars="400"/>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另</w:t>
            </w:r>
            <w:r>
              <w:rPr>
                <w:rFonts w:hint="eastAsia" w:ascii="Times New Roman" w:hAnsi="Times New Roman" w:eastAsia="宋体" w:cs="Times New Roman"/>
                <w:b w:val="0"/>
                <w:bCs w:val="0"/>
                <w:color w:val="auto"/>
                <w:kern w:val="2"/>
                <w:sz w:val="24"/>
                <w:szCs w:val="24"/>
                <w:highlight w:val="none"/>
                <w:lang w:val="en-US" w:eastAsia="zh-CN" w:bidi="ar-SA"/>
              </w:rPr>
              <w:t>租赁厂区内职工日常生活会产生生活污水和生活垃圾，生活污水排入</w:t>
            </w:r>
            <w:r>
              <w:rPr>
                <w:rFonts w:hint="eastAsia" w:ascii="Times New Roman" w:hAnsi="Times New Roman" w:cs="Times New Roman"/>
                <w:b w:val="0"/>
                <w:bCs w:val="0"/>
                <w:color w:val="auto"/>
                <w:kern w:val="2"/>
                <w:sz w:val="24"/>
                <w:szCs w:val="24"/>
                <w:highlight w:val="none"/>
                <w:lang w:val="en-US" w:eastAsia="zh-CN" w:bidi="ar-SA"/>
              </w:rPr>
              <w:t>厂区</w:t>
            </w:r>
            <w:r>
              <w:rPr>
                <w:rFonts w:hint="eastAsia" w:ascii="Times New Roman" w:hAnsi="Times New Roman" w:eastAsia="宋体" w:cs="Times New Roman"/>
                <w:b w:val="0"/>
                <w:bCs w:val="0"/>
                <w:color w:val="auto"/>
                <w:kern w:val="2"/>
                <w:sz w:val="24"/>
                <w:szCs w:val="24"/>
                <w:highlight w:val="none"/>
                <w:lang w:val="en-US" w:eastAsia="zh-CN" w:bidi="ar-SA"/>
              </w:rPr>
              <w:t>化粪池，定期清掏后用于农田施肥</w:t>
            </w:r>
            <w:r>
              <w:rPr>
                <w:rFonts w:hint="eastAsia" w:ascii="Times New Roman" w:hAnsi="Times New Roman"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生活垃圾经</w:t>
            </w:r>
            <w:r>
              <w:rPr>
                <w:rFonts w:hint="default" w:ascii="Times New Roman" w:hAnsi="Times New Roman" w:eastAsia="宋体" w:cs="Times New Roman"/>
                <w:b w:val="0"/>
                <w:bCs w:val="0"/>
                <w:color w:val="auto"/>
                <w:kern w:val="2"/>
                <w:sz w:val="24"/>
                <w:szCs w:val="24"/>
                <w:highlight w:val="none"/>
                <w:lang w:val="en-US" w:eastAsia="zh-CN" w:bidi="ar-SA"/>
              </w:rPr>
              <w:t>垃圾桶收集后由环卫部门统一清运</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 xml:space="preserve">设备维修过程中使用润滑油，会产生废润滑油、含油抹布及手套等危险废物，收集后暂存于危废贮存库，定期委托有资质单位进行处置。 </w:t>
            </w:r>
          </w:p>
          <w:p w14:paraId="24CE164A">
            <w:pPr>
              <w:pStyle w:val="52"/>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eastAsia="宋体" w:cs="Times New Roman"/>
                <w:b/>
                <w:bCs/>
                <w:color w:val="auto"/>
                <w:sz w:val="24"/>
                <w:szCs w:val="24"/>
                <w:highlight w:val="none"/>
              </w:rPr>
            </w:pPr>
            <w:r>
              <w:rPr>
                <w:rFonts w:hint="eastAsia"/>
                <w:highlight w:val="none"/>
                <w:lang w:eastAsia="zh-CN"/>
              </w:rPr>
              <w:t>运营期</w:t>
            </w:r>
            <w:r>
              <w:rPr>
                <w:highlight w:val="none"/>
              </w:rPr>
              <w:t>产污汇总</w:t>
            </w:r>
            <w:r>
              <w:rPr>
                <w:rFonts w:hint="default" w:ascii="Times New Roman" w:hAnsi="Times New Roman" w:eastAsia="宋体" w:cs="Times New Roman"/>
                <w:b/>
                <w:bCs/>
                <w:color w:val="auto"/>
                <w:sz w:val="24"/>
                <w:szCs w:val="24"/>
                <w:highlight w:val="none"/>
              </w:rPr>
              <w:t>：</w:t>
            </w:r>
          </w:p>
          <w:p w14:paraId="4817B89D">
            <w:pPr>
              <w:pStyle w:val="5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eastAsiaTheme="majorEastAsia"/>
                <w:b/>
                <w:bCs/>
                <w:caps w:val="0"/>
                <w:color w:val="auto"/>
                <w:kern w:val="0"/>
                <w:sz w:val="21"/>
                <w:szCs w:val="21"/>
                <w:highlight w:val="none"/>
                <w:lang w:val="zh-CN" w:eastAsia="zh-CN" w:bidi="zh-CN"/>
              </w:rPr>
            </w:pPr>
            <w:r>
              <w:rPr>
                <w:rFonts w:hint="default" w:ascii="Times New Roman" w:hAnsi="Times New Roman" w:cs="Times New Roman" w:eastAsiaTheme="majorEastAsia"/>
                <w:b/>
                <w:bCs/>
                <w:caps w:val="0"/>
                <w:color w:val="auto"/>
                <w:kern w:val="0"/>
                <w:sz w:val="21"/>
                <w:szCs w:val="21"/>
                <w:highlight w:val="none"/>
                <w:lang w:val="zh-CN" w:eastAsia="zh-CN" w:bidi="zh-CN"/>
              </w:rPr>
              <w:t>表</w:t>
            </w:r>
            <w:r>
              <w:rPr>
                <w:rFonts w:hint="default" w:ascii="Times New Roman" w:hAnsi="Times New Roman" w:cs="Times New Roman" w:eastAsiaTheme="majorEastAsia"/>
                <w:b/>
                <w:bCs/>
                <w:caps w:val="0"/>
                <w:color w:val="auto"/>
                <w:kern w:val="0"/>
                <w:sz w:val="21"/>
                <w:szCs w:val="21"/>
                <w:highlight w:val="none"/>
                <w:lang w:val="en-US" w:eastAsia="zh-CN" w:bidi="zh-CN"/>
              </w:rPr>
              <w:t>2-7</w:t>
            </w:r>
            <w:r>
              <w:rPr>
                <w:rFonts w:hint="default" w:ascii="Times New Roman" w:hAnsi="Times New Roman" w:cs="Times New Roman" w:eastAsiaTheme="majorEastAsia"/>
                <w:b/>
                <w:bCs/>
                <w:caps w:val="0"/>
                <w:color w:val="auto"/>
                <w:kern w:val="0"/>
                <w:sz w:val="21"/>
                <w:szCs w:val="21"/>
                <w:highlight w:val="none"/>
                <w:lang w:val="zh-CN" w:eastAsia="zh-CN" w:bidi="zh-CN"/>
              </w:rPr>
              <w:t xml:space="preserve">  主要产污环节及污染物一览表</w:t>
            </w: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4"/>
              <w:gridCol w:w="1095"/>
              <w:gridCol w:w="2618"/>
              <w:gridCol w:w="2982"/>
            </w:tblGrid>
            <w:tr w14:paraId="1E96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56" w:type="pct"/>
                  <w:noWrap w:val="0"/>
                  <w:vAlign w:val="center"/>
                </w:tcPr>
                <w:p w14:paraId="4A66ADF1">
                  <w:pPr>
                    <w:pStyle w:val="49"/>
                    <w:rPr>
                      <w:rFonts w:hint="eastAsia"/>
                      <w:b/>
                      <w:bCs/>
                      <w:highlight w:val="none"/>
                    </w:rPr>
                  </w:pPr>
                  <w:r>
                    <w:rPr>
                      <w:rFonts w:hint="eastAsia"/>
                      <w:b/>
                      <w:bCs/>
                      <w:highlight w:val="none"/>
                    </w:rPr>
                    <w:t>污染类型</w:t>
                  </w:r>
                </w:p>
              </w:tc>
              <w:tc>
                <w:tcPr>
                  <w:tcW w:w="1116" w:type="pct"/>
                  <w:gridSpan w:val="2"/>
                  <w:noWrap w:val="0"/>
                  <w:vAlign w:val="center"/>
                </w:tcPr>
                <w:p w14:paraId="3871F165">
                  <w:pPr>
                    <w:pStyle w:val="49"/>
                    <w:rPr>
                      <w:rFonts w:hint="eastAsia"/>
                      <w:b/>
                      <w:bCs/>
                      <w:highlight w:val="none"/>
                    </w:rPr>
                  </w:pPr>
                  <w:r>
                    <w:rPr>
                      <w:rFonts w:hint="eastAsia"/>
                      <w:b/>
                      <w:bCs/>
                      <w:highlight w:val="none"/>
                    </w:rPr>
                    <w:t>产生环节</w:t>
                  </w:r>
                </w:p>
              </w:tc>
              <w:tc>
                <w:tcPr>
                  <w:tcW w:w="1555" w:type="pct"/>
                  <w:noWrap w:val="0"/>
                  <w:vAlign w:val="center"/>
                </w:tcPr>
                <w:p w14:paraId="363406BB">
                  <w:pPr>
                    <w:pStyle w:val="49"/>
                    <w:rPr>
                      <w:rFonts w:hint="eastAsia"/>
                      <w:b/>
                      <w:bCs/>
                      <w:highlight w:val="none"/>
                    </w:rPr>
                  </w:pPr>
                  <w:r>
                    <w:rPr>
                      <w:rFonts w:hint="eastAsia"/>
                      <w:b/>
                      <w:bCs/>
                      <w:highlight w:val="none"/>
                    </w:rPr>
                    <w:t>污染物名称</w:t>
                  </w:r>
                </w:p>
              </w:tc>
              <w:tc>
                <w:tcPr>
                  <w:tcW w:w="1771" w:type="pct"/>
                  <w:noWrap w:val="0"/>
                  <w:vAlign w:val="center"/>
                </w:tcPr>
                <w:p w14:paraId="3131D098">
                  <w:pPr>
                    <w:pStyle w:val="49"/>
                    <w:rPr>
                      <w:rFonts w:hint="eastAsia" w:eastAsia="宋体"/>
                      <w:b/>
                      <w:bCs/>
                      <w:highlight w:val="none"/>
                      <w:lang w:eastAsia="zh-CN"/>
                    </w:rPr>
                  </w:pPr>
                  <w:r>
                    <w:rPr>
                      <w:rFonts w:hint="eastAsia"/>
                      <w:b/>
                      <w:bCs/>
                      <w:highlight w:val="none"/>
                      <w:lang w:eastAsia="zh-CN"/>
                    </w:rPr>
                    <w:t>防治措施</w:t>
                  </w:r>
                </w:p>
              </w:tc>
            </w:tr>
            <w:tr w14:paraId="5C540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556" w:type="pct"/>
                  <w:noWrap w:val="0"/>
                  <w:vAlign w:val="center"/>
                </w:tcPr>
                <w:p w14:paraId="56048297">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废气</w:t>
                  </w:r>
                </w:p>
              </w:tc>
              <w:tc>
                <w:tcPr>
                  <w:tcW w:w="1116" w:type="pct"/>
                  <w:gridSpan w:val="2"/>
                  <w:noWrap w:val="0"/>
                  <w:vAlign w:val="center"/>
                </w:tcPr>
                <w:p w14:paraId="467C3094">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lang w:eastAsia="zh-CN"/>
                    </w:rPr>
                    <w:t>注塑、</w:t>
                  </w:r>
                  <w:r>
                    <w:rPr>
                      <w:rFonts w:hint="default" w:ascii="Times New Roman" w:hAnsi="Times New Roman" w:cs="Times New Roman" w:eastAsiaTheme="minorEastAsia"/>
                      <w:sz w:val="21"/>
                      <w:szCs w:val="21"/>
                      <w:highlight w:val="none"/>
                    </w:rPr>
                    <w:t>挤出</w:t>
                  </w:r>
                </w:p>
              </w:tc>
              <w:tc>
                <w:tcPr>
                  <w:tcW w:w="1555" w:type="pct"/>
                  <w:noWrap w:val="0"/>
                  <w:vAlign w:val="center"/>
                </w:tcPr>
                <w:p w14:paraId="04BE1FDD">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非甲烷总烃</w:t>
                  </w:r>
                </w:p>
              </w:tc>
              <w:tc>
                <w:tcPr>
                  <w:tcW w:w="1771" w:type="pct"/>
                  <w:noWrap w:val="0"/>
                  <w:vAlign w:val="center"/>
                </w:tcPr>
                <w:p w14:paraId="14FD9D9B">
                  <w:pPr>
                    <w:keepNext w:val="0"/>
                    <w:keepLines w:val="0"/>
                    <w:pageBreakBefore w:val="0"/>
                    <w:widowControl w:val="0"/>
                    <w:kinsoku/>
                    <w:wordWrap/>
                    <w:overflowPunct/>
                    <w:topLinePunct w:val="0"/>
                    <w:autoSpaceDE/>
                    <w:autoSpaceDN/>
                    <w:bidi w:val="0"/>
                    <w:adjustRightInd w:val="0"/>
                    <w:snapToGrid w:val="0"/>
                    <w:spacing w:line="264" w:lineRule="auto"/>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集气罩收集+二级活性炭吸附处理后，经15 m高（DA001）排气筒排放。</w:t>
                  </w:r>
                </w:p>
              </w:tc>
            </w:tr>
            <w:tr w14:paraId="6864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56" w:type="pct"/>
                  <w:vMerge w:val="restart"/>
                  <w:noWrap w:val="0"/>
                  <w:vAlign w:val="center"/>
                </w:tcPr>
                <w:p w14:paraId="74869524">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废水</w:t>
                  </w:r>
                </w:p>
              </w:tc>
              <w:tc>
                <w:tcPr>
                  <w:tcW w:w="1116" w:type="pct"/>
                  <w:gridSpan w:val="2"/>
                  <w:noWrap w:val="0"/>
                  <w:vAlign w:val="center"/>
                </w:tcPr>
                <w:p w14:paraId="641C0500">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职工生活</w:t>
                  </w:r>
                </w:p>
              </w:tc>
              <w:tc>
                <w:tcPr>
                  <w:tcW w:w="1555" w:type="pct"/>
                  <w:noWrap w:val="0"/>
                  <w:vAlign w:val="center"/>
                </w:tcPr>
                <w:p w14:paraId="7F2C8229">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color w:val="auto"/>
                      <w:sz w:val="21"/>
                      <w:szCs w:val="21"/>
                      <w:highlight w:val="none"/>
                      <w:lang w:val="en-US" w:eastAsia="zh-CN"/>
                    </w:rPr>
                    <w:t>PH、SS</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COD</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NH</w:t>
                  </w:r>
                  <w:r>
                    <w:rPr>
                      <w:rFonts w:hint="default" w:ascii="Times New Roman" w:hAnsi="Times New Roman" w:cs="Times New Roman" w:eastAsiaTheme="minorEastAsia"/>
                      <w:color w:val="auto"/>
                      <w:sz w:val="21"/>
                      <w:szCs w:val="21"/>
                      <w:highlight w:val="none"/>
                      <w:vertAlign w:val="subscript"/>
                      <w:lang w:val="en-US" w:eastAsia="zh-CN"/>
                    </w:rPr>
                    <w:t>3</w:t>
                  </w:r>
                  <w:r>
                    <w:rPr>
                      <w:rFonts w:hint="default" w:ascii="Times New Roman" w:hAnsi="Times New Roman" w:cs="Times New Roman" w:eastAsiaTheme="minorEastAsia"/>
                      <w:color w:val="auto"/>
                      <w:sz w:val="21"/>
                      <w:szCs w:val="21"/>
                      <w:highlight w:val="none"/>
                      <w:lang w:val="en-US" w:eastAsia="zh-CN"/>
                    </w:rPr>
                    <w:t>-N</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lang w:val="en-US" w:eastAsia="zh-CN"/>
                    </w:rPr>
                    <w:t>BOD</w:t>
                  </w:r>
                  <w:r>
                    <w:rPr>
                      <w:rFonts w:hint="default" w:ascii="Times New Roman" w:hAnsi="Times New Roman" w:cs="Times New Roman" w:eastAsiaTheme="minorEastAsia"/>
                      <w:color w:val="auto"/>
                      <w:sz w:val="21"/>
                      <w:szCs w:val="21"/>
                      <w:highlight w:val="none"/>
                      <w:vertAlign w:val="subscript"/>
                      <w:lang w:val="en-US" w:eastAsia="zh-CN"/>
                    </w:rPr>
                    <w:t>5</w:t>
                  </w:r>
                </w:p>
              </w:tc>
              <w:tc>
                <w:tcPr>
                  <w:tcW w:w="1771" w:type="pct"/>
                  <w:noWrap w:val="0"/>
                  <w:vAlign w:val="center"/>
                </w:tcPr>
                <w:p w14:paraId="350E2763">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排入化粪池，定期清掏</w:t>
                  </w:r>
                </w:p>
              </w:tc>
            </w:tr>
            <w:tr w14:paraId="0C63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556" w:type="pct"/>
                  <w:vMerge w:val="continue"/>
                  <w:noWrap w:val="0"/>
                  <w:vAlign w:val="center"/>
                </w:tcPr>
                <w:p w14:paraId="7068083E">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1116" w:type="pct"/>
                  <w:gridSpan w:val="2"/>
                  <w:noWrap w:val="0"/>
                  <w:vAlign w:val="center"/>
                </w:tcPr>
                <w:p w14:paraId="1F6D641A">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eastAsiaTheme="minorEastAsia"/>
                      <w:sz w:val="21"/>
                      <w:szCs w:val="21"/>
                      <w:highlight w:val="none"/>
                      <w:lang w:eastAsia="zh-CN"/>
                    </w:rPr>
                    <w:t>冷却工序</w:t>
                  </w:r>
                </w:p>
              </w:tc>
              <w:tc>
                <w:tcPr>
                  <w:tcW w:w="1555" w:type="pct"/>
                  <w:shd w:val="clear" w:color="auto" w:fill="auto"/>
                  <w:noWrap w:val="0"/>
                  <w:vAlign w:val="center"/>
                </w:tcPr>
                <w:p w14:paraId="24EA5EC4">
                  <w:pPr>
                    <w:keepNext w:val="0"/>
                    <w:keepLines w:val="0"/>
                    <w:pageBreakBefore w:val="0"/>
                    <w:widowControl/>
                    <w:suppressLineNumbers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b w:val="0"/>
                      <w:bCs w:val="0"/>
                      <w:color w:val="000000"/>
                      <w:kern w:val="2"/>
                      <w:sz w:val="21"/>
                      <w:szCs w:val="21"/>
                      <w:highlight w:val="none"/>
                      <w:vertAlign w:val="baseline"/>
                      <w:lang w:val="en-US" w:eastAsia="zh-CN" w:bidi="ar-SA"/>
                    </w:rPr>
                  </w:pPr>
                  <w:r>
                    <w:rPr>
                      <w:rFonts w:hint="eastAsia" w:cs="Times New Roman" w:eastAsiaTheme="minorEastAsia"/>
                      <w:b w:val="0"/>
                      <w:bCs w:val="0"/>
                      <w:color w:val="000000"/>
                      <w:kern w:val="2"/>
                      <w:sz w:val="21"/>
                      <w:szCs w:val="21"/>
                      <w:highlight w:val="none"/>
                      <w:vertAlign w:val="baseline"/>
                      <w:lang w:val="en-US" w:eastAsia="zh-CN" w:bidi="ar-SA"/>
                    </w:rPr>
                    <w:t>溶解性总固体</w:t>
                  </w:r>
                </w:p>
              </w:tc>
              <w:tc>
                <w:tcPr>
                  <w:tcW w:w="1771" w:type="pct"/>
                  <w:shd w:val="clear" w:color="auto" w:fill="auto"/>
                  <w:noWrap w:val="0"/>
                  <w:vAlign w:val="center"/>
                </w:tcPr>
                <w:p w14:paraId="5DE0A305">
                  <w:pPr>
                    <w:keepNext w:val="0"/>
                    <w:keepLines w:val="0"/>
                    <w:pageBreakBefore w:val="0"/>
                    <w:kinsoku/>
                    <w:wordWrap/>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b/>
                      <w:bCs w:val="0"/>
                      <w:color w:val="000000"/>
                      <w:kern w:val="2"/>
                      <w:sz w:val="21"/>
                      <w:szCs w:val="21"/>
                      <w:highlight w:val="none"/>
                      <w:vertAlign w:val="baseline"/>
                      <w:lang w:val="en-US" w:eastAsia="zh-CN" w:bidi="ar-SA"/>
                    </w:rPr>
                  </w:pPr>
                  <w:r>
                    <w:rPr>
                      <w:rFonts w:hint="default" w:ascii="Times New Roman" w:hAnsi="Times New Roman" w:cs="Times New Roman" w:eastAsiaTheme="minorEastAsia"/>
                      <w:color w:val="000000"/>
                      <w:sz w:val="21"/>
                      <w:szCs w:val="21"/>
                      <w:highlight w:val="none"/>
                      <w:lang w:val="en-US" w:eastAsia="zh-CN"/>
                    </w:rPr>
                    <w:t>循环冷却使用不外排</w:t>
                  </w:r>
                </w:p>
              </w:tc>
            </w:tr>
            <w:tr w14:paraId="07F17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556" w:type="pct"/>
                  <w:noWrap w:val="0"/>
                  <w:vAlign w:val="center"/>
                </w:tcPr>
                <w:p w14:paraId="04C4F4D2">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噪声</w:t>
                  </w:r>
                </w:p>
              </w:tc>
              <w:tc>
                <w:tcPr>
                  <w:tcW w:w="1116" w:type="pct"/>
                  <w:gridSpan w:val="2"/>
                  <w:noWrap w:val="0"/>
                  <w:vAlign w:val="center"/>
                </w:tcPr>
                <w:p w14:paraId="389ACDC6">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生产设备运行</w:t>
                  </w:r>
                </w:p>
              </w:tc>
              <w:tc>
                <w:tcPr>
                  <w:tcW w:w="1555" w:type="pct"/>
                  <w:noWrap w:val="0"/>
                  <w:vAlign w:val="center"/>
                </w:tcPr>
                <w:p w14:paraId="55B6AFA0">
                  <w:pPr>
                    <w:pStyle w:val="49"/>
                    <w:keepNext w:val="0"/>
                    <w:keepLines w:val="0"/>
                    <w:pageBreakBefore w:val="0"/>
                    <w:kinsoku/>
                    <w:wordWrap/>
                    <w:overflowPunct/>
                    <w:topLinePunct w:val="0"/>
                    <w:autoSpaceDE/>
                    <w:autoSpaceDN/>
                    <w:bidi w:val="0"/>
                    <w:spacing w:line="264" w:lineRule="auto"/>
                    <w:jc w:val="center"/>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噪声</w:t>
                  </w:r>
                </w:p>
              </w:tc>
              <w:tc>
                <w:tcPr>
                  <w:tcW w:w="1771" w:type="pct"/>
                  <w:noWrap w:val="0"/>
                  <w:vAlign w:val="center"/>
                </w:tcPr>
                <w:p w14:paraId="0BEBAE13">
                  <w:pPr>
                    <w:pStyle w:val="49"/>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b w:val="0"/>
                      <w:bCs/>
                      <w:color w:val="000000"/>
                      <w:sz w:val="21"/>
                      <w:szCs w:val="21"/>
                      <w:highlight w:val="none"/>
                      <w:vertAlign w:val="baseline"/>
                      <w:lang w:val="en-US" w:eastAsia="zh-CN"/>
                    </w:rPr>
                    <w:t>选用低噪声设备、基础减振、厂房隔声等措施</w:t>
                  </w:r>
                </w:p>
              </w:tc>
            </w:tr>
            <w:tr w14:paraId="402F4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56" w:type="pct"/>
                  <w:vMerge w:val="restart"/>
                  <w:noWrap w:val="0"/>
                  <w:vAlign w:val="center"/>
                </w:tcPr>
                <w:p w14:paraId="4C8BB434">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固废</w:t>
                  </w:r>
                </w:p>
              </w:tc>
              <w:tc>
                <w:tcPr>
                  <w:tcW w:w="465" w:type="pct"/>
                  <w:vMerge w:val="restart"/>
                  <w:noWrap w:val="0"/>
                  <w:vAlign w:val="center"/>
                </w:tcPr>
                <w:p w14:paraId="1D3A8332">
                  <w:pPr>
                    <w:pStyle w:val="49"/>
                    <w:keepNext w:val="0"/>
                    <w:keepLines w:val="0"/>
                    <w:pageBreakBefore w:val="0"/>
                    <w:kinsoku/>
                    <w:wordWrap/>
                    <w:overflowPunct/>
                    <w:topLinePunct w:val="0"/>
                    <w:autoSpaceDE/>
                    <w:autoSpaceDN/>
                    <w:bidi w:val="0"/>
                    <w:spacing w:line="264" w:lineRule="auto"/>
                    <w:textAlignment w:val="auto"/>
                    <w:rPr>
                      <w:rFonts w:hint="eastAsia" w:cs="Times New Roman" w:eastAsiaTheme="minorEastAsia"/>
                      <w:b w:val="0"/>
                      <w:bCs/>
                      <w:color w:val="auto"/>
                      <w:sz w:val="21"/>
                      <w:szCs w:val="21"/>
                      <w:highlight w:val="none"/>
                      <w:vertAlign w:val="baseline"/>
                      <w:lang w:val="en-US" w:eastAsia="zh-CN"/>
                    </w:rPr>
                  </w:pPr>
                  <w:r>
                    <w:rPr>
                      <w:rFonts w:hint="eastAsia" w:cs="Times New Roman" w:eastAsiaTheme="minorEastAsia"/>
                      <w:b w:val="0"/>
                      <w:bCs/>
                      <w:color w:val="auto"/>
                      <w:sz w:val="21"/>
                      <w:szCs w:val="21"/>
                      <w:highlight w:val="none"/>
                      <w:vertAlign w:val="baseline"/>
                      <w:lang w:val="en-US" w:eastAsia="zh-CN"/>
                    </w:rPr>
                    <w:t>一般固废</w:t>
                  </w:r>
                </w:p>
              </w:tc>
              <w:tc>
                <w:tcPr>
                  <w:tcW w:w="650" w:type="pct"/>
                  <w:shd w:val="clear" w:color="auto" w:fill="auto"/>
                  <w:noWrap w:val="0"/>
                  <w:vAlign w:val="center"/>
                </w:tcPr>
                <w:p w14:paraId="40DA5352">
                  <w:pPr>
                    <w:pStyle w:val="49"/>
                    <w:keepNext w:val="0"/>
                    <w:keepLines w:val="0"/>
                    <w:pageBreakBefore w:val="0"/>
                    <w:kinsoku/>
                    <w:wordWrap/>
                    <w:overflowPunct/>
                    <w:topLinePunct w:val="0"/>
                    <w:autoSpaceDE/>
                    <w:autoSpaceDN/>
                    <w:bidi w:val="0"/>
                    <w:spacing w:line="264" w:lineRule="auto"/>
                    <w:textAlignment w:val="auto"/>
                    <w:rPr>
                      <w:rFonts w:hint="eastAsia" w:ascii="Times New Roman" w:hAnsi="Times New Roman" w:cs="Times New Roman" w:eastAsiaTheme="minorEastAsia"/>
                      <w:b w:val="0"/>
                      <w:bCs/>
                      <w:color w:val="auto"/>
                      <w:kern w:val="2"/>
                      <w:sz w:val="21"/>
                      <w:szCs w:val="21"/>
                      <w:highlight w:val="none"/>
                      <w:vertAlign w:val="baseline"/>
                      <w:lang w:val="en-US" w:eastAsia="zh-CN" w:bidi="ar-SA"/>
                    </w:rPr>
                  </w:pPr>
                  <w:r>
                    <w:rPr>
                      <w:rFonts w:hint="eastAsia" w:cs="Times New Roman" w:eastAsiaTheme="minorEastAsia"/>
                      <w:b w:val="0"/>
                      <w:bCs/>
                      <w:color w:val="auto"/>
                      <w:kern w:val="2"/>
                      <w:sz w:val="21"/>
                      <w:szCs w:val="21"/>
                      <w:highlight w:val="none"/>
                      <w:vertAlign w:val="baseline"/>
                      <w:lang w:val="en-US" w:eastAsia="zh-CN" w:bidi="ar-SA"/>
                    </w:rPr>
                    <w:t>投料</w:t>
                  </w:r>
                </w:p>
              </w:tc>
              <w:tc>
                <w:tcPr>
                  <w:tcW w:w="1555" w:type="pct"/>
                  <w:noWrap w:val="0"/>
                  <w:vAlign w:val="center"/>
                </w:tcPr>
                <w:p w14:paraId="0D645F7F">
                  <w:pPr>
                    <w:pStyle w:val="49"/>
                    <w:keepNext w:val="0"/>
                    <w:keepLines w:val="0"/>
                    <w:pageBreakBefore w:val="0"/>
                    <w:kinsoku/>
                    <w:wordWrap/>
                    <w:overflowPunct/>
                    <w:topLinePunct w:val="0"/>
                    <w:autoSpaceDE/>
                    <w:autoSpaceDN/>
                    <w:bidi w:val="0"/>
                    <w:spacing w:line="264" w:lineRule="auto"/>
                    <w:textAlignment w:val="auto"/>
                    <w:rPr>
                      <w:rFonts w:hint="eastAsia" w:cs="Times New Roman" w:eastAsiaTheme="minorEastAsia"/>
                      <w:b w:val="0"/>
                      <w:bCs/>
                      <w:color w:val="auto"/>
                      <w:sz w:val="21"/>
                      <w:szCs w:val="21"/>
                      <w:highlight w:val="none"/>
                      <w:vertAlign w:val="baseline"/>
                      <w:lang w:val="en-US" w:eastAsia="zh-CN"/>
                    </w:rPr>
                  </w:pPr>
                  <w:r>
                    <w:rPr>
                      <w:rFonts w:hint="eastAsia" w:cs="Times New Roman" w:eastAsiaTheme="minorEastAsia"/>
                      <w:b w:val="0"/>
                      <w:bCs/>
                      <w:color w:val="auto"/>
                      <w:sz w:val="21"/>
                      <w:szCs w:val="21"/>
                      <w:highlight w:val="none"/>
                      <w:vertAlign w:val="baseline"/>
                      <w:lang w:val="en-US" w:eastAsia="zh-CN"/>
                    </w:rPr>
                    <w:t>废包装材料</w:t>
                  </w:r>
                </w:p>
              </w:tc>
              <w:tc>
                <w:tcPr>
                  <w:tcW w:w="1771" w:type="pct"/>
                  <w:vMerge w:val="restart"/>
                  <w:noWrap w:val="0"/>
                  <w:vAlign w:val="center"/>
                </w:tcPr>
                <w:p w14:paraId="73803A3B">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Cs/>
                      <w:color w:val="auto"/>
                      <w:kern w:val="2"/>
                      <w:sz w:val="21"/>
                      <w:szCs w:val="21"/>
                      <w:highlight w:val="none"/>
                      <w:lang w:val="en-US" w:eastAsia="zh-CN" w:bidi="ar-SA"/>
                    </w:rPr>
                  </w:pPr>
                  <w:r>
                    <w:rPr>
                      <w:rFonts w:hint="eastAsia" w:cs="Times New Roman" w:eastAsiaTheme="minorEastAsia"/>
                      <w:bCs/>
                      <w:color w:val="auto"/>
                      <w:sz w:val="21"/>
                      <w:szCs w:val="21"/>
                      <w:highlight w:val="none"/>
                      <w:lang w:val="en-US" w:eastAsia="zh-CN"/>
                    </w:rPr>
                    <w:t>统一收集后外售至废品回收站</w:t>
                  </w:r>
                </w:p>
              </w:tc>
            </w:tr>
            <w:tr w14:paraId="37479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56" w:type="pct"/>
                  <w:vMerge w:val="continue"/>
                  <w:noWrap w:val="0"/>
                  <w:vAlign w:val="center"/>
                </w:tcPr>
                <w:p w14:paraId="318023A8">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465" w:type="pct"/>
                  <w:vMerge w:val="continue"/>
                  <w:shd w:val="clear" w:color="auto" w:fill="auto"/>
                  <w:noWrap w:val="0"/>
                  <w:vAlign w:val="center"/>
                </w:tcPr>
                <w:p w14:paraId="638A5869">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 w:val="0"/>
                      <w:bCs/>
                      <w:color w:val="auto"/>
                      <w:kern w:val="2"/>
                      <w:sz w:val="21"/>
                      <w:szCs w:val="21"/>
                      <w:highlight w:val="none"/>
                      <w:vertAlign w:val="baseline"/>
                      <w:lang w:val="en-US" w:eastAsia="zh-CN" w:bidi="ar-SA"/>
                    </w:rPr>
                  </w:pPr>
                </w:p>
              </w:tc>
              <w:tc>
                <w:tcPr>
                  <w:tcW w:w="650" w:type="pct"/>
                  <w:shd w:val="clear" w:color="auto" w:fill="auto"/>
                  <w:noWrap w:val="0"/>
                  <w:vAlign w:val="center"/>
                </w:tcPr>
                <w:p w14:paraId="1F17A54E">
                  <w:pPr>
                    <w:pStyle w:val="49"/>
                    <w:keepNext w:val="0"/>
                    <w:keepLines w:val="0"/>
                    <w:pageBreakBefore w:val="0"/>
                    <w:kinsoku/>
                    <w:wordWrap/>
                    <w:overflowPunct/>
                    <w:topLinePunct w:val="0"/>
                    <w:autoSpaceDE/>
                    <w:autoSpaceDN/>
                    <w:bidi w:val="0"/>
                    <w:spacing w:line="264" w:lineRule="auto"/>
                    <w:textAlignment w:val="auto"/>
                    <w:rPr>
                      <w:rFonts w:hint="eastAsia" w:ascii="Times New Roman" w:hAnsi="Times New Roman" w:cs="Times New Roman" w:eastAsiaTheme="minorEastAsia"/>
                      <w:b w:val="0"/>
                      <w:bCs/>
                      <w:color w:val="auto"/>
                      <w:kern w:val="2"/>
                      <w:sz w:val="21"/>
                      <w:szCs w:val="21"/>
                      <w:highlight w:val="none"/>
                      <w:vertAlign w:val="baseline"/>
                      <w:lang w:val="en-US" w:eastAsia="zh-CN" w:bidi="ar-SA"/>
                    </w:rPr>
                  </w:pPr>
                  <w:r>
                    <w:rPr>
                      <w:rFonts w:hint="eastAsia" w:cs="Times New Roman" w:eastAsiaTheme="minorEastAsia"/>
                      <w:b w:val="0"/>
                      <w:bCs/>
                      <w:color w:val="auto"/>
                      <w:kern w:val="2"/>
                      <w:sz w:val="21"/>
                      <w:szCs w:val="21"/>
                      <w:highlight w:val="none"/>
                      <w:vertAlign w:val="baseline"/>
                      <w:lang w:val="en-US" w:eastAsia="zh-CN" w:bidi="ar-SA"/>
                    </w:rPr>
                    <w:t>产品修边</w:t>
                  </w:r>
                </w:p>
              </w:tc>
              <w:tc>
                <w:tcPr>
                  <w:tcW w:w="1555" w:type="pct"/>
                  <w:shd w:val="clear" w:color="auto" w:fill="auto"/>
                  <w:noWrap w:val="0"/>
                  <w:vAlign w:val="center"/>
                </w:tcPr>
                <w:p w14:paraId="1D3642BC">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 w:val="0"/>
                      <w:bCs/>
                      <w:color w:val="auto"/>
                      <w:kern w:val="2"/>
                      <w:sz w:val="21"/>
                      <w:szCs w:val="21"/>
                      <w:highlight w:val="none"/>
                      <w:vertAlign w:val="baseline"/>
                      <w:lang w:val="en-US" w:eastAsia="zh-CN" w:bidi="ar-SA"/>
                    </w:rPr>
                  </w:pPr>
                  <w:r>
                    <w:rPr>
                      <w:rFonts w:hint="eastAsia" w:cs="Times New Roman" w:eastAsiaTheme="minorEastAsia"/>
                      <w:b w:val="0"/>
                      <w:bCs/>
                      <w:color w:val="auto"/>
                      <w:sz w:val="21"/>
                      <w:szCs w:val="21"/>
                      <w:highlight w:val="none"/>
                      <w:vertAlign w:val="baseline"/>
                      <w:lang w:val="en-US" w:eastAsia="zh-CN"/>
                    </w:rPr>
                    <w:t>边角料及不合格产品</w:t>
                  </w:r>
                </w:p>
              </w:tc>
              <w:tc>
                <w:tcPr>
                  <w:tcW w:w="1771" w:type="pct"/>
                  <w:vMerge w:val="continue"/>
                  <w:shd w:val="clear" w:color="auto" w:fill="auto"/>
                  <w:noWrap w:val="0"/>
                  <w:vAlign w:val="center"/>
                </w:tcPr>
                <w:p w14:paraId="0C5EF672">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bCs/>
                      <w:color w:val="auto"/>
                      <w:kern w:val="2"/>
                      <w:sz w:val="21"/>
                      <w:szCs w:val="21"/>
                      <w:highlight w:val="none"/>
                      <w:lang w:val="en-US" w:eastAsia="zh-CN" w:bidi="ar-SA"/>
                    </w:rPr>
                  </w:pPr>
                </w:p>
              </w:tc>
            </w:tr>
            <w:tr w14:paraId="0C6E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6" w:type="pct"/>
                  <w:vMerge w:val="continue"/>
                  <w:noWrap w:val="0"/>
                  <w:vAlign w:val="center"/>
                </w:tcPr>
                <w:p w14:paraId="0373B54D">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465" w:type="pct"/>
                  <w:vMerge w:val="continue"/>
                  <w:shd w:val="clear" w:color="auto" w:fill="auto"/>
                  <w:noWrap w:val="0"/>
                  <w:vAlign w:val="center"/>
                </w:tcPr>
                <w:p w14:paraId="55D966FF">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kern w:val="2"/>
                      <w:sz w:val="21"/>
                      <w:szCs w:val="21"/>
                      <w:highlight w:val="none"/>
                      <w:lang w:val="en-US" w:eastAsia="zh-CN" w:bidi="ar-SA"/>
                    </w:rPr>
                  </w:pPr>
                </w:p>
              </w:tc>
              <w:tc>
                <w:tcPr>
                  <w:tcW w:w="650" w:type="pct"/>
                  <w:shd w:val="clear" w:color="auto" w:fill="auto"/>
                  <w:noWrap w:val="0"/>
                  <w:vAlign w:val="center"/>
                </w:tcPr>
                <w:p w14:paraId="02F326E4">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职工生活</w:t>
                  </w:r>
                </w:p>
              </w:tc>
              <w:tc>
                <w:tcPr>
                  <w:tcW w:w="1555" w:type="pct"/>
                  <w:shd w:val="clear" w:color="auto" w:fill="auto"/>
                  <w:noWrap w:val="0"/>
                  <w:vAlign w:val="center"/>
                </w:tcPr>
                <w:p w14:paraId="60CED3CE">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职工生活垃圾</w:t>
                  </w:r>
                </w:p>
              </w:tc>
              <w:tc>
                <w:tcPr>
                  <w:tcW w:w="1771" w:type="pct"/>
                  <w:shd w:val="clear" w:color="auto" w:fill="auto"/>
                  <w:noWrap w:val="0"/>
                  <w:vAlign w:val="center"/>
                </w:tcPr>
                <w:p w14:paraId="6FE003CF">
                  <w:pPr>
                    <w:pStyle w:val="49"/>
                    <w:keepNext w:val="0"/>
                    <w:keepLines w:val="0"/>
                    <w:pageBreakBefore w:val="0"/>
                    <w:kinsoku/>
                    <w:wordWrap/>
                    <w:overflowPunct/>
                    <w:topLinePunct w:val="0"/>
                    <w:autoSpaceDE/>
                    <w:autoSpaceDN/>
                    <w:bidi w:val="0"/>
                    <w:spacing w:line="264" w:lineRule="auto"/>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b w:val="0"/>
                      <w:bCs/>
                      <w:color w:val="auto"/>
                      <w:sz w:val="21"/>
                      <w:szCs w:val="21"/>
                      <w:highlight w:val="none"/>
                      <w:vertAlign w:val="baseline"/>
                      <w:lang w:val="en-US" w:eastAsia="zh-CN"/>
                    </w:rPr>
                    <w:t>垃圾桶收集后由环卫部门统一清运</w:t>
                  </w:r>
                </w:p>
              </w:tc>
            </w:tr>
            <w:tr w14:paraId="49B3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6" w:type="pct"/>
                  <w:vMerge w:val="continue"/>
                  <w:noWrap w:val="0"/>
                  <w:vAlign w:val="center"/>
                </w:tcPr>
                <w:p w14:paraId="6205A376">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465" w:type="pct"/>
                  <w:vMerge w:val="restart"/>
                  <w:noWrap w:val="0"/>
                  <w:vAlign w:val="center"/>
                </w:tcPr>
                <w:p w14:paraId="731D0094">
                  <w:pPr>
                    <w:pStyle w:val="49"/>
                    <w:keepNext w:val="0"/>
                    <w:keepLines w:val="0"/>
                    <w:pageBreakBefore w:val="0"/>
                    <w:kinsoku/>
                    <w:wordWrap/>
                    <w:overflowPunct/>
                    <w:topLinePunct w:val="0"/>
                    <w:autoSpaceDE/>
                    <w:autoSpaceDN/>
                    <w:bidi w:val="0"/>
                    <w:spacing w:line="264" w:lineRule="auto"/>
                    <w:textAlignment w:val="auto"/>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危险废物</w:t>
                  </w:r>
                </w:p>
              </w:tc>
              <w:tc>
                <w:tcPr>
                  <w:tcW w:w="650" w:type="pct"/>
                  <w:shd w:val="clear" w:color="auto" w:fill="auto"/>
                  <w:noWrap w:val="0"/>
                  <w:vAlign w:val="center"/>
                </w:tcPr>
                <w:p w14:paraId="2B524E05">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b w:val="0"/>
                      <w:bCs/>
                      <w:color w:val="auto"/>
                      <w:sz w:val="21"/>
                      <w:szCs w:val="21"/>
                      <w:highlight w:val="none"/>
                      <w:vertAlign w:val="baseline"/>
                      <w:lang w:val="en-US" w:eastAsia="zh-CN"/>
                    </w:rPr>
                    <w:t>设备维护</w:t>
                  </w:r>
                </w:p>
              </w:tc>
              <w:tc>
                <w:tcPr>
                  <w:tcW w:w="1555" w:type="pct"/>
                  <w:noWrap w:val="0"/>
                  <w:vAlign w:val="center"/>
                </w:tcPr>
                <w:p w14:paraId="087D6E1F">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b w:val="0"/>
                      <w:bCs/>
                      <w:color w:val="auto"/>
                      <w:sz w:val="21"/>
                      <w:szCs w:val="21"/>
                      <w:highlight w:val="none"/>
                      <w:vertAlign w:val="baseline"/>
                      <w:lang w:val="en-US" w:eastAsia="zh-CN"/>
                    </w:rPr>
                    <w:t>废润滑油、</w:t>
                  </w:r>
                  <w:r>
                    <w:rPr>
                      <w:rFonts w:hint="eastAsia" w:cs="Times New Roman" w:eastAsiaTheme="minorEastAsia"/>
                      <w:b w:val="0"/>
                      <w:bCs/>
                      <w:color w:val="auto"/>
                      <w:sz w:val="21"/>
                      <w:szCs w:val="21"/>
                      <w:highlight w:val="none"/>
                      <w:vertAlign w:val="baseline"/>
                      <w:lang w:val="en-US" w:eastAsia="zh-CN"/>
                    </w:rPr>
                    <w:t>废润滑油桶、</w:t>
                  </w:r>
                  <w:r>
                    <w:rPr>
                      <w:rFonts w:hint="default" w:ascii="Times New Roman" w:hAnsi="Times New Roman" w:cs="Times New Roman" w:eastAsiaTheme="minorEastAsia"/>
                      <w:b w:val="0"/>
                      <w:bCs/>
                      <w:color w:val="auto"/>
                      <w:sz w:val="21"/>
                      <w:szCs w:val="21"/>
                      <w:highlight w:val="none"/>
                      <w:vertAlign w:val="baseline"/>
                      <w:lang w:val="en-US" w:eastAsia="zh-CN"/>
                    </w:rPr>
                    <w:t>含油抹布及手套</w:t>
                  </w:r>
                </w:p>
              </w:tc>
              <w:tc>
                <w:tcPr>
                  <w:tcW w:w="1771" w:type="pct"/>
                  <w:vMerge w:val="restart"/>
                  <w:noWrap w:val="0"/>
                  <w:vAlign w:val="center"/>
                </w:tcPr>
                <w:p w14:paraId="6C577050">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bCs/>
                      <w:color w:val="auto"/>
                      <w:sz w:val="21"/>
                      <w:szCs w:val="21"/>
                      <w:highlight w:val="none"/>
                      <w:lang w:val="en-US" w:eastAsia="zh-CN"/>
                    </w:rPr>
                    <w:t>收集后暂存</w:t>
                  </w:r>
                  <w:r>
                    <w:rPr>
                      <w:rFonts w:hint="eastAsia" w:cs="Times New Roman" w:eastAsiaTheme="minorEastAsia"/>
                      <w:bCs/>
                      <w:color w:val="auto"/>
                      <w:sz w:val="21"/>
                      <w:szCs w:val="21"/>
                      <w:highlight w:val="none"/>
                      <w:lang w:val="en-US" w:eastAsia="zh-CN"/>
                    </w:rPr>
                    <w:t>于</w:t>
                  </w:r>
                  <w:r>
                    <w:rPr>
                      <w:rFonts w:hint="default" w:ascii="Times New Roman" w:hAnsi="Times New Roman" w:cs="Times New Roman" w:eastAsiaTheme="minorEastAsia"/>
                      <w:bCs/>
                      <w:color w:val="auto"/>
                      <w:sz w:val="21"/>
                      <w:szCs w:val="21"/>
                      <w:highlight w:val="none"/>
                      <w:lang w:val="en-US" w:eastAsia="zh-CN"/>
                    </w:rPr>
                    <w:t>危废贮存库，定期委托有资质单位处置</w:t>
                  </w:r>
                </w:p>
              </w:tc>
            </w:tr>
            <w:tr w14:paraId="474B3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56" w:type="pct"/>
                  <w:vMerge w:val="continue"/>
                  <w:noWrap w:val="0"/>
                  <w:vAlign w:val="center"/>
                </w:tcPr>
                <w:p w14:paraId="031E5CD0">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c>
                <w:tcPr>
                  <w:tcW w:w="465" w:type="pct"/>
                  <w:vMerge w:val="continue"/>
                  <w:noWrap w:val="0"/>
                  <w:vAlign w:val="center"/>
                </w:tcPr>
                <w:p w14:paraId="0F66F164">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lang w:eastAsia="zh-CN"/>
                    </w:rPr>
                  </w:pPr>
                </w:p>
              </w:tc>
              <w:tc>
                <w:tcPr>
                  <w:tcW w:w="650" w:type="pct"/>
                  <w:shd w:val="clear" w:color="auto" w:fill="auto"/>
                  <w:noWrap w:val="0"/>
                  <w:vAlign w:val="center"/>
                </w:tcPr>
                <w:p w14:paraId="04656632">
                  <w:pPr>
                    <w:pStyle w:val="49"/>
                    <w:keepNext w:val="0"/>
                    <w:keepLines w:val="0"/>
                    <w:pageBreakBefore w:val="0"/>
                    <w:kinsoku/>
                    <w:wordWrap/>
                    <w:overflowPunct/>
                    <w:topLinePunct w:val="0"/>
                    <w:autoSpaceDE/>
                    <w:autoSpaceDN/>
                    <w:bidi w:val="0"/>
                    <w:spacing w:line="264" w:lineRule="auto"/>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废气处理</w:t>
                  </w:r>
                </w:p>
              </w:tc>
              <w:tc>
                <w:tcPr>
                  <w:tcW w:w="1555" w:type="pct"/>
                  <w:noWrap w:val="0"/>
                  <w:vAlign w:val="center"/>
                </w:tcPr>
                <w:p w14:paraId="57B0DC76">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废活性炭</w:t>
                  </w:r>
                </w:p>
              </w:tc>
              <w:tc>
                <w:tcPr>
                  <w:tcW w:w="1771" w:type="pct"/>
                  <w:vMerge w:val="continue"/>
                  <w:noWrap w:val="0"/>
                  <w:vAlign w:val="center"/>
                </w:tcPr>
                <w:p w14:paraId="0532BF19">
                  <w:pPr>
                    <w:pStyle w:val="49"/>
                    <w:keepNext w:val="0"/>
                    <w:keepLines w:val="0"/>
                    <w:pageBreakBefore w:val="0"/>
                    <w:kinsoku/>
                    <w:wordWrap/>
                    <w:overflowPunct/>
                    <w:topLinePunct w:val="0"/>
                    <w:autoSpaceDE/>
                    <w:autoSpaceDN/>
                    <w:bidi w:val="0"/>
                    <w:spacing w:line="264" w:lineRule="auto"/>
                    <w:textAlignment w:val="auto"/>
                    <w:rPr>
                      <w:rFonts w:hint="default" w:ascii="Times New Roman" w:hAnsi="Times New Roman" w:cs="Times New Roman" w:eastAsiaTheme="minorEastAsia"/>
                      <w:sz w:val="21"/>
                      <w:szCs w:val="21"/>
                      <w:highlight w:val="none"/>
                    </w:rPr>
                  </w:pPr>
                </w:p>
              </w:tc>
            </w:tr>
          </w:tbl>
          <w:p w14:paraId="7DEBB7DC">
            <w:pPr>
              <w:adjustRightInd w:val="0"/>
              <w:snapToGrid w:val="0"/>
              <w:spacing w:line="360" w:lineRule="auto"/>
              <w:rPr>
                <w:rFonts w:hint="default" w:ascii="Times New Roman" w:hAnsi="Times New Roman" w:eastAsia="宋体" w:cs="Times New Roman"/>
                <w:b/>
                <w:color w:val="auto"/>
                <w:kern w:val="2"/>
                <w:sz w:val="21"/>
                <w:szCs w:val="21"/>
                <w:highlight w:val="none"/>
                <w:lang w:val="en-US" w:eastAsia="zh-CN" w:bidi="ar-SA"/>
              </w:rPr>
            </w:pPr>
          </w:p>
        </w:tc>
      </w:tr>
      <w:tr w14:paraId="0E3FEE82">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8132" w:hRule="atLeast"/>
          <w:jc w:val="center"/>
        </w:trPr>
        <w:tc>
          <w:tcPr>
            <w:tcW w:w="423" w:type="dxa"/>
            <w:noWrap w:val="0"/>
            <w:vAlign w:val="center"/>
          </w:tcPr>
          <w:p w14:paraId="12696D63">
            <w:pPr>
              <w:pStyle w:val="22"/>
              <w:adjustRightInd w:val="0"/>
              <w:snapToGrid w:val="0"/>
              <w:spacing w:before="0" w:beforeAutospacing="0" w:after="0" w:afterAutospacing="0"/>
              <w:jc w:val="center"/>
              <w:rPr>
                <w:rFonts w:hint="eastAsia" w:cs="宋体"/>
                <w:bCs/>
                <w:color w:val="auto"/>
                <w:kern w:val="2"/>
                <w:sz w:val="21"/>
                <w:szCs w:val="21"/>
                <w:highlight w:val="none"/>
              </w:rPr>
            </w:pPr>
            <w:r>
              <w:rPr>
                <w:rFonts w:hint="eastAsia" w:cs="宋体"/>
                <w:bCs/>
                <w:color w:val="auto"/>
                <w:kern w:val="2"/>
                <w:sz w:val="21"/>
                <w:szCs w:val="21"/>
                <w:highlight w:val="none"/>
              </w:rPr>
              <w:t>与项目有关的原有环境污染问</w:t>
            </w:r>
          </w:p>
          <w:p w14:paraId="25D2520F">
            <w:pPr>
              <w:rPr>
                <w:rFonts w:hint="eastAsia" w:eastAsia="宋体"/>
                <w:lang w:eastAsia="zh-CN"/>
              </w:rPr>
            </w:pPr>
            <w:r>
              <w:rPr>
                <w:rFonts w:hint="eastAsia" w:cs="宋体"/>
                <w:bCs/>
                <w:color w:val="auto"/>
                <w:kern w:val="2"/>
                <w:sz w:val="21"/>
                <w:szCs w:val="21"/>
                <w:highlight w:val="none"/>
                <w:lang w:eastAsia="zh-CN"/>
              </w:rPr>
              <w:t>题</w:t>
            </w:r>
          </w:p>
        </w:tc>
        <w:tc>
          <w:tcPr>
            <w:tcW w:w="8643" w:type="dxa"/>
            <w:shd w:val="clear" w:color="auto" w:fill="auto"/>
            <w:noWrap w:val="0"/>
            <w:vAlign w:val="center"/>
          </w:tcPr>
          <w:p w14:paraId="6B90E56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kern w:val="0"/>
                <w:sz w:val="24"/>
                <w:highlight w:val="none"/>
                <w:lang w:val="en-US" w:eastAsia="zh-CN"/>
              </w:rPr>
            </w:pPr>
            <w:r>
              <w:rPr>
                <w:rFonts w:hint="eastAsia"/>
                <w:kern w:val="0"/>
                <w:sz w:val="24"/>
                <w:highlight w:val="none"/>
              </w:rPr>
              <w:t>本项目租赁厂房为已建厂房，租赁前为空置厂房，无与项目有关的原有环境污染问题</w:t>
            </w:r>
            <w:r>
              <w:rPr>
                <w:rFonts w:hint="eastAsia"/>
                <w:kern w:val="0"/>
                <w:sz w:val="24"/>
                <w:highlight w:val="none"/>
                <w:lang w:eastAsia="zh-CN"/>
              </w:rPr>
              <w:t>。</w:t>
            </w:r>
          </w:p>
        </w:tc>
      </w:tr>
    </w:tbl>
    <w:p w14:paraId="6BEF6D13">
      <w:pPr>
        <w:pStyle w:val="22"/>
        <w:jc w:val="center"/>
        <w:rPr>
          <w:rFonts w:ascii="黑体" w:hAnsi="黑体" w:eastAsia="黑体"/>
          <w:snapToGrid w:val="0"/>
          <w:color w:val="0000FF"/>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9DC393A">
      <w:pPr>
        <w:pStyle w:val="22"/>
        <w:numPr>
          <w:ilvl w:val="0"/>
          <w:numId w:val="6"/>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区域环境质量现状、环境保护目标及评价标准</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8521"/>
      </w:tblGrid>
      <w:tr w14:paraId="736ED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noWrap w:val="0"/>
            <w:vAlign w:val="center"/>
          </w:tcPr>
          <w:p w14:paraId="5D9A13FF">
            <w:pPr>
              <w:adjustRightInd w:val="0"/>
              <w:snapToGrid w:val="0"/>
              <w:jc w:val="center"/>
              <w:rPr>
                <w:color w:val="auto"/>
                <w:kern w:val="0"/>
                <w:sz w:val="24"/>
              </w:rPr>
            </w:pPr>
            <w:r>
              <w:rPr>
                <w:color w:val="auto"/>
                <w:kern w:val="0"/>
                <w:sz w:val="24"/>
              </w:rPr>
              <w:t>区域</w:t>
            </w:r>
          </w:p>
          <w:p w14:paraId="2A48208E">
            <w:pPr>
              <w:adjustRightInd w:val="0"/>
              <w:snapToGrid w:val="0"/>
              <w:jc w:val="center"/>
              <w:rPr>
                <w:color w:val="auto"/>
                <w:kern w:val="0"/>
                <w:sz w:val="24"/>
              </w:rPr>
            </w:pPr>
            <w:r>
              <w:rPr>
                <w:color w:val="auto"/>
                <w:kern w:val="0"/>
                <w:sz w:val="24"/>
              </w:rPr>
              <w:t>环境</w:t>
            </w:r>
          </w:p>
          <w:p w14:paraId="6F637C3D">
            <w:pPr>
              <w:adjustRightInd w:val="0"/>
              <w:snapToGrid w:val="0"/>
              <w:jc w:val="center"/>
              <w:rPr>
                <w:color w:val="auto"/>
                <w:kern w:val="0"/>
                <w:sz w:val="24"/>
              </w:rPr>
            </w:pPr>
            <w:r>
              <w:rPr>
                <w:color w:val="auto"/>
                <w:kern w:val="0"/>
                <w:sz w:val="24"/>
              </w:rPr>
              <w:t>质量</w:t>
            </w:r>
          </w:p>
          <w:p w14:paraId="608CD205">
            <w:pPr>
              <w:adjustRightInd w:val="0"/>
              <w:snapToGrid w:val="0"/>
              <w:jc w:val="center"/>
              <w:rPr>
                <w:color w:val="auto"/>
                <w:kern w:val="0"/>
                <w:szCs w:val="21"/>
              </w:rPr>
            </w:pPr>
            <w:r>
              <w:rPr>
                <w:color w:val="auto"/>
                <w:kern w:val="0"/>
                <w:sz w:val="24"/>
              </w:rPr>
              <w:t>现状</w:t>
            </w:r>
          </w:p>
        </w:tc>
        <w:tc>
          <w:tcPr>
            <w:tcW w:w="8521" w:type="dxa"/>
            <w:noWrap w:val="0"/>
            <w:vAlign w:val="center"/>
          </w:tcPr>
          <w:p w14:paraId="04ACC656">
            <w:pPr>
              <w:keepNext w:val="0"/>
              <w:keepLines w:val="0"/>
              <w:pageBreakBefore w:val="0"/>
              <w:widowControl w:val="0"/>
              <w:kinsoku/>
              <w:wordWrap/>
              <w:overflowPunct/>
              <w:topLinePunct w:val="0"/>
              <w:autoSpaceDE/>
              <w:autoSpaceDN/>
              <w:bidi w:val="0"/>
              <w:adjustRightInd w:val="0"/>
              <w:snapToGrid w:val="0"/>
              <w:spacing w:before="120" w:line="360" w:lineRule="auto"/>
              <w:jc w:val="left"/>
              <w:textAlignment w:val="auto"/>
              <w:rPr>
                <w:rFonts w:hint="eastAsia" w:eastAsia="宋体"/>
                <w:b/>
                <w:bCs/>
                <w:color w:val="auto"/>
                <w:kern w:val="0"/>
                <w:sz w:val="24"/>
                <w:lang w:eastAsia="zh-CN"/>
              </w:rPr>
            </w:pPr>
            <w:r>
              <w:rPr>
                <w:b/>
                <w:bCs/>
                <w:color w:val="auto"/>
                <w:kern w:val="0"/>
                <w:sz w:val="24"/>
              </w:rPr>
              <w:t>一</w:t>
            </w:r>
            <w:r>
              <w:rPr>
                <w:rFonts w:hint="eastAsia"/>
                <w:b/>
                <w:bCs/>
                <w:color w:val="auto"/>
                <w:kern w:val="0"/>
                <w:sz w:val="24"/>
                <w:lang w:eastAsia="zh-CN"/>
              </w:rPr>
              <w:t>、</w:t>
            </w:r>
            <w:r>
              <w:rPr>
                <w:b/>
                <w:bCs/>
                <w:color w:val="auto"/>
                <w:kern w:val="0"/>
                <w:sz w:val="24"/>
              </w:rPr>
              <w:t>大气环境</w:t>
            </w:r>
            <w:r>
              <w:rPr>
                <w:rFonts w:hint="eastAsia"/>
                <w:b/>
                <w:bCs/>
                <w:color w:val="auto"/>
                <w:kern w:val="0"/>
                <w:sz w:val="24"/>
                <w:lang w:eastAsia="zh-CN"/>
              </w:rPr>
              <w:t>质量现状</w:t>
            </w:r>
          </w:p>
          <w:p w14:paraId="30F91A7F">
            <w:pPr>
              <w:pStyle w:val="53"/>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color w:val="auto"/>
                <w:sz w:val="24"/>
                <w:szCs w:val="24"/>
                <w:lang w:eastAsia="zh-CN"/>
              </w:rPr>
            </w:pPr>
            <w:r>
              <w:rPr>
                <w:b/>
                <w:bCs/>
                <w:color w:val="auto"/>
                <w:sz w:val="24"/>
                <w:szCs w:val="24"/>
              </w:rPr>
              <w:t>1、</w:t>
            </w:r>
            <w:r>
              <w:rPr>
                <w:rFonts w:hint="eastAsia"/>
                <w:b/>
                <w:bCs/>
                <w:color w:val="auto"/>
                <w:sz w:val="24"/>
                <w:szCs w:val="24"/>
                <w:lang w:eastAsia="zh-CN"/>
              </w:rPr>
              <w:t>基本污染物</w:t>
            </w:r>
            <w:bookmarkStart w:id="6" w:name="_Toc22954"/>
          </w:p>
          <w:p w14:paraId="4C5FF651">
            <w:pPr>
              <w:pStyle w:val="53"/>
              <w:spacing w:line="360" w:lineRule="auto"/>
              <w:ind w:firstLine="480" w:firstLineChars="200"/>
              <w:rPr>
                <w:rFonts w:hint="default" w:ascii="Times New Roman" w:hAnsi="Times New Roman" w:cs="Times New Roman" w:eastAsiaTheme="minorEastAsia"/>
                <w:color w:val="000000"/>
                <w:kern w:val="0"/>
                <w:sz w:val="24"/>
                <w:szCs w:val="20"/>
              </w:rPr>
            </w:pPr>
            <w:r>
              <w:rPr>
                <w:rFonts w:hint="default" w:ascii="Times New Roman" w:hAnsi="Times New Roman" w:cs="Times New Roman" w:eastAsiaTheme="minorEastAsia"/>
                <w:color w:val="000000"/>
                <w:sz w:val="24"/>
                <w:szCs w:val="24"/>
                <w:lang w:val="en-US" w:eastAsia="zh-CN"/>
              </w:rPr>
              <w:t>本项目位于</w:t>
            </w:r>
            <w:r>
              <w:rPr>
                <w:rFonts w:hint="default" w:ascii="Times New Roman" w:hAnsi="Times New Roman" w:cs="Times New Roman" w:eastAsiaTheme="minorEastAsia"/>
                <w:b w:val="0"/>
                <w:bCs w:val="0"/>
                <w:color w:val="000000"/>
                <w:sz w:val="24"/>
                <w:szCs w:val="24"/>
                <w:lang w:val="en-US" w:eastAsia="zh-CN" w:bidi="ar-SA"/>
              </w:rPr>
              <w:t>陕西省西咸新区泾河新城。</w:t>
            </w:r>
            <w:r>
              <w:rPr>
                <w:rFonts w:hint="default" w:ascii="Times New Roman" w:hAnsi="Times New Roman" w:cs="Times New Roman" w:eastAsiaTheme="minorEastAsia"/>
                <w:color w:val="000000"/>
                <w:kern w:val="0"/>
                <w:sz w:val="24"/>
                <w:szCs w:val="20"/>
              </w:rPr>
              <w:t>根据大气功能区划，项目所在地为二类功能区，环境空气质量标准执行《环境空气质量标准》（GB3095-2012）二级标准要求。</w:t>
            </w:r>
          </w:p>
          <w:p w14:paraId="694B3919">
            <w:pPr>
              <w:pStyle w:val="53"/>
              <w:spacing w:line="360" w:lineRule="auto"/>
              <w:ind w:firstLine="480" w:firstLineChars="200"/>
              <w:rPr>
                <w:rFonts w:hint="default" w:ascii="Times New Roman" w:hAnsi="Times New Roman" w:cs="Times New Roman" w:eastAsiaTheme="minorEastAsia"/>
                <w:color w:val="000000"/>
                <w:kern w:val="0"/>
                <w:sz w:val="24"/>
                <w:szCs w:val="20"/>
              </w:rPr>
            </w:pPr>
            <w:r>
              <w:rPr>
                <w:rFonts w:hint="default" w:ascii="Times New Roman" w:hAnsi="Times New Roman" w:cs="Times New Roman" w:eastAsiaTheme="minorEastAsia"/>
                <w:color w:val="000000"/>
                <w:kern w:val="0"/>
                <w:sz w:val="24"/>
                <w:szCs w:val="20"/>
              </w:rPr>
              <w:t>本项目空气环境质量现状引用《202</w:t>
            </w:r>
            <w:r>
              <w:rPr>
                <w:rFonts w:hint="default" w:ascii="Times New Roman" w:hAnsi="Times New Roman" w:cs="Times New Roman" w:eastAsiaTheme="minorEastAsia"/>
                <w:color w:val="000000"/>
                <w:kern w:val="0"/>
                <w:sz w:val="24"/>
                <w:szCs w:val="20"/>
                <w:lang w:val="en-US" w:eastAsia="zh-CN"/>
              </w:rPr>
              <w:t>4</w:t>
            </w:r>
            <w:r>
              <w:rPr>
                <w:rFonts w:hint="default" w:ascii="Times New Roman" w:hAnsi="Times New Roman" w:cs="Times New Roman" w:eastAsiaTheme="minorEastAsia"/>
                <w:color w:val="000000"/>
                <w:kern w:val="0"/>
                <w:sz w:val="24"/>
                <w:szCs w:val="20"/>
              </w:rPr>
              <w:t>年12月及1~12月全省环境空气质量状况环保快报》（陕西省生态环境厅办公室，202</w:t>
            </w:r>
            <w:r>
              <w:rPr>
                <w:rFonts w:hint="default" w:ascii="Times New Roman" w:hAnsi="Times New Roman" w:cs="Times New Roman" w:eastAsiaTheme="minorEastAsia"/>
                <w:color w:val="000000"/>
                <w:kern w:val="0"/>
                <w:sz w:val="24"/>
                <w:szCs w:val="20"/>
                <w:lang w:val="en-US" w:eastAsia="zh-CN"/>
              </w:rPr>
              <w:t>5</w:t>
            </w:r>
            <w:r>
              <w:rPr>
                <w:rFonts w:hint="default" w:ascii="Times New Roman" w:hAnsi="Times New Roman" w:cs="Times New Roman" w:eastAsiaTheme="minorEastAsia"/>
                <w:color w:val="000000"/>
                <w:kern w:val="0"/>
                <w:sz w:val="24"/>
                <w:szCs w:val="20"/>
              </w:rPr>
              <w:t>年1月1</w:t>
            </w:r>
            <w:r>
              <w:rPr>
                <w:rFonts w:hint="default" w:ascii="Times New Roman" w:hAnsi="Times New Roman" w:cs="Times New Roman" w:eastAsiaTheme="minorEastAsia"/>
                <w:color w:val="000000"/>
                <w:kern w:val="0"/>
                <w:sz w:val="24"/>
                <w:szCs w:val="20"/>
                <w:lang w:val="en-US" w:eastAsia="zh-CN"/>
              </w:rPr>
              <w:t>9</w:t>
            </w:r>
            <w:r>
              <w:rPr>
                <w:rFonts w:hint="default" w:ascii="Times New Roman" w:hAnsi="Times New Roman" w:cs="Times New Roman" w:eastAsiaTheme="minorEastAsia"/>
                <w:color w:val="000000"/>
                <w:kern w:val="0"/>
                <w:sz w:val="24"/>
                <w:szCs w:val="20"/>
              </w:rPr>
              <w:t>日发布）中空气常规六项污染物监测结果，对区域环境空气质量现状进行分析，统计结果见下表。</w:t>
            </w:r>
          </w:p>
          <w:p w14:paraId="77A17696">
            <w:pPr>
              <w:pStyle w:val="53"/>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cs="Times New Roman" w:eastAsiaTheme="majorEastAsia"/>
                <w:b/>
                <w:bCs/>
                <w:caps w:val="0"/>
                <w:color w:val="auto"/>
                <w:kern w:val="0"/>
                <w:sz w:val="21"/>
                <w:szCs w:val="21"/>
                <w:lang w:val="en-US" w:eastAsia="zh-CN" w:bidi="zh-CN"/>
              </w:rPr>
            </w:pPr>
            <w:r>
              <w:rPr>
                <w:rFonts w:hint="default" w:ascii="Times New Roman" w:hAnsi="Times New Roman" w:cs="Times New Roman" w:eastAsiaTheme="majorEastAsia"/>
                <w:b/>
                <w:bCs/>
                <w:caps w:val="0"/>
                <w:color w:val="auto"/>
                <w:kern w:val="0"/>
                <w:sz w:val="21"/>
                <w:szCs w:val="21"/>
                <w:lang w:val="en-US" w:eastAsia="zh-CN" w:bidi="zh-CN"/>
              </w:rPr>
              <w:t>表3-1 本项目所在地达标区判定情况一览表（单位：</w:t>
            </w:r>
            <w:r>
              <w:rPr>
                <w:rFonts w:hint="default" w:ascii="Times New Roman" w:hAnsi="Times New Roman" w:cs="Times New Roman" w:eastAsiaTheme="majorEastAsia"/>
                <w:b/>
                <w:bCs/>
                <w:caps w:val="0"/>
                <w:color w:val="auto"/>
                <w:kern w:val="0"/>
                <w:sz w:val="21"/>
                <w:szCs w:val="21"/>
                <w:lang w:val="zh-CN" w:eastAsia="zh-CN" w:bidi="zh-CN"/>
              </w:rPr>
              <w:t>μg/m</w:t>
            </w:r>
            <w:r>
              <w:rPr>
                <w:rFonts w:hint="default" w:ascii="Times New Roman" w:hAnsi="Times New Roman" w:cs="Times New Roman" w:eastAsiaTheme="majorEastAsia"/>
                <w:b/>
                <w:bCs/>
                <w:caps w:val="0"/>
                <w:color w:val="auto"/>
                <w:kern w:val="0"/>
                <w:sz w:val="21"/>
                <w:szCs w:val="21"/>
                <w:vertAlign w:val="superscript"/>
                <w:lang w:val="zh-CN" w:eastAsia="zh-CN" w:bidi="zh-CN"/>
              </w:rPr>
              <w:t>3</w:t>
            </w:r>
            <w:r>
              <w:rPr>
                <w:rFonts w:hint="default" w:ascii="Times New Roman" w:hAnsi="Times New Roman" w:cs="Times New Roman" w:eastAsiaTheme="majorEastAsia"/>
                <w:b/>
                <w:bCs/>
                <w:caps w:val="0"/>
                <w:color w:val="auto"/>
                <w:kern w:val="0"/>
                <w:sz w:val="21"/>
                <w:szCs w:val="21"/>
                <w:lang w:val="en-US" w:eastAsia="zh-CN" w:bidi="zh-CN"/>
              </w:rPr>
              <w:t>）</w:t>
            </w:r>
            <w:bookmarkEnd w:id="6"/>
          </w:p>
          <w:tbl>
            <w:tblPr>
              <w:tblStyle w:val="25"/>
              <w:tblW w:w="8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810"/>
              <w:gridCol w:w="2544"/>
              <w:gridCol w:w="838"/>
              <w:gridCol w:w="852"/>
              <w:gridCol w:w="1051"/>
              <w:gridCol w:w="1165"/>
            </w:tblGrid>
            <w:tr w14:paraId="0F37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69" w:type="pct"/>
                  <w:noWrap w:val="0"/>
                  <w:vAlign w:val="center"/>
                </w:tcPr>
                <w:p w14:paraId="0CFEA6F7">
                  <w:pPr>
                    <w:widowControl/>
                    <w:jc w:val="center"/>
                    <w:rPr>
                      <w:rFonts w:hint="default" w:ascii="Times New Roman" w:hAnsi="Times New Roman" w:cs="Times New Roman"/>
                      <w:b/>
                      <w:bCs/>
                      <w:color w:val="000000"/>
                      <w:kern w:val="0"/>
                      <w:szCs w:val="21"/>
                      <w:lang w:val="en-US" w:eastAsia="zh-CN"/>
                    </w:rPr>
                  </w:pPr>
                  <w:r>
                    <w:rPr>
                      <w:rFonts w:hint="default" w:ascii="Times New Roman" w:hAnsi="Times New Roman" w:cs="Times New Roman"/>
                      <w:b/>
                      <w:bCs/>
                      <w:color w:val="000000"/>
                      <w:kern w:val="0"/>
                      <w:szCs w:val="21"/>
                      <w:lang w:val="en-US" w:eastAsia="zh-CN"/>
                    </w:rPr>
                    <w:t>县区</w:t>
                  </w:r>
                </w:p>
                <w:p w14:paraId="65E90E3B">
                  <w:pPr>
                    <w:widowControl/>
                    <w:jc w:val="center"/>
                    <w:rPr>
                      <w:rFonts w:hint="default" w:ascii="Times New Roman" w:hAnsi="Times New Roman" w:eastAsia="宋体" w:cs="Times New Roman"/>
                      <w:b/>
                      <w:bCs/>
                      <w:color w:val="000000"/>
                      <w:kern w:val="0"/>
                      <w:szCs w:val="21"/>
                      <w:lang w:val="en-US" w:eastAsia="zh-CN"/>
                    </w:rPr>
                  </w:pPr>
                  <w:r>
                    <w:rPr>
                      <w:rFonts w:hint="default" w:ascii="Times New Roman" w:hAnsi="Times New Roman" w:cs="Times New Roman"/>
                      <w:b/>
                      <w:bCs/>
                      <w:color w:val="000000"/>
                      <w:kern w:val="0"/>
                      <w:szCs w:val="21"/>
                      <w:lang w:val="en-US" w:eastAsia="zh-CN"/>
                    </w:rPr>
                    <w:t>名称</w:t>
                  </w:r>
                </w:p>
              </w:tc>
              <w:tc>
                <w:tcPr>
                  <w:tcW w:w="494" w:type="pct"/>
                  <w:noWrap w:val="0"/>
                  <w:vAlign w:val="center"/>
                </w:tcPr>
                <w:p w14:paraId="3BA912E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污染物</w:t>
                  </w:r>
                </w:p>
              </w:tc>
              <w:tc>
                <w:tcPr>
                  <w:tcW w:w="1552" w:type="pct"/>
                  <w:noWrap w:val="0"/>
                  <w:vAlign w:val="center"/>
                </w:tcPr>
                <w:p w14:paraId="619D82D1">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年评价指标</w:t>
                  </w:r>
                </w:p>
              </w:tc>
              <w:tc>
                <w:tcPr>
                  <w:tcW w:w="511" w:type="pct"/>
                  <w:noWrap w:val="0"/>
                  <w:vAlign w:val="center"/>
                </w:tcPr>
                <w:p w14:paraId="4751251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评价</w:t>
                  </w:r>
                </w:p>
                <w:p w14:paraId="453D9591">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标准</w:t>
                  </w:r>
                </w:p>
              </w:tc>
              <w:tc>
                <w:tcPr>
                  <w:tcW w:w="519" w:type="pct"/>
                  <w:noWrap w:val="0"/>
                  <w:vAlign w:val="center"/>
                </w:tcPr>
                <w:p w14:paraId="77C40D25">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现状</w:t>
                  </w:r>
                </w:p>
                <w:p w14:paraId="56BFE4A7">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浓度</w:t>
                  </w:r>
                </w:p>
              </w:tc>
              <w:tc>
                <w:tcPr>
                  <w:tcW w:w="641" w:type="pct"/>
                  <w:noWrap w:val="0"/>
                  <w:vAlign w:val="center"/>
                </w:tcPr>
                <w:p w14:paraId="6F79D4BA">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最大浓度</w:t>
                  </w:r>
                </w:p>
                <w:p w14:paraId="1235D8DF">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占标率</w:t>
                  </w:r>
                </w:p>
              </w:tc>
              <w:tc>
                <w:tcPr>
                  <w:tcW w:w="710" w:type="pct"/>
                  <w:noWrap w:val="0"/>
                  <w:vAlign w:val="center"/>
                </w:tcPr>
                <w:p w14:paraId="4CA7A664">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达标</w:t>
                  </w:r>
                </w:p>
                <w:p w14:paraId="04E4A816">
                  <w:pPr>
                    <w:widowControl/>
                    <w:jc w:val="center"/>
                    <w:rPr>
                      <w:rFonts w:hint="default" w:ascii="Times New Roman" w:hAnsi="Times New Roman" w:cs="Times New Roman"/>
                      <w:b/>
                      <w:bCs/>
                      <w:color w:val="000000"/>
                      <w:kern w:val="0"/>
                      <w:szCs w:val="21"/>
                    </w:rPr>
                  </w:pPr>
                  <w:r>
                    <w:rPr>
                      <w:rFonts w:hint="default" w:ascii="Times New Roman" w:hAnsi="Times New Roman" w:cs="Times New Roman"/>
                      <w:b/>
                      <w:bCs/>
                      <w:color w:val="000000"/>
                      <w:kern w:val="0"/>
                      <w:szCs w:val="21"/>
                    </w:rPr>
                    <w:t>情况</w:t>
                  </w:r>
                </w:p>
              </w:tc>
            </w:tr>
            <w:tr w14:paraId="66F65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9" w:type="pct"/>
                  <w:vMerge w:val="restart"/>
                  <w:noWrap w:val="0"/>
                  <w:vAlign w:val="center"/>
                </w:tcPr>
                <w:p w14:paraId="108210D4">
                  <w:pPr>
                    <w:widowControl/>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西咸</w:t>
                  </w:r>
                </w:p>
                <w:p w14:paraId="1BBBA103">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新区</w:t>
                  </w:r>
                </w:p>
              </w:tc>
              <w:tc>
                <w:tcPr>
                  <w:tcW w:w="494" w:type="pct"/>
                  <w:noWrap w:val="0"/>
                  <w:vAlign w:val="center"/>
                </w:tcPr>
                <w:p w14:paraId="3422008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PM</w:t>
                  </w:r>
                  <w:r>
                    <w:rPr>
                      <w:rFonts w:hint="default" w:ascii="Times New Roman" w:hAnsi="Times New Roman" w:cs="Times New Roman"/>
                      <w:color w:val="000000"/>
                      <w:kern w:val="0"/>
                      <w:szCs w:val="21"/>
                      <w:vertAlign w:val="subscript"/>
                    </w:rPr>
                    <w:t>2.5</w:t>
                  </w:r>
                </w:p>
              </w:tc>
              <w:tc>
                <w:tcPr>
                  <w:tcW w:w="1552" w:type="pct"/>
                  <w:noWrap w:val="0"/>
                  <w:vAlign w:val="center"/>
                </w:tcPr>
                <w:p w14:paraId="2FDFC819">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4C8DAA64">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35</w:t>
                  </w:r>
                </w:p>
              </w:tc>
              <w:tc>
                <w:tcPr>
                  <w:tcW w:w="519" w:type="pct"/>
                  <w:noWrap w:val="0"/>
                  <w:vAlign w:val="center"/>
                </w:tcPr>
                <w:p w14:paraId="4F51AC57">
                  <w:pPr>
                    <w:widowControl/>
                    <w:jc w:val="center"/>
                    <w:rPr>
                      <w:rFonts w:hint="default" w:ascii="Times New Roman" w:hAnsi="Times New Roman" w:eastAsia="宋体" w:cs="Times New Roman"/>
                      <w:color w:val="000000"/>
                      <w:kern w:val="0"/>
                      <w:szCs w:val="21"/>
                      <w:lang w:eastAsia="zh-CN"/>
                    </w:rPr>
                  </w:pPr>
                  <w:r>
                    <w:rPr>
                      <w:rFonts w:hint="default" w:ascii="Times New Roman" w:hAnsi="Times New Roman" w:cs="Times New Roman"/>
                      <w:color w:val="000000"/>
                      <w:kern w:val="0"/>
                      <w:szCs w:val="21"/>
                    </w:rPr>
                    <w:t>4</w:t>
                  </w:r>
                  <w:r>
                    <w:rPr>
                      <w:rFonts w:hint="default" w:ascii="Times New Roman" w:hAnsi="Times New Roman" w:cs="Times New Roman"/>
                      <w:color w:val="000000"/>
                      <w:kern w:val="0"/>
                      <w:szCs w:val="21"/>
                      <w:lang w:val="en-US" w:eastAsia="zh-CN"/>
                    </w:rPr>
                    <w:t>3</w:t>
                  </w:r>
                </w:p>
              </w:tc>
              <w:tc>
                <w:tcPr>
                  <w:tcW w:w="641" w:type="pct"/>
                  <w:noWrap w:val="0"/>
                  <w:vAlign w:val="center"/>
                </w:tcPr>
                <w:p w14:paraId="5208F7B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123</w:t>
                  </w:r>
                  <w:r>
                    <w:rPr>
                      <w:rFonts w:hint="default" w:ascii="Times New Roman" w:hAnsi="Times New Roman" w:cs="Times New Roman"/>
                      <w:color w:val="000000"/>
                      <w:kern w:val="0"/>
                      <w:szCs w:val="21"/>
                    </w:rPr>
                    <w:t>%</w:t>
                  </w:r>
                </w:p>
              </w:tc>
              <w:tc>
                <w:tcPr>
                  <w:tcW w:w="710" w:type="pct"/>
                  <w:noWrap w:val="0"/>
                  <w:vAlign w:val="center"/>
                </w:tcPr>
                <w:p w14:paraId="507E876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r w14:paraId="3915F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71E15540">
                  <w:pPr>
                    <w:widowControl/>
                    <w:jc w:val="center"/>
                    <w:rPr>
                      <w:rFonts w:hint="default" w:ascii="Times New Roman" w:hAnsi="Times New Roman" w:cs="Times New Roman"/>
                      <w:color w:val="000000"/>
                      <w:kern w:val="0"/>
                      <w:szCs w:val="21"/>
                    </w:rPr>
                  </w:pPr>
                </w:p>
              </w:tc>
              <w:tc>
                <w:tcPr>
                  <w:tcW w:w="494" w:type="pct"/>
                  <w:noWrap w:val="0"/>
                  <w:vAlign w:val="center"/>
                </w:tcPr>
                <w:p w14:paraId="311584FC">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PM</w:t>
                  </w:r>
                  <w:r>
                    <w:rPr>
                      <w:rFonts w:hint="default" w:ascii="Times New Roman" w:hAnsi="Times New Roman" w:cs="Times New Roman"/>
                      <w:color w:val="000000"/>
                      <w:kern w:val="0"/>
                      <w:szCs w:val="21"/>
                      <w:vertAlign w:val="subscript"/>
                    </w:rPr>
                    <w:t>10</w:t>
                  </w:r>
                </w:p>
              </w:tc>
              <w:tc>
                <w:tcPr>
                  <w:tcW w:w="1552" w:type="pct"/>
                  <w:noWrap w:val="0"/>
                  <w:vAlign w:val="center"/>
                </w:tcPr>
                <w:p w14:paraId="79ECAA3D">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1C59D91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70</w:t>
                  </w:r>
                </w:p>
              </w:tc>
              <w:tc>
                <w:tcPr>
                  <w:tcW w:w="519" w:type="pct"/>
                  <w:noWrap w:val="0"/>
                  <w:vAlign w:val="center"/>
                </w:tcPr>
                <w:p w14:paraId="36DD7F0E">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74</w:t>
                  </w:r>
                </w:p>
              </w:tc>
              <w:tc>
                <w:tcPr>
                  <w:tcW w:w="641" w:type="pct"/>
                  <w:noWrap w:val="0"/>
                  <w:vAlign w:val="center"/>
                </w:tcPr>
                <w:p w14:paraId="63B634A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106</w:t>
                  </w:r>
                  <w:r>
                    <w:rPr>
                      <w:rFonts w:hint="default" w:ascii="Times New Roman" w:hAnsi="Times New Roman" w:cs="Times New Roman"/>
                      <w:color w:val="000000"/>
                      <w:kern w:val="0"/>
                      <w:szCs w:val="21"/>
                    </w:rPr>
                    <w:t>%</w:t>
                  </w:r>
                </w:p>
              </w:tc>
              <w:tc>
                <w:tcPr>
                  <w:tcW w:w="710" w:type="pct"/>
                  <w:noWrap w:val="0"/>
                  <w:vAlign w:val="center"/>
                </w:tcPr>
                <w:p w14:paraId="565D1AE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r w14:paraId="0F53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17E899F4">
                  <w:pPr>
                    <w:widowControl/>
                    <w:jc w:val="center"/>
                    <w:rPr>
                      <w:rFonts w:hint="default" w:ascii="Times New Roman" w:hAnsi="Times New Roman" w:cs="Times New Roman"/>
                      <w:color w:val="000000"/>
                      <w:kern w:val="0"/>
                      <w:szCs w:val="21"/>
                    </w:rPr>
                  </w:pPr>
                </w:p>
              </w:tc>
              <w:tc>
                <w:tcPr>
                  <w:tcW w:w="494" w:type="pct"/>
                  <w:noWrap w:val="0"/>
                  <w:vAlign w:val="center"/>
                </w:tcPr>
                <w:p w14:paraId="5B1A488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SO</w:t>
                  </w:r>
                  <w:r>
                    <w:rPr>
                      <w:rFonts w:hint="default" w:ascii="Times New Roman" w:hAnsi="Times New Roman" w:cs="Times New Roman"/>
                      <w:color w:val="000000"/>
                      <w:kern w:val="0"/>
                      <w:szCs w:val="21"/>
                      <w:vertAlign w:val="subscript"/>
                    </w:rPr>
                    <w:t>2</w:t>
                  </w:r>
                </w:p>
              </w:tc>
              <w:tc>
                <w:tcPr>
                  <w:tcW w:w="1552" w:type="pct"/>
                  <w:noWrap w:val="0"/>
                  <w:vAlign w:val="center"/>
                </w:tcPr>
                <w:p w14:paraId="406A52C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2FB7866E">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60</w:t>
                  </w:r>
                </w:p>
              </w:tc>
              <w:tc>
                <w:tcPr>
                  <w:tcW w:w="519" w:type="pct"/>
                  <w:noWrap w:val="0"/>
                  <w:vAlign w:val="center"/>
                </w:tcPr>
                <w:p w14:paraId="55F16DB7">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5</w:t>
                  </w:r>
                  <w:r>
                    <w:rPr>
                      <w:rFonts w:hint="default" w:ascii="Times New Roman" w:hAnsi="Times New Roman" w:cs="Times New Roman"/>
                      <w:color w:val="000000"/>
                      <w:kern w:val="0"/>
                      <w:szCs w:val="21"/>
                    </w:rPr>
                    <w:t>.0</w:t>
                  </w:r>
                </w:p>
              </w:tc>
              <w:tc>
                <w:tcPr>
                  <w:tcW w:w="641" w:type="pct"/>
                  <w:noWrap w:val="0"/>
                  <w:vAlign w:val="center"/>
                </w:tcPr>
                <w:p w14:paraId="7181FD51">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8</w:t>
                  </w:r>
                  <w:r>
                    <w:rPr>
                      <w:rFonts w:hint="default" w:ascii="Times New Roman" w:hAnsi="Times New Roman" w:cs="Times New Roman"/>
                      <w:color w:val="000000"/>
                      <w:kern w:val="0"/>
                      <w:szCs w:val="21"/>
                    </w:rPr>
                    <w:t>.3%</w:t>
                  </w:r>
                </w:p>
              </w:tc>
              <w:tc>
                <w:tcPr>
                  <w:tcW w:w="710" w:type="pct"/>
                  <w:noWrap w:val="0"/>
                  <w:vAlign w:val="center"/>
                </w:tcPr>
                <w:p w14:paraId="66AD83EB">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3C72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69" w:type="pct"/>
                  <w:vMerge w:val="continue"/>
                  <w:noWrap w:val="0"/>
                  <w:vAlign w:val="center"/>
                </w:tcPr>
                <w:p w14:paraId="7FB06B78">
                  <w:pPr>
                    <w:widowControl/>
                    <w:jc w:val="center"/>
                    <w:rPr>
                      <w:rFonts w:hint="default" w:ascii="Times New Roman" w:hAnsi="Times New Roman" w:cs="Times New Roman"/>
                      <w:color w:val="000000"/>
                      <w:kern w:val="0"/>
                      <w:szCs w:val="21"/>
                    </w:rPr>
                  </w:pPr>
                </w:p>
              </w:tc>
              <w:tc>
                <w:tcPr>
                  <w:tcW w:w="494" w:type="pct"/>
                  <w:noWrap w:val="0"/>
                  <w:vAlign w:val="center"/>
                </w:tcPr>
                <w:p w14:paraId="55459F60">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NO</w:t>
                  </w:r>
                  <w:r>
                    <w:rPr>
                      <w:rFonts w:hint="default" w:ascii="Times New Roman" w:hAnsi="Times New Roman" w:cs="Times New Roman"/>
                      <w:color w:val="000000"/>
                      <w:kern w:val="0"/>
                      <w:szCs w:val="21"/>
                      <w:vertAlign w:val="subscript"/>
                    </w:rPr>
                    <w:t>2</w:t>
                  </w:r>
                </w:p>
              </w:tc>
              <w:tc>
                <w:tcPr>
                  <w:tcW w:w="1552" w:type="pct"/>
                  <w:noWrap w:val="0"/>
                  <w:vAlign w:val="center"/>
                </w:tcPr>
                <w:p w14:paraId="696392C4">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年平均质量浓度</w:t>
                  </w:r>
                </w:p>
              </w:tc>
              <w:tc>
                <w:tcPr>
                  <w:tcW w:w="511" w:type="pct"/>
                  <w:noWrap w:val="0"/>
                  <w:vAlign w:val="center"/>
                </w:tcPr>
                <w:p w14:paraId="5D5524B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w:t>
                  </w:r>
                </w:p>
              </w:tc>
              <w:tc>
                <w:tcPr>
                  <w:tcW w:w="519" w:type="pct"/>
                  <w:noWrap w:val="0"/>
                  <w:vAlign w:val="center"/>
                </w:tcPr>
                <w:p w14:paraId="7DD40F89">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lang w:val="en-US" w:eastAsia="zh-CN"/>
                    </w:rPr>
                    <w:t>31</w:t>
                  </w:r>
                </w:p>
              </w:tc>
              <w:tc>
                <w:tcPr>
                  <w:tcW w:w="641" w:type="pct"/>
                  <w:noWrap w:val="0"/>
                  <w:vAlign w:val="center"/>
                </w:tcPr>
                <w:p w14:paraId="3653F60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77.5</w:t>
                  </w:r>
                  <w:r>
                    <w:rPr>
                      <w:rFonts w:hint="default" w:ascii="Times New Roman" w:hAnsi="Times New Roman" w:cs="Times New Roman"/>
                      <w:color w:val="000000"/>
                      <w:kern w:val="0"/>
                      <w:szCs w:val="21"/>
                    </w:rPr>
                    <w:t>%</w:t>
                  </w:r>
                </w:p>
              </w:tc>
              <w:tc>
                <w:tcPr>
                  <w:tcW w:w="710" w:type="pct"/>
                  <w:noWrap w:val="0"/>
                  <w:vAlign w:val="center"/>
                </w:tcPr>
                <w:p w14:paraId="5C2F3B98">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6181A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9" w:type="pct"/>
                  <w:vMerge w:val="continue"/>
                  <w:noWrap w:val="0"/>
                  <w:vAlign w:val="center"/>
                </w:tcPr>
                <w:p w14:paraId="09981DF5">
                  <w:pPr>
                    <w:widowControl/>
                    <w:jc w:val="center"/>
                    <w:rPr>
                      <w:rFonts w:hint="default" w:ascii="Times New Roman" w:hAnsi="Times New Roman" w:cs="Times New Roman"/>
                      <w:color w:val="000000"/>
                      <w:kern w:val="0"/>
                      <w:szCs w:val="21"/>
                    </w:rPr>
                  </w:pPr>
                </w:p>
              </w:tc>
              <w:tc>
                <w:tcPr>
                  <w:tcW w:w="494" w:type="pct"/>
                  <w:noWrap w:val="0"/>
                  <w:vAlign w:val="center"/>
                </w:tcPr>
                <w:p w14:paraId="64B136E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CO</w:t>
                  </w:r>
                </w:p>
              </w:tc>
              <w:tc>
                <w:tcPr>
                  <w:tcW w:w="1552" w:type="pct"/>
                  <w:noWrap w:val="0"/>
                  <w:vAlign w:val="center"/>
                </w:tcPr>
                <w:p w14:paraId="3FCEBAF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24小时平均浓度</w:t>
                  </w:r>
                </w:p>
                <w:p w14:paraId="4CC1AB4F">
                  <w:pPr>
                    <w:widowControl/>
                    <w:jc w:val="center"/>
                    <w:rPr>
                      <w:rFonts w:hint="default" w:ascii="Times New Roman" w:hAnsi="Times New Roman" w:cs="Times New Roman"/>
                      <w:color w:val="000000"/>
                      <w:kern w:val="0"/>
                      <w:szCs w:val="21"/>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w:t>
                  </w:r>
                  <w:r>
                    <w:rPr>
                      <w:rFonts w:hint="default" w:ascii="Times New Roman" w:hAnsi="Times New Roman" w:cs="Times New Roman"/>
                      <w:b w:val="0"/>
                      <w:bCs w:val="0"/>
                      <w:color w:val="000000"/>
                      <w:sz w:val="21"/>
                      <w:szCs w:val="21"/>
                      <w:highlight w:val="none"/>
                      <w:vertAlign w:val="baseline"/>
                      <w:lang w:val="en-US" w:eastAsia="zh-CN"/>
                    </w:rPr>
                    <w:t>95位百分浓度）</w:t>
                  </w:r>
                </w:p>
              </w:tc>
              <w:tc>
                <w:tcPr>
                  <w:tcW w:w="511" w:type="pct"/>
                  <w:noWrap w:val="0"/>
                  <w:vAlign w:val="center"/>
                </w:tcPr>
                <w:p w14:paraId="32E4083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4000</w:t>
                  </w:r>
                </w:p>
              </w:tc>
              <w:tc>
                <w:tcPr>
                  <w:tcW w:w="519" w:type="pct"/>
                  <w:noWrap w:val="0"/>
                  <w:vAlign w:val="center"/>
                </w:tcPr>
                <w:p w14:paraId="299B9D4A">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1</w:t>
                  </w:r>
                  <w:r>
                    <w:rPr>
                      <w:rFonts w:hint="default" w:ascii="Times New Roman" w:hAnsi="Times New Roman" w:cs="Times New Roman"/>
                      <w:color w:val="000000"/>
                      <w:kern w:val="0"/>
                      <w:szCs w:val="21"/>
                    </w:rPr>
                    <w:t>00</w:t>
                  </w:r>
                </w:p>
              </w:tc>
              <w:tc>
                <w:tcPr>
                  <w:tcW w:w="641" w:type="pct"/>
                  <w:noWrap w:val="0"/>
                  <w:vAlign w:val="center"/>
                </w:tcPr>
                <w:p w14:paraId="1945CBB5">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27.5</w:t>
                  </w:r>
                  <w:r>
                    <w:rPr>
                      <w:rFonts w:hint="default" w:ascii="Times New Roman" w:hAnsi="Times New Roman" w:cs="Times New Roman"/>
                      <w:color w:val="000000"/>
                      <w:kern w:val="0"/>
                      <w:szCs w:val="21"/>
                    </w:rPr>
                    <w:t>%</w:t>
                  </w:r>
                </w:p>
              </w:tc>
              <w:tc>
                <w:tcPr>
                  <w:tcW w:w="710" w:type="pct"/>
                  <w:noWrap w:val="0"/>
                  <w:vAlign w:val="center"/>
                </w:tcPr>
                <w:p w14:paraId="706B972B">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达标</w:t>
                  </w:r>
                </w:p>
              </w:tc>
            </w:tr>
            <w:tr w14:paraId="112A3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9" w:type="pct"/>
                  <w:vMerge w:val="continue"/>
                  <w:noWrap w:val="0"/>
                  <w:vAlign w:val="center"/>
                </w:tcPr>
                <w:p w14:paraId="1E9DD669">
                  <w:pPr>
                    <w:widowControl/>
                    <w:jc w:val="center"/>
                    <w:rPr>
                      <w:rFonts w:hint="default" w:ascii="Times New Roman" w:hAnsi="Times New Roman" w:cs="Times New Roman"/>
                      <w:color w:val="000000"/>
                      <w:kern w:val="0"/>
                      <w:szCs w:val="21"/>
                    </w:rPr>
                  </w:pPr>
                </w:p>
              </w:tc>
              <w:tc>
                <w:tcPr>
                  <w:tcW w:w="494" w:type="pct"/>
                  <w:noWrap w:val="0"/>
                  <w:vAlign w:val="center"/>
                </w:tcPr>
                <w:p w14:paraId="10817026">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O</w:t>
                  </w:r>
                  <w:r>
                    <w:rPr>
                      <w:rFonts w:hint="default" w:ascii="Times New Roman" w:hAnsi="Times New Roman" w:cs="Times New Roman"/>
                      <w:color w:val="000000"/>
                      <w:kern w:val="0"/>
                      <w:szCs w:val="21"/>
                      <w:vertAlign w:val="subscript"/>
                    </w:rPr>
                    <w:t>3</w:t>
                  </w:r>
                </w:p>
              </w:tc>
              <w:tc>
                <w:tcPr>
                  <w:tcW w:w="1552" w:type="pct"/>
                  <w:noWrap w:val="0"/>
                  <w:vAlign w:val="center"/>
                </w:tcPr>
                <w:p w14:paraId="56DC3ECF">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8小时平均浓度</w:t>
                  </w:r>
                </w:p>
                <w:p w14:paraId="52776D37">
                  <w:pPr>
                    <w:widowControl/>
                    <w:jc w:val="center"/>
                    <w:rPr>
                      <w:rFonts w:hint="default" w:ascii="Times New Roman" w:hAnsi="Times New Roman" w:cs="Times New Roman"/>
                      <w:color w:val="000000"/>
                      <w:kern w:val="0"/>
                      <w:szCs w:val="21"/>
                    </w:rPr>
                  </w:pPr>
                  <w:r>
                    <w:rPr>
                      <w:rFonts w:hint="default" w:ascii="Times New Roman" w:hAnsi="Times New Roman" w:cs="Times New Roman"/>
                      <w:b w:val="0"/>
                      <w:bCs w:val="0"/>
                      <w:color w:val="000000"/>
                      <w:sz w:val="21"/>
                      <w:szCs w:val="21"/>
                      <w:highlight w:val="none"/>
                      <w:vertAlign w:val="baseline"/>
                      <w:lang w:val="en-US" w:eastAsia="zh-CN"/>
                    </w:rPr>
                    <w:t>（</w:t>
                  </w:r>
                  <w:r>
                    <w:rPr>
                      <w:rFonts w:hint="eastAsia" w:ascii="Times New Roman" w:hAnsi="Times New Roman" w:cs="Times New Roman"/>
                      <w:b w:val="0"/>
                      <w:bCs w:val="0"/>
                      <w:color w:val="000000"/>
                      <w:sz w:val="21"/>
                      <w:szCs w:val="21"/>
                      <w:highlight w:val="none"/>
                      <w:vertAlign w:val="baseline"/>
                      <w:lang w:val="en-US" w:eastAsia="zh-CN"/>
                    </w:rPr>
                    <w:t>第90</w:t>
                  </w:r>
                  <w:r>
                    <w:rPr>
                      <w:rFonts w:hint="default" w:ascii="Times New Roman" w:hAnsi="Times New Roman" w:cs="Times New Roman"/>
                      <w:b w:val="0"/>
                      <w:bCs w:val="0"/>
                      <w:color w:val="000000"/>
                      <w:sz w:val="21"/>
                      <w:szCs w:val="21"/>
                      <w:highlight w:val="none"/>
                      <w:vertAlign w:val="baseline"/>
                      <w:lang w:val="en-US" w:eastAsia="zh-CN"/>
                    </w:rPr>
                    <w:t>位百分浓度）</w:t>
                  </w:r>
                </w:p>
              </w:tc>
              <w:tc>
                <w:tcPr>
                  <w:tcW w:w="511" w:type="pct"/>
                  <w:noWrap w:val="0"/>
                  <w:vAlign w:val="center"/>
                </w:tcPr>
                <w:p w14:paraId="1C7B5FB8">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160</w:t>
                  </w:r>
                </w:p>
              </w:tc>
              <w:tc>
                <w:tcPr>
                  <w:tcW w:w="519" w:type="pct"/>
                  <w:noWrap w:val="0"/>
                  <w:vAlign w:val="center"/>
                </w:tcPr>
                <w:p w14:paraId="056C241B">
                  <w:pPr>
                    <w:widowControl/>
                    <w:jc w:val="center"/>
                    <w:rPr>
                      <w:rFonts w:hint="default" w:ascii="Times New Roman" w:hAnsi="Times New Roman" w:eastAsia="宋体" w:cs="Times New Roman"/>
                      <w:color w:val="000000"/>
                      <w:kern w:val="0"/>
                      <w:szCs w:val="21"/>
                      <w:lang w:val="en-US" w:eastAsia="zh-CN"/>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68</w:t>
                  </w:r>
                </w:p>
              </w:tc>
              <w:tc>
                <w:tcPr>
                  <w:tcW w:w="641" w:type="pct"/>
                  <w:noWrap w:val="0"/>
                  <w:vAlign w:val="center"/>
                </w:tcPr>
                <w:p w14:paraId="282ECE22">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lang w:val="en-US" w:eastAsia="zh-CN"/>
                    </w:rPr>
                    <w:t>105</w:t>
                  </w:r>
                  <w:r>
                    <w:rPr>
                      <w:rFonts w:hint="default" w:ascii="Times New Roman" w:hAnsi="Times New Roman" w:cs="Times New Roman"/>
                      <w:color w:val="000000"/>
                      <w:kern w:val="0"/>
                      <w:szCs w:val="21"/>
                    </w:rPr>
                    <w:t>%</w:t>
                  </w:r>
                </w:p>
              </w:tc>
              <w:tc>
                <w:tcPr>
                  <w:tcW w:w="710" w:type="pct"/>
                  <w:noWrap w:val="0"/>
                  <w:vAlign w:val="center"/>
                </w:tcPr>
                <w:p w14:paraId="0A055B49">
                  <w:pPr>
                    <w:widowControl/>
                    <w:jc w:val="center"/>
                    <w:rPr>
                      <w:rFonts w:hint="default" w:ascii="Times New Roman" w:hAnsi="Times New Roman" w:cs="Times New Roman"/>
                      <w:color w:val="000000"/>
                      <w:kern w:val="0"/>
                      <w:szCs w:val="21"/>
                    </w:rPr>
                  </w:pPr>
                  <w:r>
                    <w:rPr>
                      <w:rFonts w:hint="default" w:ascii="Times New Roman" w:hAnsi="Times New Roman" w:cs="Times New Roman"/>
                      <w:color w:val="000000"/>
                      <w:kern w:val="0"/>
                      <w:szCs w:val="21"/>
                    </w:rPr>
                    <w:t>不达标</w:t>
                  </w:r>
                </w:p>
              </w:tc>
            </w:tr>
          </w:tbl>
          <w:p w14:paraId="32D70499">
            <w:pPr>
              <w:keepNext w:val="0"/>
              <w:keepLines w:val="0"/>
              <w:pageBreakBefore w:val="0"/>
              <w:widowControl w:val="0"/>
              <w:kinsoku/>
              <w:wordWrap/>
              <w:overflowPunct/>
              <w:topLinePunct w:val="0"/>
              <w:autoSpaceDE/>
              <w:autoSpaceDN/>
              <w:bidi w:val="0"/>
              <w:adjustRightInd/>
              <w:snapToGrid/>
              <w:spacing w:before="120" w:line="360" w:lineRule="auto"/>
              <w:ind w:firstLine="480" w:firstLineChars="200"/>
              <w:contextualSpacing/>
              <w:textAlignment w:val="auto"/>
              <w:rPr>
                <w:rFonts w:hint="default" w:ascii="Times New Roman" w:hAnsi="Times New Roman" w:cs="Times New Roman"/>
                <w:color w:val="000000"/>
                <w:kern w:val="0"/>
                <w:sz w:val="24"/>
                <w:szCs w:val="20"/>
              </w:rPr>
            </w:pPr>
            <w:r>
              <w:rPr>
                <w:rFonts w:hint="default" w:ascii="Times New Roman" w:hAnsi="Times New Roman" w:cs="Times New Roman"/>
                <w:color w:val="000000"/>
                <w:kern w:val="0"/>
                <w:sz w:val="24"/>
                <w:szCs w:val="20"/>
                <w:lang w:val="en-US" w:eastAsia="zh-CN"/>
              </w:rPr>
              <w:t>由上表可知，</w:t>
            </w:r>
            <w:r>
              <w:rPr>
                <w:rFonts w:hint="default" w:ascii="Times New Roman" w:hAnsi="Times New Roman" w:cs="Times New Roman"/>
                <w:color w:val="000000"/>
                <w:kern w:val="0"/>
                <w:sz w:val="24"/>
                <w:szCs w:val="20"/>
              </w:rPr>
              <w:t>环境空气</w:t>
            </w:r>
            <w:r>
              <w:rPr>
                <w:rFonts w:hint="default" w:ascii="Times New Roman" w:hAnsi="Times New Roman" w:cs="Times New Roman"/>
                <w:color w:val="000000"/>
                <w:kern w:val="0"/>
                <w:sz w:val="24"/>
                <w:szCs w:val="24"/>
              </w:rPr>
              <w:t>常规六项指标中，SO</w:t>
            </w:r>
            <w:r>
              <w:rPr>
                <w:rFonts w:hint="default" w:ascii="Times New Roman" w:hAnsi="Times New Roman" w:cs="Times New Roman"/>
                <w:color w:val="000000"/>
                <w:kern w:val="0"/>
                <w:sz w:val="24"/>
                <w:szCs w:val="24"/>
                <w:vertAlign w:val="subscript"/>
              </w:rPr>
              <w:t>2</w:t>
            </w:r>
            <w:r>
              <w:rPr>
                <w:rFonts w:hint="default" w:ascii="Times New Roman" w:hAnsi="Times New Roman" w:cs="Times New Roman"/>
                <w:color w:val="000000"/>
                <w:kern w:val="0"/>
                <w:sz w:val="24"/>
                <w:szCs w:val="24"/>
              </w:rPr>
              <w:t>年平均质量浓度、CO</w:t>
            </w:r>
            <w:r>
              <w:rPr>
                <w:rFonts w:hint="eastAsia" w:ascii="Times New Roman" w:hAnsi="Times New Roman" w:cs="Times New Roman"/>
                <w:b w:val="0"/>
                <w:bCs w:val="0"/>
                <w:color w:val="000000"/>
                <w:sz w:val="24"/>
                <w:szCs w:val="24"/>
                <w:highlight w:val="none"/>
                <w:vertAlign w:val="baseline"/>
                <w:lang w:val="en-US" w:eastAsia="zh-CN"/>
              </w:rPr>
              <w:t>第95</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rPr>
              <w:t>24小时平均浓度、NO</w:t>
            </w:r>
            <w:r>
              <w:rPr>
                <w:rFonts w:hint="default" w:ascii="Times New Roman" w:hAnsi="Times New Roman" w:cs="Times New Roman"/>
                <w:color w:val="000000"/>
                <w:kern w:val="0"/>
                <w:sz w:val="24"/>
                <w:szCs w:val="24"/>
                <w:vertAlign w:val="subscript"/>
              </w:rPr>
              <w:t>2</w:t>
            </w:r>
            <w:r>
              <w:rPr>
                <w:rFonts w:hint="default" w:ascii="Times New Roman" w:hAnsi="Times New Roman" w:cs="Times New Roman"/>
                <w:color w:val="000000"/>
                <w:kern w:val="0"/>
                <w:sz w:val="24"/>
                <w:szCs w:val="24"/>
              </w:rPr>
              <w:t>年平均质量浓度达到《环境空气质量标准》（GB3095-2012）二级标准要求，PM</w:t>
            </w:r>
            <w:r>
              <w:rPr>
                <w:rFonts w:hint="default" w:ascii="Times New Roman" w:hAnsi="Times New Roman" w:cs="Times New Roman"/>
                <w:color w:val="000000"/>
                <w:kern w:val="0"/>
                <w:sz w:val="24"/>
                <w:szCs w:val="24"/>
                <w:vertAlign w:val="subscript"/>
              </w:rPr>
              <w:t>2.5</w:t>
            </w:r>
            <w:r>
              <w:rPr>
                <w:rFonts w:hint="default" w:ascii="Times New Roman" w:hAnsi="Times New Roman" w:cs="Times New Roman"/>
                <w:color w:val="000000"/>
                <w:kern w:val="0"/>
                <w:sz w:val="24"/>
                <w:szCs w:val="24"/>
              </w:rPr>
              <w:t>年平均质量浓度、PM</w:t>
            </w:r>
            <w:r>
              <w:rPr>
                <w:rFonts w:hint="default" w:ascii="Times New Roman" w:hAnsi="Times New Roman" w:cs="Times New Roman"/>
                <w:color w:val="000000"/>
                <w:kern w:val="0"/>
                <w:sz w:val="24"/>
                <w:szCs w:val="24"/>
                <w:vertAlign w:val="subscript"/>
              </w:rPr>
              <w:t>10</w:t>
            </w:r>
            <w:r>
              <w:rPr>
                <w:rFonts w:hint="default" w:ascii="Times New Roman" w:hAnsi="Times New Roman" w:cs="Times New Roman"/>
                <w:color w:val="000000"/>
                <w:kern w:val="0"/>
                <w:sz w:val="24"/>
                <w:szCs w:val="24"/>
              </w:rPr>
              <w:t>年平均质量浓度、O</w:t>
            </w:r>
            <w:r>
              <w:rPr>
                <w:rFonts w:hint="default" w:ascii="Times New Roman" w:hAnsi="Times New Roman" w:cs="Times New Roman"/>
                <w:color w:val="000000"/>
                <w:kern w:val="0"/>
                <w:sz w:val="24"/>
                <w:szCs w:val="24"/>
                <w:vertAlign w:val="subscript"/>
              </w:rPr>
              <w:t>3</w:t>
            </w:r>
            <w:r>
              <w:rPr>
                <w:rFonts w:hint="eastAsia" w:ascii="Times New Roman" w:hAnsi="Times New Roman" w:cs="Times New Roman"/>
                <w:b w:val="0"/>
                <w:bCs w:val="0"/>
                <w:color w:val="000000"/>
                <w:sz w:val="24"/>
                <w:szCs w:val="24"/>
                <w:highlight w:val="none"/>
                <w:vertAlign w:val="baseline"/>
                <w:lang w:val="en-US" w:eastAsia="zh-CN"/>
              </w:rPr>
              <w:t>第90</w:t>
            </w:r>
            <w:r>
              <w:rPr>
                <w:rFonts w:hint="default" w:ascii="Times New Roman" w:hAnsi="Times New Roman" w:cs="Times New Roman"/>
                <w:b w:val="0"/>
                <w:bCs w:val="0"/>
                <w:color w:val="000000"/>
                <w:sz w:val="24"/>
                <w:szCs w:val="24"/>
                <w:highlight w:val="none"/>
                <w:vertAlign w:val="baseline"/>
                <w:lang w:val="en-US" w:eastAsia="zh-CN"/>
              </w:rPr>
              <w:t>位百分浓度</w:t>
            </w:r>
            <w:r>
              <w:rPr>
                <w:rFonts w:hint="default" w:ascii="Times New Roman" w:hAnsi="Times New Roman" w:cs="Times New Roman"/>
                <w:color w:val="000000"/>
                <w:kern w:val="0"/>
                <w:sz w:val="24"/>
                <w:szCs w:val="24"/>
              </w:rPr>
              <w:t>8小时平均浓度超过《环</w:t>
            </w:r>
            <w:r>
              <w:rPr>
                <w:rFonts w:hint="default" w:ascii="Times New Roman" w:hAnsi="Times New Roman" w:cs="Times New Roman"/>
                <w:color w:val="000000"/>
                <w:kern w:val="0"/>
                <w:sz w:val="24"/>
                <w:szCs w:val="20"/>
              </w:rPr>
              <w:t>境空气质量标准》（GB3095-2012）二级标准要求。</w:t>
            </w:r>
          </w:p>
          <w:p w14:paraId="1A4AAFC9">
            <w:pPr>
              <w:spacing w:line="360" w:lineRule="auto"/>
              <w:ind w:firstLine="480" w:firstLineChars="200"/>
              <w:contextualSpacing/>
            </w:pPr>
            <w:r>
              <w:rPr>
                <w:rFonts w:hint="default" w:ascii="Times New Roman" w:hAnsi="Times New Roman" w:cs="Times New Roman"/>
                <w:color w:val="000000"/>
                <w:kern w:val="0"/>
                <w:sz w:val="24"/>
                <w:szCs w:val="20"/>
              </w:rPr>
              <w:t>根据《环境影响评价技术导则-大气环境》（HJ2.2</w:t>
            </w:r>
            <w:r>
              <w:rPr>
                <w:rFonts w:hint="eastAsia" w:ascii="Times New Roman" w:hAnsi="Times New Roman" w:cs="Times New Roman"/>
                <w:color w:val="000000"/>
                <w:kern w:val="0"/>
                <w:sz w:val="24"/>
                <w:szCs w:val="20"/>
                <w:lang w:val="en-US" w:eastAsia="zh-CN"/>
              </w:rPr>
              <w:t>-</w:t>
            </w:r>
            <w:r>
              <w:rPr>
                <w:rFonts w:hint="default" w:ascii="Times New Roman" w:hAnsi="Times New Roman" w:cs="Times New Roman"/>
                <w:color w:val="000000"/>
                <w:kern w:val="0"/>
                <w:sz w:val="24"/>
                <w:szCs w:val="20"/>
              </w:rPr>
              <w:t>2018），城市环境空气质量达标情况评价指标为SO</w:t>
            </w:r>
            <w:r>
              <w:rPr>
                <w:rFonts w:hint="default" w:ascii="Times New Roman" w:hAnsi="Times New Roman" w:cs="Times New Roman"/>
                <w:color w:val="000000"/>
                <w:kern w:val="0"/>
                <w:sz w:val="24"/>
                <w:szCs w:val="20"/>
                <w:vertAlign w:val="subscript"/>
              </w:rPr>
              <w:t>2</w:t>
            </w:r>
            <w:r>
              <w:rPr>
                <w:rFonts w:hint="default" w:ascii="Times New Roman" w:hAnsi="Times New Roman" w:cs="Times New Roman"/>
                <w:color w:val="000000"/>
                <w:kern w:val="0"/>
                <w:sz w:val="24"/>
                <w:szCs w:val="20"/>
              </w:rPr>
              <w:t>、NO</w:t>
            </w:r>
            <w:r>
              <w:rPr>
                <w:rFonts w:hint="default" w:ascii="Times New Roman" w:hAnsi="Times New Roman" w:cs="Times New Roman"/>
                <w:color w:val="000000"/>
                <w:kern w:val="0"/>
                <w:sz w:val="24"/>
                <w:szCs w:val="20"/>
                <w:vertAlign w:val="subscript"/>
              </w:rPr>
              <w:t>2</w:t>
            </w:r>
            <w:r>
              <w:rPr>
                <w:rFonts w:hint="default" w:ascii="Times New Roman" w:hAnsi="Times New Roman" w:cs="Times New Roman"/>
                <w:color w:val="000000"/>
                <w:kern w:val="0"/>
                <w:sz w:val="24"/>
                <w:szCs w:val="20"/>
              </w:rPr>
              <w:t>、PM</w:t>
            </w:r>
            <w:r>
              <w:rPr>
                <w:rFonts w:hint="default" w:ascii="Times New Roman" w:hAnsi="Times New Roman" w:cs="Times New Roman"/>
                <w:color w:val="000000"/>
                <w:kern w:val="0"/>
                <w:sz w:val="24"/>
                <w:szCs w:val="20"/>
                <w:vertAlign w:val="subscript"/>
              </w:rPr>
              <w:t>10</w:t>
            </w:r>
            <w:r>
              <w:rPr>
                <w:rFonts w:hint="default" w:ascii="Times New Roman" w:hAnsi="Times New Roman" w:cs="Times New Roman"/>
                <w:color w:val="000000"/>
                <w:kern w:val="0"/>
                <w:sz w:val="24"/>
                <w:szCs w:val="20"/>
              </w:rPr>
              <w:t>、PM</w:t>
            </w:r>
            <w:r>
              <w:rPr>
                <w:rFonts w:hint="default" w:ascii="Times New Roman" w:hAnsi="Times New Roman" w:cs="Times New Roman"/>
                <w:color w:val="000000"/>
                <w:kern w:val="0"/>
                <w:sz w:val="24"/>
                <w:szCs w:val="20"/>
                <w:vertAlign w:val="subscript"/>
              </w:rPr>
              <w:t>2.5</w:t>
            </w:r>
            <w:r>
              <w:rPr>
                <w:rFonts w:hint="default" w:ascii="Times New Roman" w:hAnsi="Times New Roman" w:cs="Times New Roman"/>
                <w:color w:val="000000"/>
                <w:kern w:val="0"/>
                <w:sz w:val="24"/>
                <w:szCs w:val="20"/>
              </w:rPr>
              <w:t>、CO、O</w:t>
            </w:r>
            <w:r>
              <w:rPr>
                <w:rFonts w:hint="default" w:ascii="Times New Roman" w:hAnsi="Times New Roman" w:cs="Times New Roman"/>
                <w:color w:val="000000"/>
                <w:kern w:val="0"/>
                <w:sz w:val="24"/>
                <w:szCs w:val="20"/>
                <w:vertAlign w:val="subscript"/>
              </w:rPr>
              <w:t>3</w:t>
            </w:r>
            <w:r>
              <w:rPr>
                <w:rFonts w:hint="default" w:ascii="Times New Roman" w:hAnsi="Times New Roman" w:cs="Times New Roman"/>
                <w:color w:val="000000"/>
                <w:kern w:val="0"/>
                <w:sz w:val="24"/>
                <w:szCs w:val="20"/>
              </w:rPr>
              <w:t>，六项污染物年评价指标全部达标即为</w:t>
            </w:r>
            <w:r>
              <w:rPr>
                <w:rFonts w:hint="default" w:ascii="Times New Roman" w:hAnsi="Times New Roman" w:cs="Times New Roman"/>
                <w:color w:val="000000"/>
                <w:sz w:val="24"/>
              </w:rPr>
              <w:t>城市环境空气质量达标。因此，本项目所在区域属于不达标区域。</w:t>
            </w:r>
          </w:p>
          <w:p w14:paraId="28348AEE">
            <w:pPr>
              <w:spacing w:line="360" w:lineRule="auto"/>
              <w:ind w:firstLine="482" w:firstLineChars="200"/>
              <w:contextualSpacing/>
              <w:rPr>
                <w:rFonts w:hint="eastAsia"/>
                <w:b/>
                <w:bCs/>
                <w:color w:val="auto"/>
                <w:sz w:val="24"/>
                <w:lang w:val="en-US" w:eastAsia="zh-CN"/>
              </w:rPr>
            </w:pPr>
            <w:r>
              <w:rPr>
                <w:rFonts w:hint="eastAsia"/>
                <w:b/>
                <w:bCs/>
                <w:color w:val="auto"/>
                <w:sz w:val="24"/>
                <w:lang w:val="en-US" w:eastAsia="zh-CN"/>
              </w:rPr>
              <w:t>2、特征污染物</w:t>
            </w:r>
          </w:p>
          <w:p w14:paraId="218714E4">
            <w:pPr>
              <w:keepNext w:val="0"/>
              <w:keepLines w:val="0"/>
              <w:pageBreakBefore w:val="0"/>
              <w:widowControl w:val="0"/>
              <w:numPr>
                <w:ilvl w:val="0"/>
                <w:numId w:val="0"/>
              </w:numPr>
              <w:kinsoku/>
              <w:wordWrap/>
              <w:overflowPunct/>
              <w:topLinePunct w:val="0"/>
              <w:autoSpaceDE/>
              <w:autoSpaceDN/>
              <w:bidi w:val="0"/>
              <w:adjustRightInd/>
              <w:snapToGrid/>
              <w:spacing w:before="120" w:line="360" w:lineRule="auto"/>
              <w:ind w:leftChars="0" w:firstLine="482"/>
              <w:textAlignment w:val="auto"/>
              <w:rPr>
                <w:rFonts w:hint="default"/>
                <w:color w:val="auto"/>
                <w:sz w:val="24"/>
                <w:highlight w:val="none"/>
                <w:lang w:val="en-US" w:eastAsia="zh-CN"/>
              </w:rPr>
            </w:pPr>
            <w:r>
              <w:rPr>
                <w:rFonts w:hint="default"/>
                <w:color w:val="auto"/>
                <w:sz w:val="24"/>
                <w:highlight w:val="none"/>
                <w:lang w:val="en-US" w:eastAsia="zh-CN"/>
              </w:rPr>
              <w:t>本项目大气特征因子为非甲烷总烃。非甲烷总烃</w:t>
            </w:r>
            <w:r>
              <w:rPr>
                <w:rFonts w:hint="eastAsia"/>
                <w:color w:val="auto"/>
                <w:sz w:val="24"/>
                <w:highlight w:val="none"/>
                <w:lang w:val="en-US" w:eastAsia="zh-CN"/>
              </w:rPr>
              <w:t>特征因子</w:t>
            </w:r>
            <w:r>
              <w:rPr>
                <w:rFonts w:hint="default"/>
                <w:color w:val="auto"/>
                <w:sz w:val="24"/>
                <w:highlight w:val="none"/>
                <w:lang w:val="en-US" w:eastAsia="zh-CN"/>
              </w:rPr>
              <w:t>引用陕西中蓝企方环境科技有限公司出具的《光伏硅晶片切割用辅材环境质量现状监测》中的监测数据（监测报告编号：秦研（气）2310074号），监测时间为2023年10月21日～2023年10月23日，监测时间在近3年内，监测点位位于本项目</w:t>
            </w:r>
            <w:r>
              <w:rPr>
                <w:rFonts w:hint="eastAsia"/>
                <w:color w:val="auto"/>
                <w:sz w:val="24"/>
                <w:highlight w:val="none"/>
                <w:lang w:val="en-US" w:eastAsia="zh-CN"/>
              </w:rPr>
              <w:t>西</w:t>
            </w:r>
            <w:r>
              <w:rPr>
                <w:rFonts w:hint="default"/>
                <w:color w:val="auto"/>
                <w:sz w:val="24"/>
                <w:highlight w:val="none"/>
                <w:lang w:val="en-US" w:eastAsia="zh-CN"/>
              </w:rPr>
              <w:t>侧</w:t>
            </w:r>
            <w:r>
              <w:rPr>
                <w:rFonts w:hint="eastAsia"/>
                <w:color w:val="auto"/>
                <w:sz w:val="24"/>
                <w:highlight w:val="none"/>
                <w:lang w:val="en-US" w:eastAsia="zh-CN"/>
              </w:rPr>
              <w:t>4.8k</w:t>
            </w:r>
            <w:r>
              <w:rPr>
                <w:rFonts w:hint="default"/>
                <w:color w:val="auto"/>
                <w:sz w:val="24"/>
                <w:highlight w:val="none"/>
                <w:lang w:val="en-US" w:eastAsia="zh-CN"/>
              </w:rPr>
              <w:t>m，监测点位及监测时间均符合要求，故引用监测数据有效。监测结果见下表：</w:t>
            </w:r>
          </w:p>
          <w:p w14:paraId="32AEFDB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表3-2其他污染物监测点位基本信息</w:t>
            </w:r>
          </w:p>
          <w:tbl>
            <w:tblPr>
              <w:tblStyle w:val="25"/>
              <w:tblW w:w="8333" w:type="dxa"/>
              <w:tblInd w:w="-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1288"/>
              <w:gridCol w:w="2842"/>
              <w:gridCol w:w="1373"/>
              <w:gridCol w:w="1466"/>
            </w:tblGrid>
            <w:tr w14:paraId="19649D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18" w:type="pct"/>
                  <w:tcBorders>
                    <w:left w:val="single" w:color="auto" w:sz="0" w:space="0"/>
                    <w:tl2br w:val="nil"/>
                    <w:tr2bl w:val="nil"/>
                  </w:tcBorders>
                  <w:noWrap w:val="0"/>
                  <w:vAlign w:val="center"/>
                </w:tcPr>
                <w:p w14:paraId="13E480BA">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监测点名称</w:t>
                  </w:r>
                </w:p>
              </w:tc>
              <w:tc>
                <w:tcPr>
                  <w:tcW w:w="772" w:type="pct"/>
                  <w:tcBorders>
                    <w:tl2br w:val="nil"/>
                    <w:tr2bl w:val="nil"/>
                  </w:tcBorders>
                  <w:noWrap w:val="0"/>
                  <w:vAlign w:val="center"/>
                </w:tcPr>
                <w:p w14:paraId="6E74B04B">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监测因子</w:t>
                  </w:r>
                </w:p>
              </w:tc>
              <w:tc>
                <w:tcPr>
                  <w:tcW w:w="1705" w:type="pct"/>
                  <w:tcBorders>
                    <w:tl2br w:val="nil"/>
                    <w:tr2bl w:val="nil"/>
                  </w:tcBorders>
                  <w:noWrap w:val="0"/>
                  <w:vAlign w:val="center"/>
                </w:tcPr>
                <w:p w14:paraId="338D7762">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监测时段</w:t>
                  </w:r>
                </w:p>
              </w:tc>
              <w:tc>
                <w:tcPr>
                  <w:tcW w:w="823" w:type="pct"/>
                  <w:tcBorders>
                    <w:tl2br w:val="nil"/>
                    <w:tr2bl w:val="nil"/>
                  </w:tcBorders>
                  <w:noWrap w:val="0"/>
                  <w:vAlign w:val="center"/>
                </w:tcPr>
                <w:p w14:paraId="1FD4783A">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相对本项目</w:t>
                  </w:r>
                </w:p>
                <w:p w14:paraId="621F83D7">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方位</w:t>
                  </w:r>
                </w:p>
              </w:tc>
              <w:tc>
                <w:tcPr>
                  <w:tcW w:w="879" w:type="pct"/>
                  <w:tcBorders>
                    <w:right w:val="single" w:color="auto" w:sz="4" w:space="0"/>
                    <w:tl2br w:val="nil"/>
                    <w:tr2bl w:val="nil"/>
                  </w:tcBorders>
                  <w:noWrap w:val="0"/>
                  <w:vAlign w:val="center"/>
                </w:tcPr>
                <w:p w14:paraId="2BCE2716">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相对本项目</w:t>
                  </w:r>
                </w:p>
                <w:p w14:paraId="3FC862A6">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距离</w:t>
                  </w:r>
                </w:p>
              </w:tc>
            </w:tr>
            <w:tr w14:paraId="3B6D6B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18" w:type="pct"/>
                  <w:tcBorders>
                    <w:left w:val="single" w:color="auto" w:sz="4" w:space="0"/>
                    <w:tl2br w:val="nil"/>
                    <w:tr2bl w:val="nil"/>
                  </w:tcBorders>
                  <w:noWrap w:val="0"/>
                  <w:vAlign w:val="center"/>
                </w:tcPr>
                <w:p w14:paraId="0D98E8E6">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双赵村</w:t>
                  </w:r>
                </w:p>
              </w:tc>
              <w:tc>
                <w:tcPr>
                  <w:tcW w:w="772" w:type="pct"/>
                  <w:tcBorders>
                    <w:tl2br w:val="nil"/>
                    <w:tr2bl w:val="nil"/>
                  </w:tcBorders>
                  <w:noWrap w:val="0"/>
                  <w:vAlign w:val="center"/>
                </w:tcPr>
                <w:p w14:paraId="7D44686B">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1705" w:type="pct"/>
                  <w:tcBorders>
                    <w:tl2br w:val="nil"/>
                    <w:tr2bl w:val="nil"/>
                  </w:tcBorders>
                  <w:noWrap w:val="0"/>
                  <w:vAlign w:val="center"/>
                </w:tcPr>
                <w:p w14:paraId="7A3A088E">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w:t>
                  </w:r>
                  <w:r>
                    <w:rPr>
                      <w:rFonts w:hint="default"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年</w:t>
                  </w:r>
                  <w:r>
                    <w:rPr>
                      <w:rFonts w:hint="default" w:ascii="Times New Roman" w:hAnsi="Times New Roman"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月2</w:t>
                  </w:r>
                  <w:r>
                    <w:rPr>
                      <w:rFonts w:hint="default"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日—</w:t>
                  </w:r>
                  <w:r>
                    <w:rPr>
                      <w:rFonts w:hint="default" w:ascii="Times New Roman" w:hAnsi="Times New Roman"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月2</w:t>
                  </w:r>
                  <w:r>
                    <w:rPr>
                      <w:rFonts w:hint="default"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日</w:t>
                  </w:r>
                </w:p>
              </w:tc>
              <w:tc>
                <w:tcPr>
                  <w:tcW w:w="823" w:type="pct"/>
                  <w:tcBorders>
                    <w:tl2br w:val="nil"/>
                    <w:tr2bl w:val="nil"/>
                  </w:tcBorders>
                  <w:noWrap w:val="0"/>
                  <w:vAlign w:val="center"/>
                </w:tcPr>
                <w:p w14:paraId="79B12EC0">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879" w:type="pct"/>
                  <w:tcBorders>
                    <w:right w:val="single" w:color="auto" w:sz="4" w:space="0"/>
                    <w:tl2br w:val="nil"/>
                    <w:tr2bl w:val="nil"/>
                  </w:tcBorders>
                  <w:noWrap w:val="0"/>
                  <w:vAlign w:val="center"/>
                </w:tcPr>
                <w:p w14:paraId="3AD148C3">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4.8k</w:t>
                  </w:r>
                  <w:r>
                    <w:rPr>
                      <w:rFonts w:hint="default" w:ascii="Times New Roman" w:hAnsi="Times New Roman" w:eastAsia="宋体" w:cs="Times New Roman"/>
                      <w:color w:val="auto"/>
                      <w:sz w:val="21"/>
                      <w:szCs w:val="21"/>
                      <w:highlight w:val="none"/>
                      <w:lang w:val="en-US" w:eastAsia="zh-CN"/>
                    </w:rPr>
                    <w:t>m</w:t>
                  </w:r>
                </w:p>
              </w:tc>
            </w:tr>
          </w:tbl>
          <w:p w14:paraId="26A78096">
            <w:pPr>
              <w:keepNext w:val="0"/>
              <w:keepLines w:val="0"/>
              <w:pageBreakBefore w:val="0"/>
              <w:widowControl w:val="0"/>
              <w:numPr>
                <w:ilvl w:val="0"/>
                <w:numId w:val="0"/>
              </w:numPr>
              <w:kinsoku/>
              <w:wordWrap/>
              <w:overflowPunct/>
              <w:topLinePunct w:val="0"/>
              <w:autoSpaceDE/>
              <w:autoSpaceDN/>
              <w:bidi w:val="0"/>
              <w:adjustRightInd/>
              <w:snapToGrid/>
              <w:spacing w:before="120" w:line="360" w:lineRule="auto"/>
              <w:jc w:val="center"/>
              <w:textAlignment w:val="auto"/>
              <w:rPr>
                <w:rFonts w:hint="default" w:ascii="Times New Roman" w:hAnsi="Times New Roman" w:cs="Times New Roman" w:eastAsiaTheme="majorEastAsia"/>
                <w:b/>
                <w:bCs/>
                <w:caps w:val="0"/>
                <w:color w:val="auto"/>
                <w:kern w:val="0"/>
                <w:sz w:val="21"/>
                <w:szCs w:val="21"/>
                <w:highlight w:val="none"/>
                <w:lang w:val="en-US" w:eastAsia="zh-CN" w:bidi="zh-CN"/>
              </w:rPr>
            </w:pPr>
            <w:r>
              <w:rPr>
                <w:rFonts w:hint="default" w:ascii="Times New Roman" w:hAnsi="Times New Roman" w:cs="Times New Roman" w:eastAsiaTheme="majorEastAsia"/>
                <w:b/>
                <w:bCs/>
                <w:caps w:val="0"/>
                <w:color w:val="auto"/>
                <w:kern w:val="0"/>
                <w:sz w:val="21"/>
                <w:szCs w:val="21"/>
                <w:highlight w:val="none"/>
                <w:lang w:val="en-US" w:eastAsia="zh-CN" w:bidi="zh-CN"/>
              </w:rPr>
              <w:t>表 3-</w:t>
            </w:r>
            <w:r>
              <w:rPr>
                <w:rFonts w:hint="eastAsia" w:cs="Times New Roman" w:eastAsiaTheme="majorEastAsia"/>
                <w:b/>
                <w:bCs/>
                <w:caps w:val="0"/>
                <w:color w:val="auto"/>
                <w:kern w:val="0"/>
                <w:sz w:val="21"/>
                <w:szCs w:val="21"/>
                <w:highlight w:val="none"/>
                <w:lang w:val="en-US" w:eastAsia="zh-CN" w:bidi="zh-CN"/>
              </w:rPr>
              <w:t>3</w:t>
            </w:r>
            <w:r>
              <w:rPr>
                <w:rFonts w:hint="default" w:ascii="Times New Roman" w:hAnsi="Times New Roman" w:cs="Times New Roman" w:eastAsiaTheme="majorEastAsia"/>
                <w:b/>
                <w:bCs/>
                <w:caps w:val="0"/>
                <w:color w:val="auto"/>
                <w:kern w:val="0"/>
                <w:sz w:val="21"/>
                <w:szCs w:val="21"/>
                <w:highlight w:val="none"/>
                <w:lang w:val="en-US" w:eastAsia="zh-CN" w:bidi="zh-CN"/>
              </w:rPr>
              <w:t xml:space="preserve"> </w:t>
            </w:r>
            <w:r>
              <w:rPr>
                <w:rFonts w:hint="eastAsia" w:cs="Times New Roman" w:eastAsiaTheme="majorEastAsia"/>
                <w:b/>
                <w:bCs/>
                <w:caps w:val="0"/>
                <w:color w:val="auto"/>
                <w:kern w:val="0"/>
                <w:sz w:val="21"/>
                <w:szCs w:val="21"/>
                <w:highlight w:val="none"/>
                <w:lang w:val="en-US" w:eastAsia="zh-CN" w:bidi="zh-CN"/>
              </w:rPr>
              <w:t>监测结果统计表</w:t>
            </w:r>
          </w:p>
          <w:tbl>
            <w:tblPr>
              <w:tblStyle w:val="26"/>
              <w:tblW w:w="8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800"/>
              <w:gridCol w:w="1238"/>
              <w:gridCol w:w="687"/>
              <w:gridCol w:w="1249"/>
              <w:gridCol w:w="1139"/>
              <w:gridCol w:w="1075"/>
              <w:gridCol w:w="825"/>
              <w:gridCol w:w="734"/>
            </w:tblGrid>
            <w:tr w14:paraId="6896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58" w:type="dxa"/>
                </w:tcPr>
                <w:p w14:paraId="714C0C73">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检测点位</w:t>
                  </w:r>
                </w:p>
              </w:tc>
              <w:tc>
                <w:tcPr>
                  <w:tcW w:w="800" w:type="dxa"/>
                  <w:vAlign w:val="center"/>
                </w:tcPr>
                <w:p w14:paraId="67169FB3">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项目</w:t>
                  </w:r>
                </w:p>
              </w:tc>
              <w:tc>
                <w:tcPr>
                  <w:tcW w:w="1238" w:type="dxa"/>
                  <w:vAlign w:val="center"/>
                </w:tcPr>
                <w:p w14:paraId="3D10BE87">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监测时间</w:t>
                  </w:r>
                </w:p>
              </w:tc>
              <w:tc>
                <w:tcPr>
                  <w:tcW w:w="687" w:type="dxa"/>
                  <w:vAlign w:val="center"/>
                </w:tcPr>
                <w:p w14:paraId="221B2451">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平均时间</w:t>
                  </w:r>
                </w:p>
              </w:tc>
              <w:tc>
                <w:tcPr>
                  <w:tcW w:w="1249" w:type="dxa"/>
                  <w:vAlign w:val="center"/>
                </w:tcPr>
                <w:p w14:paraId="15A8F105">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浓度（mg/m</w:t>
                  </w:r>
                  <w:r>
                    <w:rPr>
                      <w:rFonts w:hint="default" w:ascii="Times New Roman" w:hAnsi="Times New Roman" w:cs="Times New Roman" w:eastAsiaTheme="minorEastAsia"/>
                      <w:b/>
                      <w:bCs/>
                      <w:color w:val="auto"/>
                      <w:sz w:val="21"/>
                      <w:szCs w:val="21"/>
                      <w:highlight w:val="none"/>
                      <w:vertAlign w:val="superscript"/>
                      <w:lang w:val="en-US" w:eastAsia="zh-CN"/>
                    </w:rPr>
                    <w:t>3</w:t>
                  </w:r>
                  <w:r>
                    <w:rPr>
                      <w:rFonts w:hint="default" w:ascii="Times New Roman" w:hAnsi="Times New Roman" w:cs="Times New Roman" w:eastAsiaTheme="minorEastAsia"/>
                      <w:b/>
                      <w:bCs/>
                      <w:color w:val="auto"/>
                      <w:sz w:val="21"/>
                      <w:szCs w:val="21"/>
                      <w:highlight w:val="none"/>
                      <w:vertAlign w:val="baseline"/>
                      <w:lang w:val="en-US" w:eastAsia="zh-CN"/>
                    </w:rPr>
                    <w:t>）</w:t>
                  </w:r>
                </w:p>
              </w:tc>
              <w:tc>
                <w:tcPr>
                  <w:tcW w:w="1139" w:type="dxa"/>
                  <w:vAlign w:val="center"/>
                </w:tcPr>
                <w:p w14:paraId="671206BD">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标准值（mg/m</w:t>
                  </w:r>
                  <w:r>
                    <w:rPr>
                      <w:rFonts w:hint="default" w:ascii="Times New Roman" w:hAnsi="Times New Roman" w:cs="Times New Roman" w:eastAsiaTheme="minorEastAsia"/>
                      <w:b/>
                      <w:bCs/>
                      <w:color w:val="auto"/>
                      <w:sz w:val="21"/>
                      <w:szCs w:val="21"/>
                      <w:highlight w:val="none"/>
                      <w:vertAlign w:val="superscript"/>
                      <w:lang w:val="en-US" w:eastAsia="zh-CN"/>
                    </w:rPr>
                    <w:t>3</w:t>
                  </w:r>
                  <w:r>
                    <w:rPr>
                      <w:rFonts w:hint="default" w:ascii="Times New Roman" w:hAnsi="Times New Roman" w:cs="Times New Roman" w:eastAsiaTheme="minorEastAsia"/>
                      <w:b/>
                      <w:bCs/>
                      <w:color w:val="auto"/>
                      <w:sz w:val="21"/>
                      <w:szCs w:val="21"/>
                      <w:highlight w:val="none"/>
                      <w:vertAlign w:val="baseline"/>
                      <w:lang w:val="en-US" w:eastAsia="zh-CN"/>
                    </w:rPr>
                    <w:t>）</w:t>
                  </w:r>
                </w:p>
              </w:tc>
              <w:tc>
                <w:tcPr>
                  <w:tcW w:w="1075" w:type="dxa"/>
                  <w:vAlign w:val="center"/>
                </w:tcPr>
                <w:p w14:paraId="0C5FB10F">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最大浓度占标率（%）</w:t>
                  </w:r>
                </w:p>
              </w:tc>
              <w:tc>
                <w:tcPr>
                  <w:tcW w:w="825" w:type="dxa"/>
                  <w:vAlign w:val="center"/>
                </w:tcPr>
                <w:p w14:paraId="3B55D9CB">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超标率</w:t>
                  </w:r>
                </w:p>
                <w:p w14:paraId="712181FD">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w:t>
                  </w:r>
                </w:p>
              </w:tc>
              <w:tc>
                <w:tcPr>
                  <w:tcW w:w="734" w:type="dxa"/>
                  <w:vAlign w:val="center"/>
                </w:tcPr>
                <w:p w14:paraId="11210D60">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default" w:ascii="Times New Roman" w:hAnsi="Times New Roman" w:cs="Times New Roman" w:eastAsiaTheme="minorEastAsia"/>
                      <w:b/>
                      <w:bCs/>
                      <w:color w:val="auto"/>
                      <w:sz w:val="21"/>
                      <w:szCs w:val="21"/>
                      <w:highlight w:val="none"/>
                      <w:vertAlign w:val="baseline"/>
                      <w:lang w:val="en-US" w:eastAsia="zh-CN"/>
                    </w:rPr>
                    <w:t>达标情况</w:t>
                  </w:r>
                </w:p>
              </w:tc>
            </w:tr>
            <w:tr w14:paraId="51EE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558" w:type="dxa"/>
                  <w:vMerge w:val="restart"/>
                  <w:vAlign w:val="center"/>
                </w:tcPr>
                <w:p w14:paraId="696A5D4F">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1#双赵村</w:t>
                  </w:r>
                </w:p>
              </w:tc>
              <w:tc>
                <w:tcPr>
                  <w:tcW w:w="800" w:type="dxa"/>
                  <w:vMerge w:val="restart"/>
                  <w:vAlign w:val="center"/>
                </w:tcPr>
                <w:p w14:paraId="1C47FDE0">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非甲烷总烃</w:t>
                  </w:r>
                </w:p>
              </w:tc>
              <w:tc>
                <w:tcPr>
                  <w:tcW w:w="1238" w:type="dxa"/>
                  <w:vAlign w:val="center"/>
                </w:tcPr>
                <w:p w14:paraId="52BAEFD5">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2023.10.21</w:t>
                  </w:r>
                </w:p>
              </w:tc>
              <w:tc>
                <w:tcPr>
                  <w:tcW w:w="687" w:type="dxa"/>
                  <w:vAlign w:val="center"/>
                </w:tcPr>
                <w:p w14:paraId="2CFC68DB">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1h</w:t>
                  </w:r>
                </w:p>
              </w:tc>
              <w:tc>
                <w:tcPr>
                  <w:tcW w:w="1249" w:type="dxa"/>
                  <w:vAlign w:val="center"/>
                </w:tcPr>
                <w:p w14:paraId="53BF450D">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0.89-0.97</w:t>
                  </w:r>
                </w:p>
              </w:tc>
              <w:tc>
                <w:tcPr>
                  <w:tcW w:w="1139" w:type="dxa"/>
                  <w:vAlign w:val="center"/>
                </w:tcPr>
                <w:p w14:paraId="5FAE09F0">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w:t>
                  </w:r>
                </w:p>
              </w:tc>
              <w:tc>
                <w:tcPr>
                  <w:tcW w:w="1075" w:type="dxa"/>
                  <w:vAlign w:val="center"/>
                </w:tcPr>
                <w:p w14:paraId="0EF9FE44">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48.5</w:t>
                  </w:r>
                </w:p>
              </w:tc>
              <w:tc>
                <w:tcPr>
                  <w:tcW w:w="825" w:type="dxa"/>
                  <w:vAlign w:val="center"/>
                </w:tcPr>
                <w:p w14:paraId="0EB08064">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w:t>
                  </w:r>
                </w:p>
              </w:tc>
              <w:tc>
                <w:tcPr>
                  <w:tcW w:w="734" w:type="dxa"/>
                  <w:vAlign w:val="center"/>
                </w:tcPr>
                <w:p w14:paraId="6A19D8E4">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达标</w:t>
                  </w:r>
                </w:p>
              </w:tc>
            </w:tr>
            <w:tr w14:paraId="3945D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58" w:type="dxa"/>
                  <w:vMerge w:val="continue"/>
                  <w:vAlign w:val="center"/>
                </w:tcPr>
                <w:p w14:paraId="2AEE44DC">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p>
              </w:tc>
              <w:tc>
                <w:tcPr>
                  <w:tcW w:w="800" w:type="dxa"/>
                  <w:vMerge w:val="continue"/>
                  <w:vAlign w:val="center"/>
                </w:tcPr>
                <w:p w14:paraId="7778121C">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p>
              </w:tc>
              <w:tc>
                <w:tcPr>
                  <w:tcW w:w="1238" w:type="dxa"/>
                  <w:vAlign w:val="center"/>
                </w:tcPr>
                <w:p w14:paraId="79462E5D">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2023.10.22</w:t>
                  </w:r>
                </w:p>
              </w:tc>
              <w:tc>
                <w:tcPr>
                  <w:tcW w:w="687" w:type="dxa"/>
                  <w:vAlign w:val="center"/>
                </w:tcPr>
                <w:p w14:paraId="1B35FA21">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1h</w:t>
                  </w:r>
                </w:p>
              </w:tc>
              <w:tc>
                <w:tcPr>
                  <w:tcW w:w="1249" w:type="dxa"/>
                  <w:vAlign w:val="center"/>
                </w:tcPr>
                <w:p w14:paraId="23E07DB4">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0.90-0.95</w:t>
                  </w:r>
                </w:p>
              </w:tc>
              <w:tc>
                <w:tcPr>
                  <w:tcW w:w="1139" w:type="dxa"/>
                  <w:vAlign w:val="center"/>
                </w:tcPr>
                <w:p w14:paraId="71800E32">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w:t>
                  </w:r>
                </w:p>
              </w:tc>
              <w:tc>
                <w:tcPr>
                  <w:tcW w:w="1075" w:type="dxa"/>
                  <w:vAlign w:val="center"/>
                </w:tcPr>
                <w:p w14:paraId="299B938B">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47.5</w:t>
                  </w:r>
                </w:p>
              </w:tc>
              <w:tc>
                <w:tcPr>
                  <w:tcW w:w="825" w:type="dxa"/>
                  <w:vAlign w:val="center"/>
                </w:tcPr>
                <w:p w14:paraId="55ACB7D8">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w:t>
                  </w:r>
                </w:p>
              </w:tc>
              <w:tc>
                <w:tcPr>
                  <w:tcW w:w="734" w:type="dxa"/>
                  <w:vAlign w:val="center"/>
                </w:tcPr>
                <w:p w14:paraId="0EFF4338">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达标</w:t>
                  </w:r>
                </w:p>
              </w:tc>
            </w:tr>
            <w:tr w14:paraId="7435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558" w:type="dxa"/>
                  <w:vMerge w:val="continue"/>
                  <w:vAlign w:val="center"/>
                </w:tcPr>
                <w:p w14:paraId="7DB9E25E">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p>
              </w:tc>
              <w:tc>
                <w:tcPr>
                  <w:tcW w:w="800" w:type="dxa"/>
                  <w:vMerge w:val="continue"/>
                  <w:vAlign w:val="center"/>
                </w:tcPr>
                <w:p w14:paraId="77DA458B">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p>
              </w:tc>
              <w:tc>
                <w:tcPr>
                  <w:tcW w:w="1238" w:type="dxa"/>
                  <w:vAlign w:val="center"/>
                </w:tcPr>
                <w:p w14:paraId="47B29BE9">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2023.10.23</w:t>
                  </w:r>
                </w:p>
              </w:tc>
              <w:tc>
                <w:tcPr>
                  <w:tcW w:w="687" w:type="dxa"/>
                  <w:vAlign w:val="center"/>
                </w:tcPr>
                <w:p w14:paraId="780EF4AE">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1h</w:t>
                  </w:r>
                </w:p>
              </w:tc>
              <w:tc>
                <w:tcPr>
                  <w:tcW w:w="1249" w:type="dxa"/>
                  <w:vAlign w:val="center"/>
                </w:tcPr>
                <w:p w14:paraId="437584AA">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0.86-0.92</w:t>
                  </w:r>
                </w:p>
              </w:tc>
              <w:tc>
                <w:tcPr>
                  <w:tcW w:w="1139" w:type="dxa"/>
                  <w:vAlign w:val="center"/>
                </w:tcPr>
                <w:p w14:paraId="53E2EC64">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2</w:t>
                  </w:r>
                </w:p>
              </w:tc>
              <w:tc>
                <w:tcPr>
                  <w:tcW w:w="1075" w:type="dxa"/>
                  <w:vAlign w:val="center"/>
                </w:tcPr>
                <w:p w14:paraId="7FBF67E0">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46</w:t>
                  </w:r>
                </w:p>
              </w:tc>
              <w:tc>
                <w:tcPr>
                  <w:tcW w:w="825" w:type="dxa"/>
                  <w:vAlign w:val="center"/>
                </w:tcPr>
                <w:p w14:paraId="4B3A6F2F">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0</w:t>
                  </w:r>
                </w:p>
              </w:tc>
              <w:tc>
                <w:tcPr>
                  <w:tcW w:w="734" w:type="dxa"/>
                  <w:vAlign w:val="center"/>
                </w:tcPr>
                <w:p w14:paraId="6CB2FDAB">
                  <w:pPr>
                    <w:keepNext w:val="0"/>
                    <w:keepLines w:val="0"/>
                    <w:pageBreakBefore w:val="0"/>
                    <w:widowControl w:val="0"/>
                    <w:numPr>
                      <w:ilvl w:val="0"/>
                      <w:numId w:val="0"/>
                    </w:numPr>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eastAsiaTheme="minorEastAsia"/>
                      <w:color w:val="auto"/>
                      <w:sz w:val="21"/>
                      <w:szCs w:val="21"/>
                      <w:highlight w:val="none"/>
                      <w:vertAlign w:val="baseline"/>
                      <w:lang w:val="en-US" w:eastAsia="zh-CN"/>
                    </w:rPr>
                    <w:t>达标</w:t>
                  </w:r>
                </w:p>
              </w:tc>
            </w:tr>
          </w:tbl>
          <w:p w14:paraId="4CAC9E2F">
            <w:pPr>
              <w:keepNext w:val="0"/>
              <w:keepLines w:val="0"/>
              <w:pageBreakBefore w:val="0"/>
              <w:widowControl w:val="0"/>
              <w:numPr>
                <w:ilvl w:val="0"/>
                <w:numId w:val="0"/>
              </w:numPr>
              <w:kinsoku/>
              <w:wordWrap/>
              <w:overflowPunct/>
              <w:topLinePunct w:val="0"/>
              <w:autoSpaceDE/>
              <w:autoSpaceDN/>
              <w:bidi w:val="0"/>
              <w:adjustRightInd/>
              <w:snapToGrid/>
              <w:spacing w:before="120" w:line="360" w:lineRule="auto"/>
              <w:ind w:firstLine="480" w:firstLineChars="200"/>
              <w:textAlignment w:val="auto"/>
              <w:rPr>
                <w:rFonts w:hint="eastAsia"/>
                <w:b/>
                <w:bCs/>
                <w:color w:val="auto"/>
                <w:sz w:val="24"/>
                <w:highlight w:val="none"/>
                <w:lang w:val="en-US" w:eastAsia="zh-CN"/>
              </w:rPr>
            </w:pPr>
            <w:r>
              <w:rPr>
                <w:rFonts w:hint="default"/>
                <w:color w:val="auto"/>
                <w:sz w:val="24"/>
                <w:highlight w:val="none"/>
                <w:lang w:val="en-US" w:eastAsia="zh-CN"/>
              </w:rPr>
              <w:t>根据监测结果可知，本项目区域环境空气中非甲烷总烃浓度满足《大气污染物综合排放标准详解》中的标准要求（2.0mg/m</w:t>
            </w:r>
            <w:r>
              <w:rPr>
                <w:rFonts w:hint="default"/>
                <w:color w:val="auto"/>
                <w:sz w:val="24"/>
                <w:highlight w:val="none"/>
                <w:vertAlign w:val="superscript"/>
                <w:lang w:val="en-US" w:eastAsia="zh-CN"/>
              </w:rPr>
              <w:t>3</w:t>
            </w:r>
            <w:r>
              <w:rPr>
                <w:rFonts w:hint="default"/>
                <w:color w:val="auto"/>
                <w:sz w:val="24"/>
                <w:highlight w:val="none"/>
                <w:lang w:val="en-US" w:eastAsia="zh-CN"/>
              </w:rPr>
              <w:t>）</w:t>
            </w:r>
            <w:r>
              <w:rPr>
                <w:rFonts w:hint="eastAsia"/>
                <w:color w:val="auto"/>
                <w:sz w:val="24"/>
                <w:highlight w:val="none"/>
                <w:lang w:val="en-US" w:eastAsia="zh-CN"/>
              </w:rPr>
              <w:t>。</w:t>
            </w:r>
          </w:p>
          <w:p w14:paraId="07DF73C1">
            <w:pPr>
              <w:numPr>
                <w:ilvl w:val="0"/>
                <w:numId w:val="0"/>
              </w:numPr>
              <w:spacing w:line="360" w:lineRule="auto"/>
              <w:ind w:firstLine="482" w:firstLineChars="200"/>
              <w:rPr>
                <w:rFonts w:hint="eastAsia"/>
                <w:b/>
                <w:bCs/>
                <w:color w:val="auto"/>
                <w:sz w:val="24"/>
                <w:lang w:eastAsia="zh-CN"/>
              </w:rPr>
            </w:pPr>
            <w:r>
              <w:rPr>
                <w:rFonts w:hint="eastAsia"/>
                <w:b/>
                <w:bCs/>
                <w:color w:val="auto"/>
                <w:sz w:val="24"/>
                <w:lang w:val="en-US" w:eastAsia="zh-CN"/>
              </w:rPr>
              <w:t>3、</w:t>
            </w:r>
            <w:r>
              <w:rPr>
                <w:b/>
                <w:bCs/>
                <w:color w:val="auto"/>
                <w:sz w:val="24"/>
              </w:rPr>
              <w:t>声环境</w:t>
            </w:r>
            <w:r>
              <w:rPr>
                <w:rFonts w:hint="eastAsia"/>
                <w:b/>
                <w:bCs/>
                <w:color w:val="auto"/>
                <w:sz w:val="24"/>
                <w:lang w:eastAsia="zh-CN"/>
              </w:rPr>
              <w:t>质量现状</w:t>
            </w:r>
          </w:p>
          <w:p w14:paraId="49FFA76E">
            <w:pPr>
              <w:spacing w:line="360" w:lineRule="auto"/>
              <w:ind w:left="479" w:leftChars="228" w:firstLine="0" w:firstLineChars="0"/>
              <w:rPr>
                <w:rFonts w:hint="eastAsia" w:cs="Times New Roman"/>
                <w:color w:val="000000"/>
                <w:sz w:val="24"/>
                <w:szCs w:val="24"/>
                <w:lang w:eastAsia="zh-CN"/>
              </w:rPr>
            </w:pPr>
            <w:r>
              <w:rPr>
                <w:rFonts w:hint="default" w:ascii="Times New Roman" w:hAnsi="Times New Roman" w:eastAsia="宋体" w:cs="Times New Roman"/>
                <w:color w:val="000000"/>
                <w:sz w:val="24"/>
                <w:szCs w:val="24"/>
                <w:highlight w:val="none"/>
              </w:rPr>
              <w:t>厂界外50m范围内无声环境保护目标</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rPr>
              <w:t>因此未</w:t>
            </w:r>
            <w:r>
              <w:rPr>
                <w:rFonts w:hint="default" w:ascii="Times New Roman" w:hAnsi="Times New Roman" w:eastAsia="宋体" w:cs="Times New Roman"/>
                <w:color w:val="000000"/>
                <w:sz w:val="24"/>
                <w:szCs w:val="24"/>
                <w:lang w:val="en-US" w:eastAsia="zh-CN"/>
              </w:rPr>
              <w:t>进行声环境质量现状</w:t>
            </w:r>
            <w:r>
              <w:rPr>
                <w:rFonts w:hint="default" w:ascii="Times New Roman" w:hAnsi="Times New Roman" w:eastAsia="宋体" w:cs="Times New Roman"/>
                <w:color w:val="000000"/>
                <w:sz w:val="24"/>
                <w:szCs w:val="24"/>
              </w:rPr>
              <w:t>监测</w:t>
            </w:r>
            <w:r>
              <w:rPr>
                <w:rFonts w:hint="eastAsia" w:cs="Times New Roman"/>
                <w:color w:val="000000"/>
                <w:sz w:val="24"/>
                <w:szCs w:val="24"/>
                <w:lang w:eastAsia="zh-CN"/>
              </w:rPr>
              <w:t>。</w:t>
            </w:r>
          </w:p>
          <w:p w14:paraId="53A6B92B">
            <w:pPr>
              <w:spacing w:line="360" w:lineRule="auto"/>
              <w:ind w:left="479" w:leftChars="228" w:firstLine="0" w:firstLineChars="0"/>
              <w:rPr>
                <w:rFonts w:hint="eastAsia"/>
                <w:b/>
                <w:bCs/>
                <w:color w:val="auto"/>
                <w:sz w:val="24"/>
                <w:lang w:eastAsia="zh-CN"/>
              </w:rPr>
            </w:pPr>
            <w:r>
              <w:rPr>
                <w:rFonts w:hint="eastAsia"/>
                <w:b/>
                <w:bCs/>
                <w:color w:val="auto"/>
                <w:sz w:val="24"/>
                <w:lang w:val="en-US" w:eastAsia="zh-CN"/>
              </w:rPr>
              <w:t>4、</w:t>
            </w:r>
            <w:r>
              <w:rPr>
                <w:rFonts w:hint="eastAsia"/>
                <w:b/>
                <w:bCs/>
                <w:color w:val="auto"/>
                <w:sz w:val="24"/>
                <w:lang w:eastAsia="zh-CN"/>
              </w:rPr>
              <w:t>地下水、土壤质量环境现状</w:t>
            </w:r>
          </w:p>
          <w:p w14:paraId="0BD4AD89">
            <w:pPr>
              <w:numPr>
                <w:ilvl w:val="0"/>
                <w:numId w:val="0"/>
              </w:numPr>
              <w:spacing w:line="360" w:lineRule="auto"/>
              <w:ind w:firstLine="480" w:firstLineChars="200"/>
              <w:rPr>
                <w:rFonts w:hint="default" w:ascii="Times New Roman" w:hAnsi="Times New Roman" w:cs="Times New Roman"/>
                <w:color w:val="auto"/>
                <w:sz w:val="24"/>
                <w:szCs w:val="32"/>
                <w:lang w:val="en-US" w:eastAsia="zh-CN"/>
              </w:rPr>
            </w:pPr>
            <w:r>
              <w:rPr>
                <w:rFonts w:hint="eastAsia" w:asciiTheme="minorEastAsia" w:hAnsiTheme="minorEastAsia" w:eastAsiaTheme="minorEastAsia" w:cstheme="minorEastAsia"/>
                <w:b w:val="0"/>
                <w:bCs w:val="0"/>
                <w:color w:val="000000"/>
                <w:kern w:val="2"/>
                <w:sz w:val="24"/>
                <w:szCs w:val="24"/>
                <w:lang w:val="en-US" w:eastAsia="zh-CN" w:bidi="ar-SA"/>
              </w:rPr>
              <w:t>本项目主要大气污染物为非甲烷总烃，不涉及土壤污染重点污染物，项目在生产过程中设备维修时使用润滑油，同时产生废润滑油，通过厂区地面采取水泥硬化，危险废物贮存库做地面防渗处理等措施，基本不存在土壤及地下水环境污染途径，故不开展土壤及地下水现状背景值调查。</w:t>
            </w:r>
          </w:p>
        </w:tc>
      </w:tr>
      <w:tr w14:paraId="3921F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9" w:type="dxa"/>
            <w:noWrap w:val="0"/>
            <w:vAlign w:val="center"/>
          </w:tcPr>
          <w:p w14:paraId="27FABE7B">
            <w:pPr>
              <w:adjustRightInd w:val="0"/>
              <w:snapToGrid w:val="0"/>
              <w:jc w:val="center"/>
              <w:rPr>
                <w:color w:val="auto"/>
                <w:kern w:val="0"/>
                <w:sz w:val="24"/>
              </w:rPr>
            </w:pPr>
          </w:p>
          <w:p w14:paraId="54B956D8">
            <w:pPr>
              <w:adjustRightInd w:val="0"/>
              <w:snapToGrid w:val="0"/>
              <w:jc w:val="center"/>
              <w:rPr>
                <w:color w:val="auto"/>
                <w:kern w:val="0"/>
                <w:sz w:val="24"/>
              </w:rPr>
            </w:pPr>
          </w:p>
          <w:p w14:paraId="0D680715">
            <w:pPr>
              <w:adjustRightInd w:val="0"/>
              <w:snapToGrid w:val="0"/>
              <w:jc w:val="both"/>
              <w:rPr>
                <w:color w:val="auto"/>
                <w:kern w:val="0"/>
                <w:sz w:val="24"/>
              </w:rPr>
            </w:pPr>
          </w:p>
          <w:p w14:paraId="5DD13750">
            <w:pPr>
              <w:adjustRightInd w:val="0"/>
              <w:snapToGrid w:val="0"/>
              <w:jc w:val="both"/>
              <w:rPr>
                <w:color w:val="auto"/>
                <w:kern w:val="0"/>
                <w:sz w:val="24"/>
              </w:rPr>
            </w:pPr>
          </w:p>
          <w:p w14:paraId="6B25D159">
            <w:pPr>
              <w:adjustRightInd w:val="0"/>
              <w:snapToGrid w:val="0"/>
              <w:jc w:val="both"/>
              <w:rPr>
                <w:color w:val="auto"/>
                <w:kern w:val="0"/>
                <w:sz w:val="24"/>
              </w:rPr>
            </w:pPr>
          </w:p>
          <w:p w14:paraId="463473BF">
            <w:pPr>
              <w:adjustRightInd w:val="0"/>
              <w:snapToGrid w:val="0"/>
              <w:jc w:val="both"/>
              <w:rPr>
                <w:color w:val="auto"/>
                <w:kern w:val="0"/>
                <w:sz w:val="24"/>
              </w:rPr>
            </w:pPr>
          </w:p>
          <w:p w14:paraId="1C068506">
            <w:pPr>
              <w:adjustRightInd w:val="0"/>
              <w:snapToGrid w:val="0"/>
              <w:jc w:val="both"/>
              <w:rPr>
                <w:color w:val="auto"/>
                <w:kern w:val="0"/>
                <w:sz w:val="24"/>
              </w:rPr>
            </w:pPr>
          </w:p>
          <w:p w14:paraId="2F948427">
            <w:pPr>
              <w:adjustRightInd w:val="0"/>
              <w:snapToGrid w:val="0"/>
              <w:jc w:val="both"/>
              <w:rPr>
                <w:color w:val="auto"/>
                <w:kern w:val="0"/>
                <w:sz w:val="24"/>
              </w:rPr>
            </w:pPr>
          </w:p>
          <w:p w14:paraId="6E7FA8A6">
            <w:pPr>
              <w:adjustRightInd w:val="0"/>
              <w:snapToGrid w:val="0"/>
              <w:jc w:val="both"/>
              <w:rPr>
                <w:color w:val="auto"/>
                <w:kern w:val="0"/>
                <w:sz w:val="24"/>
              </w:rPr>
            </w:pPr>
          </w:p>
          <w:p w14:paraId="5AB056E8">
            <w:pPr>
              <w:adjustRightInd w:val="0"/>
              <w:snapToGrid w:val="0"/>
              <w:jc w:val="both"/>
              <w:rPr>
                <w:color w:val="auto"/>
                <w:kern w:val="0"/>
                <w:sz w:val="24"/>
              </w:rPr>
            </w:pPr>
          </w:p>
          <w:p w14:paraId="5865A1C3">
            <w:pPr>
              <w:adjustRightInd w:val="0"/>
              <w:snapToGrid w:val="0"/>
              <w:jc w:val="both"/>
              <w:rPr>
                <w:color w:val="auto"/>
                <w:kern w:val="0"/>
                <w:sz w:val="24"/>
              </w:rPr>
            </w:pPr>
          </w:p>
          <w:p w14:paraId="003CDCB6">
            <w:pPr>
              <w:adjustRightInd w:val="0"/>
              <w:snapToGrid w:val="0"/>
              <w:jc w:val="both"/>
              <w:rPr>
                <w:color w:val="auto"/>
                <w:kern w:val="0"/>
                <w:sz w:val="24"/>
              </w:rPr>
            </w:pPr>
            <w:r>
              <w:rPr>
                <w:color w:val="auto"/>
                <w:kern w:val="0"/>
                <w:sz w:val="24"/>
              </w:rPr>
              <w:t>环境</w:t>
            </w:r>
          </w:p>
          <w:p w14:paraId="0F28B03F">
            <w:pPr>
              <w:adjustRightInd w:val="0"/>
              <w:snapToGrid w:val="0"/>
              <w:jc w:val="both"/>
              <w:rPr>
                <w:color w:val="auto"/>
                <w:kern w:val="0"/>
                <w:sz w:val="24"/>
              </w:rPr>
            </w:pPr>
            <w:r>
              <w:rPr>
                <w:color w:val="auto"/>
                <w:kern w:val="0"/>
                <w:sz w:val="24"/>
              </w:rPr>
              <w:t>保护</w:t>
            </w:r>
          </w:p>
          <w:p w14:paraId="543F07D5">
            <w:pPr>
              <w:adjustRightInd w:val="0"/>
              <w:snapToGrid w:val="0"/>
              <w:jc w:val="both"/>
              <w:rPr>
                <w:color w:val="auto"/>
                <w:kern w:val="0"/>
                <w:sz w:val="24"/>
              </w:rPr>
            </w:pPr>
            <w:r>
              <w:rPr>
                <w:color w:val="auto"/>
                <w:kern w:val="0"/>
                <w:sz w:val="24"/>
              </w:rPr>
              <w:t>目标</w:t>
            </w:r>
          </w:p>
        </w:tc>
        <w:tc>
          <w:tcPr>
            <w:tcW w:w="8521" w:type="dxa"/>
            <w:noWrap w:val="0"/>
            <w:vAlign w:val="center"/>
          </w:tcPr>
          <w:p w14:paraId="75E6B100">
            <w:pPr>
              <w:spacing w:line="360" w:lineRule="auto"/>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1、</w:t>
            </w:r>
            <w:r>
              <w:rPr>
                <w:rFonts w:hint="default" w:ascii="Times New Roman" w:hAnsi="Times New Roman" w:eastAsia="宋体" w:cs="Times New Roman"/>
                <w:b/>
                <w:bCs/>
                <w:color w:val="auto"/>
                <w:sz w:val="24"/>
                <w:lang w:val="en-US" w:eastAsia="zh-CN"/>
              </w:rPr>
              <w:t>大气环境</w:t>
            </w:r>
          </w:p>
          <w:p w14:paraId="744E498D">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360" w:lineRule="auto"/>
              <w:ind w:leftChars="0" w:firstLine="480" w:firstLineChars="200"/>
              <w:jc w:val="left"/>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color w:val="auto"/>
                <w:sz w:val="24"/>
                <w:szCs w:val="24"/>
                <w:lang w:val="en-US" w:eastAsia="zh-CN"/>
              </w:rPr>
              <w:t>根据</w:t>
            </w:r>
            <w:r>
              <w:rPr>
                <w:rFonts w:hint="default" w:ascii="Times New Roman" w:hAnsi="Times New Roman" w:cs="Times New Roman" w:eastAsiaTheme="minorEastAsia"/>
                <w:color w:val="auto"/>
                <w:sz w:val="24"/>
                <w:szCs w:val="24"/>
                <w:lang w:eastAsia="zh-CN"/>
              </w:rPr>
              <w:t>《建设项目环境影响报告表编制技术指南（污染影响类）》</w:t>
            </w:r>
            <w:r>
              <w:rPr>
                <w:rFonts w:hint="default" w:ascii="Times New Roman" w:hAnsi="Times New Roman" w:cs="Times New Roman" w:eastAsiaTheme="minorEastAsia"/>
                <w:color w:val="auto"/>
                <w:sz w:val="24"/>
                <w:szCs w:val="24"/>
                <w:lang w:val="en-US" w:eastAsia="zh-CN"/>
              </w:rPr>
              <w:t>，明确大气评价范围为厂界外500m范围内，声评价范围为50m。</w:t>
            </w:r>
            <w:r>
              <w:rPr>
                <w:rFonts w:hint="default" w:ascii="Times New Roman" w:hAnsi="Times New Roman" w:cs="Times New Roman" w:eastAsiaTheme="minorEastAsia"/>
                <w:color w:val="auto"/>
                <w:sz w:val="24"/>
              </w:rPr>
              <w:t>据本项目的排污特点和周围的环境特征，确定了本次评价主要环境保护目标为厂界外500m范围内的大气环境保护目标</w:t>
            </w:r>
            <w:r>
              <w:rPr>
                <w:rFonts w:hint="default" w:ascii="Times New Roman" w:hAnsi="Times New Roman" w:cs="Times New Roman" w:eastAsiaTheme="minorEastAsia"/>
                <w:bCs/>
                <w:color w:val="auto"/>
                <w:sz w:val="24"/>
              </w:rPr>
              <w:t>。</w:t>
            </w:r>
            <w:r>
              <w:rPr>
                <w:rFonts w:hint="default" w:ascii="Times New Roman" w:hAnsi="Times New Roman" w:cs="Times New Roman" w:eastAsiaTheme="minorEastAsia"/>
                <w:bCs/>
                <w:color w:val="auto"/>
                <w:sz w:val="24"/>
                <w:lang w:val="en-US" w:eastAsia="zh-CN"/>
              </w:rPr>
              <w:t>具体</w:t>
            </w:r>
            <w:r>
              <w:rPr>
                <w:rFonts w:hint="default" w:ascii="Times New Roman" w:hAnsi="Times New Roman" w:cs="Times New Roman" w:eastAsiaTheme="minorEastAsia"/>
                <w:bCs/>
                <w:color w:val="auto"/>
                <w:sz w:val="24"/>
                <w:szCs w:val="24"/>
              </w:rPr>
              <w:t>见下表。</w:t>
            </w:r>
          </w:p>
          <w:p w14:paraId="600C8EBC">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360" w:lineRule="auto"/>
              <w:ind w:leftChars="0" w:firstLine="422" w:firstLineChars="200"/>
              <w:jc w:val="center"/>
              <w:textAlignment w:val="auto"/>
              <w:rPr>
                <w:rFonts w:hint="default" w:ascii="Times New Roman" w:hAnsi="Times New Roman" w:cs="Times New Roman" w:eastAsiaTheme="majorEastAsia"/>
                <w:b/>
                <w:bCs/>
                <w:color w:val="auto"/>
                <w:kern w:val="2"/>
                <w:sz w:val="21"/>
                <w:szCs w:val="21"/>
                <w:lang w:val="en-US" w:eastAsia="zh-CN" w:bidi="ar-SA"/>
              </w:rPr>
            </w:pPr>
            <w:r>
              <w:rPr>
                <w:rFonts w:hint="default" w:ascii="Times New Roman" w:hAnsi="Times New Roman" w:cs="Times New Roman" w:eastAsiaTheme="majorEastAsia"/>
                <w:b/>
                <w:bCs/>
                <w:color w:val="auto"/>
                <w:kern w:val="2"/>
                <w:sz w:val="21"/>
                <w:szCs w:val="21"/>
                <w:lang w:val="en-US" w:eastAsia="zh-CN" w:bidi="ar-SA"/>
              </w:rPr>
              <w:t>表3-</w:t>
            </w:r>
            <w:r>
              <w:rPr>
                <w:rFonts w:hint="eastAsia" w:cs="Times New Roman" w:eastAsiaTheme="majorEastAsia"/>
                <w:b/>
                <w:bCs/>
                <w:color w:val="auto"/>
                <w:kern w:val="2"/>
                <w:sz w:val="21"/>
                <w:szCs w:val="21"/>
                <w:lang w:val="en-US" w:eastAsia="zh-CN" w:bidi="ar-SA"/>
              </w:rPr>
              <w:t>4</w:t>
            </w:r>
            <w:r>
              <w:rPr>
                <w:rFonts w:hint="default" w:ascii="Times New Roman" w:hAnsi="Times New Roman" w:cs="Times New Roman" w:eastAsiaTheme="majorEastAsia"/>
                <w:b/>
                <w:bCs/>
                <w:color w:val="auto"/>
                <w:kern w:val="2"/>
                <w:sz w:val="21"/>
                <w:szCs w:val="21"/>
                <w:lang w:val="en-US" w:eastAsia="zh-CN" w:bidi="ar-SA"/>
              </w:rPr>
              <w:t xml:space="preserve">  项目周边环境保护目标</w:t>
            </w:r>
          </w:p>
          <w:tbl>
            <w:tblPr>
              <w:tblStyle w:val="25"/>
              <w:tblW w:w="493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 w:type="dxa"/>
                <w:bottom w:w="0" w:type="dxa"/>
                <w:right w:w="11" w:type="dxa"/>
              </w:tblCellMar>
            </w:tblPr>
            <w:tblGrid>
              <w:gridCol w:w="541"/>
              <w:gridCol w:w="1352"/>
              <w:gridCol w:w="1077"/>
              <w:gridCol w:w="917"/>
              <w:gridCol w:w="817"/>
              <w:gridCol w:w="1040"/>
              <w:gridCol w:w="731"/>
              <w:gridCol w:w="731"/>
              <w:gridCol w:w="980"/>
            </w:tblGrid>
            <w:tr w14:paraId="23684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90" w:hRule="atLeast"/>
                <w:jc w:val="center"/>
              </w:trPr>
              <w:tc>
                <w:tcPr>
                  <w:tcW w:w="330" w:type="pct"/>
                  <w:vMerge w:val="restart"/>
                  <w:tcBorders>
                    <w:tl2br w:val="nil"/>
                    <w:tr2bl w:val="nil"/>
                  </w:tcBorders>
                  <w:noWrap w:val="0"/>
                  <w:vAlign w:val="center"/>
                </w:tcPr>
                <w:p w14:paraId="464BC6CA">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环境</w:t>
                  </w:r>
                </w:p>
                <w:p w14:paraId="7CB3F500">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要素</w:t>
                  </w:r>
                </w:p>
              </w:tc>
              <w:tc>
                <w:tcPr>
                  <w:tcW w:w="825" w:type="pct"/>
                  <w:vMerge w:val="restart"/>
                  <w:tcBorders>
                    <w:tl2br w:val="nil"/>
                    <w:tr2bl w:val="nil"/>
                  </w:tcBorders>
                  <w:noWrap w:val="0"/>
                  <w:vAlign w:val="center"/>
                </w:tcPr>
                <w:p w14:paraId="4D693583">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名称</w:t>
                  </w:r>
                </w:p>
              </w:tc>
              <w:tc>
                <w:tcPr>
                  <w:tcW w:w="1217" w:type="pct"/>
                  <w:gridSpan w:val="2"/>
                  <w:tcBorders>
                    <w:tl2br w:val="nil"/>
                    <w:tr2bl w:val="nil"/>
                  </w:tcBorders>
                  <w:noWrap w:val="0"/>
                  <w:vAlign w:val="center"/>
                </w:tcPr>
                <w:p w14:paraId="605523C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坐标/m</w:t>
                  </w:r>
                </w:p>
              </w:tc>
              <w:tc>
                <w:tcPr>
                  <w:tcW w:w="499" w:type="pct"/>
                  <w:vMerge w:val="restart"/>
                  <w:tcBorders>
                    <w:tl2br w:val="nil"/>
                    <w:tr2bl w:val="nil"/>
                  </w:tcBorders>
                  <w:noWrap w:val="0"/>
                  <w:vAlign w:val="center"/>
                </w:tcPr>
                <w:p w14:paraId="5737786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保护对象</w:t>
                  </w:r>
                </w:p>
              </w:tc>
              <w:tc>
                <w:tcPr>
                  <w:tcW w:w="635" w:type="pct"/>
                  <w:vMerge w:val="restart"/>
                  <w:tcBorders>
                    <w:tl2br w:val="nil"/>
                    <w:tr2bl w:val="nil"/>
                  </w:tcBorders>
                  <w:noWrap w:val="0"/>
                  <w:vAlign w:val="center"/>
                </w:tcPr>
                <w:p w14:paraId="61020E49">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保护内容</w:t>
                  </w:r>
                </w:p>
              </w:tc>
              <w:tc>
                <w:tcPr>
                  <w:tcW w:w="446" w:type="pct"/>
                  <w:vMerge w:val="restart"/>
                  <w:tcBorders>
                    <w:tl2br w:val="nil"/>
                    <w:tr2bl w:val="nil"/>
                  </w:tcBorders>
                  <w:noWrap w:val="0"/>
                  <w:vAlign w:val="center"/>
                </w:tcPr>
                <w:p w14:paraId="14DFB337">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环境</w:t>
                  </w:r>
                </w:p>
                <w:p w14:paraId="0BF9788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功能区</w:t>
                  </w:r>
                </w:p>
              </w:tc>
              <w:tc>
                <w:tcPr>
                  <w:tcW w:w="446" w:type="pct"/>
                  <w:vMerge w:val="restart"/>
                  <w:tcBorders>
                    <w:tl2br w:val="nil"/>
                    <w:tr2bl w:val="nil"/>
                  </w:tcBorders>
                  <w:noWrap w:val="0"/>
                  <w:vAlign w:val="center"/>
                </w:tcPr>
                <w:p w14:paraId="3E51AE7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相对厂</w:t>
                  </w:r>
                </w:p>
                <w:p w14:paraId="3F50BD2B">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址方向</w:t>
                  </w:r>
                </w:p>
              </w:tc>
              <w:tc>
                <w:tcPr>
                  <w:tcW w:w="598" w:type="pct"/>
                  <w:vMerge w:val="restart"/>
                  <w:tcBorders>
                    <w:tl2br w:val="nil"/>
                    <w:tr2bl w:val="nil"/>
                  </w:tcBorders>
                  <w:noWrap w:val="0"/>
                  <w:vAlign w:val="center"/>
                </w:tcPr>
                <w:p w14:paraId="56265A6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相对厂界</w:t>
                  </w:r>
                </w:p>
                <w:p w14:paraId="36EBE69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rPr>
                    <w:t>距离</w:t>
                  </w:r>
                  <w:r>
                    <w:rPr>
                      <w:rFonts w:hint="default" w:ascii="Times New Roman" w:hAnsi="Times New Roman" w:eastAsia="宋体" w:cs="Times New Roman"/>
                      <w:b/>
                      <w:bCs/>
                      <w:color w:val="auto"/>
                      <w:szCs w:val="21"/>
                      <w:highlight w:val="none"/>
                      <w:lang w:eastAsia="zh-CN"/>
                    </w:rPr>
                    <w:t>/m</w:t>
                  </w:r>
                </w:p>
              </w:tc>
            </w:tr>
            <w:tr w14:paraId="17E69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397" w:hRule="atLeast"/>
                <w:jc w:val="center"/>
              </w:trPr>
              <w:tc>
                <w:tcPr>
                  <w:tcW w:w="330" w:type="pct"/>
                  <w:vMerge w:val="continue"/>
                  <w:tcBorders>
                    <w:tl2br w:val="nil"/>
                    <w:tr2bl w:val="nil"/>
                  </w:tcBorders>
                  <w:noWrap w:val="0"/>
                  <w:vAlign w:val="center"/>
                </w:tcPr>
                <w:p w14:paraId="32A78E4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825" w:type="pct"/>
                  <w:vMerge w:val="continue"/>
                  <w:tcBorders>
                    <w:tl2br w:val="nil"/>
                    <w:tr2bl w:val="nil"/>
                  </w:tcBorders>
                  <w:noWrap w:val="0"/>
                  <w:vAlign w:val="center"/>
                </w:tcPr>
                <w:p w14:paraId="2B9B064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657" w:type="pct"/>
                  <w:tcBorders>
                    <w:tl2br w:val="nil"/>
                    <w:tr2bl w:val="nil"/>
                  </w:tcBorders>
                  <w:noWrap w:val="0"/>
                  <w:vAlign w:val="center"/>
                </w:tcPr>
                <w:p w14:paraId="179D9FD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X</w:t>
                  </w:r>
                </w:p>
              </w:tc>
              <w:tc>
                <w:tcPr>
                  <w:tcW w:w="560" w:type="pct"/>
                  <w:tcBorders>
                    <w:tl2br w:val="nil"/>
                    <w:tr2bl w:val="nil"/>
                  </w:tcBorders>
                  <w:noWrap w:val="0"/>
                  <w:vAlign w:val="center"/>
                </w:tcPr>
                <w:p w14:paraId="0C776EAF">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Y</w:t>
                  </w:r>
                </w:p>
              </w:tc>
              <w:tc>
                <w:tcPr>
                  <w:tcW w:w="499" w:type="pct"/>
                  <w:vMerge w:val="continue"/>
                  <w:tcBorders>
                    <w:tl2br w:val="nil"/>
                    <w:tr2bl w:val="nil"/>
                  </w:tcBorders>
                  <w:noWrap w:val="0"/>
                  <w:vAlign w:val="center"/>
                </w:tcPr>
                <w:p w14:paraId="7D339D55">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635" w:type="pct"/>
                  <w:vMerge w:val="continue"/>
                  <w:tcBorders>
                    <w:tl2br w:val="nil"/>
                    <w:tr2bl w:val="nil"/>
                  </w:tcBorders>
                  <w:noWrap w:val="0"/>
                  <w:vAlign w:val="center"/>
                </w:tcPr>
                <w:p w14:paraId="1FF040EA">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446" w:type="pct"/>
                  <w:vMerge w:val="continue"/>
                  <w:tcBorders>
                    <w:tl2br w:val="nil"/>
                    <w:tr2bl w:val="nil"/>
                  </w:tcBorders>
                  <w:noWrap w:val="0"/>
                  <w:vAlign w:val="center"/>
                </w:tcPr>
                <w:p w14:paraId="681E3D8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446" w:type="pct"/>
                  <w:vMerge w:val="continue"/>
                  <w:tcBorders>
                    <w:tl2br w:val="nil"/>
                    <w:tr2bl w:val="nil"/>
                  </w:tcBorders>
                  <w:noWrap w:val="0"/>
                  <w:vAlign w:val="center"/>
                </w:tcPr>
                <w:p w14:paraId="4928B412">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c>
                <w:tcPr>
                  <w:tcW w:w="598" w:type="pct"/>
                  <w:vMerge w:val="continue"/>
                  <w:tcBorders>
                    <w:tl2br w:val="nil"/>
                    <w:tr2bl w:val="nil"/>
                  </w:tcBorders>
                  <w:noWrap w:val="0"/>
                  <w:vAlign w:val="center"/>
                </w:tcPr>
                <w:p w14:paraId="319CC01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p>
              </w:tc>
            </w:tr>
            <w:tr w14:paraId="1E0F9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 w:type="dxa"/>
                  <w:bottom w:w="0" w:type="dxa"/>
                  <w:right w:w="11" w:type="dxa"/>
                </w:tblCellMar>
              </w:tblPrEx>
              <w:trPr>
                <w:cantSplit/>
                <w:trHeight w:val="397" w:hRule="atLeast"/>
                <w:jc w:val="center"/>
              </w:trPr>
              <w:tc>
                <w:tcPr>
                  <w:tcW w:w="330" w:type="pct"/>
                  <w:tcBorders>
                    <w:tl2br w:val="nil"/>
                    <w:tr2bl w:val="nil"/>
                  </w:tcBorders>
                  <w:noWrap w:val="0"/>
                  <w:vAlign w:val="center"/>
                </w:tcPr>
                <w:p w14:paraId="59589F7B">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w:t>
                  </w:r>
                </w:p>
                <w:p w14:paraId="117CFDE5">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空气</w:t>
                  </w:r>
                </w:p>
              </w:tc>
              <w:tc>
                <w:tcPr>
                  <w:tcW w:w="825" w:type="pct"/>
                  <w:tcBorders>
                    <w:tl2br w:val="nil"/>
                    <w:tr2bl w:val="nil"/>
                  </w:tcBorders>
                  <w:noWrap w:val="0"/>
                  <w:vAlign w:val="center"/>
                </w:tcPr>
                <w:p w14:paraId="3C6F0F16">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永乐</w:t>
                  </w:r>
                  <w:r>
                    <w:rPr>
                      <w:rFonts w:hint="eastAsia" w:cs="Times New Roman"/>
                      <w:color w:val="auto"/>
                      <w:szCs w:val="21"/>
                      <w:highlight w:val="none"/>
                      <w:lang w:val="en-US" w:eastAsia="zh-CN"/>
                    </w:rPr>
                    <w:t>镇永乐村东一组</w:t>
                  </w:r>
                </w:p>
              </w:tc>
              <w:tc>
                <w:tcPr>
                  <w:tcW w:w="657" w:type="pct"/>
                  <w:tcBorders>
                    <w:tl2br w:val="nil"/>
                    <w:tr2bl w:val="nil"/>
                  </w:tcBorders>
                  <w:noWrap w:val="0"/>
                  <w:vAlign w:val="center"/>
                </w:tcPr>
                <w:p w14:paraId="2FD7987D">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490</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-92</w:t>
                  </w:r>
                </w:p>
              </w:tc>
              <w:tc>
                <w:tcPr>
                  <w:tcW w:w="560" w:type="pct"/>
                  <w:tcBorders>
                    <w:tl2br w:val="nil"/>
                    <w:tr2bl w:val="nil"/>
                  </w:tcBorders>
                  <w:noWrap w:val="0"/>
                  <w:vAlign w:val="center"/>
                </w:tcPr>
                <w:p w14:paraId="0ACFC6F9">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380</w:t>
                  </w:r>
                  <w:r>
                    <w:rPr>
                      <w:rFonts w:hint="default"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-350</w:t>
                  </w:r>
                </w:p>
              </w:tc>
              <w:tc>
                <w:tcPr>
                  <w:tcW w:w="499" w:type="pct"/>
                  <w:tcBorders>
                    <w:tl2br w:val="nil"/>
                    <w:tr2bl w:val="nil"/>
                  </w:tcBorders>
                  <w:noWrap w:val="0"/>
                  <w:vAlign w:val="center"/>
                </w:tcPr>
                <w:p w14:paraId="3E8F7B17">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居民</w:t>
                  </w:r>
                </w:p>
              </w:tc>
              <w:tc>
                <w:tcPr>
                  <w:tcW w:w="635" w:type="pct"/>
                  <w:tcBorders>
                    <w:tl2br w:val="nil"/>
                    <w:tr2bl w:val="nil"/>
                  </w:tcBorders>
                  <w:noWrap w:val="0"/>
                  <w:vAlign w:val="center"/>
                </w:tcPr>
                <w:p w14:paraId="01A1F2B3">
                  <w:pPr>
                    <w:keepNext w:val="0"/>
                    <w:keepLines w:val="0"/>
                    <w:pageBreakBefore w:val="0"/>
                    <w:widowControl w:val="0"/>
                    <w:kinsoku/>
                    <w:wordWrap/>
                    <w:overflowPunct/>
                    <w:topLinePunct w:val="0"/>
                    <w:autoSpaceDE/>
                    <w:autoSpaceDN/>
                    <w:bidi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村庄</w:t>
                  </w:r>
                </w:p>
              </w:tc>
              <w:tc>
                <w:tcPr>
                  <w:tcW w:w="446" w:type="pct"/>
                  <w:tcBorders>
                    <w:tl2br w:val="nil"/>
                    <w:tr2bl w:val="nil"/>
                  </w:tcBorders>
                  <w:noWrap w:val="0"/>
                  <w:vAlign w:val="center"/>
                </w:tcPr>
                <w:p w14:paraId="781E5A00">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二类</w:t>
                  </w:r>
                </w:p>
                <w:p w14:paraId="2FE4CCE1">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功能区</w:t>
                  </w:r>
                </w:p>
              </w:tc>
              <w:tc>
                <w:tcPr>
                  <w:tcW w:w="446" w:type="pct"/>
                  <w:tcBorders>
                    <w:tl2br w:val="nil"/>
                    <w:tr2bl w:val="nil"/>
                  </w:tcBorders>
                  <w:noWrap w:val="0"/>
                  <w:vAlign w:val="center"/>
                </w:tcPr>
                <w:p w14:paraId="1ACA7F4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W</w:t>
                  </w:r>
                </w:p>
              </w:tc>
              <w:tc>
                <w:tcPr>
                  <w:tcW w:w="598" w:type="pct"/>
                  <w:tcBorders>
                    <w:tl2br w:val="nil"/>
                    <w:tr2bl w:val="nil"/>
                  </w:tcBorders>
                  <w:noWrap w:val="0"/>
                  <w:vAlign w:val="center"/>
                </w:tcPr>
                <w:p w14:paraId="5671CB94">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160</w:t>
                  </w:r>
                </w:p>
              </w:tc>
            </w:tr>
          </w:tbl>
          <w:p w14:paraId="4FAEC45A">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lang w:val="en-US" w:eastAsia="zh-CN"/>
              </w:rPr>
            </w:pPr>
            <w:r>
              <w:rPr>
                <w:rFonts w:hint="default" w:ascii="Times New Roman" w:hAnsi="Times New Roman" w:eastAsia="宋体" w:cs="Times New Roman"/>
                <w:b/>
                <w:bCs/>
                <w:color w:val="auto"/>
                <w:sz w:val="21"/>
                <w:szCs w:val="21"/>
              </w:rPr>
              <w:t>注：以厂界西南角为原点（0,0）</w:t>
            </w:r>
          </w:p>
          <w:p w14:paraId="4F99F17F">
            <w:pPr>
              <w:pStyle w:val="4"/>
              <w:numPr>
                <w:ilvl w:val="0"/>
                <w:numId w:val="0"/>
              </w:numPr>
              <w:spacing w:line="360" w:lineRule="auto"/>
              <w:rPr>
                <w:rFonts w:hint="default" w:ascii="Times New Roman" w:hAnsi="Times New Roman" w:cs="Times New Roman"/>
                <w:b/>
                <w:bCs/>
                <w:color w:val="000000"/>
                <w:sz w:val="24"/>
                <w:szCs w:val="24"/>
                <w:lang w:val="en-US" w:eastAsia="zh-CN"/>
              </w:rPr>
            </w:pPr>
            <w:bookmarkStart w:id="7" w:name="_Toc5228"/>
            <w:r>
              <w:rPr>
                <w:rFonts w:hint="eastAsia" w:ascii="Times New Roman" w:hAnsi="Times New Roman" w:cs="Times New Roman"/>
                <w:b/>
                <w:bCs/>
                <w:color w:val="000000"/>
                <w:sz w:val="24"/>
                <w:szCs w:val="24"/>
                <w:lang w:val="en-US" w:eastAsia="zh-CN"/>
              </w:rPr>
              <w:t>2</w:t>
            </w:r>
            <w:r>
              <w:rPr>
                <w:rFonts w:hint="eastAsia" w:ascii="Times New Roman" w:hAnsi="Times New Roman" w:eastAsia="宋体" w:cs="Times New Roman"/>
                <w:b/>
                <w:bCs/>
                <w:color w:val="auto"/>
                <w:sz w:val="24"/>
                <w:lang w:val="en-US" w:eastAsia="zh-CN"/>
              </w:rPr>
              <w:t>、</w:t>
            </w:r>
            <w:r>
              <w:rPr>
                <w:rFonts w:hint="default" w:ascii="Times New Roman" w:hAnsi="Times New Roman" w:cs="Times New Roman"/>
                <w:b/>
                <w:bCs/>
                <w:color w:val="000000"/>
                <w:sz w:val="24"/>
                <w:szCs w:val="24"/>
                <w:lang w:val="en-US" w:eastAsia="zh-CN"/>
              </w:rPr>
              <w:t>声环境</w:t>
            </w:r>
            <w:bookmarkEnd w:id="7"/>
          </w:p>
          <w:p w14:paraId="13D06FC5">
            <w:pPr>
              <w:pStyle w:val="4"/>
              <w:numPr>
                <w:ilvl w:val="0"/>
                <w:numId w:val="0"/>
              </w:numPr>
              <w:spacing w:line="360" w:lineRule="auto"/>
              <w:ind w:firstLine="480" w:firstLineChars="200"/>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本项目厂界外50米范围内无声环境保护目标。</w:t>
            </w:r>
          </w:p>
          <w:p w14:paraId="12817031">
            <w:pPr>
              <w:numPr>
                <w:ilvl w:val="0"/>
                <w:numId w:val="0"/>
              </w:numPr>
              <w:spacing w:line="360" w:lineRule="auto"/>
              <w:ind w:leftChars="0"/>
              <w:rPr>
                <w:rFonts w:hint="default" w:ascii="Times New Roman" w:hAnsi="Times New Roman" w:cs="Times New Roman"/>
                <w:b/>
                <w:bCs/>
                <w:color w:val="000000"/>
                <w:sz w:val="24"/>
                <w:szCs w:val="24"/>
                <w:lang w:val="en-US" w:eastAsia="zh-CN"/>
              </w:rPr>
            </w:pPr>
            <w:r>
              <w:rPr>
                <w:rFonts w:hint="eastAsia" w:ascii="Times New Roman" w:hAnsi="Times New Roman" w:cs="Times New Roman"/>
                <w:b/>
                <w:bCs/>
                <w:color w:val="000000"/>
                <w:sz w:val="24"/>
                <w:szCs w:val="24"/>
                <w:lang w:val="en-US" w:eastAsia="zh-CN"/>
              </w:rPr>
              <w:t>3、</w:t>
            </w:r>
            <w:r>
              <w:rPr>
                <w:rFonts w:hint="default" w:ascii="Times New Roman" w:hAnsi="Times New Roman" w:cs="Times New Roman"/>
                <w:b/>
                <w:bCs/>
                <w:color w:val="000000"/>
                <w:sz w:val="24"/>
                <w:szCs w:val="24"/>
                <w:lang w:val="en-US" w:eastAsia="zh-CN"/>
              </w:rPr>
              <w:t>地下水环境</w:t>
            </w:r>
          </w:p>
          <w:p w14:paraId="51F6AA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32"/>
              </w:rPr>
            </w:pPr>
            <w:r>
              <w:rPr>
                <w:rFonts w:hint="eastAsia" w:ascii="Times New Roman" w:hAnsi="Times New Roman" w:eastAsia="宋体" w:cs="宋体"/>
                <w:color w:val="auto"/>
                <w:sz w:val="24"/>
                <w:szCs w:val="24"/>
              </w:rPr>
              <w:t>经实地调查了解，</w:t>
            </w:r>
            <w:r>
              <w:rPr>
                <w:rFonts w:hint="eastAsia" w:ascii="Times New Roman" w:hAnsi="Times New Roman" w:eastAsia="宋体" w:cs="宋体"/>
                <w:color w:val="auto"/>
                <w:kern w:val="0"/>
                <w:sz w:val="24"/>
                <w:szCs w:val="24"/>
                <w:lang w:val="en-US" w:eastAsia="zh-CN"/>
              </w:rPr>
              <w:t>本项目</w:t>
            </w:r>
            <w:r>
              <w:rPr>
                <w:rFonts w:hint="eastAsia" w:ascii="Times New Roman" w:hAnsi="Times New Roman" w:eastAsia="宋体" w:cs="宋体"/>
                <w:color w:val="auto"/>
                <w:sz w:val="24"/>
                <w:szCs w:val="24"/>
                <w:lang w:val="en-US" w:eastAsia="zh-CN"/>
              </w:rPr>
              <w:t>厂界外500m范围内无地下水集中式饮用水水源和热水、矿泉水、温泉等特殊地下水资源</w:t>
            </w:r>
            <w:r>
              <w:rPr>
                <w:rFonts w:hint="eastAsia" w:cs="宋体"/>
                <w:color w:val="auto"/>
                <w:sz w:val="24"/>
                <w:szCs w:val="24"/>
                <w:lang w:val="en-US" w:eastAsia="zh-CN"/>
              </w:rPr>
              <w:t>。</w:t>
            </w:r>
          </w:p>
        </w:tc>
      </w:tr>
      <w:tr w14:paraId="066D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6" w:hRule="atLeast"/>
          <w:jc w:val="center"/>
        </w:trPr>
        <w:tc>
          <w:tcPr>
            <w:tcW w:w="469" w:type="dxa"/>
            <w:noWrap w:val="0"/>
            <w:vAlign w:val="center"/>
          </w:tcPr>
          <w:p w14:paraId="60563A74">
            <w:pPr>
              <w:adjustRightInd w:val="0"/>
              <w:snapToGrid w:val="0"/>
              <w:jc w:val="left"/>
              <w:rPr>
                <w:color w:val="auto"/>
                <w:kern w:val="0"/>
                <w:sz w:val="24"/>
              </w:rPr>
            </w:pPr>
            <w:r>
              <w:rPr>
                <w:color w:val="auto"/>
                <w:kern w:val="0"/>
                <w:sz w:val="24"/>
              </w:rPr>
              <w:t>污染</w:t>
            </w:r>
          </w:p>
          <w:p w14:paraId="4A29BD72">
            <w:pPr>
              <w:adjustRightInd w:val="0"/>
              <w:snapToGrid w:val="0"/>
              <w:jc w:val="left"/>
              <w:rPr>
                <w:color w:val="auto"/>
                <w:kern w:val="0"/>
                <w:sz w:val="24"/>
              </w:rPr>
            </w:pPr>
            <w:r>
              <w:rPr>
                <w:color w:val="auto"/>
                <w:kern w:val="0"/>
                <w:sz w:val="24"/>
              </w:rPr>
              <w:t>物排</w:t>
            </w:r>
          </w:p>
          <w:p w14:paraId="1BAF3223">
            <w:pPr>
              <w:adjustRightInd w:val="0"/>
              <w:snapToGrid w:val="0"/>
              <w:jc w:val="left"/>
              <w:rPr>
                <w:color w:val="auto"/>
                <w:kern w:val="0"/>
                <w:sz w:val="24"/>
              </w:rPr>
            </w:pPr>
            <w:r>
              <w:rPr>
                <w:color w:val="auto"/>
                <w:kern w:val="0"/>
                <w:sz w:val="24"/>
              </w:rPr>
              <w:t>放控</w:t>
            </w:r>
          </w:p>
          <w:p w14:paraId="4D9B3268">
            <w:pPr>
              <w:adjustRightInd w:val="0"/>
              <w:snapToGrid w:val="0"/>
              <w:jc w:val="left"/>
              <w:rPr>
                <w:color w:val="auto"/>
                <w:kern w:val="0"/>
                <w:sz w:val="24"/>
              </w:rPr>
            </w:pPr>
            <w:r>
              <w:rPr>
                <w:color w:val="auto"/>
                <w:kern w:val="0"/>
                <w:sz w:val="24"/>
              </w:rPr>
              <w:t>制标</w:t>
            </w:r>
          </w:p>
          <w:p w14:paraId="1DF4CC27">
            <w:pPr>
              <w:adjustRightInd w:val="0"/>
              <w:snapToGrid w:val="0"/>
              <w:jc w:val="left"/>
              <w:rPr>
                <w:color w:val="auto"/>
                <w:kern w:val="0"/>
                <w:sz w:val="24"/>
              </w:rPr>
            </w:pPr>
            <w:r>
              <w:rPr>
                <w:color w:val="auto"/>
                <w:kern w:val="0"/>
                <w:sz w:val="24"/>
              </w:rPr>
              <w:t>准</w:t>
            </w:r>
          </w:p>
        </w:tc>
        <w:tc>
          <w:tcPr>
            <w:tcW w:w="8521" w:type="dxa"/>
            <w:noWrap w:val="0"/>
            <w:vAlign w:val="center"/>
          </w:tcPr>
          <w:p w14:paraId="1E29A845">
            <w:pPr>
              <w:keepNext w:val="0"/>
              <w:keepLines w:val="0"/>
              <w:pageBreakBefore w:val="0"/>
              <w:widowControl w:val="0"/>
              <w:numPr>
                <w:ilvl w:val="0"/>
                <w:numId w:val="7"/>
              </w:numPr>
              <w:kinsoku/>
              <w:wordWrap/>
              <w:overflowPunct/>
              <w:topLinePunct w:val="0"/>
              <w:autoSpaceDE/>
              <w:autoSpaceDN/>
              <w:bidi w:val="0"/>
              <w:adjustRightInd w:val="0"/>
              <w:snapToGrid w:val="0"/>
              <w:spacing w:before="120" w:line="360" w:lineRule="auto"/>
              <w:textAlignment w:val="auto"/>
              <w:rPr>
                <w:rFonts w:hint="eastAsia"/>
                <w:b/>
                <w:bCs/>
                <w:sz w:val="24"/>
                <w:lang w:eastAsia="zh-CN"/>
              </w:rPr>
            </w:pPr>
            <w:r>
              <w:rPr>
                <w:rFonts w:hint="eastAsia"/>
                <w:b/>
                <w:bCs/>
                <w:sz w:val="24"/>
                <w:lang w:eastAsia="zh-CN"/>
              </w:rPr>
              <w:t>废气</w:t>
            </w:r>
          </w:p>
          <w:p w14:paraId="24E469A2">
            <w:pPr>
              <w:pStyle w:val="4"/>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宋体" w:cs="Times New Roman"/>
                <w:b w:val="0"/>
                <w:bCs w:val="0"/>
                <w:color w:val="000000"/>
                <w:kern w:val="2"/>
                <w:sz w:val="24"/>
                <w:szCs w:val="24"/>
                <w:lang w:val="en-US" w:eastAsia="zh-CN" w:bidi="ar-SA"/>
              </w:rPr>
            </w:pPr>
            <w:bookmarkStart w:id="8" w:name="_Toc32655"/>
            <w:r>
              <w:rPr>
                <w:rFonts w:hint="default" w:ascii="Times New Roman" w:hAnsi="Times New Roman" w:eastAsia="宋体" w:cs="Times New Roman"/>
                <w:b w:val="0"/>
                <w:bCs w:val="0"/>
                <w:color w:val="000000"/>
                <w:kern w:val="2"/>
                <w:sz w:val="24"/>
                <w:szCs w:val="24"/>
                <w:lang w:val="en-US" w:eastAsia="zh-CN" w:bidi="ar-SA"/>
              </w:rPr>
              <w:t>项目运营期有组织非甲烷总烃执行《合成树脂工业污染物排放标准》（GB31572-2015</w:t>
            </w:r>
            <w:r>
              <w:rPr>
                <w:rFonts w:hint="eastAsia" w:ascii="Times New Roman" w:hAnsi="Times New Roman" w:eastAsia="宋体" w:cs="Times New Roman"/>
                <w:b w:val="0"/>
                <w:bCs w:val="0"/>
                <w:color w:val="000000"/>
                <w:kern w:val="2"/>
                <w:sz w:val="24"/>
                <w:szCs w:val="24"/>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含2024年修改单</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lang w:val="en-US" w:eastAsia="zh-CN" w:bidi="ar-SA"/>
              </w:rPr>
              <w:t>中表5相关标准限值；厂界无组织非甲烷总烃执行《合成树脂工业污染物排放标准》（GB31572-2015</w:t>
            </w:r>
            <w:r>
              <w:rPr>
                <w:rFonts w:hint="eastAsia" w:ascii="Times New Roman" w:hAnsi="Times New Roman" w:eastAsia="宋体" w:cs="Times New Roman"/>
                <w:b w:val="0"/>
                <w:bCs w:val="0"/>
                <w:color w:val="000000"/>
                <w:kern w:val="2"/>
                <w:sz w:val="24"/>
                <w:szCs w:val="24"/>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含2024年修改单</w:t>
            </w:r>
            <w:r>
              <w:rPr>
                <w:rFonts w:hint="default"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000000"/>
                <w:kern w:val="2"/>
                <w:sz w:val="24"/>
                <w:szCs w:val="24"/>
                <w:lang w:val="en-US" w:eastAsia="zh-CN" w:bidi="ar-SA"/>
              </w:rPr>
              <w:t>中表9相关标准限值；厂区内无</w:t>
            </w:r>
            <w:r>
              <w:rPr>
                <w:rFonts w:hint="eastAsia" w:ascii="Times New Roman" w:hAnsi="Times New Roman" w:eastAsia="宋体" w:cs="Times New Roman"/>
                <w:b w:val="0"/>
                <w:bCs w:val="0"/>
                <w:color w:val="000000"/>
                <w:kern w:val="2"/>
                <w:sz w:val="24"/>
                <w:szCs w:val="24"/>
                <w:lang w:val="en-US" w:eastAsia="zh-CN" w:bidi="ar-SA"/>
              </w:rPr>
              <w:t>组织</w:t>
            </w:r>
            <w:r>
              <w:rPr>
                <w:rFonts w:hint="default" w:ascii="Times New Roman" w:hAnsi="Times New Roman" w:eastAsia="宋体" w:cs="Times New Roman"/>
                <w:b w:val="0"/>
                <w:bCs w:val="0"/>
                <w:color w:val="000000"/>
                <w:kern w:val="2"/>
                <w:sz w:val="24"/>
                <w:szCs w:val="24"/>
                <w:lang w:val="en-US" w:eastAsia="zh-CN" w:bidi="ar-SA"/>
              </w:rPr>
              <w:t>非甲烷总烃执行《挥发性有机物无组织排放控制标准（GB37822-2019）》</w:t>
            </w:r>
            <w:r>
              <w:rPr>
                <w:rFonts w:hint="eastAsia" w:ascii="Times New Roman" w:hAnsi="Times New Roman" w:eastAsia="宋体" w:cs="Times New Roman"/>
                <w:b w:val="0"/>
                <w:bCs w:val="0"/>
                <w:color w:val="000000"/>
                <w:kern w:val="2"/>
                <w:sz w:val="24"/>
                <w:szCs w:val="24"/>
                <w:lang w:val="en-US" w:eastAsia="zh-CN" w:bidi="ar-SA"/>
              </w:rPr>
              <w:t>表A.1</w:t>
            </w:r>
            <w:r>
              <w:rPr>
                <w:rFonts w:hint="default" w:ascii="Times New Roman" w:hAnsi="Times New Roman" w:eastAsia="宋体" w:cs="Times New Roman"/>
                <w:b w:val="0"/>
                <w:bCs w:val="0"/>
                <w:color w:val="000000"/>
                <w:kern w:val="2"/>
                <w:sz w:val="24"/>
                <w:szCs w:val="24"/>
                <w:lang w:val="en-US" w:eastAsia="zh-CN" w:bidi="ar-SA"/>
              </w:rPr>
              <w:t>特别排放标准限值。</w:t>
            </w:r>
          </w:p>
          <w:bookmarkEnd w:id="8"/>
          <w:p w14:paraId="29EA19C5">
            <w:pPr>
              <w:pStyle w:val="4"/>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default" w:ascii="Times New Roman" w:hAnsi="Times New Roman" w:cs="Times New Roman" w:eastAsiaTheme="majorEastAsia"/>
                <w:b/>
                <w:bCs/>
                <w:color w:val="000000"/>
                <w:sz w:val="21"/>
                <w:szCs w:val="21"/>
                <w:lang w:val="en-US" w:eastAsia="zh-CN" w:bidi="ar"/>
              </w:rPr>
            </w:pPr>
            <w:r>
              <w:rPr>
                <w:rFonts w:hint="default" w:ascii="Times New Roman" w:hAnsi="Times New Roman" w:cs="Times New Roman" w:eastAsiaTheme="majorEastAsia"/>
                <w:b/>
                <w:bCs/>
                <w:color w:val="000000"/>
                <w:sz w:val="21"/>
                <w:szCs w:val="21"/>
                <w:lang w:val="en-US" w:eastAsia="zh-CN" w:bidi="ar"/>
              </w:rPr>
              <w:t>表3-</w:t>
            </w:r>
            <w:r>
              <w:rPr>
                <w:rFonts w:hint="eastAsia" w:ascii="Times New Roman" w:hAnsi="Times New Roman" w:cs="Times New Roman" w:eastAsiaTheme="majorEastAsia"/>
                <w:b/>
                <w:bCs/>
                <w:color w:val="000000"/>
                <w:sz w:val="21"/>
                <w:szCs w:val="21"/>
                <w:lang w:val="en-US" w:eastAsia="zh-CN" w:bidi="ar"/>
              </w:rPr>
              <w:t>5</w:t>
            </w:r>
            <w:r>
              <w:rPr>
                <w:rFonts w:hint="default" w:ascii="Times New Roman" w:hAnsi="Times New Roman" w:cs="Times New Roman" w:eastAsiaTheme="majorEastAsia"/>
                <w:b/>
                <w:bCs/>
                <w:color w:val="000000"/>
                <w:sz w:val="21"/>
                <w:szCs w:val="21"/>
                <w:lang w:val="en-US" w:eastAsia="zh-CN" w:bidi="ar"/>
              </w:rPr>
              <w:t xml:space="preserve"> 废气污染物排放执行标准</w:t>
            </w:r>
          </w:p>
          <w:tbl>
            <w:tblPr>
              <w:tblStyle w:val="26"/>
              <w:tblW w:w="8200" w:type="dxa"/>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1713"/>
              <w:gridCol w:w="2520"/>
              <w:gridCol w:w="1575"/>
              <w:gridCol w:w="1359"/>
            </w:tblGrid>
            <w:tr w14:paraId="65BFC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33" w:type="dxa"/>
                  <w:tcBorders>
                    <w:tl2br w:val="nil"/>
                    <w:tr2bl w:val="nil"/>
                  </w:tcBorders>
                  <w:noWrap w:val="0"/>
                  <w:vAlign w:val="center"/>
                </w:tcPr>
                <w:p w14:paraId="22969DDA">
                  <w:pPr>
                    <w:adjustRightInd w:val="0"/>
                    <w:snapToGrid w:val="0"/>
                    <w:jc w:val="center"/>
                    <w:rPr>
                      <w:rFonts w:hint="eastAsia"/>
                      <w:b/>
                      <w:bCs/>
                      <w:color w:val="auto"/>
                      <w:kern w:val="0"/>
                      <w:szCs w:val="21"/>
                    </w:rPr>
                  </w:pPr>
                  <w:r>
                    <w:rPr>
                      <w:rFonts w:hint="eastAsia"/>
                      <w:b/>
                      <w:bCs/>
                      <w:color w:val="auto"/>
                      <w:kern w:val="0"/>
                      <w:szCs w:val="21"/>
                    </w:rPr>
                    <w:t>监控</w:t>
                  </w:r>
                </w:p>
                <w:p w14:paraId="104CB1B4">
                  <w:pPr>
                    <w:adjustRightInd w:val="0"/>
                    <w:snapToGrid w:val="0"/>
                    <w:jc w:val="center"/>
                    <w:rPr>
                      <w:rFonts w:hint="eastAsia"/>
                      <w:b/>
                      <w:bCs/>
                      <w:color w:val="auto"/>
                      <w:kern w:val="0"/>
                      <w:szCs w:val="21"/>
                    </w:rPr>
                  </w:pPr>
                  <w:r>
                    <w:rPr>
                      <w:rFonts w:hint="eastAsia"/>
                      <w:b/>
                      <w:bCs/>
                      <w:color w:val="auto"/>
                      <w:kern w:val="0"/>
                      <w:szCs w:val="21"/>
                    </w:rPr>
                    <w:t>位置</w:t>
                  </w:r>
                </w:p>
              </w:tc>
              <w:tc>
                <w:tcPr>
                  <w:tcW w:w="1713" w:type="dxa"/>
                  <w:tcBorders>
                    <w:tl2br w:val="nil"/>
                    <w:tr2bl w:val="nil"/>
                  </w:tcBorders>
                  <w:noWrap w:val="0"/>
                  <w:vAlign w:val="center"/>
                </w:tcPr>
                <w:p w14:paraId="3CD09A43">
                  <w:pPr>
                    <w:adjustRightInd w:val="0"/>
                    <w:snapToGrid w:val="0"/>
                    <w:jc w:val="center"/>
                    <w:rPr>
                      <w:rFonts w:hint="eastAsia"/>
                      <w:b/>
                      <w:bCs/>
                      <w:color w:val="auto"/>
                      <w:kern w:val="0"/>
                      <w:szCs w:val="21"/>
                    </w:rPr>
                  </w:pPr>
                  <w:r>
                    <w:rPr>
                      <w:rFonts w:hint="eastAsia"/>
                      <w:b/>
                      <w:bCs/>
                      <w:color w:val="auto"/>
                      <w:kern w:val="0"/>
                      <w:szCs w:val="21"/>
                    </w:rPr>
                    <w:t>污染物</w:t>
                  </w:r>
                </w:p>
              </w:tc>
              <w:tc>
                <w:tcPr>
                  <w:tcW w:w="2520" w:type="dxa"/>
                  <w:tcBorders>
                    <w:tl2br w:val="nil"/>
                    <w:tr2bl w:val="nil"/>
                  </w:tcBorders>
                  <w:noWrap w:val="0"/>
                  <w:vAlign w:val="center"/>
                </w:tcPr>
                <w:p w14:paraId="70EFCE8E">
                  <w:pPr>
                    <w:adjustRightInd w:val="0"/>
                    <w:snapToGrid w:val="0"/>
                    <w:jc w:val="center"/>
                    <w:rPr>
                      <w:rFonts w:hint="eastAsia"/>
                      <w:b/>
                      <w:bCs/>
                      <w:color w:val="auto"/>
                      <w:kern w:val="0"/>
                      <w:szCs w:val="21"/>
                    </w:rPr>
                  </w:pPr>
                  <w:r>
                    <w:rPr>
                      <w:rFonts w:hint="eastAsia"/>
                      <w:b/>
                      <w:bCs/>
                      <w:color w:val="auto"/>
                      <w:kern w:val="0"/>
                      <w:szCs w:val="21"/>
                    </w:rPr>
                    <w:t>执行标准</w:t>
                  </w:r>
                </w:p>
              </w:tc>
              <w:tc>
                <w:tcPr>
                  <w:tcW w:w="2934" w:type="dxa"/>
                  <w:gridSpan w:val="2"/>
                  <w:tcBorders>
                    <w:tl2br w:val="nil"/>
                    <w:tr2bl w:val="nil"/>
                  </w:tcBorders>
                  <w:noWrap w:val="0"/>
                  <w:vAlign w:val="center"/>
                </w:tcPr>
                <w:p w14:paraId="1E2CB101">
                  <w:pPr>
                    <w:adjustRightInd w:val="0"/>
                    <w:snapToGrid w:val="0"/>
                    <w:jc w:val="center"/>
                    <w:rPr>
                      <w:rFonts w:hint="eastAsia"/>
                      <w:b/>
                      <w:bCs/>
                      <w:color w:val="auto"/>
                      <w:kern w:val="0"/>
                      <w:szCs w:val="21"/>
                    </w:rPr>
                  </w:pPr>
                  <w:r>
                    <w:rPr>
                      <w:rFonts w:hint="eastAsia"/>
                      <w:b/>
                      <w:bCs/>
                      <w:color w:val="auto"/>
                      <w:kern w:val="0"/>
                      <w:szCs w:val="21"/>
                    </w:rPr>
                    <w:t>最高允许排放浓度</w:t>
                  </w:r>
                </w:p>
              </w:tc>
            </w:tr>
            <w:tr w14:paraId="03FE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033" w:type="dxa"/>
                  <w:tcBorders>
                    <w:tl2br w:val="nil"/>
                    <w:tr2bl w:val="nil"/>
                  </w:tcBorders>
                  <w:noWrap w:val="0"/>
                  <w:vAlign w:val="center"/>
                </w:tcPr>
                <w:p w14:paraId="67FB3CD4">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highlight w:val="none"/>
                    </w:rPr>
                  </w:pPr>
                  <w:r>
                    <w:rPr>
                      <w:rFonts w:hint="eastAsia"/>
                      <w:color w:val="auto"/>
                      <w:kern w:val="0"/>
                      <w:szCs w:val="21"/>
                      <w:highlight w:val="none"/>
                    </w:rPr>
                    <w:t>排气筒</w:t>
                  </w:r>
                </w:p>
              </w:tc>
              <w:tc>
                <w:tcPr>
                  <w:tcW w:w="1713" w:type="dxa"/>
                  <w:tcBorders>
                    <w:tl2br w:val="nil"/>
                    <w:tr2bl w:val="nil"/>
                  </w:tcBorders>
                  <w:noWrap w:val="0"/>
                  <w:vAlign w:val="center"/>
                </w:tcPr>
                <w:p w14:paraId="6696AA14">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eastAsia="宋体"/>
                      <w:color w:val="auto"/>
                      <w:kern w:val="0"/>
                      <w:szCs w:val="21"/>
                      <w:highlight w:val="none"/>
                      <w:lang w:eastAsia="zh-CN"/>
                    </w:rPr>
                  </w:pPr>
                  <w:r>
                    <w:rPr>
                      <w:rFonts w:hint="eastAsia"/>
                      <w:color w:val="auto"/>
                      <w:kern w:val="0"/>
                      <w:szCs w:val="21"/>
                      <w:highlight w:val="none"/>
                      <w:lang w:eastAsia="zh-CN"/>
                    </w:rPr>
                    <w:t>非甲烷总烃</w:t>
                  </w:r>
                </w:p>
              </w:tc>
              <w:tc>
                <w:tcPr>
                  <w:tcW w:w="2520" w:type="dxa"/>
                  <w:tcBorders>
                    <w:tl2br w:val="nil"/>
                    <w:tr2bl w:val="nil"/>
                  </w:tcBorders>
                  <w:noWrap w:val="0"/>
                  <w:vAlign w:val="center"/>
                </w:tcPr>
                <w:p w14:paraId="497AE3F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ascii="Times New Roman" w:hAnsi="Times New Roman" w:eastAsia="宋体" w:cs="Times New Roman"/>
                      <w:color w:val="auto"/>
                      <w:sz w:val="21"/>
                    </w:rPr>
                    <w:t>《合成树脂工业污染物排放标准》（GB31572-2015</w:t>
                  </w:r>
                  <w:r>
                    <w:rPr>
                      <w:rFonts w:hint="eastAsia" w:cs="Times New Roman"/>
                      <w:color w:val="auto"/>
                      <w:sz w:val="21"/>
                      <w:lang w:eastAsia="zh-CN"/>
                    </w:rPr>
                    <w:t>，</w:t>
                  </w:r>
                  <w:r>
                    <w:rPr>
                      <w:rFonts w:hint="eastAsia" w:ascii="Times New Roman" w:hAnsi="Times New Roman" w:eastAsia="宋体" w:cs="Times New Roman"/>
                      <w:color w:val="auto"/>
                      <w:sz w:val="21"/>
                      <w:highlight w:val="none"/>
                      <w:lang w:val="en-US" w:eastAsia="zh-CN"/>
                    </w:rPr>
                    <w:t>含2024年修改单</w:t>
                  </w:r>
                  <w:r>
                    <w:rPr>
                      <w:rFonts w:hint="eastAsia" w:ascii="Times New Roman" w:hAnsi="Times New Roman" w:eastAsia="宋体" w:cs="Times New Roman"/>
                      <w:color w:val="auto"/>
                      <w:sz w:val="21"/>
                      <w:highlight w:val="none"/>
                    </w:rPr>
                    <w:t>）</w:t>
                  </w:r>
                </w:p>
              </w:tc>
              <w:tc>
                <w:tcPr>
                  <w:tcW w:w="2934" w:type="dxa"/>
                  <w:gridSpan w:val="2"/>
                  <w:tcBorders>
                    <w:tl2br w:val="nil"/>
                    <w:tr2bl w:val="nil"/>
                  </w:tcBorders>
                  <w:noWrap w:val="0"/>
                  <w:vAlign w:val="center"/>
                </w:tcPr>
                <w:p w14:paraId="7616C188">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color w:val="auto"/>
                      <w:kern w:val="0"/>
                      <w:szCs w:val="21"/>
                      <w:lang w:val="en-US" w:eastAsia="zh-CN"/>
                    </w:rPr>
                    <w:t>6</w:t>
                  </w:r>
                  <w:r>
                    <w:rPr>
                      <w:color w:val="auto"/>
                      <w:kern w:val="0"/>
                      <w:szCs w:val="21"/>
                    </w:rPr>
                    <w:t>0mg/m</w:t>
                  </w:r>
                  <w:r>
                    <w:rPr>
                      <w:color w:val="auto"/>
                      <w:kern w:val="0"/>
                      <w:szCs w:val="21"/>
                      <w:vertAlign w:val="superscript"/>
                    </w:rPr>
                    <w:t>3</w:t>
                  </w:r>
                </w:p>
              </w:tc>
            </w:tr>
            <w:tr w14:paraId="0444C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33" w:type="dxa"/>
                  <w:tcBorders>
                    <w:tl2br w:val="nil"/>
                    <w:tr2bl w:val="nil"/>
                  </w:tcBorders>
                  <w:noWrap w:val="0"/>
                  <w:vAlign w:val="center"/>
                </w:tcPr>
                <w:p w14:paraId="2E8AD7ED">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厂界</w:t>
                  </w:r>
                </w:p>
              </w:tc>
              <w:tc>
                <w:tcPr>
                  <w:tcW w:w="1713" w:type="dxa"/>
                  <w:tcBorders>
                    <w:tl2br w:val="nil"/>
                    <w:tr2bl w:val="nil"/>
                  </w:tcBorders>
                  <w:noWrap w:val="0"/>
                  <w:vAlign w:val="center"/>
                </w:tcPr>
                <w:p w14:paraId="6D54522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lang w:eastAsia="zh-CN"/>
                    </w:rPr>
                    <w:t>非甲烷总烃</w:t>
                  </w:r>
                </w:p>
              </w:tc>
              <w:tc>
                <w:tcPr>
                  <w:tcW w:w="2520" w:type="dxa"/>
                  <w:tcBorders>
                    <w:tl2br w:val="nil"/>
                    <w:tr2bl w:val="nil"/>
                  </w:tcBorders>
                  <w:noWrap w:val="0"/>
                  <w:vAlign w:val="center"/>
                </w:tcPr>
                <w:p w14:paraId="246B1B6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rFonts w:hint="eastAsia" w:ascii="Times New Roman" w:hAnsi="Times New Roman" w:eastAsia="宋体" w:cs="Times New Roman"/>
                      <w:color w:val="auto"/>
                      <w:sz w:val="21"/>
                    </w:rPr>
                    <w:t>《合成树脂工业污染物排放标准》（GB31572-2015</w:t>
                  </w:r>
                  <w:r>
                    <w:rPr>
                      <w:rFonts w:hint="eastAsia" w:cs="Times New Roman"/>
                      <w:color w:val="auto"/>
                      <w:sz w:val="21"/>
                      <w:lang w:eastAsia="zh-CN"/>
                    </w:rPr>
                    <w:t>，</w:t>
                  </w:r>
                  <w:r>
                    <w:rPr>
                      <w:rFonts w:hint="eastAsia" w:ascii="Times New Roman" w:hAnsi="Times New Roman" w:eastAsia="宋体" w:cs="Times New Roman"/>
                      <w:color w:val="auto"/>
                      <w:sz w:val="21"/>
                      <w:highlight w:val="none"/>
                      <w:lang w:val="en-US" w:eastAsia="zh-CN"/>
                    </w:rPr>
                    <w:t>含2024年修改单</w:t>
                  </w:r>
                  <w:r>
                    <w:rPr>
                      <w:rFonts w:hint="eastAsia" w:ascii="Times New Roman" w:hAnsi="Times New Roman" w:eastAsia="宋体" w:cs="Times New Roman"/>
                      <w:color w:val="auto"/>
                      <w:sz w:val="21"/>
                    </w:rPr>
                    <w:t>）</w:t>
                  </w:r>
                </w:p>
              </w:tc>
              <w:tc>
                <w:tcPr>
                  <w:tcW w:w="2934" w:type="dxa"/>
                  <w:gridSpan w:val="2"/>
                  <w:tcBorders>
                    <w:tl2br w:val="nil"/>
                    <w:tr2bl w:val="nil"/>
                  </w:tcBorders>
                  <w:noWrap w:val="0"/>
                  <w:vAlign w:val="center"/>
                </w:tcPr>
                <w:p w14:paraId="2CBD2D8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lang w:val="en-US" w:eastAsia="zh-CN"/>
                    </w:rPr>
                    <w:t>4.0</w:t>
                  </w:r>
                  <w:r>
                    <w:rPr>
                      <w:color w:val="auto"/>
                      <w:kern w:val="0"/>
                      <w:szCs w:val="21"/>
                    </w:rPr>
                    <w:t>mg/m</w:t>
                  </w:r>
                  <w:r>
                    <w:rPr>
                      <w:color w:val="auto"/>
                      <w:kern w:val="0"/>
                      <w:szCs w:val="21"/>
                      <w:vertAlign w:val="superscript"/>
                    </w:rPr>
                    <w:t>3</w:t>
                  </w:r>
                </w:p>
              </w:tc>
            </w:tr>
            <w:tr w14:paraId="619C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033" w:type="dxa"/>
                  <w:vMerge w:val="restart"/>
                  <w:tcBorders>
                    <w:tl2br w:val="nil"/>
                    <w:tr2bl w:val="nil"/>
                  </w:tcBorders>
                  <w:noWrap w:val="0"/>
                  <w:vAlign w:val="center"/>
                </w:tcPr>
                <w:p w14:paraId="7378320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厂区内</w:t>
                  </w:r>
                </w:p>
              </w:tc>
              <w:tc>
                <w:tcPr>
                  <w:tcW w:w="1713" w:type="dxa"/>
                  <w:vMerge w:val="restart"/>
                  <w:tcBorders>
                    <w:tl2br w:val="nil"/>
                    <w:tr2bl w:val="nil"/>
                  </w:tcBorders>
                  <w:noWrap w:val="0"/>
                  <w:vAlign w:val="center"/>
                </w:tcPr>
                <w:p w14:paraId="3A259E7B">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lang w:eastAsia="zh-CN"/>
                    </w:rPr>
                    <w:t>非甲烷总烃</w:t>
                  </w:r>
                </w:p>
              </w:tc>
              <w:tc>
                <w:tcPr>
                  <w:tcW w:w="2520" w:type="dxa"/>
                  <w:vMerge w:val="restart"/>
                  <w:tcBorders>
                    <w:tl2br w:val="nil"/>
                    <w:tr2bl w:val="nil"/>
                  </w:tcBorders>
                  <w:noWrap w:val="0"/>
                  <w:vAlign w:val="center"/>
                </w:tcPr>
                <w:p w14:paraId="1EB6A32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r>
                    <w:rPr>
                      <w:color w:val="auto"/>
                      <w:kern w:val="0"/>
                      <w:szCs w:val="21"/>
                    </w:rPr>
                    <w:t>《挥发性有机物无组织排放控制标准》（GB37822-2019）</w:t>
                  </w:r>
                </w:p>
              </w:tc>
              <w:tc>
                <w:tcPr>
                  <w:tcW w:w="1575" w:type="dxa"/>
                  <w:tcBorders>
                    <w:tl2br w:val="nil"/>
                    <w:tr2bl w:val="nil"/>
                  </w:tcBorders>
                  <w:noWrap w:val="0"/>
                  <w:vAlign w:val="center"/>
                </w:tcPr>
                <w:p w14:paraId="72B778D9">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kern w:val="0"/>
                      <w:szCs w:val="21"/>
                    </w:rPr>
                    <w:t>监控点处1h</w:t>
                  </w:r>
                  <w:r>
                    <w:rPr>
                      <w:rFonts w:hint="eastAsia"/>
                      <w:color w:val="auto"/>
                      <w:kern w:val="0"/>
                      <w:szCs w:val="21"/>
                    </w:rPr>
                    <w:t>平均</w:t>
                  </w:r>
                  <w:r>
                    <w:rPr>
                      <w:color w:val="auto"/>
                      <w:kern w:val="0"/>
                      <w:szCs w:val="21"/>
                    </w:rPr>
                    <w:t>浓度值</w:t>
                  </w:r>
                </w:p>
              </w:tc>
              <w:tc>
                <w:tcPr>
                  <w:tcW w:w="1359" w:type="dxa"/>
                  <w:tcBorders>
                    <w:tl2br w:val="nil"/>
                    <w:tr2bl w:val="nil"/>
                  </w:tcBorders>
                  <w:noWrap w:val="0"/>
                  <w:vAlign w:val="center"/>
                </w:tcPr>
                <w:p w14:paraId="6A9B0AF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kern w:val="0"/>
                      <w:szCs w:val="21"/>
                    </w:rPr>
                    <w:t>6mg/m</w:t>
                  </w:r>
                  <w:r>
                    <w:rPr>
                      <w:color w:val="auto"/>
                      <w:kern w:val="0"/>
                      <w:szCs w:val="21"/>
                      <w:vertAlign w:val="superscript"/>
                    </w:rPr>
                    <w:t>3</w:t>
                  </w:r>
                </w:p>
              </w:tc>
            </w:tr>
            <w:tr w14:paraId="2E475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033" w:type="dxa"/>
                  <w:vMerge w:val="continue"/>
                  <w:tcBorders>
                    <w:tl2br w:val="nil"/>
                    <w:tr2bl w:val="nil"/>
                  </w:tcBorders>
                  <w:noWrap w:val="0"/>
                  <w:vAlign w:val="center"/>
                </w:tcPr>
                <w:p w14:paraId="7B161898">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1713" w:type="dxa"/>
                  <w:vMerge w:val="continue"/>
                  <w:tcBorders>
                    <w:tl2br w:val="nil"/>
                    <w:tr2bl w:val="nil"/>
                  </w:tcBorders>
                  <w:noWrap w:val="0"/>
                  <w:vAlign w:val="center"/>
                </w:tcPr>
                <w:p w14:paraId="40905176">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p>
              </w:tc>
              <w:tc>
                <w:tcPr>
                  <w:tcW w:w="2520" w:type="dxa"/>
                  <w:vMerge w:val="continue"/>
                  <w:tcBorders>
                    <w:tl2br w:val="nil"/>
                    <w:tr2bl w:val="nil"/>
                  </w:tcBorders>
                  <w:noWrap w:val="0"/>
                  <w:vAlign w:val="center"/>
                </w:tcPr>
                <w:p w14:paraId="3ADA62A1">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color w:val="auto"/>
                      <w:kern w:val="0"/>
                      <w:szCs w:val="21"/>
                    </w:rPr>
                  </w:pPr>
                </w:p>
              </w:tc>
              <w:tc>
                <w:tcPr>
                  <w:tcW w:w="1575" w:type="dxa"/>
                  <w:tcBorders>
                    <w:tl2br w:val="nil"/>
                    <w:tr2bl w:val="nil"/>
                  </w:tcBorders>
                  <w:noWrap w:val="0"/>
                  <w:vAlign w:val="center"/>
                </w:tcPr>
                <w:p w14:paraId="15C00C4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color w:val="auto"/>
                      <w:szCs w:val="21"/>
                    </w:rPr>
                    <w:t>监控点处任意一次浓度值</w:t>
                  </w:r>
                </w:p>
              </w:tc>
              <w:tc>
                <w:tcPr>
                  <w:tcW w:w="1359" w:type="dxa"/>
                  <w:tcBorders>
                    <w:tl2br w:val="nil"/>
                    <w:tr2bl w:val="nil"/>
                  </w:tcBorders>
                  <w:noWrap w:val="0"/>
                  <w:vAlign w:val="center"/>
                </w:tcPr>
                <w:p w14:paraId="404AB05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hint="eastAsia"/>
                      <w:color w:val="auto"/>
                      <w:kern w:val="0"/>
                      <w:szCs w:val="21"/>
                    </w:rPr>
                  </w:pPr>
                  <w:r>
                    <w:rPr>
                      <w:rFonts w:hint="eastAsia"/>
                      <w:color w:val="auto"/>
                      <w:kern w:val="0"/>
                      <w:szCs w:val="21"/>
                    </w:rPr>
                    <w:t>20</w:t>
                  </w:r>
                  <w:r>
                    <w:rPr>
                      <w:color w:val="auto"/>
                      <w:kern w:val="0"/>
                      <w:szCs w:val="21"/>
                    </w:rPr>
                    <w:t>mg/m</w:t>
                  </w:r>
                  <w:r>
                    <w:rPr>
                      <w:color w:val="auto"/>
                      <w:kern w:val="0"/>
                      <w:szCs w:val="21"/>
                      <w:vertAlign w:val="superscript"/>
                    </w:rPr>
                    <w:t>3</w:t>
                  </w:r>
                </w:p>
              </w:tc>
            </w:tr>
          </w:tbl>
          <w:p w14:paraId="6A1A665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b/>
                <w:bCs/>
                <w:sz w:val="24"/>
                <w:lang w:eastAsia="zh-CN"/>
              </w:rPr>
            </w:pPr>
          </w:p>
          <w:p w14:paraId="3F83F18C">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rPr>
            </w:pPr>
            <w:r>
              <w:rPr>
                <w:rFonts w:hint="eastAsia"/>
                <w:b/>
                <w:bCs/>
                <w:sz w:val="24"/>
                <w:lang w:eastAsia="zh-CN"/>
              </w:rPr>
              <w:t>二、</w:t>
            </w:r>
            <w:r>
              <w:rPr>
                <w:b/>
                <w:bCs/>
                <w:sz w:val="24"/>
              </w:rPr>
              <w:t>废水</w:t>
            </w:r>
          </w:p>
          <w:p w14:paraId="5D65D1B7">
            <w:pPr>
              <w:widowControl/>
              <w:adjustRightInd w:val="0"/>
              <w:spacing w:line="360" w:lineRule="auto"/>
              <w:ind w:firstLine="480" w:firstLineChars="200"/>
              <w:rPr>
                <w:rFonts w:hint="eastAsia" w:eastAsia="宋体"/>
                <w:sz w:val="24"/>
                <w:highlight w:val="none"/>
                <w:lang w:eastAsia="zh-CN"/>
              </w:rPr>
            </w:pPr>
            <w:r>
              <w:rPr>
                <w:rFonts w:hint="eastAsia"/>
                <w:sz w:val="24"/>
                <w:highlight w:val="none"/>
              </w:rPr>
              <w:t>项目运营期产生的废水主要为员工生活污水，生活污水</w:t>
            </w:r>
            <w:r>
              <w:rPr>
                <w:rFonts w:hint="eastAsia"/>
                <w:sz w:val="24"/>
                <w:highlight w:val="none"/>
                <w:lang w:eastAsia="zh-CN"/>
              </w:rPr>
              <w:t>流入</w:t>
            </w:r>
            <w:r>
              <w:rPr>
                <w:rFonts w:hint="eastAsia"/>
                <w:sz w:val="24"/>
                <w:highlight w:val="none"/>
              </w:rPr>
              <w:t>厂内化粪池，</w:t>
            </w:r>
            <w:r>
              <w:rPr>
                <w:rFonts w:hint="eastAsia"/>
                <w:sz w:val="24"/>
                <w:highlight w:val="none"/>
                <w:lang w:eastAsia="zh-CN"/>
              </w:rPr>
              <w:t>定期清掏后用于农田施肥。</w:t>
            </w:r>
          </w:p>
          <w:p w14:paraId="2EFBA29F">
            <w:pPr>
              <w:adjustRightInd w:val="0"/>
              <w:snapToGrid w:val="0"/>
              <w:spacing w:before="120" w:beforeLines="50" w:line="360" w:lineRule="auto"/>
              <w:jc w:val="left"/>
              <w:rPr>
                <w:b/>
                <w:bCs/>
                <w:color w:val="auto"/>
                <w:kern w:val="0"/>
                <w:sz w:val="24"/>
                <w:highlight w:val="none"/>
              </w:rPr>
            </w:pPr>
            <w:r>
              <w:rPr>
                <w:rFonts w:hint="eastAsia"/>
                <w:b/>
                <w:bCs/>
                <w:color w:val="auto"/>
                <w:kern w:val="0"/>
                <w:sz w:val="24"/>
                <w:highlight w:val="none"/>
              </w:rPr>
              <w:t>三</w:t>
            </w:r>
            <w:r>
              <w:rPr>
                <w:rFonts w:hint="eastAsia"/>
                <w:b/>
                <w:bCs/>
                <w:color w:val="auto"/>
                <w:kern w:val="0"/>
                <w:sz w:val="24"/>
                <w:highlight w:val="none"/>
                <w:lang w:eastAsia="zh-CN"/>
              </w:rPr>
              <w:t>、</w:t>
            </w:r>
            <w:r>
              <w:rPr>
                <w:b/>
                <w:bCs/>
                <w:color w:val="auto"/>
                <w:kern w:val="0"/>
                <w:sz w:val="24"/>
                <w:highlight w:val="none"/>
              </w:rPr>
              <w:t>噪声排放标准</w:t>
            </w:r>
          </w:p>
          <w:p w14:paraId="3F647F14">
            <w:pPr>
              <w:pStyle w:val="4"/>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lang w:val="en-US" w:eastAsia="zh-CN" w:bidi="ar-SA"/>
              </w:rPr>
            </w:pPr>
            <w:r>
              <w:rPr>
                <w:rFonts w:hint="default" w:ascii="Times New Roman" w:hAnsi="Times New Roman" w:eastAsia="宋体" w:cs="Times New Roman"/>
                <w:b w:val="0"/>
                <w:bCs w:val="0"/>
                <w:color w:val="auto"/>
                <w:kern w:val="0"/>
                <w:sz w:val="24"/>
                <w:szCs w:val="24"/>
                <w:highlight w:val="none"/>
                <w:lang w:val="en-US" w:eastAsia="zh-CN" w:bidi="ar-SA"/>
              </w:rPr>
              <w:t>根据《西咸新区声环境功能区划方案》（陕西咸党政办字[2022]12 号）：项目地属声环境3类区（</w:t>
            </w:r>
            <w:bookmarkStart w:id="9" w:name="_Toc26925"/>
            <w:r>
              <w:rPr>
                <w:rFonts w:hint="default" w:ascii="Times New Roman" w:hAnsi="Times New Roman" w:eastAsia="宋体" w:cs="Times New Roman"/>
                <w:b w:val="0"/>
                <w:bCs w:val="0"/>
                <w:color w:val="auto"/>
                <w:kern w:val="0"/>
                <w:sz w:val="24"/>
                <w:szCs w:val="24"/>
                <w:highlight w:val="none"/>
                <w:lang w:val="en-US" w:eastAsia="zh-CN" w:bidi="ar-SA"/>
              </w:rPr>
              <w:t>项目运营期噪声执行《工业企业厂界环境噪声排放标准》（GB12348-2008）3类标准</w:t>
            </w:r>
            <w:bookmarkEnd w:id="9"/>
            <w:r>
              <w:rPr>
                <w:rFonts w:hint="default" w:ascii="Times New Roman" w:hAnsi="Times New Roman" w:eastAsia="宋体" w:cs="Times New Roman"/>
                <w:b w:val="0"/>
                <w:bCs w:val="0"/>
                <w:color w:val="auto"/>
                <w:kern w:val="0"/>
                <w:sz w:val="24"/>
                <w:szCs w:val="24"/>
                <w:highlight w:val="none"/>
                <w:lang w:val="en-US" w:eastAsia="zh-CN" w:bidi="ar-SA"/>
              </w:rPr>
              <w:t>。</w:t>
            </w:r>
          </w:p>
          <w:p w14:paraId="47A223B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b/>
                <w:bCs/>
                <w:color w:val="auto"/>
                <w:kern w:val="0"/>
                <w:szCs w:val="21"/>
                <w:highlight w:val="none"/>
              </w:rPr>
            </w:pPr>
            <w:r>
              <w:rPr>
                <w:b/>
                <w:bCs/>
                <w:color w:val="auto"/>
                <w:kern w:val="0"/>
                <w:sz w:val="20"/>
                <w:szCs w:val="20"/>
                <w:highlight w:val="none"/>
              </w:rPr>
              <w:t>表</w:t>
            </w:r>
            <w:r>
              <w:rPr>
                <w:b/>
                <w:bCs/>
                <w:color w:val="auto"/>
                <w:kern w:val="0"/>
                <w:szCs w:val="21"/>
                <w:highlight w:val="none"/>
              </w:rPr>
              <w:t>3-</w:t>
            </w:r>
            <w:r>
              <w:rPr>
                <w:rFonts w:hint="eastAsia"/>
                <w:b/>
                <w:bCs/>
                <w:color w:val="auto"/>
                <w:kern w:val="0"/>
                <w:szCs w:val="21"/>
                <w:highlight w:val="none"/>
                <w:lang w:val="en-US" w:eastAsia="zh-CN"/>
              </w:rPr>
              <w:t>6</w:t>
            </w:r>
            <w:r>
              <w:rPr>
                <w:b/>
                <w:bCs/>
                <w:color w:val="auto"/>
                <w:kern w:val="0"/>
                <w:szCs w:val="21"/>
                <w:highlight w:val="none"/>
              </w:rPr>
              <w:t xml:space="preserve"> 工业企业环境噪声排放限值标准</w:t>
            </w:r>
          </w:p>
          <w:tbl>
            <w:tblPr>
              <w:tblStyle w:val="25"/>
              <w:tblW w:w="81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6"/>
              <w:gridCol w:w="3587"/>
              <w:gridCol w:w="700"/>
              <w:gridCol w:w="833"/>
              <w:gridCol w:w="739"/>
              <w:gridCol w:w="875"/>
            </w:tblGrid>
            <w:tr w14:paraId="68A2E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86" w:hRule="atLeast"/>
                <w:jc w:val="center"/>
              </w:trPr>
              <w:tc>
                <w:tcPr>
                  <w:tcW w:w="1416" w:type="dxa"/>
                  <w:vMerge w:val="restart"/>
                  <w:tcBorders>
                    <w:tl2br w:val="nil"/>
                    <w:tr2bl w:val="nil"/>
                  </w:tcBorders>
                  <w:noWrap w:val="0"/>
                  <w:vAlign w:val="center"/>
                </w:tcPr>
                <w:p w14:paraId="719CA36F">
                  <w:pPr>
                    <w:adjustRightInd w:val="0"/>
                    <w:snapToGrid w:val="0"/>
                    <w:jc w:val="center"/>
                    <w:rPr>
                      <w:b/>
                      <w:bCs/>
                      <w:color w:val="auto"/>
                      <w:kern w:val="0"/>
                      <w:szCs w:val="21"/>
                      <w:highlight w:val="none"/>
                    </w:rPr>
                  </w:pPr>
                  <w:r>
                    <w:rPr>
                      <w:rFonts w:hint="eastAsia"/>
                      <w:b/>
                      <w:bCs/>
                      <w:color w:val="auto"/>
                      <w:kern w:val="0"/>
                      <w:szCs w:val="21"/>
                      <w:highlight w:val="none"/>
                    </w:rPr>
                    <w:t>监测点位</w:t>
                  </w:r>
                </w:p>
              </w:tc>
              <w:tc>
                <w:tcPr>
                  <w:tcW w:w="3587" w:type="dxa"/>
                  <w:vMerge w:val="restart"/>
                  <w:tcBorders>
                    <w:tl2br w:val="nil"/>
                    <w:tr2bl w:val="nil"/>
                  </w:tcBorders>
                  <w:noWrap w:val="0"/>
                  <w:vAlign w:val="center"/>
                </w:tcPr>
                <w:p w14:paraId="2A1A0B45">
                  <w:pPr>
                    <w:adjustRightInd w:val="0"/>
                    <w:snapToGrid w:val="0"/>
                    <w:jc w:val="center"/>
                    <w:rPr>
                      <w:b/>
                      <w:bCs/>
                      <w:color w:val="auto"/>
                      <w:kern w:val="0"/>
                      <w:szCs w:val="21"/>
                      <w:highlight w:val="none"/>
                    </w:rPr>
                  </w:pPr>
                  <w:r>
                    <w:rPr>
                      <w:b/>
                      <w:bCs/>
                      <w:color w:val="auto"/>
                      <w:kern w:val="0"/>
                      <w:szCs w:val="21"/>
                      <w:highlight w:val="none"/>
                    </w:rPr>
                    <w:t>执行标准</w:t>
                  </w:r>
                </w:p>
              </w:tc>
              <w:tc>
                <w:tcPr>
                  <w:tcW w:w="700" w:type="dxa"/>
                  <w:vMerge w:val="restart"/>
                  <w:tcBorders>
                    <w:tl2br w:val="nil"/>
                    <w:tr2bl w:val="nil"/>
                  </w:tcBorders>
                  <w:noWrap w:val="0"/>
                  <w:vAlign w:val="center"/>
                </w:tcPr>
                <w:p w14:paraId="5472290B">
                  <w:pPr>
                    <w:adjustRightInd w:val="0"/>
                    <w:snapToGrid w:val="0"/>
                    <w:jc w:val="center"/>
                    <w:rPr>
                      <w:b/>
                      <w:bCs/>
                      <w:color w:val="auto"/>
                      <w:kern w:val="0"/>
                      <w:szCs w:val="21"/>
                      <w:highlight w:val="none"/>
                    </w:rPr>
                  </w:pPr>
                  <w:r>
                    <w:rPr>
                      <w:b/>
                      <w:bCs/>
                      <w:color w:val="auto"/>
                      <w:kern w:val="0"/>
                      <w:szCs w:val="21"/>
                      <w:highlight w:val="none"/>
                    </w:rPr>
                    <w:t>级别</w:t>
                  </w:r>
                </w:p>
              </w:tc>
              <w:tc>
                <w:tcPr>
                  <w:tcW w:w="833" w:type="dxa"/>
                  <w:vMerge w:val="restart"/>
                  <w:tcBorders>
                    <w:tl2br w:val="nil"/>
                    <w:tr2bl w:val="nil"/>
                  </w:tcBorders>
                  <w:noWrap w:val="0"/>
                  <w:vAlign w:val="center"/>
                </w:tcPr>
                <w:p w14:paraId="15A95332">
                  <w:pPr>
                    <w:adjustRightInd w:val="0"/>
                    <w:snapToGrid w:val="0"/>
                    <w:jc w:val="center"/>
                    <w:rPr>
                      <w:b/>
                      <w:bCs/>
                      <w:color w:val="auto"/>
                      <w:kern w:val="0"/>
                      <w:szCs w:val="21"/>
                      <w:highlight w:val="none"/>
                    </w:rPr>
                  </w:pPr>
                  <w:r>
                    <w:rPr>
                      <w:b/>
                      <w:bCs/>
                      <w:color w:val="auto"/>
                      <w:kern w:val="0"/>
                      <w:szCs w:val="21"/>
                      <w:highlight w:val="none"/>
                    </w:rPr>
                    <w:t>单位</w:t>
                  </w:r>
                </w:p>
              </w:tc>
              <w:tc>
                <w:tcPr>
                  <w:tcW w:w="1614" w:type="dxa"/>
                  <w:gridSpan w:val="2"/>
                  <w:tcBorders>
                    <w:tl2br w:val="nil"/>
                    <w:tr2bl w:val="nil"/>
                  </w:tcBorders>
                  <w:noWrap w:val="0"/>
                  <w:vAlign w:val="center"/>
                </w:tcPr>
                <w:p w14:paraId="13C893F5">
                  <w:pPr>
                    <w:adjustRightInd w:val="0"/>
                    <w:snapToGrid w:val="0"/>
                    <w:jc w:val="center"/>
                    <w:rPr>
                      <w:b/>
                      <w:bCs/>
                      <w:color w:val="auto"/>
                      <w:kern w:val="0"/>
                      <w:szCs w:val="21"/>
                      <w:highlight w:val="none"/>
                    </w:rPr>
                  </w:pPr>
                  <w:r>
                    <w:rPr>
                      <w:b/>
                      <w:bCs/>
                      <w:color w:val="auto"/>
                      <w:kern w:val="0"/>
                      <w:szCs w:val="21"/>
                      <w:highlight w:val="none"/>
                    </w:rPr>
                    <w:t>标准限值</w:t>
                  </w:r>
                </w:p>
              </w:tc>
            </w:tr>
            <w:tr w14:paraId="227E3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3" w:hRule="atLeast"/>
                <w:jc w:val="center"/>
              </w:trPr>
              <w:tc>
                <w:tcPr>
                  <w:tcW w:w="1416" w:type="dxa"/>
                  <w:vMerge w:val="continue"/>
                  <w:tcBorders>
                    <w:tl2br w:val="nil"/>
                    <w:tr2bl w:val="nil"/>
                  </w:tcBorders>
                  <w:noWrap w:val="0"/>
                  <w:vAlign w:val="center"/>
                </w:tcPr>
                <w:p w14:paraId="3F7B0F94">
                  <w:pPr>
                    <w:adjustRightInd w:val="0"/>
                    <w:snapToGrid w:val="0"/>
                    <w:jc w:val="center"/>
                    <w:rPr>
                      <w:b/>
                      <w:bCs/>
                      <w:color w:val="auto"/>
                      <w:kern w:val="0"/>
                      <w:szCs w:val="21"/>
                      <w:highlight w:val="none"/>
                    </w:rPr>
                  </w:pPr>
                </w:p>
              </w:tc>
              <w:tc>
                <w:tcPr>
                  <w:tcW w:w="3587" w:type="dxa"/>
                  <w:vMerge w:val="continue"/>
                  <w:tcBorders>
                    <w:tl2br w:val="nil"/>
                    <w:tr2bl w:val="nil"/>
                  </w:tcBorders>
                  <w:noWrap w:val="0"/>
                  <w:vAlign w:val="center"/>
                </w:tcPr>
                <w:p w14:paraId="6F4FA2CC">
                  <w:pPr>
                    <w:adjustRightInd w:val="0"/>
                    <w:snapToGrid w:val="0"/>
                    <w:jc w:val="center"/>
                    <w:rPr>
                      <w:b/>
                      <w:bCs/>
                      <w:color w:val="auto"/>
                      <w:kern w:val="0"/>
                      <w:szCs w:val="21"/>
                      <w:highlight w:val="none"/>
                    </w:rPr>
                  </w:pPr>
                </w:p>
              </w:tc>
              <w:tc>
                <w:tcPr>
                  <w:tcW w:w="700" w:type="dxa"/>
                  <w:vMerge w:val="continue"/>
                  <w:tcBorders>
                    <w:tl2br w:val="nil"/>
                    <w:tr2bl w:val="nil"/>
                  </w:tcBorders>
                  <w:noWrap w:val="0"/>
                  <w:vAlign w:val="center"/>
                </w:tcPr>
                <w:p w14:paraId="553D70F1">
                  <w:pPr>
                    <w:adjustRightInd w:val="0"/>
                    <w:snapToGrid w:val="0"/>
                    <w:jc w:val="center"/>
                    <w:rPr>
                      <w:b/>
                      <w:bCs/>
                      <w:color w:val="auto"/>
                      <w:kern w:val="0"/>
                      <w:szCs w:val="21"/>
                      <w:highlight w:val="none"/>
                    </w:rPr>
                  </w:pPr>
                </w:p>
              </w:tc>
              <w:tc>
                <w:tcPr>
                  <w:tcW w:w="833" w:type="dxa"/>
                  <w:vMerge w:val="continue"/>
                  <w:tcBorders>
                    <w:tl2br w:val="nil"/>
                    <w:tr2bl w:val="nil"/>
                  </w:tcBorders>
                  <w:noWrap w:val="0"/>
                  <w:vAlign w:val="center"/>
                </w:tcPr>
                <w:p w14:paraId="374339D7">
                  <w:pPr>
                    <w:adjustRightInd w:val="0"/>
                    <w:snapToGrid w:val="0"/>
                    <w:jc w:val="center"/>
                    <w:rPr>
                      <w:b/>
                      <w:bCs/>
                      <w:color w:val="auto"/>
                      <w:kern w:val="0"/>
                      <w:szCs w:val="21"/>
                      <w:highlight w:val="none"/>
                    </w:rPr>
                  </w:pPr>
                </w:p>
              </w:tc>
              <w:tc>
                <w:tcPr>
                  <w:tcW w:w="739" w:type="dxa"/>
                  <w:tcBorders>
                    <w:tl2br w:val="nil"/>
                    <w:tr2bl w:val="nil"/>
                  </w:tcBorders>
                  <w:noWrap w:val="0"/>
                  <w:vAlign w:val="center"/>
                </w:tcPr>
                <w:p w14:paraId="645C436B">
                  <w:pPr>
                    <w:adjustRightInd w:val="0"/>
                    <w:snapToGrid w:val="0"/>
                    <w:jc w:val="center"/>
                    <w:rPr>
                      <w:b/>
                      <w:bCs/>
                      <w:color w:val="auto"/>
                      <w:kern w:val="0"/>
                      <w:szCs w:val="21"/>
                      <w:highlight w:val="none"/>
                    </w:rPr>
                  </w:pPr>
                  <w:r>
                    <w:rPr>
                      <w:b/>
                      <w:bCs/>
                      <w:color w:val="auto"/>
                      <w:kern w:val="0"/>
                      <w:szCs w:val="21"/>
                      <w:highlight w:val="none"/>
                    </w:rPr>
                    <w:t>昼间</w:t>
                  </w:r>
                </w:p>
              </w:tc>
              <w:tc>
                <w:tcPr>
                  <w:tcW w:w="875" w:type="dxa"/>
                  <w:tcBorders>
                    <w:tl2br w:val="nil"/>
                    <w:tr2bl w:val="nil"/>
                  </w:tcBorders>
                  <w:noWrap w:val="0"/>
                  <w:vAlign w:val="center"/>
                </w:tcPr>
                <w:p w14:paraId="262D2082">
                  <w:pPr>
                    <w:adjustRightInd w:val="0"/>
                    <w:snapToGrid w:val="0"/>
                    <w:jc w:val="center"/>
                    <w:rPr>
                      <w:b/>
                      <w:bCs/>
                      <w:color w:val="auto"/>
                      <w:kern w:val="0"/>
                      <w:szCs w:val="21"/>
                      <w:highlight w:val="none"/>
                    </w:rPr>
                  </w:pPr>
                  <w:r>
                    <w:rPr>
                      <w:b/>
                      <w:bCs/>
                      <w:color w:val="auto"/>
                      <w:kern w:val="0"/>
                      <w:szCs w:val="21"/>
                      <w:highlight w:val="none"/>
                    </w:rPr>
                    <w:t>夜间</w:t>
                  </w:r>
                </w:p>
              </w:tc>
            </w:tr>
            <w:tr w14:paraId="4FF79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5" w:hRule="atLeast"/>
                <w:jc w:val="center"/>
              </w:trPr>
              <w:tc>
                <w:tcPr>
                  <w:tcW w:w="1416" w:type="dxa"/>
                  <w:tcBorders>
                    <w:tl2br w:val="nil"/>
                    <w:tr2bl w:val="nil"/>
                  </w:tcBorders>
                  <w:noWrap w:val="0"/>
                  <w:vAlign w:val="center"/>
                </w:tcPr>
                <w:p w14:paraId="6D890346">
                  <w:pPr>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eastAsia="zh-CN"/>
                    </w:rPr>
                    <w:t>厂界四周</w:t>
                  </w:r>
                </w:p>
              </w:tc>
              <w:tc>
                <w:tcPr>
                  <w:tcW w:w="3587" w:type="dxa"/>
                  <w:tcBorders>
                    <w:tl2br w:val="nil"/>
                    <w:tr2bl w:val="nil"/>
                  </w:tcBorders>
                  <w:noWrap w:val="0"/>
                  <w:vAlign w:val="center"/>
                </w:tcPr>
                <w:p w14:paraId="5AB95A17">
                  <w:pPr>
                    <w:adjustRightInd w:val="0"/>
                    <w:snapToGrid w:val="0"/>
                    <w:jc w:val="center"/>
                    <w:rPr>
                      <w:color w:val="auto"/>
                      <w:kern w:val="0"/>
                      <w:szCs w:val="21"/>
                      <w:highlight w:val="none"/>
                    </w:rPr>
                  </w:pPr>
                  <w:r>
                    <w:rPr>
                      <w:color w:val="auto"/>
                      <w:kern w:val="0"/>
                      <w:szCs w:val="21"/>
                      <w:highlight w:val="none"/>
                    </w:rPr>
                    <w:t>《工业企业厂界环境噪声排放标准》（GB12348-2008）</w:t>
                  </w:r>
                </w:p>
              </w:tc>
              <w:tc>
                <w:tcPr>
                  <w:tcW w:w="700" w:type="dxa"/>
                  <w:tcBorders>
                    <w:tl2br w:val="nil"/>
                    <w:tr2bl w:val="nil"/>
                  </w:tcBorders>
                  <w:noWrap w:val="0"/>
                  <w:vAlign w:val="center"/>
                </w:tcPr>
                <w:p w14:paraId="5C1E30F6">
                  <w:pPr>
                    <w:adjustRightInd w:val="0"/>
                    <w:snapToGrid w:val="0"/>
                    <w:jc w:val="center"/>
                    <w:rPr>
                      <w:color w:val="auto"/>
                      <w:kern w:val="0"/>
                      <w:szCs w:val="21"/>
                      <w:highlight w:val="none"/>
                    </w:rPr>
                  </w:pPr>
                  <w:r>
                    <w:rPr>
                      <w:rFonts w:hint="eastAsia"/>
                      <w:color w:val="auto"/>
                      <w:kern w:val="0"/>
                      <w:szCs w:val="21"/>
                      <w:highlight w:val="none"/>
                      <w:lang w:val="en-US" w:eastAsia="zh-CN"/>
                    </w:rPr>
                    <w:t>3</w:t>
                  </w:r>
                  <w:r>
                    <w:rPr>
                      <w:color w:val="auto"/>
                      <w:kern w:val="0"/>
                      <w:szCs w:val="21"/>
                      <w:highlight w:val="none"/>
                    </w:rPr>
                    <w:t>类</w:t>
                  </w:r>
                </w:p>
              </w:tc>
              <w:tc>
                <w:tcPr>
                  <w:tcW w:w="833" w:type="dxa"/>
                  <w:tcBorders>
                    <w:tl2br w:val="nil"/>
                    <w:tr2bl w:val="nil"/>
                  </w:tcBorders>
                  <w:noWrap w:val="0"/>
                  <w:vAlign w:val="center"/>
                </w:tcPr>
                <w:p w14:paraId="229FC587">
                  <w:pPr>
                    <w:adjustRightInd w:val="0"/>
                    <w:snapToGrid w:val="0"/>
                    <w:jc w:val="center"/>
                    <w:rPr>
                      <w:color w:val="auto"/>
                      <w:kern w:val="0"/>
                      <w:szCs w:val="21"/>
                      <w:highlight w:val="none"/>
                    </w:rPr>
                  </w:pPr>
                  <w:r>
                    <w:rPr>
                      <w:color w:val="auto"/>
                      <w:kern w:val="0"/>
                      <w:szCs w:val="21"/>
                      <w:highlight w:val="none"/>
                    </w:rPr>
                    <w:t>dB（A）</w:t>
                  </w:r>
                </w:p>
              </w:tc>
              <w:tc>
                <w:tcPr>
                  <w:tcW w:w="739" w:type="dxa"/>
                  <w:tcBorders>
                    <w:tl2br w:val="nil"/>
                    <w:tr2bl w:val="nil"/>
                  </w:tcBorders>
                  <w:noWrap w:val="0"/>
                  <w:vAlign w:val="center"/>
                </w:tcPr>
                <w:p w14:paraId="500A7915">
                  <w:pPr>
                    <w:adjustRightInd w:val="0"/>
                    <w:snapToGrid w:val="0"/>
                    <w:jc w:val="center"/>
                    <w:rPr>
                      <w:rFonts w:hint="eastAsia" w:eastAsia="宋体"/>
                      <w:color w:val="auto"/>
                      <w:kern w:val="0"/>
                      <w:szCs w:val="21"/>
                      <w:highlight w:val="none"/>
                      <w:lang w:val="en-US" w:eastAsia="zh-CN"/>
                    </w:rPr>
                  </w:pPr>
                  <w:r>
                    <w:rPr>
                      <w:color w:val="auto"/>
                      <w:kern w:val="0"/>
                      <w:szCs w:val="21"/>
                      <w:highlight w:val="none"/>
                    </w:rPr>
                    <w:t>6</w:t>
                  </w:r>
                  <w:r>
                    <w:rPr>
                      <w:rFonts w:hint="eastAsia"/>
                      <w:color w:val="auto"/>
                      <w:kern w:val="0"/>
                      <w:szCs w:val="21"/>
                      <w:highlight w:val="none"/>
                      <w:lang w:val="en-US" w:eastAsia="zh-CN"/>
                    </w:rPr>
                    <w:t>5</w:t>
                  </w:r>
                </w:p>
              </w:tc>
              <w:tc>
                <w:tcPr>
                  <w:tcW w:w="875" w:type="dxa"/>
                  <w:tcBorders>
                    <w:tl2br w:val="nil"/>
                    <w:tr2bl w:val="nil"/>
                  </w:tcBorders>
                  <w:noWrap w:val="0"/>
                  <w:vAlign w:val="center"/>
                </w:tcPr>
                <w:p w14:paraId="7578370F">
                  <w:pPr>
                    <w:adjustRightInd w:val="0"/>
                    <w:snapToGrid w:val="0"/>
                    <w:jc w:val="center"/>
                    <w:rPr>
                      <w:rFonts w:hint="eastAsia" w:eastAsia="宋体"/>
                      <w:color w:val="auto"/>
                      <w:kern w:val="0"/>
                      <w:szCs w:val="21"/>
                      <w:highlight w:val="none"/>
                      <w:lang w:val="en-US" w:eastAsia="zh-CN"/>
                    </w:rPr>
                  </w:pPr>
                  <w:r>
                    <w:rPr>
                      <w:color w:val="auto"/>
                      <w:kern w:val="0"/>
                      <w:szCs w:val="21"/>
                      <w:highlight w:val="none"/>
                    </w:rPr>
                    <w:t>5</w:t>
                  </w:r>
                  <w:r>
                    <w:rPr>
                      <w:rFonts w:hint="eastAsia"/>
                      <w:color w:val="auto"/>
                      <w:kern w:val="0"/>
                      <w:szCs w:val="21"/>
                      <w:highlight w:val="none"/>
                      <w:lang w:val="en-US" w:eastAsia="zh-CN"/>
                    </w:rPr>
                    <w:t>5</w:t>
                  </w:r>
                </w:p>
              </w:tc>
            </w:tr>
          </w:tbl>
          <w:p w14:paraId="00892AD4">
            <w:pPr>
              <w:widowControl w:val="0"/>
              <w:numPr>
                <w:ilvl w:val="0"/>
                <w:numId w:val="0"/>
              </w:numPr>
              <w:adjustRightInd w:val="0"/>
              <w:snapToGrid w:val="0"/>
              <w:spacing w:line="360" w:lineRule="auto"/>
              <w:jc w:val="left"/>
              <w:rPr>
                <w:rFonts w:hint="default" w:ascii="Times New Roman" w:hAnsi="Times New Roman" w:eastAsia="宋体" w:cs="Times New Roman"/>
                <w:b w:val="0"/>
                <w:bCs w:val="0"/>
                <w:color w:val="auto"/>
                <w:kern w:val="0"/>
                <w:sz w:val="24"/>
                <w:szCs w:val="24"/>
                <w:lang w:val="en-US" w:eastAsia="zh-CN" w:bidi="ar-SA"/>
              </w:rPr>
            </w:pPr>
          </w:p>
          <w:p w14:paraId="12B3EAE8">
            <w:pPr>
              <w:numPr>
                <w:ilvl w:val="0"/>
                <w:numId w:val="6"/>
              </w:numPr>
              <w:adjustRightInd w:val="0"/>
              <w:snapToGrid w:val="0"/>
              <w:spacing w:line="360" w:lineRule="auto"/>
              <w:ind w:left="0" w:leftChars="0" w:firstLine="0" w:firstLineChars="0"/>
              <w:jc w:val="left"/>
              <w:rPr>
                <w:b/>
                <w:bCs/>
                <w:color w:val="auto"/>
                <w:sz w:val="24"/>
              </w:rPr>
            </w:pPr>
            <w:r>
              <w:rPr>
                <w:b/>
                <w:bCs/>
                <w:color w:val="auto"/>
                <w:sz w:val="24"/>
              </w:rPr>
              <w:t>固体废物处理与处置</w:t>
            </w:r>
          </w:p>
          <w:p w14:paraId="5F0C6EF4">
            <w:pPr>
              <w:numPr>
                <w:ilvl w:val="0"/>
                <w:numId w:val="0"/>
              </w:numPr>
              <w:spacing w:line="360" w:lineRule="auto"/>
              <w:ind w:firstLine="480" w:firstLineChars="200"/>
              <w:rPr>
                <w:rFonts w:hint="default"/>
                <w:b/>
                <w:bCs/>
                <w:color w:val="auto"/>
                <w:sz w:val="24"/>
              </w:rPr>
            </w:pPr>
            <w:r>
              <w:rPr>
                <w:rFonts w:hint="default" w:ascii="Times New Roman" w:hAnsi="Times New Roman" w:eastAsia="宋体" w:cs="Times New Roman"/>
                <w:b w:val="0"/>
                <w:bCs w:val="0"/>
                <w:color w:val="auto"/>
                <w:kern w:val="2"/>
                <w:sz w:val="24"/>
                <w:szCs w:val="24"/>
                <w:highlight w:val="none"/>
                <w:lang w:val="en-US" w:eastAsia="zh-CN" w:bidi="ar-SA"/>
              </w:rPr>
              <w:fldChar w:fldCharType="begin"/>
            </w:r>
            <w:r>
              <w:rPr>
                <w:rFonts w:hint="default" w:ascii="Times New Roman" w:hAnsi="Times New Roman" w:eastAsia="宋体" w:cs="Times New Roman"/>
                <w:b w:val="0"/>
                <w:bCs w:val="0"/>
                <w:color w:val="auto"/>
                <w:kern w:val="2"/>
                <w:sz w:val="24"/>
                <w:szCs w:val="24"/>
                <w:highlight w:val="none"/>
                <w:lang w:val="en-US" w:eastAsia="zh-CN" w:bidi="ar-SA"/>
              </w:rPr>
              <w:instrText xml:space="preserve"> HYPERLINK "http://www.mee.gov.cn/ywgz/fgbz/bz/bzwb/gthw/gtfwwrkzbz/202012/W020201218695845325455.pdf" </w:instrText>
            </w:r>
            <w:r>
              <w:rPr>
                <w:rFonts w:hint="default" w:ascii="Times New Roman" w:hAnsi="Times New Roman" w:eastAsia="宋体" w:cs="Times New Roman"/>
                <w:b w:val="0"/>
                <w:bCs w:val="0"/>
                <w:color w:val="auto"/>
                <w:kern w:val="2"/>
                <w:sz w:val="24"/>
                <w:szCs w:val="24"/>
                <w:highlight w:val="none"/>
                <w:lang w:val="en-US" w:eastAsia="zh-CN" w:bidi="ar-SA"/>
              </w:rPr>
              <w:fldChar w:fldCharType="separate"/>
            </w:r>
            <w:r>
              <w:rPr>
                <w:rFonts w:hint="default" w:ascii="Times New Roman" w:hAnsi="Times New Roman" w:eastAsia="宋体" w:cs="Times New Roman"/>
                <w:b w:val="0"/>
                <w:bCs w:val="0"/>
                <w:color w:val="auto"/>
                <w:kern w:val="2"/>
                <w:sz w:val="24"/>
                <w:szCs w:val="24"/>
                <w:highlight w:val="none"/>
                <w:lang w:val="en-US" w:eastAsia="zh-CN" w:bidi="ar-SA"/>
              </w:rPr>
              <w:t>本项目产生的一般固体废物执行《</w:t>
            </w:r>
            <w:r>
              <w:rPr>
                <w:rFonts w:hint="eastAsia" w:cs="Times New Roman"/>
                <w:b w:val="0"/>
                <w:bCs w:val="0"/>
                <w:color w:val="auto"/>
                <w:kern w:val="2"/>
                <w:sz w:val="24"/>
                <w:szCs w:val="24"/>
                <w:highlight w:val="none"/>
                <w:lang w:val="en-US" w:eastAsia="zh-CN" w:bidi="ar-SA"/>
              </w:rPr>
              <w:t>一般工业固体废物贮存和填埋污染控制标准</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（GB18599-2020）、</w:t>
            </w:r>
            <w:r>
              <w:rPr>
                <w:rFonts w:hint="default" w:ascii="Times New Roman" w:hAnsi="Times New Roman" w:eastAsia="宋体" w:cs="Times New Roman"/>
                <w:b w:val="0"/>
                <w:bCs w:val="0"/>
                <w:color w:val="auto"/>
                <w:kern w:val="2"/>
                <w:sz w:val="24"/>
                <w:szCs w:val="24"/>
                <w:highlight w:val="none"/>
                <w:lang w:val="en-US" w:eastAsia="zh-CN" w:bidi="ar-SA"/>
              </w:rPr>
              <w:t>《固体废物分类与代码目录》</w:t>
            </w:r>
            <w:r>
              <w:rPr>
                <w:rFonts w:hint="default" w:ascii="Times New Roman" w:hAnsi="Times New Roman"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公告 202</w:t>
            </w:r>
            <w:r>
              <w:rPr>
                <w:rFonts w:hint="eastAsia" w:cs="Times New Roman"/>
                <w:b w:val="0"/>
                <w:bCs w:val="0"/>
                <w:color w:val="auto"/>
                <w:kern w:val="2"/>
                <w:sz w:val="24"/>
                <w:szCs w:val="24"/>
                <w:highlight w:val="none"/>
                <w:lang w:val="en-US" w:eastAsia="zh-CN" w:bidi="ar-SA"/>
              </w:rPr>
              <w:t>4</w:t>
            </w:r>
            <w:r>
              <w:rPr>
                <w:rFonts w:hint="default" w:ascii="Times New Roman" w:hAnsi="Times New Roman" w:eastAsia="宋体" w:cs="Times New Roman"/>
                <w:b w:val="0"/>
                <w:bCs w:val="0"/>
                <w:color w:val="auto"/>
                <w:kern w:val="2"/>
                <w:sz w:val="24"/>
                <w:szCs w:val="24"/>
                <w:highlight w:val="none"/>
                <w:lang w:val="en-US" w:eastAsia="zh-CN" w:bidi="ar-SA"/>
              </w:rPr>
              <w:t>年</w:t>
            </w:r>
            <w:r>
              <w:rPr>
                <w:rFonts w:hint="eastAsia" w:cs="Times New Roman"/>
                <w:b w:val="0"/>
                <w:bCs w:val="0"/>
                <w:color w:val="auto"/>
                <w:kern w:val="2"/>
                <w:sz w:val="24"/>
                <w:szCs w:val="24"/>
                <w:highlight w:val="none"/>
                <w:lang w:val="en-US" w:eastAsia="zh-CN" w:bidi="ar-SA"/>
              </w:rPr>
              <w:t xml:space="preserve"> </w:t>
            </w:r>
            <w:r>
              <w:rPr>
                <w:rFonts w:hint="default" w:ascii="Times New Roman" w:hAnsi="Times New Roman" w:eastAsia="宋体" w:cs="Times New Roman"/>
                <w:b w:val="0"/>
                <w:bCs w:val="0"/>
                <w:color w:val="auto"/>
                <w:kern w:val="2"/>
                <w:sz w:val="24"/>
                <w:szCs w:val="24"/>
                <w:highlight w:val="none"/>
                <w:lang w:val="en-US" w:eastAsia="zh-CN" w:bidi="ar-SA"/>
              </w:rPr>
              <w:t>第4号</w:t>
            </w:r>
            <w:r>
              <w:rPr>
                <w:rFonts w:hint="default" w:ascii="Times New Roman" w:hAnsi="Times New Roman" w:eastAsia="宋体" w:cs="Times New Roman"/>
                <w:b w:val="0"/>
                <w:bCs w:val="0"/>
                <w:color w:val="auto"/>
                <w:kern w:val="2"/>
                <w:sz w:val="24"/>
                <w:szCs w:val="24"/>
                <w:highlight w:val="none"/>
                <w:lang w:val="en-US" w:eastAsia="zh-CN" w:bidi="ar-SA"/>
              </w:rPr>
              <w:fldChar w:fldCharType="end"/>
            </w:r>
            <w:r>
              <w:rPr>
                <w:rFonts w:hint="default" w:ascii="Times New Roman" w:hAnsi="Times New Roman"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lang w:val="en-US" w:eastAsia="zh-CN" w:bidi="ar-SA"/>
              </w:rPr>
              <w:t>中相关规定。危</w:t>
            </w:r>
            <w:r>
              <w:rPr>
                <w:rFonts w:hint="eastAsia" w:ascii="Times New Roman" w:hAnsi="Times New Roman" w:eastAsia="宋体" w:cs="Times New Roman"/>
                <w:b w:val="0"/>
                <w:bCs w:val="0"/>
                <w:color w:val="000000"/>
                <w:kern w:val="2"/>
                <w:sz w:val="24"/>
                <w:szCs w:val="24"/>
                <w:lang w:val="en-US" w:eastAsia="zh-CN" w:bidi="ar-SA"/>
              </w:rPr>
              <w:t>险废物执行《危险废物贮存污染控制标准》（HB18597-2023）中的相关规定。</w:t>
            </w:r>
          </w:p>
        </w:tc>
      </w:tr>
      <w:tr w14:paraId="5900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8" w:hRule="atLeast"/>
          <w:jc w:val="center"/>
        </w:trPr>
        <w:tc>
          <w:tcPr>
            <w:tcW w:w="469" w:type="dxa"/>
            <w:noWrap w:val="0"/>
            <w:vAlign w:val="center"/>
          </w:tcPr>
          <w:p w14:paraId="03885D9B">
            <w:pPr>
              <w:adjustRightInd w:val="0"/>
              <w:snapToGrid w:val="0"/>
              <w:jc w:val="center"/>
              <w:rPr>
                <w:color w:val="auto"/>
                <w:kern w:val="0"/>
                <w:sz w:val="24"/>
              </w:rPr>
            </w:pPr>
            <w:r>
              <w:rPr>
                <w:color w:val="auto"/>
                <w:kern w:val="0"/>
                <w:sz w:val="24"/>
              </w:rPr>
              <w:t>总量</w:t>
            </w:r>
          </w:p>
          <w:p w14:paraId="6999C5E6">
            <w:pPr>
              <w:adjustRightInd w:val="0"/>
              <w:snapToGrid w:val="0"/>
              <w:jc w:val="center"/>
              <w:rPr>
                <w:color w:val="auto"/>
                <w:kern w:val="0"/>
                <w:sz w:val="24"/>
              </w:rPr>
            </w:pPr>
            <w:r>
              <w:rPr>
                <w:color w:val="auto"/>
                <w:kern w:val="0"/>
                <w:sz w:val="24"/>
              </w:rPr>
              <w:t>控制</w:t>
            </w:r>
          </w:p>
          <w:p w14:paraId="5C72DE76">
            <w:pPr>
              <w:adjustRightInd w:val="0"/>
              <w:snapToGrid w:val="0"/>
              <w:jc w:val="center"/>
              <w:rPr>
                <w:color w:val="auto"/>
                <w:kern w:val="0"/>
                <w:sz w:val="24"/>
              </w:rPr>
            </w:pPr>
            <w:r>
              <w:rPr>
                <w:color w:val="auto"/>
                <w:kern w:val="0"/>
                <w:sz w:val="24"/>
              </w:rPr>
              <w:t>指标</w:t>
            </w:r>
          </w:p>
        </w:tc>
        <w:tc>
          <w:tcPr>
            <w:tcW w:w="8521" w:type="dxa"/>
            <w:noWrap w:val="0"/>
            <w:vAlign w:val="center"/>
          </w:tcPr>
          <w:p w14:paraId="4E8FFE73">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w:t>
            </w:r>
            <w:r>
              <w:rPr>
                <w:rFonts w:hint="eastAsia" w:cs="Times New Roman"/>
                <w:b w:val="0"/>
                <w:bCs w:val="0"/>
                <w:color w:val="auto"/>
                <w:kern w:val="2"/>
                <w:sz w:val="24"/>
                <w:szCs w:val="24"/>
                <w:highlight w:val="none"/>
                <w:lang w:val="en-US" w:eastAsia="zh-CN" w:bidi="ar-SA"/>
              </w:rPr>
              <w:t>“十四五”</w:t>
            </w:r>
            <w:r>
              <w:rPr>
                <w:rFonts w:hint="default" w:ascii="Times New Roman" w:hAnsi="Times New Roman" w:eastAsia="宋体" w:cs="Times New Roman"/>
                <w:b w:val="0"/>
                <w:bCs w:val="0"/>
                <w:color w:val="auto"/>
                <w:kern w:val="2"/>
                <w:sz w:val="24"/>
                <w:szCs w:val="24"/>
                <w:highlight w:val="none"/>
                <w:lang w:val="en-US" w:eastAsia="zh-CN" w:bidi="ar-SA"/>
              </w:rPr>
              <w:t>主要污染物总量控制规划编制技术指南》及陕西有关规定，国家</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十四五</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主要污染物总量控制因子为：COD、氨氮、NO</w:t>
            </w:r>
            <w:r>
              <w:rPr>
                <w:rFonts w:hint="default" w:ascii="Times New Roman" w:hAnsi="Times New Roman" w:eastAsia="宋体" w:cs="Times New Roman"/>
                <w:b w:val="0"/>
                <w:bCs w:val="0"/>
                <w:color w:val="auto"/>
                <w:kern w:val="2"/>
                <w:sz w:val="24"/>
                <w:szCs w:val="24"/>
                <w:highlight w:val="none"/>
                <w:vertAlign w:val="subscript"/>
                <w:lang w:val="en-US" w:eastAsia="zh-CN" w:bidi="ar-SA"/>
              </w:rPr>
              <w:t>X</w:t>
            </w:r>
            <w:r>
              <w:rPr>
                <w:rFonts w:hint="default" w:ascii="Times New Roman" w:hAnsi="Times New Roman" w:eastAsia="宋体" w:cs="Times New Roman"/>
                <w:b w:val="0"/>
                <w:bCs w:val="0"/>
                <w:color w:val="auto"/>
                <w:kern w:val="2"/>
                <w:sz w:val="24"/>
                <w:szCs w:val="24"/>
                <w:highlight w:val="none"/>
                <w:lang w:val="en-US" w:eastAsia="zh-CN" w:bidi="ar-SA"/>
              </w:rPr>
              <w:t>、VOC</w:t>
            </w:r>
            <w:r>
              <w:rPr>
                <w:rFonts w:hint="default" w:ascii="Times New Roman" w:hAnsi="Times New Roman" w:eastAsia="宋体" w:cs="Times New Roman"/>
                <w:b w:val="0"/>
                <w:bCs w:val="0"/>
                <w:color w:val="auto"/>
                <w:kern w:val="2"/>
                <w:sz w:val="24"/>
                <w:szCs w:val="24"/>
                <w:highlight w:val="none"/>
                <w:vertAlign w:val="subscript"/>
                <w:lang w:val="en-US" w:eastAsia="zh-CN" w:bidi="ar-SA"/>
              </w:rPr>
              <w:t>S</w:t>
            </w:r>
            <w:r>
              <w:rPr>
                <w:rFonts w:hint="default" w:ascii="Times New Roman" w:hAnsi="Times New Roman" w:eastAsia="宋体" w:cs="Times New Roman"/>
                <w:b w:val="0"/>
                <w:bCs w:val="0"/>
                <w:color w:val="auto"/>
                <w:kern w:val="2"/>
                <w:sz w:val="24"/>
                <w:szCs w:val="24"/>
                <w:highlight w:val="none"/>
                <w:lang w:val="en-US" w:eastAsia="zh-CN" w:bidi="ar-SA"/>
              </w:rPr>
              <w:t>。</w:t>
            </w:r>
          </w:p>
          <w:p w14:paraId="0A0CE409">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根据工程分析，本项目不产生生产废水；生活污水依托</w:t>
            </w:r>
            <w:r>
              <w:rPr>
                <w:rFonts w:hint="eastAsia" w:cs="Times New Roman"/>
                <w:b w:val="0"/>
                <w:bCs w:val="0"/>
                <w:color w:val="auto"/>
                <w:kern w:val="2"/>
                <w:sz w:val="24"/>
                <w:szCs w:val="24"/>
                <w:highlight w:val="none"/>
                <w:lang w:val="en-US" w:eastAsia="zh-CN" w:bidi="ar-SA"/>
              </w:rPr>
              <w:t>厂</w:t>
            </w:r>
            <w:r>
              <w:rPr>
                <w:rFonts w:hint="default" w:ascii="Times New Roman" w:hAnsi="Times New Roman" w:eastAsia="宋体" w:cs="Times New Roman"/>
                <w:b w:val="0"/>
                <w:bCs w:val="0"/>
                <w:color w:val="auto"/>
                <w:kern w:val="2"/>
                <w:sz w:val="24"/>
                <w:szCs w:val="24"/>
                <w:highlight w:val="none"/>
                <w:lang w:val="en-US" w:eastAsia="zh-CN" w:bidi="ar-SA"/>
              </w:rPr>
              <w:t>区化粪池处理</w:t>
            </w:r>
            <w:r>
              <w:rPr>
                <w:rFonts w:hint="eastAsia" w:cs="Times New Roman"/>
                <w:b w:val="0"/>
                <w:bCs w:val="0"/>
                <w:color w:val="auto"/>
                <w:kern w:val="2"/>
                <w:sz w:val="24"/>
                <w:szCs w:val="24"/>
                <w:highlight w:val="none"/>
                <w:lang w:val="en-US" w:eastAsia="zh-CN" w:bidi="ar-SA"/>
              </w:rPr>
              <w:t>，定期清掏后用于农田施肥，</w:t>
            </w:r>
            <w:r>
              <w:rPr>
                <w:rFonts w:hint="default" w:ascii="Times New Roman" w:hAnsi="Times New Roman" w:eastAsia="宋体" w:cs="Times New Roman"/>
                <w:b w:val="0"/>
                <w:bCs w:val="0"/>
                <w:color w:val="auto"/>
                <w:kern w:val="2"/>
                <w:sz w:val="24"/>
                <w:szCs w:val="24"/>
                <w:highlight w:val="none"/>
                <w:lang w:val="en-US" w:eastAsia="zh-CN" w:bidi="ar-SA"/>
              </w:rPr>
              <w:t>因此</w:t>
            </w:r>
            <w:r>
              <w:rPr>
                <w:rFonts w:hint="eastAsia" w:cs="Times New Roman"/>
                <w:b w:val="0"/>
                <w:bCs w:val="0"/>
                <w:color w:val="auto"/>
                <w:kern w:val="2"/>
                <w:sz w:val="24"/>
                <w:szCs w:val="24"/>
                <w:highlight w:val="none"/>
                <w:lang w:val="en-US" w:eastAsia="zh-CN" w:bidi="ar-SA"/>
              </w:rPr>
              <w:t>不设置废水总量控制目标。</w:t>
            </w:r>
          </w:p>
          <w:p w14:paraId="1815FA18">
            <w:pPr>
              <w:numPr>
                <w:ilvl w:val="0"/>
                <w:numId w:val="0"/>
              </w:numPr>
              <w:spacing w:line="360" w:lineRule="auto"/>
              <w:ind w:firstLine="480" w:firstLineChars="200"/>
              <w:rPr>
                <w:rFonts w:hint="default" w:ascii="Times New Roman" w:hAnsi="Times New Roman" w:eastAsia="宋体" w:cs="Times New Roman"/>
                <w:color w:val="auto"/>
                <w:sz w:val="24"/>
                <w:szCs w:val="32"/>
                <w:highlight w:val="yellow"/>
                <w:lang w:eastAsia="zh-CN"/>
              </w:rPr>
            </w:pPr>
            <w:r>
              <w:rPr>
                <w:rFonts w:hint="default" w:ascii="Times New Roman" w:hAnsi="Times New Roman" w:eastAsia="宋体" w:cs="Times New Roman"/>
                <w:b w:val="0"/>
                <w:bCs w:val="0"/>
                <w:color w:val="auto"/>
                <w:kern w:val="2"/>
                <w:sz w:val="24"/>
                <w:szCs w:val="24"/>
                <w:highlight w:val="none"/>
                <w:lang w:val="en-US" w:eastAsia="zh-CN" w:bidi="ar-SA"/>
              </w:rPr>
              <w:t>本项目废气主要为注塑</w:t>
            </w:r>
            <w:r>
              <w:rPr>
                <w:rFonts w:hint="eastAsia" w:cs="Times New Roman"/>
                <w:b w:val="0"/>
                <w:bCs w:val="0"/>
                <w:color w:val="auto"/>
                <w:kern w:val="2"/>
                <w:sz w:val="24"/>
                <w:szCs w:val="24"/>
                <w:highlight w:val="none"/>
                <w:lang w:val="en-US" w:eastAsia="zh-CN" w:bidi="ar-SA"/>
              </w:rPr>
              <w:t>、挤出</w:t>
            </w:r>
            <w:r>
              <w:rPr>
                <w:rFonts w:hint="default" w:ascii="Times New Roman" w:hAnsi="Times New Roman" w:eastAsia="宋体" w:cs="Times New Roman"/>
                <w:b w:val="0"/>
                <w:bCs w:val="0"/>
                <w:color w:val="auto"/>
                <w:kern w:val="2"/>
                <w:sz w:val="24"/>
                <w:szCs w:val="24"/>
                <w:highlight w:val="none"/>
                <w:lang w:val="en-US" w:eastAsia="zh-CN" w:bidi="ar-SA"/>
              </w:rPr>
              <w:t>工序产生的有机废气（以非甲烷总烃计）</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根据项目产排污特征，污染物总量控制建议指标VOCs（以非甲烷总烃计）为</w:t>
            </w:r>
            <w:r>
              <w:rPr>
                <w:rFonts w:hint="eastAsia" w:cs="Times New Roman"/>
                <w:b w:val="0"/>
                <w:bCs w:val="0"/>
                <w:color w:val="auto"/>
                <w:kern w:val="2"/>
                <w:sz w:val="24"/>
                <w:szCs w:val="24"/>
                <w:highlight w:val="none"/>
                <w:lang w:val="en-US" w:eastAsia="zh-CN" w:bidi="ar-SA"/>
              </w:rPr>
              <w:t>2.112</w:t>
            </w:r>
            <w:r>
              <w:rPr>
                <w:rFonts w:hint="default" w:ascii="Times New Roman" w:hAnsi="Times New Roman" w:eastAsia="宋体" w:cs="Times New Roman"/>
                <w:b w:val="0"/>
                <w:bCs w:val="0"/>
                <w:color w:val="auto"/>
                <w:kern w:val="2"/>
                <w:sz w:val="24"/>
                <w:szCs w:val="24"/>
                <w:highlight w:val="none"/>
                <w:lang w:val="en-US" w:eastAsia="zh-CN" w:bidi="ar-SA"/>
              </w:rPr>
              <w:t>t/a。</w:t>
            </w:r>
          </w:p>
        </w:tc>
      </w:tr>
    </w:tbl>
    <w:p w14:paraId="35B6F07B">
      <w:pPr>
        <w:rPr>
          <w:rFonts w:hint="eastAsia" w:ascii="黑体" w:hAnsi="黑体" w:eastAsia="黑体"/>
          <w:snapToGrid w:val="0"/>
          <w:color w:val="auto"/>
          <w:sz w:val="30"/>
          <w:szCs w:val="30"/>
        </w:rPr>
      </w:pPr>
      <w:r>
        <w:rPr>
          <w:rFonts w:hint="eastAsia" w:ascii="黑体" w:hAnsi="黑体" w:eastAsia="黑体"/>
          <w:snapToGrid w:val="0"/>
          <w:color w:val="auto"/>
          <w:sz w:val="30"/>
          <w:szCs w:val="30"/>
        </w:rPr>
        <w:br w:type="page"/>
      </w:r>
    </w:p>
    <w:p w14:paraId="760A5968">
      <w:pPr>
        <w:pStyle w:val="22"/>
        <w:numPr>
          <w:ilvl w:val="0"/>
          <w:numId w:val="0"/>
        </w:numPr>
        <w:jc w:val="center"/>
        <w:outlineLvl w:val="0"/>
        <w:rPr>
          <w:rFonts w:hint="eastAsia" w:ascii="黑体" w:hAnsi="黑体" w:eastAsia="黑体" w:cs="Times New Roman"/>
          <w:snapToGrid w:val="0"/>
          <w:color w:val="auto"/>
          <w:sz w:val="30"/>
          <w:szCs w:val="30"/>
          <w:lang w:val="en-US" w:eastAsia="zh-CN"/>
        </w:rPr>
      </w:pPr>
      <w:r>
        <w:rPr>
          <w:rFonts w:hint="eastAsia" w:ascii="黑体" w:hAnsi="黑体" w:eastAsia="黑体" w:cs="Times New Roman"/>
          <w:snapToGrid w:val="0"/>
          <w:color w:val="auto"/>
          <w:sz w:val="30"/>
          <w:szCs w:val="30"/>
          <w:lang w:val="en-US" w:eastAsia="zh-CN"/>
        </w:rPr>
        <w:t>四、主要环境影响和保护措施</w:t>
      </w:r>
    </w:p>
    <w:tbl>
      <w:tblPr>
        <w:tblStyle w:val="25"/>
        <w:tblW w:w="89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8"/>
        <w:gridCol w:w="8133"/>
      </w:tblGrid>
      <w:tr w14:paraId="0DD37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48" w:type="dxa"/>
            <w:noWrap w:val="0"/>
            <w:tcMar>
              <w:left w:w="28" w:type="dxa"/>
              <w:right w:w="28" w:type="dxa"/>
            </w:tcMar>
            <w:vAlign w:val="center"/>
          </w:tcPr>
          <w:p w14:paraId="73155702">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施工</w:t>
            </w:r>
          </w:p>
          <w:p w14:paraId="253403C8">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期环</w:t>
            </w:r>
          </w:p>
          <w:p w14:paraId="607CE80B">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境保</w:t>
            </w:r>
          </w:p>
          <w:p w14:paraId="3A746081">
            <w:pPr>
              <w:adjustRightInd w:val="0"/>
              <w:snapToGrid w:val="0"/>
              <w:jc w:val="center"/>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护措</w:t>
            </w:r>
          </w:p>
          <w:p w14:paraId="61F48DAA">
            <w:pPr>
              <w:adjustRightInd w:val="0"/>
              <w:snapToGrid w:val="0"/>
              <w:jc w:val="center"/>
              <w:rPr>
                <w:rFonts w:ascii="Times New Roman" w:hAnsi="Times New Roman"/>
                <w:bCs/>
                <w:color w:val="auto"/>
                <w:kern w:val="2"/>
                <w:sz w:val="21"/>
                <w:szCs w:val="21"/>
                <w:highlight w:val="none"/>
              </w:rPr>
            </w:pPr>
            <w:r>
              <w:rPr>
                <w:rFonts w:ascii="Times New Roman" w:hAnsi="Times New Roman" w:eastAsia="宋体" w:cs="Times New Roman"/>
                <w:color w:val="auto"/>
                <w:kern w:val="0"/>
                <w:sz w:val="24"/>
                <w:highlight w:val="none"/>
              </w:rPr>
              <w:t>施</w:t>
            </w:r>
          </w:p>
        </w:tc>
        <w:tc>
          <w:tcPr>
            <w:tcW w:w="8133" w:type="dxa"/>
            <w:noWrap w:val="0"/>
            <w:vAlign w:val="center"/>
          </w:tcPr>
          <w:p w14:paraId="457954F0">
            <w:pPr>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Cs/>
                <w:color w:val="auto"/>
                <w:sz w:val="24"/>
                <w:szCs w:val="24"/>
                <w:highlight w:val="none"/>
                <w:lang w:val="en-US" w:eastAsia="zh-CN"/>
              </w:rPr>
              <w:t>本项目位于陕西省西咸新区泾河新城</w:t>
            </w:r>
            <w:r>
              <w:rPr>
                <w:rFonts w:hint="eastAsia" w:ascii="Times New Roman" w:hAnsi="Times New Roman" w:eastAsia="宋体" w:cs="Times New Roman"/>
                <w:bCs/>
                <w:color w:val="auto"/>
                <w:sz w:val="24"/>
                <w:szCs w:val="24"/>
                <w:highlight w:val="none"/>
                <w:lang w:val="en-US" w:eastAsia="zh-CN"/>
              </w:rPr>
              <w:t>工业密集区永乐园区南北大道23号</w:t>
            </w:r>
            <w:r>
              <w:rPr>
                <w:rFonts w:hint="default" w:ascii="Times New Roman" w:hAnsi="Times New Roman" w:eastAsia="宋体" w:cs="Times New Roman"/>
                <w:bCs/>
                <w:color w:val="auto"/>
                <w:sz w:val="24"/>
                <w:szCs w:val="24"/>
                <w:highlight w:val="none"/>
                <w:lang w:val="en-US" w:eastAsia="zh-CN"/>
              </w:rPr>
              <w:t>，租用已建成厂房，厂房已进行地面硬化，</w:t>
            </w:r>
            <w:r>
              <w:rPr>
                <w:rFonts w:hint="default" w:ascii="Times New Roman" w:hAnsi="Times New Roman" w:eastAsia="宋体" w:cs="Times New Roman"/>
                <w:b w:val="0"/>
                <w:bCs w:val="0"/>
                <w:color w:val="auto"/>
                <w:kern w:val="2"/>
                <w:sz w:val="24"/>
                <w:szCs w:val="24"/>
                <w:highlight w:val="none"/>
                <w:lang w:val="en-US" w:eastAsia="zh-CN" w:bidi="ar-SA"/>
              </w:rPr>
              <w:t>施工期只进行生产设备和环保设施的安装及调试。</w:t>
            </w:r>
            <w:r>
              <w:rPr>
                <w:rFonts w:hint="eastAsia" w:ascii="Times New Roman" w:hAnsi="Times New Roman" w:eastAsia="宋体" w:cs="Times New Roman"/>
                <w:b w:val="0"/>
                <w:bCs w:val="0"/>
                <w:color w:val="auto"/>
                <w:kern w:val="2"/>
                <w:sz w:val="24"/>
                <w:szCs w:val="24"/>
                <w:highlight w:val="none"/>
                <w:lang w:val="en-US" w:eastAsia="zh-CN" w:bidi="ar-SA"/>
              </w:rPr>
              <w:t>主要污染物为施工过程中产生的</w:t>
            </w:r>
            <w:r>
              <w:rPr>
                <w:rFonts w:hint="eastAsia" w:ascii="Times New Roman" w:hAnsi="Times New Roman" w:cs="Times New Roman"/>
                <w:b w:val="0"/>
                <w:bCs w:val="0"/>
                <w:color w:val="auto"/>
                <w:kern w:val="2"/>
                <w:sz w:val="24"/>
                <w:szCs w:val="24"/>
                <w:highlight w:val="none"/>
                <w:lang w:val="en-US" w:eastAsia="zh-CN" w:bidi="ar-SA"/>
              </w:rPr>
              <w:t>少量粉尘、设备安装噪声</w:t>
            </w:r>
            <w:r>
              <w:rPr>
                <w:rFonts w:hint="eastAsia" w:ascii="Times New Roman" w:hAnsi="Times New Roman" w:eastAsia="宋体" w:cs="Times New Roman"/>
                <w:b w:val="0"/>
                <w:bCs w:val="0"/>
                <w:color w:val="auto"/>
                <w:kern w:val="2"/>
                <w:sz w:val="24"/>
                <w:szCs w:val="24"/>
                <w:highlight w:val="none"/>
                <w:lang w:val="en-US" w:eastAsia="zh-CN" w:bidi="ar-SA"/>
              </w:rPr>
              <w:t>、废弃包装物</w:t>
            </w:r>
            <w:r>
              <w:rPr>
                <w:rFonts w:hint="eastAsia" w:ascii="Times New Roman" w:hAnsi="Times New Roman"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施工人员生活污水等。施工期对环境影响，随施工期结束而逐渐消失，本次评价提出如下污染防治措施：</w:t>
            </w:r>
          </w:p>
          <w:p w14:paraId="6FF19D2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1、废水</w:t>
            </w:r>
          </w:p>
          <w:p w14:paraId="6CFB937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本项目施工期废水主要为工作人员产生的生活污水，主要污染物为COD、BOD</w:t>
            </w:r>
            <w:r>
              <w:rPr>
                <w:rFonts w:hint="eastAsia" w:ascii="Times New Roman" w:hAnsi="Times New Roman" w:eastAsia="宋体" w:cs="Times New Roman"/>
                <w:b w:val="0"/>
                <w:bCs w:val="0"/>
                <w:color w:val="auto"/>
                <w:kern w:val="2"/>
                <w:sz w:val="24"/>
                <w:szCs w:val="24"/>
                <w:highlight w:val="none"/>
                <w:vertAlign w:val="subscript"/>
                <w:lang w:val="en-US" w:eastAsia="zh-CN" w:bidi="ar-SA"/>
              </w:rPr>
              <w:t>5</w:t>
            </w:r>
            <w:r>
              <w:rPr>
                <w:rFonts w:hint="eastAsia" w:ascii="Times New Roman" w:hAnsi="Times New Roman" w:eastAsia="宋体" w:cs="Times New Roman"/>
                <w:b w:val="0"/>
                <w:bCs w:val="0"/>
                <w:color w:val="auto"/>
                <w:kern w:val="2"/>
                <w:sz w:val="24"/>
                <w:szCs w:val="24"/>
                <w:highlight w:val="none"/>
                <w:lang w:val="en-US" w:eastAsia="zh-CN" w:bidi="ar-SA"/>
              </w:rPr>
              <w:t>、SS和NH</w:t>
            </w:r>
            <w:r>
              <w:rPr>
                <w:rFonts w:hint="eastAsia" w:ascii="Times New Roman" w:hAnsi="Times New Roman" w:eastAsia="宋体" w:cs="Times New Roman"/>
                <w:b w:val="0"/>
                <w:bCs w:val="0"/>
                <w:color w:val="auto"/>
                <w:kern w:val="2"/>
                <w:sz w:val="24"/>
                <w:szCs w:val="24"/>
                <w:highlight w:val="none"/>
                <w:vertAlign w:val="subscript"/>
                <w:lang w:val="en-US" w:eastAsia="zh-CN" w:bidi="ar-SA"/>
              </w:rPr>
              <w:t>3</w:t>
            </w:r>
            <w:r>
              <w:rPr>
                <w:rFonts w:hint="eastAsia" w:ascii="Times New Roman" w:hAnsi="Times New Roman" w:eastAsia="宋体" w:cs="Times New Roman"/>
                <w:b w:val="0"/>
                <w:bCs w:val="0"/>
                <w:color w:val="auto"/>
                <w:kern w:val="2"/>
                <w:sz w:val="24"/>
                <w:szCs w:val="24"/>
                <w:highlight w:val="none"/>
                <w:lang w:val="en-US" w:eastAsia="zh-CN" w:bidi="ar-SA"/>
              </w:rPr>
              <w:t>-N等。按平均施工人员5人，不提供食宿，用水量以27L/人•d计，则生活污水产生量约0.11m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lang w:val="en-US" w:eastAsia="zh-CN" w:bidi="ar-SA"/>
              </w:rPr>
              <w:t>/d，依托厂区化粪池处理，定期清掏后用于周边农田施肥，对环境影响较小。</w:t>
            </w:r>
          </w:p>
          <w:p w14:paraId="64DD3A3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2、废气</w:t>
            </w:r>
          </w:p>
          <w:p w14:paraId="11F1136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施工期废气主要为设备安装过程中产生的颗粒物粉尘，但排放量较小，且排放方式为间歇排放，一般仅对施工区域的大气环境产生一定的影响，对施工区域外的环境基本无影响，采取加强通风措施后，对环境影响较小。</w:t>
            </w:r>
          </w:p>
          <w:p w14:paraId="039B87B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3、噪声</w:t>
            </w:r>
          </w:p>
          <w:p w14:paraId="671D0AC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施工期间噪声主要来自设备运输安装产生的噪声。室内噪声主要通过厂房进行隔声降噪，室外施工虽有高噪声设备，但工作时间均较短，对位置相对固定的高噪声机械设备，选择合适地点设置单面声障。本次评价要求施工期项目严格控制施工时间，合理安排施工计划，避开夜间（22:00-06:00）、昼间午休时间（12:00-14:00）施工，以免产生扰民现象。经采取以上措施，项目施工期对环境影响较小，且伴随着施工期的结束，其影响将会消失。</w:t>
            </w:r>
          </w:p>
          <w:p w14:paraId="1AD5B1F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4、固废</w:t>
            </w:r>
          </w:p>
          <w:p w14:paraId="7C9F943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施工期固废主要为施工人员生活垃圾</w:t>
            </w:r>
            <w:r>
              <w:rPr>
                <w:rFonts w:hint="eastAsia" w:ascii="Times New Roman" w:hAnsi="Times New Roman" w:cs="Times New Roman"/>
                <w:b w:val="0"/>
                <w:bCs w:val="0"/>
                <w:color w:val="auto"/>
                <w:kern w:val="2"/>
                <w:sz w:val="24"/>
                <w:szCs w:val="24"/>
                <w:highlight w:val="none"/>
                <w:lang w:val="en-US" w:eastAsia="zh-CN" w:bidi="ar-SA"/>
              </w:rPr>
              <w:t>及设备安装产生的</w:t>
            </w:r>
            <w:r>
              <w:rPr>
                <w:rFonts w:hint="eastAsia" w:ascii="Times New Roman" w:hAnsi="Times New Roman" w:eastAsia="宋体" w:cs="Times New Roman"/>
                <w:b w:val="0"/>
                <w:bCs w:val="0"/>
                <w:color w:val="auto"/>
                <w:kern w:val="2"/>
                <w:sz w:val="24"/>
                <w:szCs w:val="24"/>
                <w:highlight w:val="none"/>
                <w:lang w:val="en-US" w:eastAsia="zh-CN" w:bidi="ar-SA"/>
              </w:rPr>
              <w:t>废包装材料。</w:t>
            </w:r>
          </w:p>
          <w:p w14:paraId="581C9CE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①生活垃圾</w:t>
            </w:r>
          </w:p>
          <w:p w14:paraId="67A0B8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lang w:eastAsia="zh-CN"/>
              </w:rPr>
            </w:pPr>
            <w:r>
              <w:rPr>
                <w:rFonts w:hint="eastAsia" w:ascii="Times New Roman" w:hAnsi="Times New Roman" w:eastAsia="宋体" w:cs="Times New Roman"/>
                <w:b w:val="0"/>
                <w:bCs w:val="0"/>
                <w:color w:val="auto"/>
                <w:kern w:val="2"/>
                <w:sz w:val="24"/>
                <w:szCs w:val="24"/>
                <w:highlight w:val="none"/>
                <w:lang w:val="en-US" w:eastAsia="zh-CN" w:bidi="ar-SA"/>
              </w:rPr>
              <w:t>本项目施工期平均施工人员5人，生活垃圾产生量约0.5kg/（人•d），则预计产生量为2.5kg/d。生活垃圾经垃圾桶分类收集后由环卫部门清运。</w:t>
            </w:r>
          </w:p>
          <w:p w14:paraId="643229D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②废包装材料</w:t>
            </w:r>
          </w:p>
          <w:p w14:paraId="26846C3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安装设备产生的废包装材料分类收集后外售综合利用。</w:t>
            </w:r>
          </w:p>
          <w:p w14:paraId="589810D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cs="Times New Roman"/>
                <w:bCs/>
                <w:color w:val="auto"/>
                <w:sz w:val="24"/>
                <w:highlight w:val="none"/>
              </w:rPr>
            </w:pPr>
            <w:r>
              <w:rPr>
                <w:rFonts w:hint="eastAsia" w:ascii="Times New Roman" w:hAnsi="Times New Roman" w:eastAsia="宋体" w:cs="Times New Roman"/>
                <w:b w:val="0"/>
                <w:bCs w:val="0"/>
                <w:color w:val="auto"/>
                <w:kern w:val="2"/>
                <w:sz w:val="24"/>
                <w:szCs w:val="24"/>
                <w:highlight w:val="none"/>
                <w:lang w:val="en-US" w:eastAsia="zh-CN" w:bidi="ar-SA"/>
              </w:rPr>
              <w:t>综上，采取以上污染物防治措施后，本项目施工期对环境影响较小。</w:t>
            </w:r>
          </w:p>
        </w:tc>
      </w:tr>
      <w:tr w14:paraId="7F5B5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12" w:hRule="atLeast"/>
          <w:jc w:val="center"/>
        </w:trPr>
        <w:tc>
          <w:tcPr>
            <w:tcW w:w="848" w:type="dxa"/>
            <w:noWrap w:val="0"/>
            <w:tcMar>
              <w:left w:w="28" w:type="dxa"/>
              <w:right w:w="28" w:type="dxa"/>
            </w:tcMar>
            <w:vAlign w:val="center"/>
          </w:tcPr>
          <w:p w14:paraId="25BC00CA">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运营</w:t>
            </w:r>
          </w:p>
          <w:p w14:paraId="147ACCFC">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期环</w:t>
            </w:r>
          </w:p>
          <w:p w14:paraId="18ADDE2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境影</w:t>
            </w:r>
          </w:p>
          <w:p w14:paraId="477758E6">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响和</w:t>
            </w:r>
          </w:p>
          <w:p w14:paraId="20435C72">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eastAsia="宋体" w:cs="Times New Roman"/>
                <w:color w:val="auto"/>
                <w:kern w:val="0"/>
                <w:sz w:val="24"/>
                <w:highlight w:val="none"/>
              </w:rPr>
            </w:pPr>
            <w:r>
              <w:rPr>
                <w:rFonts w:ascii="Times New Roman" w:hAnsi="Times New Roman" w:eastAsia="宋体" w:cs="Times New Roman"/>
                <w:color w:val="auto"/>
                <w:kern w:val="0"/>
                <w:sz w:val="24"/>
                <w:highlight w:val="none"/>
              </w:rPr>
              <w:t>保护</w:t>
            </w:r>
          </w:p>
          <w:p w14:paraId="434D5ECF">
            <w:pPr>
              <w:keepNext w:val="0"/>
              <w:keepLines w:val="0"/>
              <w:pageBreakBefore w:val="0"/>
              <w:widowControl w:val="0"/>
              <w:kinsoku/>
              <w:wordWrap/>
              <w:overflowPunct/>
              <w:topLinePunct w:val="0"/>
              <w:autoSpaceDE/>
              <w:autoSpaceDN/>
              <w:bidi w:val="0"/>
              <w:adjustRightInd w:val="0"/>
              <w:snapToGrid w:val="0"/>
              <w:spacing w:line="264" w:lineRule="auto"/>
              <w:jc w:val="center"/>
              <w:textAlignment w:val="auto"/>
              <w:rPr>
                <w:rFonts w:ascii="Times New Roman" w:hAnsi="Times New Roman"/>
                <w:color w:val="auto"/>
                <w:kern w:val="2"/>
                <w:sz w:val="21"/>
                <w:szCs w:val="21"/>
                <w:highlight w:val="none"/>
              </w:rPr>
            </w:pPr>
            <w:r>
              <w:rPr>
                <w:rFonts w:ascii="Times New Roman" w:hAnsi="Times New Roman" w:eastAsia="宋体" w:cs="Times New Roman"/>
                <w:color w:val="auto"/>
                <w:kern w:val="0"/>
                <w:sz w:val="24"/>
                <w:highlight w:val="none"/>
              </w:rPr>
              <w:t>措施</w:t>
            </w:r>
          </w:p>
        </w:tc>
        <w:tc>
          <w:tcPr>
            <w:tcW w:w="8133" w:type="dxa"/>
            <w:noWrap w:val="0"/>
            <w:vAlign w:val="center"/>
          </w:tcPr>
          <w:p w14:paraId="1D472A2B">
            <w:pPr>
              <w:numPr>
                <w:ilvl w:val="0"/>
                <w:numId w:val="8"/>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bookmarkStart w:id="10" w:name="_Toc100412689"/>
            <w:r>
              <w:rPr>
                <w:rFonts w:hint="default" w:ascii="Times New Roman" w:hAnsi="Times New Roman" w:cs="Times New Roman"/>
                <w:b/>
                <w:bCs w:val="0"/>
                <w:color w:val="auto"/>
                <w:spacing w:val="-10"/>
                <w:sz w:val="24"/>
                <w:szCs w:val="24"/>
                <w:highlight w:val="none"/>
                <w:lang w:val="en-US" w:eastAsia="zh-CN"/>
              </w:rPr>
              <w:t>废</w:t>
            </w:r>
            <w:r>
              <w:rPr>
                <w:rFonts w:hint="eastAsia" w:cs="Times New Roman"/>
                <w:b/>
                <w:bCs w:val="0"/>
                <w:color w:val="auto"/>
                <w:spacing w:val="-10"/>
                <w:sz w:val="24"/>
                <w:szCs w:val="24"/>
                <w:highlight w:val="none"/>
                <w:lang w:val="en-US" w:eastAsia="zh-CN"/>
              </w:rPr>
              <w:t>气</w:t>
            </w:r>
          </w:p>
          <w:p w14:paraId="08A6156D">
            <w:pPr>
              <w:pStyle w:val="13"/>
              <w:keepNext w:val="0"/>
              <w:keepLines w:val="0"/>
              <w:pageBreakBefore w:val="0"/>
              <w:widowControl w:val="0"/>
              <w:tabs>
                <w:tab w:val="left" w:pos="6855"/>
              </w:tabs>
              <w:kinsoku/>
              <w:wordWrap/>
              <w:overflowPunct/>
              <w:topLinePunct w:val="0"/>
              <w:autoSpaceDE/>
              <w:autoSpaceDN/>
              <w:bidi w:val="0"/>
              <w:adjustRightInd/>
              <w:snapToGrid/>
              <w:spacing w:after="0" w:line="360" w:lineRule="auto"/>
              <w:ind w:left="0" w:leftChars="0" w:firstLine="480" w:firstLineChars="200"/>
              <w:textAlignment w:val="auto"/>
              <w:rPr>
                <w:rFonts w:hint="eastAsia" w:ascii="Times New Roman" w:hAnsi="Times New Roman" w:eastAsia="宋体" w:cs="宋体"/>
                <w:color w:val="auto"/>
                <w:kern w:val="2"/>
                <w:sz w:val="24"/>
                <w:szCs w:val="32"/>
                <w:highlight w:val="none"/>
                <w:lang w:val="en-US" w:eastAsia="zh-CN" w:bidi="ar-SA"/>
              </w:rPr>
            </w:pPr>
            <w:r>
              <w:rPr>
                <w:rFonts w:hint="eastAsia" w:ascii="Times New Roman" w:hAnsi="Times New Roman" w:eastAsia="宋体" w:cs="宋体"/>
                <w:color w:val="auto"/>
                <w:kern w:val="2"/>
                <w:sz w:val="24"/>
                <w:szCs w:val="32"/>
                <w:highlight w:val="none"/>
                <w:lang w:val="en-US" w:eastAsia="zh-CN" w:bidi="ar-SA"/>
              </w:rPr>
              <w:t>根据工艺流程与产污环节分析，</w:t>
            </w:r>
            <w:r>
              <w:rPr>
                <w:rFonts w:hint="default" w:ascii="Times New Roman" w:hAnsi="Times New Roman" w:cs="Times New Roman"/>
                <w:color w:val="auto"/>
                <w:kern w:val="0"/>
                <w:sz w:val="24"/>
                <w:highlight w:val="none"/>
                <w:lang w:val="en-US" w:eastAsia="zh-CN" w:bidi="en-US"/>
              </w:rPr>
              <w:t>项目</w:t>
            </w:r>
            <w:r>
              <w:rPr>
                <w:rFonts w:hint="eastAsia" w:ascii="Times New Roman" w:hAnsi="Times New Roman" w:cs="Times New Roman"/>
                <w:color w:val="auto"/>
                <w:kern w:val="0"/>
                <w:sz w:val="24"/>
                <w:highlight w:val="none"/>
                <w:lang w:val="en-US" w:eastAsia="zh-CN" w:bidi="en-US"/>
              </w:rPr>
              <w:t>原料为颗粒</w:t>
            </w:r>
            <w:r>
              <w:rPr>
                <w:rFonts w:hint="eastAsia" w:cs="Times New Roman"/>
                <w:color w:val="auto"/>
                <w:kern w:val="0"/>
                <w:sz w:val="24"/>
                <w:highlight w:val="none"/>
                <w:lang w:val="en-US" w:eastAsia="zh-CN" w:bidi="en-US"/>
              </w:rPr>
              <w:t>状</w:t>
            </w:r>
            <w:r>
              <w:rPr>
                <w:rFonts w:hint="eastAsia" w:ascii="Times New Roman" w:hAnsi="Times New Roman" w:cs="Times New Roman"/>
                <w:color w:val="auto"/>
                <w:kern w:val="0"/>
                <w:sz w:val="24"/>
                <w:highlight w:val="none"/>
                <w:lang w:val="en-US" w:eastAsia="zh-CN" w:bidi="en-US"/>
              </w:rPr>
              <w:t>，投料工序几乎不产生粉尘，</w:t>
            </w:r>
            <w:r>
              <w:rPr>
                <w:rFonts w:hint="eastAsia" w:cs="Times New Roman"/>
                <w:color w:val="auto"/>
                <w:kern w:val="0"/>
                <w:sz w:val="24"/>
                <w:highlight w:val="none"/>
                <w:lang w:val="en-US" w:eastAsia="zh-CN" w:bidi="en-US"/>
              </w:rPr>
              <w:t>挤出、检验工序产生的少量废边角料及不合格产品暂存，全部外售以废品回收方式处理，厂区内不会进行粉碎工序。因此，本项目的废气主要为注塑和挤出过程</w:t>
            </w:r>
            <w:r>
              <w:rPr>
                <w:rFonts w:hint="eastAsia" w:ascii="Times New Roman" w:hAnsi="Times New Roman" w:eastAsia="宋体" w:cs="宋体"/>
                <w:color w:val="auto"/>
                <w:kern w:val="2"/>
                <w:sz w:val="24"/>
                <w:szCs w:val="32"/>
                <w:highlight w:val="none"/>
                <w:lang w:val="en-US" w:eastAsia="zh-CN" w:bidi="ar-SA"/>
              </w:rPr>
              <w:t>产生的非甲烷总烃。</w:t>
            </w:r>
          </w:p>
          <w:p w14:paraId="0476F9B2">
            <w:pPr>
              <w:pStyle w:val="13"/>
              <w:keepNext w:val="0"/>
              <w:keepLines w:val="0"/>
              <w:pageBreakBefore w:val="0"/>
              <w:widowControl w:val="0"/>
              <w:tabs>
                <w:tab w:val="left" w:pos="6855"/>
              </w:tabs>
              <w:kinsoku/>
              <w:wordWrap/>
              <w:overflowPunct/>
              <w:topLinePunct w:val="0"/>
              <w:autoSpaceDE/>
              <w:autoSpaceDN/>
              <w:bidi w:val="0"/>
              <w:adjustRightInd/>
              <w:snapToGrid/>
              <w:spacing w:after="0" w:line="360" w:lineRule="auto"/>
              <w:ind w:left="0" w:leftChars="0" w:firstLine="0" w:firstLineChars="0"/>
              <w:textAlignment w:val="auto"/>
              <w:rPr>
                <w:rFonts w:hint="eastAsia"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1.1</w:t>
            </w:r>
            <w:r>
              <w:rPr>
                <w:rFonts w:hint="eastAsia" w:cs="Times New Roman"/>
                <w:b/>
                <w:bCs/>
                <w:color w:val="auto"/>
                <w:sz w:val="24"/>
                <w:highlight w:val="none"/>
                <w:lang w:val="en-US" w:eastAsia="zh-CN"/>
              </w:rPr>
              <w:t>废气污染物产排情况一览表</w:t>
            </w:r>
          </w:p>
          <w:p w14:paraId="7347F154">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宋体"/>
                <w:color w:val="auto"/>
                <w:kern w:val="2"/>
                <w:sz w:val="24"/>
                <w:szCs w:val="32"/>
                <w:highlight w:val="none"/>
                <w:lang w:val="en-US" w:eastAsia="zh-CN" w:bidi="ar-SA"/>
              </w:rPr>
            </w:pPr>
            <w:r>
              <w:rPr>
                <w:rFonts w:hint="default" w:ascii="Times New Roman" w:hAnsi="Times New Roman" w:eastAsia="宋体" w:cs="宋体"/>
                <w:color w:val="auto"/>
                <w:kern w:val="2"/>
                <w:sz w:val="24"/>
                <w:szCs w:val="32"/>
                <w:highlight w:val="none"/>
                <w:lang w:val="en-US" w:eastAsia="zh-CN" w:bidi="ar-SA"/>
              </w:rPr>
              <w:t>根据源强核算，项目废气产排情况见表</w:t>
            </w:r>
            <w:r>
              <w:rPr>
                <w:rFonts w:hint="default" w:ascii="Times New Roman" w:hAnsi="Times New Roman" w:eastAsia="宋体" w:cs="Times New Roman"/>
                <w:color w:val="auto"/>
                <w:kern w:val="2"/>
                <w:sz w:val="24"/>
                <w:szCs w:val="32"/>
                <w:highlight w:val="none"/>
                <w:lang w:val="en-US" w:eastAsia="zh-CN" w:bidi="ar-SA"/>
              </w:rPr>
              <w:t>4-</w:t>
            </w:r>
            <w:r>
              <w:rPr>
                <w:rFonts w:hint="eastAsia" w:ascii="Times New Roman" w:hAnsi="Times New Roman" w:cs="Times New Roman"/>
                <w:color w:val="auto"/>
                <w:kern w:val="2"/>
                <w:sz w:val="24"/>
                <w:szCs w:val="32"/>
                <w:highlight w:val="none"/>
                <w:lang w:val="en-US" w:eastAsia="zh-CN" w:bidi="ar-SA"/>
              </w:rPr>
              <w:t>1</w:t>
            </w:r>
            <w:r>
              <w:rPr>
                <w:rFonts w:hint="default" w:ascii="Times New Roman" w:hAnsi="Times New Roman" w:eastAsia="宋体" w:cs="Times New Roman"/>
                <w:color w:val="auto"/>
                <w:kern w:val="2"/>
                <w:sz w:val="24"/>
                <w:szCs w:val="32"/>
                <w:highlight w:val="none"/>
                <w:lang w:val="en-US" w:eastAsia="zh-CN" w:bidi="ar-SA"/>
              </w:rPr>
              <w:t>。</w:t>
            </w:r>
          </w:p>
          <w:p w14:paraId="17CC8F04">
            <w:pPr>
              <w:keepNext w:val="0"/>
              <w:keepLines w:val="0"/>
              <w:pageBreakBefore w:val="0"/>
              <w:widowControl w:val="0"/>
              <w:tabs>
                <w:tab w:val="left" w:leader="middleDot" w:pos="8399"/>
              </w:tabs>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asciiTheme="majorEastAsia" w:hAnsiTheme="majorEastAsia" w:eastAsiaTheme="majorEastAsia" w:cstheme="majorEastAsia"/>
                <w:b/>
                <w:color w:val="auto"/>
                <w:szCs w:val="21"/>
                <w:lang w:eastAsia="zh-CN"/>
              </w:rPr>
            </w:pPr>
            <w:r>
              <w:rPr>
                <w:rFonts w:hint="default" w:ascii="Times New Roman" w:hAnsi="Times New Roman" w:cs="Times New Roman" w:eastAsiaTheme="majorEastAsia"/>
                <w:b/>
                <w:color w:val="auto"/>
                <w:szCs w:val="21"/>
                <w:lang w:eastAsia="zh-CN"/>
              </w:rPr>
              <w:t>表4-</w:t>
            </w:r>
            <w:r>
              <w:rPr>
                <w:rFonts w:hint="eastAsia" w:ascii="Times New Roman" w:hAnsi="Times New Roman" w:cs="Times New Roman" w:eastAsiaTheme="majorEastAsia"/>
                <w:b/>
                <w:color w:val="auto"/>
                <w:szCs w:val="21"/>
                <w:lang w:val="en-US" w:eastAsia="zh-CN"/>
              </w:rPr>
              <w:t>1</w:t>
            </w:r>
            <w:r>
              <w:rPr>
                <w:rFonts w:hint="default" w:ascii="Times New Roman" w:hAnsi="Times New Roman" w:cs="Times New Roman" w:eastAsiaTheme="majorEastAsia"/>
                <w:b/>
                <w:color w:val="auto"/>
                <w:szCs w:val="21"/>
                <w:lang w:val="en-US" w:eastAsia="zh-CN"/>
              </w:rPr>
              <w:t xml:space="preserve"> 项目</w:t>
            </w:r>
            <w:r>
              <w:rPr>
                <w:rFonts w:hint="default" w:ascii="Times New Roman" w:hAnsi="Times New Roman" w:cs="Times New Roman" w:eastAsiaTheme="majorEastAsia"/>
                <w:b/>
                <w:color w:val="auto"/>
                <w:szCs w:val="21"/>
                <w:lang w:eastAsia="zh-CN"/>
              </w:rPr>
              <w:t>废气产排情况一览表</w:t>
            </w:r>
          </w:p>
          <w:tbl>
            <w:tblPr>
              <w:tblStyle w:val="25"/>
              <w:tblW w:w="4993"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3"/>
              <w:gridCol w:w="598"/>
              <w:gridCol w:w="532"/>
              <w:gridCol w:w="777"/>
              <w:gridCol w:w="1214"/>
              <w:gridCol w:w="1264"/>
              <w:gridCol w:w="440"/>
              <w:gridCol w:w="831"/>
              <w:gridCol w:w="739"/>
              <w:gridCol w:w="809"/>
            </w:tblGrid>
            <w:tr w14:paraId="49899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trPr>
              <w:tc>
                <w:tcPr>
                  <w:tcW w:w="438" w:type="pct"/>
                  <w:vMerge w:val="restart"/>
                  <w:tcBorders>
                    <w:tl2br w:val="nil"/>
                    <w:tr2bl w:val="nil"/>
                  </w:tcBorders>
                  <w:noWrap w:val="0"/>
                  <w:vAlign w:val="center"/>
                </w:tcPr>
                <w:p w14:paraId="43BBD673">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污染源</w:t>
                  </w:r>
                </w:p>
              </w:tc>
              <w:tc>
                <w:tcPr>
                  <w:tcW w:w="378" w:type="pct"/>
                  <w:vMerge w:val="restart"/>
                  <w:tcBorders>
                    <w:tl2br w:val="nil"/>
                    <w:tr2bl w:val="nil"/>
                  </w:tcBorders>
                  <w:noWrap w:val="0"/>
                  <w:vAlign w:val="center"/>
                </w:tcPr>
                <w:p w14:paraId="7F18CC6C">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污染物</w:t>
                  </w:r>
                </w:p>
              </w:tc>
              <w:tc>
                <w:tcPr>
                  <w:tcW w:w="828" w:type="pct"/>
                  <w:gridSpan w:val="2"/>
                  <w:tcBorders>
                    <w:tl2br w:val="nil"/>
                    <w:tr2bl w:val="nil"/>
                  </w:tcBorders>
                  <w:noWrap w:val="0"/>
                  <w:vAlign w:val="center"/>
                </w:tcPr>
                <w:p w14:paraId="6AFFF02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产生情况</w:t>
                  </w:r>
                </w:p>
              </w:tc>
              <w:tc>
                <w:tcPr>
                  <w:tcW w:w="768" w:type="pct"/>
                  <w:vMerge w:val="restart"/>
                  <w:tcBorders>
                    <w:tl2br w:val="nil"/>
                    <w:tr2bl w:val="nil"/>
                  </w:tcBorders>
                  <w:noWrap w:val="0"/>
                  <w:vAlign w:val="center"/>
                </w:tcPr>
                <w:p w14:paraId="06BD3AB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治理</w:t>
                  </w:r>
                </w:p>
                <w:p w14:paraId="36C0A3A0">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lang w:val="en-US" w:eastAsia="en-US" w:bidi="ar"/>
                    </w:rPr>
                  </w:pPr>
                  <w:r>
                    <w:rPr>
                      <w:rFonts w:hint="default" w:ascii="Times New Roman" w:hAnsi="Times New Roman" w:cs="Times New Roman"/>
                      <w:b/>
                      <w:color w:val="auto"/>
                      <w:szCs w:val="21"/>
                      <w:lang w:bidi="ar"/>
                    </w:rPr>
                    <w:t>设施</w:t>
                  </w:r>
                </w:p>
              </w:tc>
              <w:tc>
                <w:tcPr>
                  <w:tcW w:w="800" w:type="pct"/>
                  <w:vMerge w:val="restart"/>
                  <w:tcBorders>
                    <w:tl2br w:val="nil"/>
                    <w:tr2bl w:val="nil"/>
                  </w:tcBorders>
                  <w:noWrap w:val="0"/>
                  <w:vAlign w:val="center"/>
                </w:tcPr>
                <w:p w14:paraId="0B2D0DE4">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Cs w:val="21"/>
                      <w:lang w:eastAsia="zh-CN" w:bidi="ar"/>
                    </w:rPr>
                  </w:pPr>
                  <w:r>
                    <w:rPr>
                      <w:rFonts w:hint="default" w:ascii="Times New Roman" w:hAnsi="Times New Roman" w:cs="Times New Roman"/>
                      <w:b/>
                      <w:color w:val="auto"/>
                      <w:szCs w:val="21"/>
                      <w:lang w:eastAsia="zh-CN" w:bidi="ar"/>
                    </w:rPr>
                    <w:t>收集、处理效率</w:t>
                  </w:r>
                </w:p>
              </w:tc>
              <w:tc>
                <w:tcPr>
                  <w:tcW w:w="278" w:type="pct"/>
                  <w:vMerge w:val="restart"/>
                  <w:tcBorders>
                    <w:tl2br w:val="nil"/>
                    <w:tr2bl w:val="nil"/>
                  </w:tcBorders>
                  <w:noWrap w:val="0"/>
                  <w:vAlign w:val="center"/>
                </w:tcPr>
                <w:p w14:paraId="5F97B282">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Cs w:val="21"/>
                      <w:lang w:val="en-US" w:eastAsia="zh-CN" w:bidi="ar"/>
                    </w:rPr>
                  </w:pPr>
                  <w:r>
                    <w:rPr>
                      <w:rFonts w:hint="eastAsia" w:ascii="Times New Roman" w:hAnsi="Times New Roman" w:cs="Times New Roman"/>
                      <w:b/>
                      <w:color w:val="auto"/>
                      <w:szCs w:val="21"/>
                      <w:lang w:val="en-US" w:eastAsia="zh-CN" w:bidi="ar"/>
                    </w:rPr>
                    <w:t>排放方式</w:t>
                  </w:r>
                </w:p>
              </w:tc>
              <w:tc>
                <w:tcPr>
                  <w:tcW w:w="1506" w:type="pct"/>
                  <w:gridSpan w:val="3"/>
                  <w:tcBorders>
                    <w:tl2br w:val="nil"/>
                    <w:tr2bl w:val="nil"/>
                  </w:tcBorders>
                  <w:noWrap w:val="0"/>
                  <w:vAlign w:val="center"/>
                </w:tcPr>
                <w:p w14:paraId="300BE7DE">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排放情况</w:t>
                  </w:r>
                </w:p>
              </w:tc>
            </w:tr>
            <w:tr w14:paraId="6DA63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7" w:hRule="atLeast"/>
              </w:trPr>
              <w:tc>
                <w:tcPr>
                  <w:tcW w:w="438" w:type="pct"/>
                  <w:vMerge w:val="continue"/>
                  <w:tcBorders>
                    <w:tl2br w:val="nil"/>
                    <w:tr2bl w:val="nil"/>
                  </w:tcBorders>
                  <w:noWrap w:val="0"/>
                  <w:vAlign w:val="center"/>
                </w:tcPr>
                <w:p w14:paraId="422DC4F8">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378" w:type="pct"/>
                  <w:vMerge w:val="continue"/>
                  <w:tcBorders>
                    <w:tl2br w:val="nil"/>
                    <w:tr2bl w:val="nil"/>
                  </w:tcBorders>
                  <w:noWrap w:val="0"/>
                  <w:vAlign w:val="center"/>
                </w:tcPr>
                <w:p w14:paraId="16AAF261">
                  <w:pPr>
                    <w:keepNext w:val="0"/>
                    <w:keepLines w:val="0"/>
                    <w:pageBreakBefore w:val="0"/>
                    <w:widowControl w:val="0"/>
                    <w:kinsoku/>
                    <w:wordWrap/>
                    <w:overflowPunct/>
                    <w:topLinePunct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336" w:type="pct"/>
                  <w:tcBorders>
                    <w:tl2br w:val="nil"/>
                    <w:tr2bl w:val="nil"/>
                  </w:tcBorders>
                  <w:noWrap w:val="0"/>
                  <w:vAlign w:val="center"/>
                </w:tcPr>
                <w:p w14:paraId="5A0DE27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产生量</w:t>
                  </w:r>
                  <w:r>
                    <w:rPr>
                      <w:rFonts w:hint="default" w:ascii="Times New Roman" w:hAnsi="Times New Roman" w:cs="Times New Roman"/>
                      <w:b/>
                      <w:color w:val="auto"/>
                      <w:szCs w:val="21"/>
                      <w:lang w:eastAsia="zh-CN" w:bidi="ar"/>
                    </w:rPr>
                    <w:t>t</w:t>
                  </w:r>
                  <w:r>
                    <w:rPr>
                      <w:rFonts w:hint="default" w:ascii="Times New Roman" w:hAnsi="Times New Roman" w:cs="Times New Roman"/>
                      <w:b/>
                      <w:color w:val="auto"/>
                      <w:szCs w:val="21"/>
                      <w:lang w:bidi="ar"/>
                    </w:rPr>
                    <w:t>/</w:t>
                  </w:r>
                  <w:r>
                    <w:rPr>
                      <w:rFonts w:hint="default" w:ascii="Times New Roman" w:hAnsi="Times New Roman" w:cs="Times New Roman"/>
                      <w:b/>
                      <w:color w:val="auto"/>
                      <w:szCs w:val="21"/>
                      <w:lang w:eastAsia="zh-CN" w:bidi="ar"/>
                    </w:rPr>
                    <w:t>a</w:t>
                  </w:r>
                </w:p>
              </w:tc>
              <w:tc>
                <w:tcPr>
                  <w:tcW w:w="491" w:type="pct"/>
                  <w:tcBorders>
                    <w:tl2br w:val="nil"/>
                    <w:tr2bl w:val="nil"/>
                  </w:tcBorders>
                  <w:noWrap w:val="0"/>
                  <w:vAlign w:val="center"/>
                </w:tcPr>
                <w:p w14:paraId="5E014D5E">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eastAsia="zh-CN" w:bidi="ar"/>
                    </w:rPr>
                  </w:pPr>
                  <w:r>
                    <w:rPr>
                      <w:rFonts w:hint="default" w:ascii="Times New Roman" w:hAnsi="Times New Roman" w:cs="Times New Roman"/>
                      <w:b/>
                      <w:color w:val="auto"/>
                      <w:szCs w:val="21"/>
                      <w:lang w:bidi="ar"/>
                    </w:rPr>
                    <w:t>速率kg/h</w:t>
                  </w:r>
                </w:p>
              </w:tc>
              <w:tc>
                <w:tcPr>
                  <w:tcW w:w="768" w:type="pct"/>
                  <w:vMerge w:val="continue"/>
                  <w:tcBorders>
                    <w:tl2br w:val="nil"/>
                    <w:tr2bl w:val="nil"/>
                  </w:tcBorders>
                  <w:noWrap w:val="0"/>
                  <w:vAlign w:val="center"/>
                </w:tcPr>
                <w:p w14:paraId="784BAC0A">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lang w:val="en-US" w:eastAsia="en-US" w:bidi="ar"/>
                    </w:rPr>
                  </w:pPr>
                </w:p>
              </w:tc>
              <w:tc>
                <w:tcPr>
                  <w:tcW w:w="800" w:type="pct"/>
                  <w:vMerge w:val="continue"/>
                  <w:tcBorders>
                    <w:tl2br w:val="nil"/>
                    <w:tr2bl w:val="nil"/>
                  </w:tcBorders>
                  <w:noWrap w:val="0"/>
                  <w:vAlign w:val="center"/>
                </w:tcPr>
                <w:p w14:paraId="23B3755F">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p>
              </w:tc>
              <w:tc>
                <w:tcPr>
                  <w:tcW w:w="278" w:type="pct"/>
                  <w:vMerge w:val="continue"/>
                  <w:tcBorders>
                    <w:tl2br w:val="nil"/>
                    <w:tr2bl w:val="nil"/>
                  </w:tcBorders>
                  <w:noWrap w:val="0"/>
                  <w:vAlign w:val="center"/>
                </w:tcPr>
                <w:p w14:paraId="6947C2B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
                      <w:color w:val="auto"/>
                      <w:szCs w:val="21"/>
                      <w:lang w:bidi="ar"/>
                    </w:rPr>
                  </w:pPr>
                </w:p>
              </w:tc>
              <w:tc>
                <w:tcPr>
                  <w:tcW w:w="526" w:type="pct"/>
                  <w:tcBorders>
                    <w:tl2br w:val="nil"/>
                    <w:tr2bl w:val="nil"/>
                  </w:tcBorders>
                  <w:noWrap w:val="0"/>
                  <w:vAlign w:val="center"/>
                </w:tcPr>
                <w:p w14:paraId="343FD24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r>
                    <w:rPr>
                      <w:rFonts w:hint="default" w:ascii="Times New Roman" w:hAnsi="Times New Roman" w:cs="Times New Roman"/>
                      <w:b/>
                      <w:color w:val="auto"/>
                      <w:szCs w:val="21"/>
                      <w:lang w:bidi="ar"/>
                    </w:rPr>
                    <w:t>排放量</w:t>
                  </w:r>
                  <w:r>
                    <w:rPr>
                      <w:rFonts w:hint="default" w:ascii="Times New Roman" w:hAnsi="Times New Roman" w:cs="Times New Roman"/>
                      <w:b/>
                      <w:color w:val="auto"/>
                      <w:szCs w:val="21"/>
                      <w:lang w:val="en-US" w:eastAsia="zh-CN" w:bidi="ar"/>
                    </w:rPr>
                    <w:t>t</w:t>
                  </w:r>
                  <w:r>
                    <w:rPr>
                      <w:rFonts w:hint="default" w:ascii="Times New Roman" w:hAnsi="Times New Roman" w:cs="Times New Roman"/>
                      <w:b/>
                      <w:color w:val="auto"/>
                      <w:szCs w:val="21"/>
                      <w:lang w:bidi="ar"/>
                    </w:rPr>
                    <w:t>/</w:t>
                  </w:r>
                  <w:r>
                    <w:rPr>
                      <w:rFonts w:hint="default" w:ascii="Times New Roman" w:hAnsi="Times New Roman" w:cs="Times New Roman"/>
                      <w:b/>
                      <w:color w:val="auto"/>
                      <w:szCs w:val="21"/>
                      <w:lang w:eastAsia="zh-CN" w:bidi="ar"/>
                    </w:rPr>
                    <w:t>a</w:t>
                  </w:r>
                </w:p>
              </w:tc>
              <w:tc>
                <w:tcPr>
                  <w:tcW w:w="467" w:type="pct"/>
                  <w:tcBorders>
                    <w:tl2br w:val="nil"/>
                    <w:tr2bl w:val="nil"/>
                  </w:tcBorders>
                  <w:noWrap w:val="0"/>
                  <w:vAlign w:val="center"/>
                </w:tcPr>
                <w:p w14:paraId="74036AC0">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bidi="ar"/>
                    </w:rPr>
                  </w:pPr>
                  <w:r>
                    <w:rPr>
                      <w:rFonts w:hint="default" w:ascii="Times New Roman" w:hAnsi="Times New Roman" w:cs="Times New Roman"/>
                      <w:b/>
                      <w:color w:val="auto"/>
                      <w:szCs w:val="21"/>
                      <w:lang w:bidi="ar"/>
                    </w:rPr>
                    <w:t>排放速率kg/h</w:t>
                  </w:r>
                </w:p>
              </w:tc>
              <w:tc>
                <w:tcPr>
                  <w:tcW w:w="512" w:type="pct"/>
                  <w:tcBorders>
                    <w:tl2br w:val="nil"/>
                    <w:tr2bl w:val="nil"/>
                  </w:tcBorders>
                  <w:noWrap w:val="0"/>
                  <w:vAlign w:val="center"/>
                </w:tcPr>
                <w:p w14:paraId="7CC86382">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Times New Roman" w:hAnsi="Times New Roman" w:cs="Times New Roman"/>
                      <w:bCs/>
                      <w:color w:val="auto"/>
                      <w:szCs w:val="21"/>
                      <w:lang w:eastAsia="zh-CN" w:bidi="ar"/>
                    </w:rPr>
                  </w:pPr>
                  <w:r>
                    <w:rPr>
                      <w:rFonts w:hint="default" w:ascii="Times New Roman" w:hAnsi="Times New Roman" w:cs="Times New Roman"/>
                      <w:b/>
                      <w:color w:val="auto"/>
                      <w:szCs w:val="21"/>
                      <w:lang w:bidi="ar"/>
                    </w:rPr>
                    <w:t>排放浓度mg/m</w:t>
                  </w:r>
                  <w:r>
                    <w:rPr>
                      <w:rFonts w:hint="default" w:ascii="Times New Roman" w:hAnsi="Times New Roman" w:cs="Times New Roman"/>
                      <w:b/>
                      <w:color w:val="auto"/>
                      <w:szCs w:val="21"/>
                      <w:vertAlign w:val="superscript"/>
                      <w:lang w:bidi="ar"/>
                    </w:rPr>
                    <w:t>3</w:t>
                  </w:r>
                </w:p>
              </w:tc>
            </w:tr>
            <w:tr w14:paraId="186B3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5" w:hRule="atLeast"/>
              </w:trPr>
              <w:tc>
                <w:tcPr>
                  <w:tcW w:w="438" w:type="pct"/>
                  <w:tcBorders>
                    <w:tl2br w:val="nil"/>
                    <w:tr2bl w:val="nil"/>
                  </w:tcBorders>
                  <w:noWrap w:val="0"/>
                  <w:vAlign w:val="center"/>
                </w:tcPr>
                <w:p w14:paraId="5D719F54">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宋体"/>
                      <w:color w:val="auto"/>
                      <w:kern w:val="2"/>
                      <w:sz w:val="21"/>
                      <w:szCs w:val="21"/>
                      <w:highlight w:val="none"/>
                      <w:lang w:val="en-US" w:eastAsia="zh-CN" w:bidi="ar-SA"/>
                    </w:rPr>
                    <w:t>注塑和挤出废气</w:t>
                  </w:r>
                </w:p>
              </w:tc>
              <w:tc>
                <w:tcPr>
                  <w:tcW w:w="378" w:type="pct"/>
                  <w:tcBorders>
                    <w:tl2br w:val="nil"/>
                    <w:tr2bl w:val="nil"/>
                  </w:tcBorders>
                  <w:noWrap w:val="0"/>
                  <w:vAlign w:val="center"/>
                </w:tcPr>
                <w:p w14:paraId="40B93D4F">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Cs/>
                      <w:color w:val="auto"/>
                      <w:kern w:val="2"/>
                      <w:sz w:val="21"/>
                      <w:szCs w:val="21"/>
                      <w:lang w:val="en-US" w:eastAsia="zh-CN" w:bidi="ar"/>
                    </w:rPr>
                  </w:pPr>
                  <w:r>
                    <w:rPr>
                      <w:rFonts w:hint="eastAsia" w:ascii="Times New Roman" w:hAnsi="Times New Roman" w:cs="Times New Roman"/>
                      <w:bCs/>
                      <w:color w:val="auto"/>
                      <w:sz w:val="21"/>
                      <w:szCs w:val="21"/>
                      <w:lang w:val="en-US" w:eastAsia="zh-CN" w:bidi="ar"/>
                    </w:rPr>
                    <w:t>非甲烷总烃</w:t>
                  </w:r>
                </w:p>
              </w:tc>
              <w:tc>
                <w:tcPr>
                  <w:tcW w:w="336" w:type="pct"/>
                  <w:tcBorders>
                    <w:tl2br w:val="nil"/>
                    <w:tr2bl w:val="nil"/>
                  </w:tcBorders>
                  <w:noWrap w:val="0"/>
                  <w:vAlign w:val="center"/>
                </w:tcPr>
                <w:p w14:paraId="2D16DA8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3.0</w:t>
                  </w:r>
                </w:p>
              </w:tc>
              <w:tc>
                <w:tcPr>
                  <w:tcW w:w="491" w:type="pct"/>
                  <w:tcBorders>
                    <w:tl2br w:val="nil"/>
                    <w:tr2bl w:val="nil"/>
                  </w:tcBorders>
                  <w:noWrap w:val="0"/>
                  <w:vAlign w:val="center"/>
                </w:tcPr>
                <w:p w14:paraId="18967602">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lang w:val="en-US" w:eastAsia="zh-CN" w:bidi="ar-SA"/>
                    </w:rPr>
                  </w:pPr>
                  <w:r>
                    <w:rPr>
                      <w:rFonts w:hint="eastAsia" w:cs="Times New Roman"/>
                      <w:color w:val="auto"/>
                      <w:kern w:val="2"/>
                      <w:sz w:val="21"/>
                      <w:szCs w:val="24"/>
                      <w:lang w:val="en-US" w:eastAsia="zh-CN" w:bidi="ar-SA"/>
                    </w:rPr>
                    <w:t>0.714</w:t>
                  </w:r>
                </w:p>
              </w:tc>
              <w:tc>
                <w:tcPr>
                  <w:tcW w:w="768" w:type="pct"/>
                  <w:tcBorders>
                    <w:tl2br w:val="nil"/>
                    <w:tr2bl w:val="nil"/>
                  </w:tcBorders>
                  <w:noWrap w:val="0"/>
                  <w:vAlign w:val="center"/>
                </w:tcPr>
                <w:p w14:paraId="49A7D157">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lang w:val="en-US" w:eastAsia="zh-CN"/>
                    </w:rPr>
                  </w:pPr>
                  <w:r>
                    <w:rPr>
                      <w:rFonts w:hint="eastAsia" w:ascii="Times New Roman" w:hAnsi="Times New Roman" w:eastAsia="宋体" w:cs="Times New Roman"/>
                      <w:color w:val="auto"/>
                      <w:szCs w:val="21"/>
                      <w:lang w:val="en-US" w:eastAsia="zh-CN"/>
                    </w:rPr>
                    <w:t>集气罩</w:t>
                  </w:r>
                  <w:r>
                    <w:rPr>
                      <w:rFonts w:hint="eastAsia" w:cs="Times New Roman"/>
                      <w:color w:val="auto"/>
                      <w:szCs w:val="21"/>
                      <w:highlight w:val="none"/>
                      <w:lang w:val="en-US" w:eastAsia="zh-CN"/>
                    </w:rPr>
                    <w:t>（8个）</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Cs w:val="21"/>
                      <w:lang w:val="en-US" w:eastAsia="zh-CN"/>
                    </w:rPr>
                    <w:t>二级活性炭处理设施</w:t>
                  </w:r>
                  <w:r>
                    <w:rPr>
                      <w:rFonts w:hint="default" w:ascii="Times New Roman" w:hAnsi="Times New Roman" w:eastAsia="宋体" w:cs="Times New Roman"/>
                      <w:color w:val="auto"/>
                      <w:szCs w:val="21"/>
                      <w:lang w:eastAsia="zh-CN"/>
                    </w:rPr>
                    <w:t>+15m排气筒DA00</w:t>
                  </w:r>
                  <w:r>
                    <w:rPr>
                      <w:rFonts w:hint="eastAsia" w:ascii="Times New Roman" w:hAnsi="Times New Roman" w:eastAsia="宋体" w:cs="Times New Roman"/>
                      <w:color w:val="auto"/>
                      <w:szCs w:val="21"/>
                      <w:lang w:val="en-US" w:eastAsia="zh-CN"/>
                    </w:rPr>
                    <w:t>1</w:t>
                  </w:r>
                </w:p>
              </w:tc>
              <w:tc>
                <w:tcPr>
                  <w:tcW w:w="800" w:type="pct"/>
                  <w:tcBorders>
                    <w:tl2br w:val="nil"/>
                    <w:tr2bl w:val="nil"/>
                  </w:tcBorders>
                  <w:noWrap w:val="0"/>
                  <w:vAlign w:val="center"/>
                </w:tcPr>
                <w:p w14:paraId="6C16863B">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r>
                    <w:rPr>
                      <w:rFonts w:hint="eastAsia" w:cs="Times New Roman"/>
                      <w:color w:val="auto"/>
                      <w:kern w:val="0"/>
                      <w:sz w:val="21"/>
                      <w:szCs w:val="21"/>
                      <w:lang w:val="en-US" w:eastAsia="zh-CN" w:bidi="en-US"/>
                    </w:rPr>
                    <w:t>收集</w:t>
                  </w:r>
                  <w:r>
                    <w:rPr>
                      <w:rFonts w:hint="eastAsia" w:ascii="Times New Roman" w:hAnsi="Times New Roman" w:cs="Times New Roman"/>
                      <w:color w:val="auto"/>
                      <w:kern w:val="0"/>
                      <w:sz w:val="21"/>
                      <w:szCs w:val="21"/>
                      <w:lang w:val="en-US" w:eastAsia="zh-CN" w:bidi="en-US"/>
                    </w:rPr>
                    <w:t>效率</w:t>
                  </w:r>
                  <w:r>
                    <w:rPr>
                      <w:rFonts w:hint="eastAsia" w:ascii="Times New Roman" w:hAnsi="Times New Roman" w:cs="Times New Roman"/>
                      <w:color w:val="auto"/>
                      <w:kern w:val="0"/>
                      <w:sz w:val="21"/>
                      <w:szCs w:val="21"/>
                      <w:highlight w:val="none"/>
                      <w:lang w:val="en-US" w:eastAsia="zh-CN" w:bidi="en-US"/>
                    </w:rPr>
                    <w:t>80</w:t>
                  </w:r>
                  <w:r>
                    <w:rPr>
                      <w:rFonts w:hint="eastAsia" w:ascii="Times New Roman" w:hAnsi="Times New Roman" w:cs="Times New Roman"/>
                      <w:color w:val="auto"/>
                      <w:kern w:val="0"/>
                      <w:sz w:val="21"/>
                      <w:szCs w:val="21"/>
                      <w:lang w:val="en-US" w:eastAsia="zh-CN" w:bidi="en-US"/>
                    </w:rPr>
                    <w:t>%，</w:t>
                  </w:r>
                  <w:r>
                    <w:rPr>
                      <w:rFonts w:hint="default" w:ascii="Times New Roman" w:hAnsi="Times New Roman" w:cs="Times New Roman"/>
                      <w:color w:val="auto"/>
                      <w:kern w:val="0"/>
                      <w:sz w:val="21"/>
                      <w:szCs w:val="21"/>
                      <w:lang w:val="en-US" w:eastAsia="zh-CN" w:bidi="en-US"/>
                    </w:rPr>
                    <w:t>处理效率</w:t>
                  </w:r>
                  <w:r>
                    <w:rPr>
                      <w:rFonts w:hint="eastAsia" w:ascii="Times New Roman" w:hAnsi="Times New Roman" w:cs="Times New Roman"/>
                      <w:color w:val="auto"/>
                      <w:kern w:val="0"/>
                      <w:sz w:val="21"/>
                      <w:szCs w:val="21"/>
                      <w:lang w:val="en-US" w:eastAsia="zh-CN" w:bidi="en-US"/>
                    </w:rPr>
                    <w:t>37</w:t>
                  </w:r>
                  <w:r>
                    <w:rPr>
                      <w:rFonts w:hint="default" w:ascii="Times New Roman" w:hAnsi="Times New Roman" w:cs="Times New Roman"/>
                      <w:color w:val="auto"/>
                      <w:kern w:val="0"/>
                      <w:sz w:val="21"/>
                      <w:szCs w:val="21"/>
                      <w:highlight w:val="none"/>
                      <w:lang w:val="en-US" w:eastAsia="zh-CN" w:bidi="en-US"/>
                    </w:rPr>
                    <w:t>%</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cs="Times New Roman"/>
                      <w:color w:val="auto"/>
                      <w:kern w:val="0"/>
                      <w:sz w:val="21"/>
                      <w:szCs w:val="21"/>
                      <w:lang w:val="en-US" w:eastAsia="zh-CN" w:bidi="en-US"/>
                    </w:rPr>
                    <w:t>风机风量</w:t>
                  </w:r>
                  <w:r>
                    <w:rPr>
                      <w:rFonts w:hint="eastAsia" w:cs="Times New Roman"/>
                      <w:color w:val="auto"/>
                      <w:kern w:val="0"/>
                      <w:sz w:val="21"/>
                      <w:szCs w:val="21"/>
                      <w:lang w:val="en-US" w:eastAsia="zh-CN" w:bidi="en-US"/>
                    </w:rPr>
                    <w:t>10</w:t>
                  </w:r>
                  <w:r>
                    <w:rPr>
                      <w:rFonts w:hint="eastAsia" w:ascii="Times New Roman" w:hAnsi="Times New Roman" w:cs="Times New Roman"/>
                      <w:color w:val="auto"/>
                      <w:kern w:val="0"/>
                      <w:sz w:val="21"/>
                      <w:szCs w:val="21"/>
                      <w:highlight w:val="none"/>
                      <w:lang w:val="en-US" w:eastAsia="zh-CN" w:bidi="en-US"/>
                    </w:rPr>
                    <w:t>000m</w:t>
                  </w:r>
                  <w:r>
                    <w:rPr>
                      <w:rFonts w:hint="eastAsia" w:ascii="Times New Roman" w:hAnsi="Times New Roman" w:cs="Times New Roman"/>
                      <w:color w:val="auto"/>
                      <w:kern w:val="0"/>
                      <w:sz w:val="21"/>
                      <w:szCs w:val="21"/>
                      <w:highlight w:val="none"/>
                      <w:vertAlign w:val="superscript"/>
                      <w:lang w:val="en-US" w:eastAsia="zh-CN" w:bidi="en-US"/>
                    </w:rPr>
                    <w:t>3</w:t>
                  </w:r>
                  <w:r>
                    <w:rPr>
                      <w:rFonts w:hint="eastAsia" w:ascii="Times New Roman" w:hAnsi="Times New Roman" w:cs="Times New Roman"/>
                      <w:color w:val="auto"/>
                      <w:kern w:val="0"/>
                      <w:sz w:val="21"/>
                      <w:szCs w:val="21"/>
                      <w:highlight w:val="none"/>
                      <w:lang w:val="en-US" w:eastAsia="zh-CN" w:bidi="en-US"/>
                    </w:rPr>
                    <w:t>/h</w:t>
                  </w:r>
                </w:p>
              </w:tc>
              <w:tc>
                <w:tcPr>
                  <w:tcW w:w="278" w:type="pct"/>
                  <w:tcBorders>
                    <w:tl2br w:val="nil"/>
                    <w:tr2bl w:val="nil"/>
                  </w:tcBorders>
                  <w:noWrap w:val="0"/>
                  <w:vAlign w:val="center"/>
                </w:tcPr>
                <w:p w14:paraId="7998C7E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有组织</w:t>
                  </w:r>
                </w:p>
              </w:tc>
              <w:tc>
                <w:tcPr>
                  <w:tcW w:w="526" w:type="pct"/>
                  <w:tcBorders>
                    <w:tl2br w:val="nil"/>
                    <w:tr2bl w:val="nil"/>
                  </w:tcBorders>
                  <w:noWrap w:val="0"/>
                  <w:vAlign w:val="center"/>
                </w:tcPr>
                <w:p w14:paraId="3E791DF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1.512</w:t>
                  </w:r>
                </w:p>
              </w:tc>
              <w:tc>
                <w:tcPr>
                  <w:tcW w:w="467" w:type="pct"/>
                  <w:tcBorders>
                    <w:tl2br w:val="nil"/>
                    <w:tr2bl w:val="nil"/>
                  </w:tcBorders>
                  <w:noWrap w:val="0"/>
                  <w:vAlign w:val="center"/>
                </w:tcPr>
                <w:p w14:paraId="3C37A1A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0.36</w:t>
                  </w:r>
                </w:p>
              </w:tc>
              <w:tc>
                <w:tcPr>
                  <w:tcW w:w="512" w:type="pct"/>
                  <w:tcBorders>
                    <w:tl2br w:val="nil"/>
                    <w:tr2bl w:val="nil"/>
                  </w:tcBorders>
                  <w:noWrap w:val="0"/>
                  <w:vAlign w:val="center"/>
                </w:tcPr>
                <w:p w14:paraId="2122772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36</w:t>
                  </w:r>
                </w:p>
              </w:tc>
            </w:tr>
            <w:tr w14:paraId="5F91A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4" w:hRule="atLeast"/>
              </w:trPr>
              <w:tc>
                <w:tcPr>
                  <w:tcW w:w="438" w:type="pct"/>
                  <w:tcBorders>
                    <w:tl2br w:val="nil"/>
                    <w:tr2bl w:val="nil"/>
                  </w:tcBorders>
                  <w:noWrap w:val="0"/>
                  <w:vAlign w:val="center"/>
                </w:tcPr>
                <w:p w14:paraId="3DB98B84">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未收集废气</w:t>
                  </w:r>
                </w:p>
              </w:tc>
              <w:tc>
                <w:tcPr>
                  <w:tcW w:w="378" w:type="pct"/>
                  <w:tcBorders>
                    <w:tl2br w:val="nil"/>
                    <w:tr2bl w:val="nil"/>
                  </w:tcBorders>
                  <w:noWrap w:val="0"/>
                  <w:vAlign w:val="center"/>
                </w:tcPr>
                <w:p w14:paraId="36973864">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bCs/>
                      <w:color w:val="auto"/>
                      <w:kern w:val="2"/>
                      <w:sz w:val="21"/>
                      <w:szCs w:val="21"/>
                      <w:lang w:val="en-US" w:eastAsia="zh-CN" w:bidi="ar"/>
                    </w:rPr>
                  </w:pPr>
                  <w:r>
                    <w:rPr>
                      <w:rFonts w:hint="eastAsia" w:ascii="Times New Roman" w:hAnsi="Times New Roman" w:cs="Times New Roman"/>
                      <w:bCs/>
                      <w:color w:val="auto"/>
                      <w:sz w:val="21"/>
                      <w:szCs w:val="21"/>
                      <w:lang w:val="en-US" w:eastAsia="zh-CN" w:bidi="ar"/>
                    </w:rPr>
                    <w:t>非甲烷总烃</w:t>
                  </w:r>
                </w:p>
              </w:tc>
              <w:tc>
                <w:tcPr>
                  <w:tcW w:w="336" w:type="pct"/>
                  <w:tcBorders>
                    <w:tl2br w:val="nil"/>
                    <w:tr2bl w:val="nil"/>
                  </w:tcBorders>
                  <w:noWrap w:val="0"/>
                  <w:vAlign w:val="center"/>
                </w:tcPr>
                <w:p w14:paraId="1962621A">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91" w:type="pct"/>
                  <w:tcBorders>
                    <w:tl2br w:val="nil"/>
                    <w:tr2bl w:val="nil"/>
                  </w:tcBorders>
                  <w:noWrap w:val="0"/>
                  <w:vAlign w:val="center"/>
                </w:tcPr>
                <w:p w14:paraId="1453B68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eastAsia" w:cs="Times New Roman"/>
                      <w:color w:val="auto"/>
                      <w:lang w:val="en-US" w:eastAsia="zh-CN"/>
                    </w:rPr>
                  </w:pPr>
                  <w:r>
                    <w:rPr>
                      <w:rFonts w:hint="eastAsia" w:ascii="Times New Roman" w:hAnsi="Times New Roman" w:eastAsia="宋体" w:cs="Times New Roman"/>
                      <w:color w:val="auto"/>
                      <w:szCs w:val="21"/>
                      <w:lang w:val="en-US" w:eastAsia="zh-CN"/>
                    </w:rPr>
                    <w:t>/</w:t>
                  </w:r>
                </w:p>
              </w:tc>
              <w:tc>
                <w:tcPr>
                  <w:tcW w:w="768" w:type="pct"/>
                  <w:tcBorders>
                    <w:tl2br w:val="nil"/>
                    <w:tr2bl w:val="nil"/>
                  </w:tcBorders>
                  <w:noWrap w:val="0"/>
                  <w:vAlign w:val="center"/>
                </w:tcPr>
                <w:p w14:paraId="7DC74C1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800" w:type="pct"/>
                  <w:tcBorders>
                    <w:tl2br w:val="nil"/>
                    <w:tr2bl w:val="nil"/>
                  </w:tcBorders>
                  <w:noWrap w:val="0"/>
                  <w:vAlign w:val="center"/>
                </w:tcPr>
                <w:p w14:paraId="71454073">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kern w:val="0"/>
                      <w:sz w:val="21"/>
                      <w:szCs w:val="21"/>
                      <w:lang w:val="en-US" w:eastAsia="zh-CN" w:bidi="en-US"/>
                    </w:rPr>
                  </w:pPr>
                  <w:r>
                    <w:rPr>
                      <w:rFonts w:hint="eastAsia" w:ascii="Times New Roman" w:hAnsi="Times New Roman" w:cs="Times New Roman"/>
                      <w:color w:val="auto"/>
                      <w:kern w:val="0"/>
                      <w:sz w:val="21"/>
                      <w:szCs w:val="21"/>
                      <w:lang w:val="en-US" w:eastAsia="zh-CN" w:bidi="en-US"/>
                    </w:rPr>
                    <w:t>/</w:t>
                  </w:r>
                </w:p>
              </w:tc>
              <w:tc>
                <w:tcPr>
                  <w:tcW w:w="278" w:type="pct"/>
                  <w:tcBorders>
                    <w:tl2br w:val="nil"/>
                    <w:tr2bl w:val="nil"/>
                  </w:tcBorders>
                  <w:noWrap w:val="0"/>
                  <w:vAlign w:val="center"/>
                </w:tcPr>
                <w:p w14:paraId="3B45E3CC">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无</w:t>
                  </w:r>
                </w:p>
                <w:p w14:paraId="086EC151">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组</w:t>
                  </w:r>
                </w:p>
                <w:p w14:paraId="594C3582">
                  <w:pPr>
                    <w:keepNext w:val="0"/>
                    <w:keepLines w:val="0"/>
                    <w:pageBreakBefore w:val="0"/>
                    <w:widowControl w:val="0"/>
                    <w:kinsoku/>
                    <w:wordWrap/>
                    <w:overflowPunct/>
                    <w:topLinePunct w:val="0"/>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织</w:t>
                  </w:r>
                </w:p>
              </w:tc>
              <w:tc>
                <w:tcPr>
                  <w:tcW w:w="526" w:type="pct"/>
                  <w:tcBorders>
                    <w:tl2br w:val="nil"/>
                    <w:tr2bl w:val="nil"/>
                  </w:tcBorders>
                  <w:noWrap w:val="0"/>
                  <w:vAlign w:val="center"/>
                </w:tcPr>
                <w:p w14:paraId="505AFE58">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0.6</w:t>
                  </w:r>
                </w:p>
              </w:tc>
              <w:tc>
                <w:tcPr>
                  <w:tcW w:w="467" w:type="pct"/>
                  <w:tcBorders>
                    <w:tl2br w:val="nil"/>
                    <w:tr2bl w:val="nil"/>
                  </w:tcBorders>
                  <w:noWrap w:val="0"/>
                  <w:vAlign w:val="center"/>
                </w:tcPr>
                <w:p w14:paraId="656F61FC">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0.143</w:t>
                  </w:r>
                </w:p>
              </w:tc>
              <w:tc>
                <w:tcPr>
                  <w:tcW w:w="512" w:type="pct"/>
                  <w:tcBorders>
                    <w:tl2br w:val="nil"/>
                    <w:tr2bl w:val="nil"/>
                  </w:tcBorders>
                  <w:noWrap w:val="0"/>
                  <w:vAlign w:val="center"/>
                </w:tcPr>
                <w:p w14:paraId="2C23E98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w:t>
                  </w:r>
                </w:p>
              </w:tc>
            </w:tr>
          </w:tbl>
          <w:p w14:paraId="63239449">
            <w:pPr>
              <w:pStyle w:val="14"/>
              <w:rPr>
                <w:rFonts w:hint="eastAsia"/>
                <w:lang w:val="en-US" w:eastAsia="zh-CN"/>
              </w:rPr>
            </w:pPr>
          </w:p>
          <w:p w14:paraId="63D8F74C">
            <w:pPr>
              <w:pStyle w:val="13"/>
              <w:keepNext w:val="0"/>
              <w:keepLines w:val="0"/>
              <w:pageBreakBefore w:val="0"/>
              <w:widowControl w:val="0"/>
              <w:tabs>
                <w:tab w:val="left" w:pos="6855"/>
              </w:tabs>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宋体" w:cs="Times New Roman"/>
                <w:b/>
                <w:bCs/>
                <w:color w:val="auto"/>
                <w:sz w:val="24"/>
                <w:highlight w:val="none"/>
                <w:lang w:val="en-US" w:eastAsia="zh-CN"/>
              </w:rPr>
            </w:pPr>
            <w:r>
              <w:rPr>
                <w:rFonts w:hint="eastAsia" w:cs="Times New Roman"/>
                <w:b/>
                <w:bCs/>
                <w:color w:val="auto"/>
                <w:sz w:val="24"/>
                <w:highlight w:val="none"/>
                <w:lang w:val="en-US" w:eastAsia="zh-CN"/>
              </w:rPr>
              <w:t>1.2</w:t>
            </w:r>
            <w:r>
              <w:rPr>
                <w:rFonts w:hint="eastAsia" w:ascii="Times New Roman" w:hAnsi="Times New Roman" w:eastAsia="宋体" w:cs="Times New Roman"/>
                <w:b/>
                <w:bCs/>
                <w:color w:val="auto"/>
                <w:sz w:val="24"/>
                <w:highlight w:val="none"/>
                <w:lang w:val="en-US" w:eastAsia="zh-CN"/>
              </w:rPr>
              <w:t>废气源强核算过程</w:t>
            </w:r>
          </w:p>
          <w:p w14:paraId="23D049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Fonts w:hint="default" w:ascii="Times New Roman" w:hAnsi="Times New Roman" w:cs="Times New Roman"/>
                <w:color w:val="auto"/>
                <w:sz w:val="24"/>
                <w:lang w:val="en-US" w:eastAsia="zh-CN"/>
              </w:rPr>
            </w:pPr>
            <w:r>
              <w:rPr>
                <w:rFonts w:hint="eastAsia" w:cs="Times New Roman"/>
                <w:color w:val="auto"/>
                <w:sz w:val="24"/>
                <w:szCs w:val="24"/>
                <w:lang w:val="en-US" w:eastAsia="zh-CN"/>
              </w:rPr>
              <w:t>本项目注塑、挤出过程会产生少量挥发性有机物，主要为有机废气，以非甲烷总烃计。</w:t>
            </w:r>
            <w:r>
              <w:rPr>
                <w:rFonts w:hint="default" w:ascii="Times New Roman" w:hAnsi="Times New Roman" w:cs="Times New Roman"/>
                <w:color w:val="auto"/>
                <w:sz w:val="24"/>
                <w:szCs w:val="24"/>
                <w:lang w:val="en-US" w:eastAsia="zh-CN"/>
              </w:rPr>
              <w:t>根据</w:t>
            </w:r>
            <w:r>
              <w:rPr>
                <w:rFonts w:hint="default" w:ascii="Times New Roman" w:hAnsi="Times New Roman" w:cs="Times New Roman"/>
                <w:color w:val="auto"/>
                <w:sz w:val="24"/>
              </w:rPr>
              <w:t>《排放源统计调查产排污核算方法和系数手册》（生态环境部公告2021年第24号）中</w:t>
            </w:r>
            <w:r>
              <w:rPr>
                <w:rFonts w:hint="default" w:ascii="Times New Roman" w:hAnsi="Times New Roman" w:cs="Times New Roman"/>
                <w:color w:val="auto"/>
                <w:sz w:val="24"/>
                <w:lang w:val="en-US" w:eastAsia="zh-CN"/>
              </w:rPr>
              <w:t>2922 塑料板、管、型材制造行业系数表</w:t>
            </w:r>
            <w:r>
              <w:rPr>
                <w:rFonts w:hint="default" w:ascii="Times New Roman" w:hAnsi="Times New Roman" w:cs="Times New Roman"/>
                <w:color w:val="auto"/>
                <w:sz w:val="24"/>
                <w:lang w:eastAsia="zh-CN"/>
              </w:rPr>
              <w:t>可知</w:t>
            </w:r>
            <w:r>
              <w:rPr>
                <w:rFonts w:hint="default" w:ascii="Times New Roman" w:hAnsi="Times New Roman" w:cs="Times New Roman"/>
                <w:color w:val="auto"/>
                <w:sz w:val="24"/>
                <w:szCs w:val="24"/>
              </w:rPr>
              <w:t>，</w:t>
            </w: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lang w:val="en-US" w:eastAsia="zh-CN"/>
              </w:rPr>
              <w:t>注塑、挤出过程</w:t>
            </w:r>
            <w:r>
              <w:rPr>
                <w:rFonts w:hint="default" w:ascii="Times New Roman" w:hAnsi="Times New Roman" w:cs="Times New Roman"/>
                <w:color w:val="auto"/>
                <w:sz w:val="24"/>
                <w:lang w:eastAsia="zh-CN"/>
              </w:rPr>
              <w:t>产污系数见表</w:t>
            </w:r>
            <w:r>
              <w:rPr>
                <w:rFonts w:hint="default" w:ascii="Times New Roman" w:hAnsi="Times New Roman" w:cs="Times New Roman"/>
                <w:color w:val="auto"/>
                <w:sz w:val="24"/>
                <w:lang w:val="en-US" w:eastAsia="zh-CN"/>
              </w:rPr>
              <w:t>4-</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w:t>
            </w:r>
          </w:p>
          <w:p w14:paraId="51C2C23F">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w:t>
            </w:r>
            <w:r>
              <w:rPr>
                <w:rFonts w:hint="default" w:ascii="Times New Roman" w:hAnsi="Times New Roman" w:cs="Times New Roman"/>
                <w:b/>
                <w:bCs/>
                <w:color w:val="auto"/>
                <w:szCs w:val="21"/>
                <w:lang w:val="en-US" w:eastAsia="zh-CN"/>
              </w:rPr>
              <w:t>4-</w:t>
            </w:r>
            <w:r>
              <w:rPr>
                <w:rFonts w:hint="eastAsia" w:cs="Times New Roman"/>
                <w:b/>
                <w:bCs/>
                <w:color w:val="auto"/>
                <w:szCs w:val="21"/>
                <w:lang w:val="en-US" w:eastAsia="zh-CN"/>
              </w:rPr>
              <w:t>2</w:t>
            </w:r>
            <w:r>
              <w:rPr>
                <w:rFonts w:hint="default" w:ascii="Times New Roman" w:hAnsi="Times New Roman" w:cs="Times New Roman"/>
                <w:b/>
                <w:bCs/>
                <w:color w:val="auto"/>
                <w:szCs w:val="21"/>
              </w:rPr>
              <w:t xml:space="preserve"> </w:t>
            </w:r>
            <w:r>
              <w:rPr>
                <w:rFonts w:hint="default" w:ascii="Times New Roman" w:hAnsi="Times New Roman" w:cs="Times New Roman"/>
                <w:b/>
                <w:bCs/>
                <w:color w:val="auto"/>
                <w:szCs w:val="21"/>
                <w:lang w:val="en-US" w:eastAsia="zh-CN"/>
              </w:rPr>
              <w:t>塑料板、管、型材</w:t>
            </w:r>
            <w:r>
              <w:rPr>
                <w:rFonts w:hint="eastAsia" w:ascii="Times New Roman" w:hAnsi="Times New Roman" w:cs="Times New Roman"/>
                <w:b/>
                <w:bCs/>
                <w:color w:val="auto"/>
                <w:szCs w:val="21"/>
                <w:lang w:val="en-US" w:eastAsia="zh-CN"/>
              </w:rPr>
              <w:t>制造行业</w:t>
            </w:r>
            <w:r>
              <w:rPr>
                <w:rFonts w:hint="default" w:ascii="Times New Roman" w:hAnsi="Times New Roman" w:cs="Times New Roman"/>
                <w:b/>
                <w:bCs/>
                <w:color w:val="auto"/>
                <w:szCs w:val="21"/>
              </w:rPr>
              <w:t>系数表</w:t>
            </w:r>
          </w:p>
          <w:tbl>
            <w:tblPr>
              <w:tblStyle w:val="25"/>
              <w:tblW w:w="78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4"/>
              <w:gridCol w:w="944"/>
              <w:gridCol w:w="990"/>
              <w:gridCol w:w="760"/>
              <w:gridCol w:w="900"/>
              <w:gridCol w:w="876"/>
              <w:gridCol w:w="734"/>
              <w:gridCol w:w="804"/>
              <w:gridCol w:w="769"/>
            </w:tblGrid>
            <w:tr w14:paraId="5DFDB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694" w:type="pct"/>
                  <w:tcBorders>
                    <w:tl2br w:val="nil"/>
                    <w:tr2bl w:val="nil"/>
                  </w:tcBorders>
                  <w:noWrap w:val="0"/>
                  <w:tcMar>
                    <w:top w:w="0" w:type="dxa"/>
                    <w:left w:w="28" w:type="dxa"/>
                    <w:bottom w:w="0" w:type="dxa"/>
                    <w:right w:w="28" w:type="dxa"/>
                  </w:tcMar>
                  <w:vAlign w:val="center"/>
                </w:tcPr>
                <w:p w14:paraId="357CB4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产品名称</w:t>
                  </w:r>
                </w:p>
              </w:tc>
              <w:tc>
                <w:tcPr>
                  <w:tcW w:w="599" w:type="pct"/>
                  <w:tcBorders>
                    <w:tl2br w:val="nil"/>
                    <w:tr2bl w:val="nil"/>
                  </w:tcBorders>
                  <w:noWrap w:val="0"/>
                  <w:tcMar>
                    <w:top w:w="0" w:type="dxa"/>
                    <w:left w:w="28" w:type="dxa"/>
                    <w:bottom w:w="0" w:type="dxa"/>
                    <w:right w:w="28" w:type="dxa"/>
                  </w:tcMar>
                  <w:vAlign w:val="center"/>
                </w:tcPr>
                <w:p w14:paraId="10CFB3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原料名称</w:t>
                  </w:r>
                </w:p>
              </w:tc>
              <w:tc>
                <w:tcPr>
                  <w:tcW w:w="628" w:type="pct"/>
                  <w:tcBorders>
                    <w:tl2br w:val="nil"/>
                    <w:tr2bl w:val="nil"/>
                  </w:tcBorders>
                  <w:noWrap w:val="0"/>
                  <w:tcMar>
                    <w:top w:w="0" w:type="dxa"/>
                    <w:left w:w="28" w:type="dxa"/>
                    <w:bottom w:w="0" w:type="dxa"/>
                    <w:right w:w="28" w:type="dxa"/>
                  </w:tcMar>
                  <w:vAlign w:val="center"/>
                </w:tcPr>
                <w:p w14:paraId="5B2C7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工艺名称</w:t>
                  </w:r>
                </w:p>
              </w:tc>
              <w:tc>
                <w:tcPr>
                  <w:tcW w:w="482" w:type="pct"/>
                  <w:tcBorders>
                    <w:tl2br w:val="nil"/>
                    <w:tr2bl w:val="nil"/>
                  </w:tcBorders>
                  <w:noWrap w:val="0"/>
                  <w:vAlign w:val="center"/>
                </w:tcPr>
                <w:p w14:paraId="1A4F14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规模等级</w:t>
                  </w:r>
                </w:p>
              </w:tc>
              <w:tc>
                <w:tcPr>
                  <w:tcW w:w="571" w:type="pct"/>
                  <w:tcBorders>
                    <w:tl2br w:val="nil"/>
                    <w:tr2bl w:val="nil"/>
                  </w:tcBorders>
                  <w:noWrap w:val="0"/>
                  <w:vAlign w:val="center"/>
                </w:tcPr>
                <w:p w14:paraId="338604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污染物指标</w:t>
                  </w:r>
                </w:p>
              </w:tc>
              <w:tc>
                <w:tcPr>
                  <w:tcW w:w="556" w:type="pct"/>
                  <w:tcBorders>
                    <w:tl2br w:val="nil"/>
                    <w:tr2bl w:val="nil"/>
                  </w:tcBorders>
                  <w:noWrap w:val="0"/>
                  <w:tcMar>
                    <w:top w:w="0" w:type="dxa"/>
                    <w:left w:w="28" w:type="dxa"/>
                    <w:bottom w:w="0" w:type="dxa"/>
                    <w:right w:w="28" w:type="dxa"/>
                  </w:tcMar>
                  <w:vAlign w:val="center"/>
                </w:tcPr>
                <w:p w14:paraId="197134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系数单位</w:t>
                  </w:r>
                </w:p>
              </w:tc>
              <w:tc>
                <w:tcPr>
                  <w:tcW w:w="466" w:type="pct"/>
                  <w:tcBorders>
                    <w:tl2br w:val="nil"/>
                    <w:tr2bl w:val="nil"/>
                  </w:tcBorders>
                  <w:noWrap w:val="0"/>
                  <w:tcMar>
                    <w:top w:w="0" w:type="dxa"/>
                    <w:left w:w="28" w:type="dxa"/>
                    <w:bottom w:w="0" w:type="dxa"/>
                    <w:right w:w="28" w:type="dxa"/>
                  </w:tcMar>
                  <w:vAlign w:val="center"/>
                </w:tcPr>
                <w:p w14:paraId="435225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产污系数</w:t>
                  </w:r>
                </w:p>
              </w:tc>
              <w:tc>
                <w:tcPr>
                  <w:tcW w:w="510" w:type="pct"/>
                  <w:tcBorders>
                    <w:tl2br w:val="nil"/>
                    <w:tr2bl w:val="nil"/>
                  </w:tcBorders>
                  <w:noWrap w:val="0"/>
                  <w:tcMar>
                    <w:top w:w="0" w:type="dxa"/>
                    <w:left w:w="28" w:type="dxa"/>
                    <w:bottom w:w="0" w:type="dxa"/>
                    <w:right w:w="28" w:type="dxa"/>
                  </w:tcMar>
                  <w:vAlign w:val="center"/>
                </w:tcPr>
                <w:p w14:paraId="16DE76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eastAsia" w:cs="Times New Roman"/>
                      <w:b/>
                      <w:bCs/>
                      <w:color w:val="auto"/>
                      <w:kern w:val="2"/>
                      <w:sz w:val="21"/>
                      <w:szCs w:val="21"/>
                      <w:lang w:val="en-US" w:eastAsia="zh-CN" w:bidi="ar"/>
                    </w:rPr>
                    <w:t>末端治理技术名称</w:t>
                  </w:r>
                </w:p>
              </w:tc>
              <w:tc>
                <w:tcPr>
                  <w:tcW w:w="488" w:type="pct"/>
                  <w:tcBorders>
                    <w:tl2br w:val="nil"/>
                    <w:tr2bl w:val="nil"/>
                  </w:tcBorders>
                  <w:noWrap w:val="0"/>
                  <w:tcMar>
                    <w:top w:w="0" w:type="dxa"/>
                    <w:left w:w="28" w:type="dxa"/>
                    <w:bottom w:w="0" w:type="dxa"/>
                    <w:right w:w="28" w:type="dxa"/>
                  </w:tcMar>
                  <w:vAlign w:val="center"/>
                </w:tcPr>
                <w:p w14:paraId="71F355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lang w:val="en-US" w:eastAsia="zh-CN" w:bidi="ar"/>
                    </w:rPr>
                  </w:pPr>
                  <w:r>
                    <w:rPr>
                      <w:rFonts w:hint="eastAsia" w:cs="Times New Roman"/>
                      <w:b/>
                      <w:bCs/>
                      <w:color w:val="auto"/>
                      <w:kern w:val="2"/>
                      <w:sz w:val="21"/>
                      <w:szCs w:val="21"/>
                      <w:lang w:val="en-US" w:eastAsia="zh-CN" w:bidi="ar"/>
                    </w:rPr>
                    <w:t>末端治理技术平均去除效率（%）</w:t>
                  </w:r>
                </w:p>
              </w:tc>
            </w:tr>
            <w:tr w14:paraId="09914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694" w:type="pct"/>
                  <w:tcBorders>
                    <w:tl2br w:val="nil"/>
                    <w:tr2bl w:val="nil"/>
                  </w:tcBorders>
                  <w:noWrap w:val="0"/>
                  <w:tcMar>
                    <w:top w:w="0" w:type="dxa"/>
                    <w:left w:w="28" w:type="dxa"/>
                    <w:bottom w:w="0" w:type="dxa"/>
                    <w:right w:w="28" w:type="dxa"/>
                  </w:tcMar>
                  <w:vAlign w:val="center"/>
                </w:tcPr>
                <w:p w14:paraId="7421DA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塑料板、管、型材</w:t>
                  </w:r>
                </w:p>
              </w:tc>
              <w:tc>
                <w:tcPr>
                  <w:tcW w:w="599" w:type="pct"/>
                  <w:tcBorders>
                    <w:tl2br w:val="nil"/>
                    <w:tr2bl w:val="nil"/>
                  </w:tcBorders>
                  <w:noWrap w:val="0"/>
                  <w:tcMar>
                    <w:top w:w="0" w:type="dxa"/>
                    <w:left w:w="28" w:type="dxa"/>
                    <w:bottom w:w="0" w:type="dxa"/>
                    <w:right w:w="28" w:type="dxa"/>
                  </w:tcMar>
                  <w:vAlign w:val="center"/>
                </w:tcPr>
                <w:p w14:paraId="33313C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树脂、助剂</w:t>
                  </w:r>
                </w:p>
              </w:tc>
              <w:tc>
                <w:tcPr>
                  <w:tcW w:w="628" w:type="pct"/>
                  <w:tcBorders>
                    <w:tl2br w:val="nil"/>
                    <w:tr2bl w:val="nil"/>
                  </w:tcBorders>
                  <w:noWrap w:val="0"/>
                  <w:tcMar>
                    <w:top w:w="0" w:type="dxa"/>
                    <w:left w:w="28" w:type="dxa"/>
                    <w:bottom w:w="0" w:type="dxa"/>
                    <w:right w:w="28" w:type="dxa"/>
                  </w:tcMar>
                  <w:vAlign w:val="center"/>
                </w:tcPr>
                <w:p w14:paraId="5ED0C1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配料-混合-挤出</w:t>
                  </w:r>
                </w:p>
              </w:tc>
              <w:tc>
                <w:tcPr>
                  <w:tcW w:w="482" w:type="pct"/>
                  <w:tcBorders>
                    <w:tl2br w:val="nil"/>
                    <w:tr2bl w:val="nil"/>
                  </w:tcBorders>
                  <w:noWrap w:val="0"/>
                  <w:vAlign w:val="center"/>
                </w:tcPr>
                <w:p w14:paraId="5AC3D0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所有规模</w:t>
                  </w:r>
                </w:p>
              </w:tc>
              <w:tc>
                <w:tcPr>
                  <w:tcW w:w="571" w:type="pct"/>
                  <w:tcBorders>
                    <w:tl2br w:val="nil"/>
                    <w:tr2bl w:val="nil"/>
                  </w:tcBorders>
                  <w:noWrap w:val="0"/>
                  <w:vAlign w:val="center"/>
                </w:tcPr>
                <w:p w14:paraId="06C41A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挥发性有机物</w:t>
                  </w:r>
                </w:p>
              </w:tc>
              <w:tc>
                <w:tcPr>
                  <w:tcW w:w="556" w:type="pct"/>
                  <w:tcBorders>
                    <w:tl2br w:val="nil"/>
                    <w:tr2bl w:val="nil"/>
                  </w:tcBorders>
                  <w:noWrap w:val="0"/>
                  <w:tcMar>
                    <w:top w:w="0" w:type="dxa"/>
                    <w:left w:w="28" w:type="dxa"/>
                    <w:bottom w:w="0" w:type="dxa"/>
                    <w:right w:w="28" w:type="dxa"/>
                  </w:tcMar>
                  <w:vAlign w:val="center"/>
                </w:tcPr>
                <w:p w14:paraId="5C1FD8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default" w:ascii="Times New Roman" w:hAnsi="Times New Roman" w:eastAsia="宋体" w:cs="Times New Roman"/>
                      <w:color w:val="auto"/>
                      <w:kern w:val="2"/>
                      <w:sz w:val="21"/>
                      <w:szCs w:val="21"/>
                      <w:lang w:val="en-US" w:eastAsia="zh-CN" w:bidi="ar"/>
                    </w:rPr>
                    <w:t>千克/吨-</w:t>
                  </w:r>
                  <w:r>
                    <w:rPr>
                      <w:rFonts w:hint="eastAsia" w:ascii="Times New Roman" w:hAnsi="Times New Roman" w:eastAsia="宋体" w:cs="Times New Roman"/>
                      <w:color w:val="auto"/>
                      <w:kern w:val="2"/>
                      <w:sz w:val="21"/>
                      <w:szCs w:val="21"/>
                      <w:lang w:val="en-US" w:eastAsia="zh-CN" w:bidi="ar"/>
                    </w:rPr>
                    <w:t>产品</w:t>
                  </w:r>
                </w:p>
              </w:tc>
              <w:tc>
                <w:tcPr>
                  <w:tcW w:w="466" w:type="pct"/>
                  <w:tcBorders>
                    <w:tl2br w:val="nil"/>
                    <w:tr2bl w:val="nil"/>
                  </w:tcBorders>
                  <w:noWrap w:val="0"/>
                  <w:tcMar>
                    <w:top w:w="0" w:type="dxa"/>
                    <w:left w:w="28" w:type="dxa"/>
                    <w:bottom w:w="0" w:type="dxa"/>
                    <w:right w:w="28" w:type="dxa"/>
                  </w:tcMar>
                  <w:vAlign w:val="center"/>
                </w:tcPr>
                <w:p w14:paraId="0DAE09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cs="Times New Roman"/>
                      <w:color w:val="auto"/>
                      <w:kern w:val="2"/>
                      <w:sz w:val="21"/>
                      <w:szCs w:val="21"/>
                      <w:lang w:val="en-US" w:eastAsia="zh-CN" w:bidi="ar"/>
                    </w:rPr>
                    <w:t>1.50</w:t>
                  </w:r>
                </w:p>
              </w:tc>
              <w:tc>
                <w:tcPr>
                  <w:tcW w:w="510" w:type="pct"/>
                  <w:tcBorders>
                    <w:tl2br w:val="nil"/>
                    <w:tr2bl w:val="nil"/>
                  </w:tcBorders>
                  <w:noWrap w:val="0"/>
                  <w:tcMar>
                    <w:top w:w="0" w:type="dxa"/>
                    <w:left w:w="28" w:type="dxa"/>
                    <w:bottom w:w="0" w:type="dxa"/>
                    <w:right w:w="28" w:type="dxa"/>
                  </w:tcMar>
                  <w:vAlign w:val="center"/>
                </w:tcPr>
                <w:p w14:paraId="1567E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eastAsia"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活性炭吸附</w:t>
                  </w:r>
                </w:p>
              </w:tc>
              <w:tc>
                <w:tcPr>
                  <w:tcW w:w="488" w:type="pct"/>
                  <w:tcBorders>
                    <w:tl2br w:val="nil"/>
                    <w:tr2bl w:val="nil"/>
                  </w:tcBorders>
                  <w:noWrap w:val="0"/>
                  <w:tcMar>
                    <w:top w:w="0" w:type="dxa"/>
                    <w:left w:w="28" w:type="dxa"/>
                    <w:bottom w:w="0" w:type="dxa"/>
                    <w:right w:w="28" w:type="dxa"/>
                  </w:tcMar>
                  <w:vAlign w:val="center"/>
                </w:tcPr>
                <w:p w14:paraId="60FA78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rPr>
                      <w:rFonts w:hint="default" w:ascii="Times New Roman" w:hAnsi="Times New Roman" w:cs="Times New Roman"/>
                      <w:color w:val="auto"/>
                      <w:kern w:val="2"/>
                      <w:sz w:val="21"/>
                      <w:szCs w:val="21"/>
                      <w:lang w:val="en-US" w:eastAsia="zh-CN" w:bidi="ar"/>
                    </w:rPr>
                  </w:pPr>
                  <w:r>
                    <w:rPr>
                      <w:rFonts w:hint="eastAsia" w:cs="Times New Roman"/>
                      <w:color w:val="auto"/>
                      <w:kern w:val="2"/>
                      <w:sz w:val="21"/>
                      <w:szCs w:val="21"/>
                      <w:lang w:val="en-US" w:eastAsia="zh-CN" w:bidi="ar"/>
                    </w:rPr>
                    <w:t>21</w:t>
                  </w:r>
                </w:p>
              </w:tc>
            </w:tr>
          </w:tbl>
          <w:p w14:paraId="1972B08A">
            <w:pPr>
              <w:keepNext w:val="0"/>
              <w:keepLines w:val="0"/>
              <w:pageBreakBefore w:val="0"/>
              <w:kinsoku/>
              <w:wordWrap/>
              <w:overflowPunct/>
              <w:topLinePunct w:val="0"/>
              <w:autoSpaceDE w:val="0"/>
              <w:autoSpaceDN w:val="0"/>
              <w:bidi w:val="0"/>
              <w:adjustRightInd w:val="0"/>
              <w:snapToGrid w:val="0"/>
              <w:spacing w:before="120" w:line="360" w:lineRule="auto"/>
              <w:ind w:firstLine="480" w:firstLineChars="200"/>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lang w:val="en-US" w:eastAsia="zh-CN"/>
              </w:rPr>
              <w:t>产品总量约为2000吨，则有机废气年产生量为3.0t/a，</w:t>
            </w:r>
            <w:r>
              <w:rPr>
                <w:rFonts w:hint="eastAsia" w:cs="Times New Roman"/>
                <w:color w:val="auto"/>
                <w:sz w:val="24"/>
                <w:lang w:val="en-US" w:eastAsia="zh-CN"/>
              </w:rPr>
              <w:t>项目年工作</w:t>
            </w:r>
            <w:r>
              <w:rPr>
                <w:rFonts w:hint="eastAsia" w:ascii="Times New Roman" w:hAnsi="Times New Roman" w:eastAsia="宋体" w:cs="Times New Roman"/>
                <w:color w:val="auto"/>
                <w:kern w:val="0"/>
                <w:sz w:val="24"/>
                <w:szCs w:val="20"/>
                <w:lang w:val="en-US" w:eastAsia="zh-CN" w:bidi="ar-SA"/>
              </w:rPr>
              <w:t>4200h。</w:t>
            </w:r>
          </w:p>
          <w:p w14:paraId="6E1955C1">
            <w:pPr>
              <w:pStyle w:val="2"/>
              <w:keepNext w:val="0"/>
              <w:keepLines w:val="0"/>
              <w:pageBreakBefore w:val="0"/>
              <w:widowControl/>
              <w:kinsoku/>
              <w:wordWrap/>
              <w:overflowPunct/>
              <w:topLinePunct w:val="0"/>
              <w:autoSpaceDE/>
              <w:autoSpaceDN/>
              <w:bidi w:val="0"/>
              <w:adjustRightInd/>
              <w:snapToGrid w:val="0"/>
              <w:spacing w:after="0" w:line="360" w:lineRule="auto"/>
              <w:ind w:right="113" w:firstLine="480" w:firstLineChars="200"/>
              <w:textAlignment w:val="auto"/>
              <w:rPr>
                <w:rFonts w:hint="eastAsia" w:cs="Times New Roman"/>
                <w:color w:val="auto"/>
                <w:sz w:val="24"/>
                <w:lang w:val="en-US" w:eastAsia="zh-CN"/>
              </w:rPr>
            </w:pPr>
            <w:r>
              <w:rPr>
                <w:rFonts w:hint="default" w:ascii="Times New Roman" w:hAnsi="Times New Roman" w:cs="Times New Roman"/>
                <w:color w:val="auto"/>
                <w:sz w:val="24"/>
                <w:lang w:val="en-US" w:eastAsia="zh-CN"/>
              </w:rPr>
              <w:t>根据与企业沟通，项目于注塑机和挤出机出料口处设置集气罩对有机废气进行收集，注塑机有4个出料口，挤出机有4个出料口，则项目需设置8个集气罩</w:t>
            </w:r>
            <w:r>
              <w:rPr>
                <w:rFonts w:hint="default" w:ascii="Times New Roman" w:hAnsi="Times New Roman" w:cs="Times New Roman"/>
                <w:color w:val="auto"/>
                <w:sz w:val="24"/>
                <w:highlight w:val="none"/>
                <w:lang w:val="en-US" w:eastAsia="zh-CN"/>
              </w:rPr>
              <w:t>（尺寸为0.</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m×0.</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m，与工位距离0.</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lang w:val="en-US" w:eastAsia="zh-CN"/>
              </w:rPr>
              <w:t>m）</w:t>
            </w:r>
            <w:r>
              <w:rPr>
                <w:rFonts w:hint="eastAsia" w:cs="Times New Roman"/>
                <w:color w:val="auto"/>
                <w:sz w:val="24"/>
                <w:highlight w:val="none"/>
                <w:lang w:val="en-US" w:eastAsia="zh-CN"/>
              </w:rPr>
              <w:t>对有机废气进行收集（</w:t>
            </w:r>
            <w:r>
              <w:rPr>
                <w:rFonts w:hint="eastAsia" w:ascii="Times New Roman" w:hAnsi="Times New Roman" w:eastAsia="宋体" w:cs="Times New Roman"/>
                <w:color w:val="auto"/>
                <w:kern w:val="0"/>
                <w:sz w:val="24"/>
                <w:szCs w:val="20"/>
                <w:lang w:val="en-US" w:eastAsia="zh-CN" w:bidi="ar-SA"/>
              </w:rPr>
              <w:t>收集效率</w:t>
            </w:r>
            <w:r>
              <w:rPr>
                <w:rFonts w:hint="eastAsia" w:ascii="Times New Roman" w:hAnsi="Times New Roman" w:cs="Times New Roman"/>
                <w:color w:val="auto"/>
                <w:kern w:val="0"/>
                <w:sz w:val="24"/>
                <w:szCs w:val="20"/>
                <w:lang w:val="en-US" w:eastAsia="zh-CN" w:bidi="ar-SA"/>
              </w:rPr>
              <w:t>80%</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将废气引至一套二级活性炭吸附设备进行处理，处理后的废气经1根15m高排气筒（DA001）向高空排放。</w:t>
            </w:r>
          </w:p>
          <w:p w14:paraId="7EC36A8F">
            <w:pPr>
              <w:pStyle w:val="2"/>
              <w:keepNext w:val="0"/>
              <w:keepLines w:val="0"/>
              <w:pageBreakBefore w:val="0"/>
              <w:widowControl/>
              <w:kinsoku/>
              <w:wordWrap/>
              <w:overflowPunct/>
              <w:topLinePunct w:val="0"/>
              <w:autoSpaceDE/>
              <w:autoSpaceDN/>
              <w:bidi w:val="0"/>
              <w:adjustRightInd/>
              <w:snapToGrid w:val="0"/>
              <w:spacing w:after="0" w:line="360" w:lineRule="auto"/>
              <w:ind w:right="113"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参考《</w:t>
            </w:r>
            <w:r>
              <w:rPr>
                <w:rFonts w:hint="eastAsia" w:ascii="Times New Roman" w:hAnsi="Times New Roman" w:eastAsia="宋体" w:cs="Times New Roman"/>
                <w:color w:val="auto"/>
                <w:sz w:val="24"/>
                <w:lang w:val="en-US" w:eastAsia="zh-CN"/>
              </w:rPr>
              <w:t>环境工程设计手册</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中的</w:t>
            </w:r>
            <w:r>
              <w:rPr>
                <w:rFonts w:hint="default" w:ascii="Times New Roman" w:hAnsi="Times New Roman" w:eastAsia="宋体" w:cs="Times New Roman"/>
                <w:color w:val="auto"/>
                <w:sz w:val="24"/>
                <w:lang w:val="en-US" w:eastAsia="zh-CN"/>
              </w:rPr>
              <w:t>集气罩风量计算公式：</w:t>
            </w:r>
          </w:p>
          <w:p w14:paraId="68DD64B2">
            <w:pPr>
              <w:pStyle w:val="2"/>
              <w:keepNext w:val="0"/>
              <w:keepLines w:val="0"/>
              <w:pageBreakBefore w:val="0"/>
              <w:widowControl/>
              <w:kinsoku/>
              <w:wordWrap/>
              <w:overflowPunct/>
              <w:topLinePunct w:val="0"/>
              <w:autoSpaceDE/>
              <w:autoSpaceDN/>
              <w:bidi w:val="0"/>
              <w:adjustRightInd/>
              <w:snapToGrid w:val="0"/>
              <w:spacing w:before="0" w:after="0" w:line="360" w:lineRule="auto"/>
              <w:ind w:right="113" w:firstLine="480" w:firstLineChars="200"/>
              <w:jc w:val="center"/>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Q=3600（5X</w:t>
            </w:r>
            <w:r>
              <w:rPr>
                <w:rFonts w:hint="default" w:ascii="Times New Roman" w:hAnsi="Times New Roman" w:eastAsia="宋体" w:cs="Times New Roman"/>
                <w:color w:val="auto"/>
                <w:sz w:val="24"/>
                <w:vertAlign w:val="superscript"/>
                <w:lang w:val="en-US" w:eastAsia="zh-CN"/>
              </w:rPr>
              <w:t>2</w:t>
            </w:r>
            <w:r>
              <w:rPr>
                <w:rFonts w:hint="default" w:ascii="Times New Roman" w:hAnsi="Times New Roman" w:eastAsia="宋体" w:cs="Times New Roman"/>
                <w:color w:val="auto"/>
                <w:sz w:val="24"/>
                <w:lang w:val="en-US" w:eastAsia="zh-CN"/>
              </w:rPr>
              <w:t>+F）Vx</w:t>
            </w:r>
          </w:p>
          <w:p w14:paraId="3F3231F6">
            <w:pPr>
              <w:pStyle w:val="2"/>
              <w:keepNext w:val="0"/>
              <w:keepLines w:val="0"/>
              <w:pageBreakBefore w:val="0"/>
              <w:widowControl/>
              <w:kinsoku/>
              <w:wordWrap/>
              <w:overflowPunct/>
              <w:topLinePunct w:val="0"/>
              <w:autoSpaceDE/>
              <w:autoSpaceDN/>
              <w:bidi w:val="0"/>
              <w:adjustRightInd/>
              <w:snapToGrid w:val="0"/>
              <w:spacing w:before="0" w:after="0" w:line="312" w:lineRule="auto"/>
              <w:ind w:right="113" w:firstLine="480" w:firstLineChars="200"/>
              <w:textAlignment w:val="auto"/>
              <w:rPr>
                <w:rFonts w:hint="default" w:ascii="Times New Roman" w:hAnsi="Times New Roman" w:eastAsia="宋体" w:cs="Times New Roman"/>
                <w:color w:val="auto"/>
                <w:sz w:val="24"/>
                <w:lang w:val="en-US" w:eastAsia="zh-TW"/>
              </w:rPr>
            </w:pPr>
            <w:r>
              <w:rPr>
                <w:rFonts w:hint="default" w:ascii="Times New Roman" w:hAnsi="Times New Roman" w:eastAsia="宋体" w:cs="Times New Roman"/>
                <w:color w:val="auto"/>
                <w:sz w:val="24"/>
                <w:lang w:val="en-US" w:eastAsia="zh-CN"/>
              </w:rPr>
              <w:t>式中：</w:t>
            </w:r>
            <w:r>
              <w:rPr>
                <w:rFonts w:hint="default" w:ascii="Times New Roman" w:hAnsi="Times New Roman" w:eastAsia="宋体" w:cs="Times New Roman"/>
                <w:color w:val="auto"/>
                <w:sz w:val="24"/>
                <w:lang w:val="en-US" w:eastAsia="zh-TW"/>
              </w:rPr>
              <w:t>Q--集气罩排风量，m</w:t>
            </w:r>
            <w:r>
              <w:rPr>
                <w:rFonts w:hint="default" w:ascii="Times New Roman" w:hAnsi="Times New Roman" w:eastAsia="宋体" w:cs="Times New Roman"/>
                <w:color w:val="auto"/>
                <w:sz w:val="24"/>
                <w:vertAlign w:val="superscript"/>
                <w:lang w:val="en-US" w:eastAsia="zh-TW"/>
              </w:rPr>
              <w:t>3</w:t>
            </w:r>
            <w:r>
              <w:rPr>
                <w:rFonts w:hint="default" w:ascii="Times New Roman" w:hAnsi="Times New Roman" w:eastAsia="宋体" w:cs="Times New Roman"/>
                <w:color w:val="auto"/>
                <w:sz w:val="24"/>
                <w:lang w:val="en-US" w:eastAsia="zh-TW"/>
              </w:rPr>
              <w:t>/h；</w:t>
            </w:r>
          </w:p>
          <w:p w14:paraId="7EE11F4F">
            <w:pPr>
              <w:pStyle w:val="2"/>
              <w:keepNext w:val="0"/>
              <w:keepLines w:val="0"/>
              <w:pageBreakBefore w:val="0"/>
              <w:widowControl/>
              <w:kinsoku/>
              <w:wordWrap/>
              <w:overflowPunct/>
              <w:topLinePunct w:val="0"/>
              <w:autoSpaceDE/>
              <w:autoSpaceDN/>
              <w:bidi w:val="0"/>
              <w:adjustRightInd/>
              <w:snapToGrid w:val="0"/>
              <w:spacing w:before="0" w:after="0" w:line="312" w:lineRule="auto"/>
              <w:ind w:right="113" w:firstLine="1200" w:firstLineChars="500"/>
              <w:textAlignment w:val="auto"/>
              <w:rPr>
                <w:rFonts w:hint="default" w:ascii="Times New Roman" w:hAnsi="Times New Roman" w:eastAsia="宋体" w:cs="Times New Roman"/>
                <w:color w:val="auto"/>
                <w:sz w:val="24"/>
                <w:lang w:val="en-US" w:eastAsia="zh-TW"/>
              </w:rPr>
            </w:pPr>
            <w:r>
              <w:rPr>
                <w:rFonts w:hint="default" w:ascii="Times New Roman" w:hAnsi="Times New Roman" w:eastAsia="宋体" w:cs="Times New Roman"/>
                <w:color w:val="auto"/>
                <w:sz w:val="24"/>
                <w:lang w:val="en-US" w:eastAsia="zh-TW"/>
              </w:rPr>
              <w:t>X--污染源至罩口距离，m；本项目取</w:t>
            </w:r>
            <w:r>
              <w:rPr>
                <w:rFonts w:hint="default" w:ascii="Times New Roman" w:hAnsi="Times New Roman" w:eastAsia="宋体" w:cs="Times New Roman"/>
                <w:color w:val="auto"/>
                <w:sz w:val="24"/>
                <w:lang w:val="en-US" w:eastAsia="zh-CN"/>
              </w:rPr>
              <w:t>0.</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lang w:val="en-US" w:eastAsia="zh-TW"/>
              </w:rPr>
              <w:t>m；</w:t>
            </w:r>
          </w:p>
          <w:p w14:paraId="7711CC48">
            <w:pPr>
              <w:pStyle w:val="2"/>
              <w:keepNext w:val="0"/>
              <w:keepLines w:val="0"/>
              <w:pageBreakBefore w:val="0"/>
              <w:widowControl/>
              <w:kinsoku/>
              <w:wordWrap/>
              <w:overflowPunct/>
              <w:topLinePunct w:val="0"/>
              <w:autoSpaceDE/>
              <w:autoSpaceDN/>
              <w:bidi w:val="0"/>
              <w:adjustRightInd/>
              <w:snapToGrid w:val="0"/>
              <w:spacing w:before="0" w:after="0" w:line="312" w:lineRule="auto"/>
              <w:ind w:right="113" w:firstLine="1200" w:firstLineChars="5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F--吸气口的面积；</w:t>
            </w:r>
          </w:p>
          <w:p w14:paraId="17749F65">
            <w:pPr>
              <w:pStyle w:val="2"/>
              <w:keepNext w:val="0"/>
              <w:keepLines w:val="0"/>
              <w:pageBreakBefore w:val="0"/>
              <w:widowControl/>
              <w:kinsoku/>
              <w:wordWrap/>
              <w:overflowPunct/>
              <w:topLinePunct w:val="0"/>
              <w:autoSpaceDE/>
              <w:autoSpaceDN/>
              <w:bidi w:val="0"/>
              <w:adjustRightInd/>
              <w:snapToGrid w:val="0"/>
              <w:spacing w:before="0" w:after="0" w:line="312" w:lineRule="auto"/>
              <w:ind w:right="113" w:firstLine="1200" w:firstLineChars="5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Vx--控制风速（m/s，取值0.5m/s）。</w:t>
            </w:r>
          </w:p>
          <w:p w14:paraId="531026E8">
            <w:pPr>
              <w:numPr>
                <w:ilvl w:val="0"/>
                <w:numId w:val="0"/>
              </w:numPr>
              <w:adjustRightInd w:val="0"/>
              <w:snapToGrid w:val="0"/>
              <w:spacing w:line="360" w:lineRule="auto"/>
              <w:ind w:left="0" w:leftChars="0" w:firstLine="480" w:firstLineChars="200"/>
              <w:rPr>
                <w:rFonts w:hint="default" w:ascii="Times New Roman" w:hAnsi="Times New Roman" w:cs="Times New Roman"/>
                <w:color w:val="auto"/>
                <w:sz w:val="24"/>
              </w:rPr>
            </w:pPr>
            <w:r>
              <w:rPr>
                <w:rFonts w:hint="eastAsia" w:ascii="Times New Roman" w:hAnsi="Times New Roman" w:eastAsia="宋体" w:cs="Times New Roman"/>
                <w:color w:val="auto"/>
                <w:sz w:val="24"/>
                <w:lang w:val="en-US" w:eastAsia="zh-CN"/>
              </w:rPr>
              <w:t>本项目共设置8个集气罩，单个集气罩设计尺寸为0.4m×0.4m，则集气罩风量为：Q=3600（5×0.09+0.16）×0.5×8=8784</w:t>
            </w:r>
            <w:r>
              <w:rPr>
                <w:rFonts w:hint="default" w:ascii="Times New Roman" w:hAnsi="Times New Roman" w:eastAsia="宋体" w:cs="Times New Roman"/>
                <w:color w:val="auto"/>
                <w:sz w:val="24"/>
                <w:lang w:val="en-US" w:eastAsia="zh-CN"/>
              </w:rPr>
              <w:t>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/h</w:t>
            </w:r>
            <w:r>
              <w:rPr>
                <w:rFonts w:hint="eastAsia" w:ascii="Times New Roman" w:hAnsi="Times New Roman" w:eastAsia="宋体" w:cs="Times New Roman"/>
                <w:color w:val="auto"/>
                <w:sz w:val="24"/>
                <w:lang w:val="en-US" w:eastAsia="zh-CN"/>
              </w:rPr>
              <w:t>，</w:t>
            </w:r>
            <w:r>
              <w:rPr>
                <w:rFonts w:hint="default" w:ascii="Times New Roman" w:hAnsi="Times New Roman" w:cs="Times New Roman"/>
                <w:color w:val="auto"/>
                <w:sz w:val="24"/>
                <w:highlight w:val="none"/>
              </w:rPr>
              <w:t>考虑到漏风等损失因素，所以本环评建议风量取</w:t>
            </w:r>
            <w:r>
              <w:rPr>
                <w:rFonts w:hint="default" w:ascii="Times New Roman" w:hAnsi="Times New Roman" w:cs="Times New Roman"/>
                <w:color w:val="auto"/>
                <w:sz w:val="24"/>
                <w:highlight w:val="none"/>
                <w:lang w:val="en-US" w:eastAsia="zh-CN"/>
              </w:rPr>
              <w:t>10000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/h</w:t>
            </w:r>
            <w:r>
              <w:rPr>
                <w:color w:val="auto"/>
                <w:kern w:val="2"/>
                <w:szCs w:val="24"/>
                <w:lang w:val="en-US" w:eastAsia="zh-CN"/>
              </w:rPr>
              <w:t>。</w:t>
            </w:r>
          </w:p>
          <w:p w14:paraId="3E13F2F4">
            <w:pPr>
              <w:spacing w:line="360" w:lineRule="auto"/>
              <w:ind w:firstLine="480"/>
              <w:rPr>
                <w:rFonts w:hint="eastAsia" w:ascii="Times New Roman" w:hAnsi="Times New Roman" w:eastAsia="宋体" w:cs="Times New Roman"/>
                <w:color w:val="auto"/>
                <w:kern w:val="0"/>
                <w:sz w:val="24"/>
                <w:szCs w:val="20"/>
                <w:highlight w:val="none"/>
                <w:lang w:val="en-US" w:eastAsia="zh-CN" w:bidi="ar-SA"/>
              </w:rPr>
            </w:pPr>
            <w:r>
              <w:rPr>
                <w:rFonts w:hint="eastAsia" w:ascii="Times New Roman" w:hAnsi="Times New Roman" w:eastAsia="宋体" w:cs="Times New Roman"/>
                <w:color w:val="auto"/>
                <w:kern w:val="0"/>
                <w:sz w:val="24"/>
                <w:szCs w:val="20"/>
                <w:highlight w:val="none"/>
                <w:lang w:val="en-US" w:eastAsia="zh-CN" w:bidi="ar-SA"/>
              </w:rPr>
              <w:t>参照陕西省生态环境厅关于印发《陕西省排污许可制支撑空气质量持续改善实施方案》的通知（有效）（陕环发〔2023〕59号）中文件“《陕西省大气主要污染物许可排放量及实际排放量核定方法》”中“表1VOCs废气收集集气效率参考值”：包围型集气设备仅保留物料进出通道，通道敞开面小于1个操作工位面，敞开面控制风速不小于0.5m/s时，集气效率为80%。</w:t>
            </w:r>
          </w:p>
          <w:p w14:paraId="3AA664F9">
            <w:pPr>
              <w:spacing w:line="360" w:lineRule="auto"/>
              <w:rPr>
                <w:rFonts w:hint="default" w:ascii="Times New Roman" w:hAnsi="Times New Roman" w:eastAsia="宋体" w:cs="Times New Roman"/>
                <w:color w:val="auto"/>
                <w:kern w:val="0"/>
                <w:sz w:val="24"/>
                <w:szCs w:val="20"/>
                <w:highlight w:val="none"/>
                <w:lang w:val="en-US" w:eastAsia="zh-CN" w:bidi="ar-SA"/>
              </w:rPr>
            </w:pPr>
            <w:r>
              <w:rPr>
                <w:rFonts w:hint="eastAsia" w:ascii="Times New Roman" w:hAnsi="Times New Roman" w:eastAsia="宋体" w:cs="Times New Roman"/>
                <w:color w:val="auto"/>
                <w:kern w:val="0"/>
                <w:sz w:val="24"/>
                <w:szCs w:val="20"/>
                <w:highlight w:val="none"/>
                <w:lang w:val="en-US" w:eastAsia="zh-CN" w:bidi="ar-SA"/>
              </w:rPr>
              <w:t>因此，本项目收集效率按照80%考虑</w:t>
            </w:r>
            <w:r>
              <w:rPr>
                <w:rFonts w:hint="eastAsia" w:cs="Times New Roman"/>
                <w:color w:val="auto"/>
                <w:kern w:val="0"/>
                <w:sz w:val="24"/>
                <w:szCs w:val="20"/>
                <w:highlight w:val="none"/>
                <w:lang w:val="en-US" w:eastAsia="zh-CN" w:bidi="ar-SA"/>
              </w:rPr>
              <w:t>。根据表4-2 塑料板、管、型材制造行业系数表，活性炭的吸附效率为21%，本</w:t>
            </w:r>
            <w:r>
              <w:rPr>
                <w:rFonts w:hint="eastAsia" w:ascii="Times New Roman" w:hAnsi="Times New Roman" w:eastAsia="宋体" w:cs="Times New Roman"/>
                <w:color w:val="auto"/>
                <w:kern w:val="0"/>
                <w:sz w:val="24"/>
                <w:szCs w:val="20"/>
                <w:highlight w:val="none"/>
                <w:lang w:val="en-US" w:eastAsia="zh-CN" w:bidi="ar-SA"/>
              </w:rPr>
              <w:t>项目采用二级活性炭吸附治理</w:t>
            </w:r>
            <w:r>
              <w:rPr>
                <w:rFonts w:hint="eastAsia" w:cs="Times New Roman"/>
                <w:color w:val="auto"/>
                <w:kern w:val="0"/>
                <w:sz w:val="24"/>
                <w:szCs w:val="20"/>
                <w:highlight w:val="none"/>
                <w:lang w:val="en-US" w:eastAsia="zh-CN" w:bidi="ar-SA"/>
              </w:rPr>
              <w:t>技术</w:t>
            </w:r>
            <w:r>
              <w:rPr>
                <w:rFonts w:hint="eastAsia" w:ascii="Times New Roman" w:hAnsi="Times New Roman" w:eastAsia="宋体" w:cs="Times New Roman"/>
                <w:color w:val="auto"/>
                <w:kern w:val="0"/>
                <w:sz w:val="24"/>
                <w:szCs w:val="20"/>
                <w:highlight w:val="none"/>
                <w:lang w:val="en-US" w:eastAsia="zh-CN" w:bidi="ar-SA"/>
              </w:rPr>
              <w:t>，故VOCs去除率取37%。</w:t>
            </w:r>
          </w:p>
          <w:p w14:paraId="23C32592">
            <w:pPr>
              <w:pStyle w:val="2"/>
              <w:keepNext w:val="0"/>
              <w:keepLines w:val="0"/>
              <w:pageBreakBefore w:val="0"/>
              <w:widowControl/>
              <w:kinsoku/>
              <w:wordWrap/>
              <w:overflowPunct/>
              <w:topLinePunct w:val="0"/>
              <w:autoSpaceDE/>
              <w:autoSpaceDN/>
              <w:bidi w:val="0"/>
              <w:adjustRightInd/>
              <w:snapToGrid w:val="0"/>
              <w:spacing w:before="0" w:after="0" w:line="360" w:lineRule="auto"/>
              <w:ind w:right="113" w:firstLine="480" w:firstLineChars="200"/>
              <w:textAlignment w:val="auto"/>
              <w:rPr>
                <w:rFonts w:hint="default" w:ascii="Times New Roman" w:hAnsi="Times New Roman" w:cs="Times New Roman"/>
                <w:color w:val="auto"/>
                <w:sz w:val="24"/>
                <w:highlight w:val="yellow"/>
                <w:lang w:val="en-US" w:eastAsia="zh-CN"/>
              </w:rPr>
            </w:pPr>
            <w:r>
              <w:rPr>
                <w:rFonts w:hint="eastAsia" w:cs="Times New Roman"/>
                <w:color w:val="auto"/>
                <w:kern w:val="2"/>
                <w:sz w:val="24"/>
                <w:szCs w:val="24"/>
                <w:lang w:val="en-US" w:eastAsia="zh-CN" w:bidi="ar-SA"/>
              </w:rPr>
              <w:t>综</w:t>
            </w:r>
            <w:r>
              <w:rPr>
                <w:rFonts w:hint="eastAsia" w:ascii="Times New Roman" w:hAnsi="Times New Roman" w:eastAsia="宋体" w:cs="Times New Roman"/>
                <w:color w:val="auto"/>
                <w:kern w:val="2"/>
                <w:sz w:val="24"/>
                <w:szCs w:val="24"/>
                <w:lang w:val="en-US" w:eastAsia="zh-CN" w:bidi="ar-SA"/>
              </w:rPr>
              <w:t>上，本项目</w:t>
            </w:r>
            <w:r>
              <w:rPr>
                <w:rFonts w:hint="default" w:ascii="Times New Roman" w:hAnsi="Times New Roman" w:eastAsia="宋体" w:cs="Times New Roman"/>
                <w:color w:val="auto"/>
                <w:kern w:val="2"/>
                <w:sz w:val="24"/>
                <w:szCs w:val="32"/>
                <w:highlight w:val="none"/>
                <w:lang w:val="en-US" w:eastAsia="zh-CN" w:bidi="ar-SA"/>
              </w:rPr>
              <w:t>非甲烷总烃有组织排放量为</w:t>
            </w:r>
            <w:r>
              <w:rPr>
                <w:rFonts w:hint="eastAsia" w:ascii="Times New Roman" w:hAnsi="Times New Roman" w:eastAsia="宋体" w:cs="Times New Roman"/>
                <w:color w:val="auto"/>
                <w:kern w:val="2"/>
                <w:sz w:val="24"/>
                <w:szCs w:val="32"/>
                <w:highlight w:val="none"/>
                <w:lang w:val="en-US" w:eastAsia="zh-CN" w:bidi="ar-SA"/>
              </w:rPr>
              <w:t>1.</w:t>
            </w:r>
            <w:r>
              <w:rPr>
                <w:rFonts w:hint="eastAsia" w:cs="Times New Roman"/>
                <w:color w:val="auto"/>
                <w:kern w:val="2"/>
                <w:sz w:val="24"/>
                <w:szCs w:val="32"/>
                <w:highlight w:val="none"/>
                <w:lang w:val="en-US" w:eastAsia="zh-CN" w:bidi="ar-SA"/>
              </w:rPr>
              <w:t>512</w:t>
            </w:r>
            <w:r>
              <w:rPr>
                <w:rFonts w:hint="default" w:ascii="Times New Roman" w:hAnsi="Times New Roman" w:cs="Times New Roman"/>
                <w:color w:val="auto"/>
                <w:sz w:val="24"/>
                <w:highlight w:val="none"/>
                <w:lang w:val="en-US" w:eastAsia="zh-CN"/>
              </w:rPr>
              <w:t>t/a</w:t>
            </w:r>
            <w:r>
              <w:rPr>
                <w:rFonts w:hint="default" w:ascii="Times New Roman" w:hAnsi="Times New Roman" w:eastAsia="宋体" w:cs="Times New Roman"/>
                <w:color w:val="auto"/>
                <w:kern w:val="2"/>
                <w:sz w:val="24"/>
                <w:szCs w:val="32"/>
                <w:highlight w:val="none"/>
                <w:lang w:val="en-US" w:eastAsia="zh-CN" w:bidi="ar-SA"/>
              </w:rPr>
              <w:t>，排放</w:t>
            </w:r>
            <w:r>
              <w:rPr>
                <w:rFonts w:hint="default" w:ascii="Times New Roman" w:hAnsi="Times New Roman" w:cs="Times New Roman"/>
                <w:color w:val="auto"/>
                <w:sz w:val="24"/>
                <w:highlight w:val="none"/>
                <w:lang w:val="en-US" w:eastAsia="zh-CN"/>
              </w:rPr>
              <w:t>速率为0.</w:t>
            </w:r>
            <w:r>
              <w:rPr>
                <w:rFonts w:hint="eastAsia" w:cs="Times New Roman"/>
                <w:color w:val="auto"/>
                <w:sz w:val="24"/>
                <w:highlight w:val="none"/>
                <w:lang w:val="en-US" w:eastAsia="zh-CN"/>
              </w:rPr>
              <w:t>36</w:t>
            </w:r>
            <w:r>
              <w:rPr>
                <w:rFonts w:hint="default" w:ascii="Times New Roman" w:hAnsi="Times New Roman" w:cs="Times New Roman"/>
                <w:color w:val="auto"/>
                <w:sz w:val="24"/>
                <w:highlight w:val="none"/>
                <w:lang w:val="en-US" w:eastAsia="zh-CN"/>
              </w:rPr>
              <w:t>kg/h，排放浓度为</w:t>
            </w:r>
            <w:r>
              <w:rPr>
                <w:rFonts w:hint="eastAsia" w:cs="Times New Roman"/>
                <w:color w:val="auto"/>
                <w:sz w:val="24"/>
                <w:highlight w:val="none"/>
                <w:lang w:val="en-US" w:eastAsia="zh-CN"/>
              </w:rPr>
              <w:t>36</w:t>
            </w:r>
            <w:r>
              <w:rPr>
                <w:rFonts w:hint="default" w:ascii="Times New Roman" w:hAnsi="Times New Roman" w:cs="Times New Roman"/>
                <w:color w:val="auto"/>
                <w:sz w:val="24"/>
                <w:highlight w:val="none"/>
                <w:lang w:val="en-US" w:eastAsia="zh-CN"/>
              </w:rPr>
              <w:t>mg/m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eastAsia="宋体" w:cs="Times New Roman"/>
                <w:color w:val="auto"/>
                <w:kern w:val="2"/>
                <w:sz w:val="24"/>
                <w:szCs w:val="32"/>
                <w:highlight w:val="none"/>
                <w:lang w:val="en-US" w:eastAsia="zh-CN" w:bidi="ar-SA"/>
              </w:rPr>
              <w:t>，</w:t>
            </w:r>
            <w:r>
              <w:rPr>
                <w:rFonts w:hint="default" w:ascii="Times New Roman" w:hAnsi="Times New Roman" w:cs="Times New Roman"/>
                <w:color w:val="auto"/>
                <w:sz w:val="24"/>
                <w:highlight w:val="none"/>
                <w:lang w:val="en-US" w:eastAsia="zh-CN"/>
              </w:rPr>
              <w:t>未收集的有机废气无组织排放量为</w:t>
            </w:r>
            <w:r>
              <w:rPr>
                <w:rFonts w:hint="eastAsia" w:cs="Times New Roman"/>
                <w:color w:val="auto"/>
                <w:sz w:val="24"/>
                <w:highlight w:val="none"/>
                <w:lang w:val="en-US" w:eastAsia="zh-CN"/>
              </w:rPr>
              <w:t>0.6</w:t>
            </w:r>
            <w:r>
              <w:rPr>
                <w:rFonts w:hint="default" w:ascii="Times New Roman" w:hAnsi="Times New Roman" w:cs="Times New Roman"/>
                <w:color w:val="auto"/>
                <w:sz w:val="24"/>
                <w:highlight w:val="none"/>
                <w:lang w:val="en-US" w:eastAsia="zh-CN"/>
              </w:rPr>
              <w:t>t/a，排放速率为0.</w:t>
            </w:r>
            <w:r>
              <w:rPr>
                <w:rFonts w:hint="eastAsia" w:cs="Times New Roman"/>
                <w:color w:val="auto"/>
                <w:sz w:val="24"/>
                <w:highlight w:val="none"/>
                <w:lang w:val="en-US" w:eastAsia="zh-CN"/>
              </w:rPr>
              <w:t>143</w:t>
            </w:r>
            <w:r>
              <w:rPr>
                <w:rFonts w:hint="default" w:ascii="Times New Roman" w:hAnsi="Times New Roman" w:cs="Times New Roman"/>
                <w:color w:val="auto"/>
                <w:sz w:val="24"/>
                <w:highlight w:val="none"/>
                <w:lang w:val="en-US" w:eastAsia="zh-CN"/>
              </w:rPr>
              <w:t>kg/h。</w:t>
            </w:r>
          </w:p>
          <w:bookmarkEnd w:id="10"/>
          <w:p w14:paraId="41F61285">
            <w:pPr>
              <w:snapToGrid w:val="0"/>
              <w:spacing w:line="360" w:lineRule="auto"/>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lang w:val="en-US" w:eastAsia="zh-CN"/>
              </w:rPr>
              <w:t>1.3</w:t>
            </w:r>
            <w:r>
              <w:rPr>
                <w:rFonts w:hint="default" w:ascii="Times New Roman" w:hAnsi="Times New Roman" w:eastAsia="宋体" w:cs="Times New Roman"/>
                <w:b/>
                <w:bCs/>
                <w:color w:val="auto"/>
                <w:sz w:val="24"/>
                <w:highlight w:val="none"/>
                <w:lang w:eastAsia="zh-CN"/>
              </w:rPr>
              <w:t>废气达标排放及影响分析</w:t>
            </w:r>
          </w:p>
          <w:p w14:paraId="3D11E56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项目注塑过程和挤出过程产生的非甲烷总烃经二级活性炭吸附处理后通过15m高排气筒（DA001）排放，本项目排放浓度为</w:t>
            </w:r>
            <w:r>
              <w:rPr>
                <w:rFonts w:hint="eastAsia" w:cs="Times New Roman"/>
                <w:color w:val="auto"/>
                <w:kern w:val="0"/>
                <w:sz w:val="24"/>
                <w:highlight w:val="none"/>
                <w:lang w:val="en-US" w:eastAsia="zh-CN" w:bidi="en-US"/>
              </w:rPr>
              <w:t>36</w:t>
            </w:r>
            <w:r>
              <w:rPr>
                <w:rFonts w:hint="default" w:ascii="Times New Roman" w:hAnsi="Times New Roman" w:eastAsia="宋体" w:cs="Times New Roman"/>
                <w:color w:val="auto"/>
                <w:kern w:val="0"/>
                <w:sz w:val="24"/>
                <w:highlight w:val="none"/>
                <w:lang w:val="en-US" w:eastAsia="en-US" w:bidi="en-US"/>
              </w:rPr>
              <w:t>mg/m</w:t>
            </w:r>
            <w:r>
              <w:rPr>
                <w:rFonts w:hint="default" w:ascii="Times New Roman" w:hAnsi="Times New Roman" w:eastAsia="宋体" w:cs="Times New Roman"/>
                <w:color w:val="auto"/>
                <w:kern w:val="0"/>
                <w:sz w:val="24"/>
                <w:highlight w:val="none"/>
                <w:vertAlign w:val="superscript"/>
                <w:lang w:val="en-US" w:eastAsia="zh-CN" w:bidi="en-US"/>
              </w:rPr>
              <w:t>3</w:t>
            </w:r>
            <w:r>
              <w:rPr>
                <w:rFonts w:hint="default" w:ascii="Times New Roman" w:hAnsi="Times New Roman" w:eastAsia="宋体" w:cs="Times New Roman"/>
                <w:color w:val="auto"/>
                <w:kern w:val="0"/>
                <w:sz w:val="24"/>
                <w:highlight w:val="none"/>
                <w:lang w:val="en-US" w:eastAsia="zh-CN" w:bidi="en-US"/>
              </w:rPr>
              <w:t>，满足</w:t>
            </w:r>
            <w:r>
              <w:rPr>
                <w:rFonts w:hint="default" w:ascii="Times New Roman" w:hAnsi="Times New Roman" w:eastAsia="宋体" w:cs="Times New Roman"/>
                <w:color w:val="auto"/>
                <w:kern w:val="0"/>
                <w:sz w:val="24"/>
                <w:highlight w:val="none"/>
                <w:lang w:val="en-US" w:eastAsia="en-US" w:bidi="en-US"/>
              </w:rPr>
              <w:t>《合成树脂工业污染物排放标准》（GB31572-2015</w:t>
            </w:r>
            <w:r>
              <w:rPr>
                <w:rFonts w:hint="eastAsia" w:cs="Times New Roman"/>
                <w:color w:val="auto"/>
                <w:kern w:val="0"/>
                <w:sz w:val="24"/>
                <w:highlight w:val="none"/>
                <w:lang w:val="en-US" w:eastAsia="zh-CN" w:bidi="en-US"/>
              </w:rPr>
              <w:t>，含2024年修改单</w:t>
            </w:r>
            <w:r>
              <w:rPr>
                <w:rFonts w:hint="default" w:ascii="Times New Roman" w:hAnsi="Times New Roman" w:eastAsia="宋体" w:cs="Times New Roman"/>
                <w:color w:val="auto"/>
                <w:kern w:val="0"/>
                <w:sz w:val="24"/>
                <w:highlight w:val="none"/>
                <w:lang w:val="en-US" w:eastAsia="en-US" w:bidi="en-US"/>
              </w:rPr>
              <w:t>）</w:t>
            </w:r>
            <w:r>
              <w:rPr>
                <w:rFonts w:hint="default" w:ascii="Times New Roman" w:hAnsi="Times New Roman" w:eastAsia="宋体" w:cs="Times New Roman"/>
                <w:color w:val="auto"/>
                <w:kern w:val="0"/>
                <w:sz w:val="24"/>
                <w:highlight w:val="none"/>
                <w:lang w:val="en-US" w:eastAsia="zh-CN" w:bidi="en-US"/>
              </w:rPr>
              <w:t>标准</w:t>
            </w:r>
            <w:r>
              <w:rPr>
                <w:rFonts w:hint="default" w:ascii="Times New Roman" w:hAnsi="Times New Roman" w:eastAsia="宋体" w:cs="Times New Roman"/>
                <w:color w:val="auto"/>
                <w:kern w:val="0"/>
                <w:sz w:val="24"/>
                <w:highlight w:val="none"/>
                <w:lang w:val="en-US" w:eastAsia="en-US" w:bidi="en-US"/>
              </w:rPr>
              <w:t>要求限值</w:t>
            </w:r>
            <w:r>
              <w:rPr>
                <w:rFonts w:hint="default" w:ascii="Times New Roman" w:hAnsi="Times New Roman" w:eastAsia="宋体" w:cs="Times New Roman"/>
                <w:color w:val="auto"/>
                <w:kern w:val="0"/>
                <w:sz w:val="24"/>
                <w:highlight w:val="none"/>
                <w:lang w:val="en-US" w:eastAsia="zh-CN" w:bidi="en-US"/>
              </w:rPr>
              <w:t>（6</w:t>
            </w:r>
            <w:r>
              <w:rPr>
                <w:rFonts w:hint="default" w:ascii="Times New Roman" w:hAnsi="Times New Roman" w:eastAsia="宋体" w:cs="Times New Roman"/>
                <w:color w:val="auto"/>
                <w:kern w:val="0"/>
                <w:sz w:val="24"/>
                <w:highlight w:val="none"/>
                <w:lang w:val="en-US" w:eastAsia="en-US" w:bidi="en-US"/>
              </w:rPr>
              <w:t>0mg/m</w:t>
            </w:r>
            <w:r>
              <w:rPr>
                <w:rFonts w:hint="default" w:ascii="Times New Roman" w:hAnsi="Times New Roman" w:eastAsia="宋体" w:cs="Times New Roman"/>
                <w:color w:val="auto"/>
                <w:kern w:val="0"/>
                <w:sz w:val="24"/>
                <w:highlight w:val="none"/>
                <w:vertAlign w:val="superscript"/>
                <w:lang w:val="en-US" w:eastAsia="en-US" w:bidi="en-US"/>
              </w:rPr>
              <w:t>3</w:t>
            </w:r>
            <w:r>
              <w:rPr>
                <w:rFonts w:hint="default" w:ascii="Times New Roman" w:hAnsi="Times New Roman" w:eastAsia="宋体" w:cs="Times New Roman"/>
                <w:color w:val="auto"/>
                <w:kern w:val="0"/>
                <w:sz w:val="24"/>
                <w:highlight w:val="none"/>
                <w:lang w:val="en-US" w:eastAsia="zh-CN" w:bidi="en-US"/>
              </w:rPr>
              <w:t>）。</w:t>
            </w:r>
          </w:p>
          <w:p w14:paraId="4A75E04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项目厂房高度9m，排气筒高度为15m，高于厂房高度6m，可</w:t>
            </w:r>
            <w:r>
              <w:rPr>
                <w:rFonts w:hint="eastAsia" w:ascii="Times New Roman" w:hAnsi="Times New Roman" w:eastAsia="宋体" w:cs="Times New Roman"/>
                <w:color w:val="auto"/>
                <w:kern w:val="0"/>
                <w:sz w:val="24"/>
                <w:highlight w:val="none"/>
                <w:lang w:val="en-US" w:eastAsia="zh-CN" w:bidi="en-US"/>
              </w:rPr>
              <w:t>满足排放要求。</w:t>
            </w:r>
          </w:p>
          <w:p w14:paraId="6AD658B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zh-CN" w:bidi="en-US"/>
              </w:rPr>
              <w:t>项目建成运营采取措施后的废气污染物产生量相对较小，有组织排放浓度满足相应标准要求，无组织排放强度较小，故该项目大气污染物环境影响可接受</w:t>
            </w:r>
            <w:r>
              <w:rPr>
                <w:rFonts w:hint="eastAsia" w:ascii="Times New Roman" w:hAnsi="Times New Roman" w:eastAsia="宋体" w:cs="Times New Roman"/>
                <w:color w:val="auto"/>
                <w:kern w:val="0"/>
                <w:sz w:val="24"/>
                <w:highlight w:val="none"/>
                <w:lang w:val="en-US" w:eastAsia="zh-CN" w:bidi="en-US"/>
              </w:rPr>
              <w:t>。</w:t>
            </w:r>
          </w:p>
          <w:p w14:paraId="20A15686">
            <w:pPr>
              <w:snapToGrid w:val="0"/>
              <w:spacing w:line="360" w:lineRule="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1.4</w:t>
            </w:r>
            <w:r>
              <w:rPr>
                <w:rFonts w:hint="default" w:ascii="Times New Roman" w:hAnsi="Times New Roman" w:eastAsia="宋体" w:cs="Times New Roman"/>
                <w:b/>
                <w:bCs/>
                <w:color w:val="auto"/>
                <w:sz w:val="24"/>
                <w:highlight w:val="none"/>
                <w:lang w:val="en-US" w:eastAsia="zh-CN"/>
              </w:rPr>
              <w:t>废气治理措施可行性分析</w:t>
            </w:r>
          </w:p>
          <w:p w14:paraId="176CC83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en-US" w:bidi="en-US"/>
              </w:rPr>
              <w:t>根据《挥发性有机物无组织排放控制标准》（GB37822-2019）中10.3.2规定：</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对于重点地区，收集的废气中</w:t>
            </w:r>
            <w:r>
              <w:rPr>
                <w:rFonts w:hint="eastAsia" w:cs="Times New Roman"/>
                <w:color w:val="auto"/>
                <w:kern w:val="0"/>
                <w:sz w:val="24"/>
                <w:highlight w:val="none"/>
                <w:lang w:val="en-US" w:eastAsia="zh-CN" w:bidi="en-US"/>
              </w:rPr>
              <w:t>非甲烷总烃</w:t>
            </w:r>
            <w:r>
              <w:rPr>
                <w:rFonts w:hint="default" w:ascii="Times New Roman" w:hAnsi="Times New Roman" w:eastAsia="宋体" w:cs="Times New Roman"/>
                <w:color w:val="auto"/>
                <w:kern w:val="0"/>
                <w:sz w:val="24"/>
                <w:highlight w:val="none"/>
                <w:lang w:val="en-US" w:eastAsia="en-US" w:bidi="en-US"/>
              </w:rPr>
              <w:t>初始排放速率≥2kg/h时，应配置VOCs处理设施，处理效率不应低于80%</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；根据《2020年挥发性有机物治理攻坚方案》第一条中规定</w:t>
            </w:r>
            <w:r>
              <w:rPr>
                <w:rFonts w:hint="eastAsia" w:ascii="Times New Roman" w:hAnsi="Times New Roman" w:eastAsia="宋体" w:cs="Times New Roman"/>
                <w:color w:val="auto"/>
                <w:kern w:val="0"/>
                <w:sz w:val="24"/>
                <w:highlight w:val="none"/>
                <w:lang w:val="en-US" w:eastAsia="zh-CN" w:bidi="en-US"/>
              </w:rPr>
              <w:t>“</w:t>
            </w:r>
            <w:r>
              <w:rPr>
                <w:rFonts w:hint="default" w:ascii="Times New Roman" w:hAnsi="Times New Roman" w:eastAsia="宋体" w:cs="Times New Roman"/>
                <w:color w:val="auto"/>
                <w:kern w:val="0"/>
                <w:sz w:val="24"/>
                <w:highlight w:val="none"/>
                <w:lang w:val="en-US" w:eastAsia="en-US" w:bidi="en-US"/>
              </w:rPr>
              <w:t>采用符合国家有关低VOCs含量产品规定的涂料、油墨、胶粘剂等，排放浓度稳定达标且排放速率满足相关规定的，相应生产工序可不要求建设末端治理设施。</w:t>
            </w:r>
            <w:r>
              <w:rPr>
                <w:rFonts w:hint="eastAsia" w:ascii="Times New Roman" w:hAnsi="Times New Roman" w:eastAsia="宋体" w:cs="Times New Roman"/>
                <w:color w:val="auto"/>
                <w:kern w:val="0"/>
                <w:sz w:val="24"/>
                <w:highlight w:val="none"/>
                <w:lang w:val="en-US" w:eastAsia="zh-CN" w:bidi="en-US"/>
              </w:rPr>
              <w:t>”</w:t>
            </w:r>
          </w:p>
          <w:p w14:paraId="02CB1EE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en-US" w:bidi="en-US"/>
              </w:rPr>
            </w:pPr>
            <w:r>
              <w:rPr>
                <w:rFonts w:hint="default" w:ascii="Times New Roman" w:hAnsi="Times New Roman" w:eastAsia="宋体" w:cs="Times New Roman"/>
                <w:color w:val="auto"/>
                <w:kern w:val="0"/>
                <w:sz w:val="24"/>
                <w:highlight w:val="none"/>
                <w:lang w:val="en-US" w:eastAsia="en-US" w:bidi="en-US"/>
              </w:rPr>
              <w:t>但鉴于项目所在地为不达标地区、结合地方环境管理要求，评价提出了对VOCs的收集处理措施。</w:t>
            </w:r>
          </w:p>
          <w:p w14:paraId="423E07F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highlight w:val="none"/>
                <w:lang w:val="en-US" w:eastAsia="zh-CN" w:bidi="en-US"/>
              </w:rPr>
            </w:pPr>
            <w:r>
              <w:rPr>
                <w:rFonts w:hint="eastAsia" w:ascii="Times New Roman" w:hAnsi="Times New Roman" w:eastAsia="宋体" w:cs="Times New Roman"/>
                <w:color w:val="auto"/>
                <w:kern w:val="0"/>
                <w:sz w:val="24"/>
                <w:highlight w:val="none"/>
                <w:lang w:val="en-US" w:eastAsia="zh-CN" w:bidi="en-US"/>
              </w:rPr>
              <w:t>根据</w:t>
            </w:r>
            <w:r>
              <w:rPr>
                <w:rFonts w:hint="default" w:ascii="Times New Roman" w:hAnsi="Times New Roman" w:eastAsia="宋体" w:cs="Times New Roman"/>
                <w:color w:val="auto"/>
                <w:kern w:val="0"/>
                <w:sz w:val="24"/>
                <w:highlight w:val="none"/>
                <w:lang w:val="en-US" w:eastAsia="zh-CN" w:bidi="en-US"/>
              </w:rPr>
              <w:t>《排污许可证申请与核发技术规范 橡胶和塑料制品工业》（HJ</w:t>
            </w:r>
            <w:r>
              <w:rPr>
                <w:rFonts w:hint="eastAsia" w:ascii="Times New Roman" w:hAnsi="Times New Roman" w:eastAsia="宋体" w:cs="Times New Roman"/>
                <w:color w:val="auto"/>
                <w:kern w:val="0"/>
                <w:sz w:val="24"/>
                <w:highlight w:val="none"/>
                <w:lang w:val="en-US" w:eastAsia="zh-CN" w:bidi="en-US"/>
              </w:rPr>
              <w:t>1122</w:t>
            </w:r>
            <w:r>
              <w:rPr>
                <w:rFonts w:hint="default" w:ascii="Times New Roman" w:hAnsi="Times New Roman" w:eastAsia="宋体" w:cs="Times New Roman"/>
                <w:color w:val="auto"/>
                <w:kern w:val="0"/>
                <w:sz w:val="24"/>
                <w:highlight w:val="none"/>
                <w:lang w:val="en-US" w:eastAsia="zh-CN" w:bidi="en-US"/>
              </w:rPr>
              <w:t>-</w:t>
            </w:r>
          </w:p>
          <w:p w14:paraId="60013743">
            <w:pPr>
              <w:keepNext w:val="0"/>
              <w:keepLines w:val="0"/>
              <w:suppressLineNumbers w:val="0"/>
              <w:spacing w:before="0" w:beforeAutospacing="0" w:after="0" w:afterAutospacing="0" w:line="360" w:lineRule="auto"/>
              <w:ind w:right="0"/>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20</w:t>
            </w:r>
            <w:r>
              <w:rPr>
                <w:rFonts w:hint="eastAsia" w:ascii="Times New Roman" w:hAnsi="Times New Roman" w:eastAsia="宋体" w:cs="Times New Roman"/>
                <w:color w:val="auto"/>
                <w:kern w:val="0"/>
                <w:sz w:val="24"/>
                <w:highlight w:val="none"/>
                <w:lang w:val="en-US" w:eastAsia="zh-CN" w:bidi="en-US"/>
              </w:rPr>
              <w:t>20</w:t>
            </w:r>
            <w:r>
              <w:rPr>
                <w:rFonts w:hint="default" w:ascii="Times New Roman" w:hAnsi="Times New Roman" w:eastAsia="宋体" w:cs="Times New Roman"/>
                <w:color w:val="auto"/>
                <w:kern w:val="0"/>
                <w:sz w:val="24"/>
                <w:highlight w:val="none"/>
                <w:lang w:val="en-US" w:eastAsia="zh-CN" w:bidi="en-US"/>
              </w:rPr>
              <w:t>）</w:t>
            </w:r>
            <w:r>
              <w:rPr>
                <w:rFonts w:hint="eastAsia" w:ascii="Times New Roman" w:hAnsi="Times New Roman" w:eastAsia="宋体" w:cs="Times New Roman"/>
                <w:color w:val="auto"/>
                <w:kern w:val="0"/>
                <w:sz w:val="24"/>
                <w:highlight w:val="none"/>
                <w:lang w:val="en-US" w:eastAsia="zh-CN" w:bidi="en-US"/>
              </w:rPr>
              <w:t>中规定，项目有机废气处理措施可行。具体见表4-3。</w:t>
            </w:r>
          </w:p>
          <w:p w14:paraId="141F421F">
            <w:pPr>
              <w:keepNext w:val="0"/>
              <w:keepLines w:val="0"/>
              <w:pageBreakBefore w:val="0"/>
              <w:widowControl w:val="0"/>
              <w:kinsoku/>
              <w:wordWrap/>
              <w:overflowPunct/>
              <w:topLinePunct w:val="0"/>
              <w:autoSpaceDE/>
              <w:autoSpaceDN/>
              <w:bidi w:val="0"/>
              <w:adjustRightInd/>
              <w:snapToGrid/>
              <w:spacing w:after="80" w:line="264" w:lineRule="auto"/>
              <w:ind w:left="0" w:leftChars="0" w:right="0" w:rightChars="0"/>
              <w:jc w:val="center"/>
              <w:textAlignment w:val="center"/>
              <w:rPr>
                <w:rFonts w:hint="default"/>
                <w:lang w:val="en-US" w:eastAsia="zh-CN"/>
              </w:rPr>
            </w:pPr>
            <w:r>
              <w:rPr>
                <w:rFonts w:hint="default" w:ascii="Times New Roman" w:hAnsi="Times New Roman" w:cs="Times New Roman" w:eastAsiaTheme="majorEastAsia"/>
                <w:b/>
                <w:bCs/>
                <w:color w:val="auto"/>
                <w:szCs w:val="21"/>
                <w:lang w:val="en-US" w:eastAsia="zh-CN"/>
              </w:rPr>
              <w:t>表4-3 废气污染防治可行性技术符合性分析表</w:t>
            </w:r>
          </w:p>
          <w:tbl>
            <w:tblPr>
              <w:tblStyle w:val="25"/>
              <w:tblW w:w="4983"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9"/>
              <w:gridCol w:w="1132"/>
              <w:gridCol w:w="900"/>
              <w:gridCol w:w="701"/>
              <w:gridCol w:w="703"/>
              <w:gridCol w:w="887"/>
              <w:gridCol w:w="1097"/>
              <w:gridCol w:w="812"/>
            </w:tblGrid>
            <w:tr w14:paraId="308B1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trPr>
              <w:tc>
                <w:tcPr>
                  <w:tcW w:w="1046" w:type="pct"/>
                  <w:noWrap w:val="0"/>
                  <w:vAlign w:val="center"/>
                </w:tcPr>
                <w:p w14:paraId="53757677">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val="en-US" w:eastAsia="zh-CN"/>
                    </w:rPr>
                    <w:t>排污单位类别</w:t>
                  </w:r>
                </w:p>
              </w:tc>
              <w:tc>
                <w:tcPr>
                  <w:tcW w:w="718" w:type="pct"/>
                  <w:noWrap w:val="0"/>
                  <w:vAlign w:val="center"/>
                </w:tcPr>
                <w:p w14:paraId="7E10D7FF">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生产设施</w:t>
                  </w:r>
                </w:p>
              </w:tc>
              <w:tc>
                <w:tcPr>
                  <w:tcW w:w="570" w:type="pct"/>
                  <w:noWrap w:val="0"/>
                  <w:vAlign w:val="center"/>
                </w:tcPr>
                <w:p w14:paraId="4AA3BA5B">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cs="Times New Roman"/>
                      <w:b/>
                      <w:bCs/>
                      <w:color w:val="auto"/>
                      <w:sz w:val="21"/>
                      <w:szCs w:val="21"/>
                      <w:lang w:eastAsia="zh-CN"/>
                    </w:rPr>
                  </w:pPr>
                  <w:r>
                    <w:rPr>
                      <w:rFonts w:hint="eastAsia" w:cs="Times New Roman"/>
                      <w:b/>
                      <w:bCs/>
                      <w:color w:val="auto"/>
                      <w:sz w:val="21"/>
                      <w:szCs w:val="21"/>
                      <w:lang w:eastAsia="zh-CN"/>
                    </w:rPr>
                    <w:t>废气产污环节</w:t>
                  </w:r>
                </w:p>
              </w:tc>
              <w:tc>
                <w:tcPr>
                  <w:tcW w:w="444" w:type="pct"/>
                  <w:noWrap w:val="0"/>
                  <w:vAlign w:val="center"/>
                </w:tcPr>
                <w:p w14:paraId="575E0A5B">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污染物种类</w:t>
                  </w:r>
                </w:p>
              </w:tc>
              <w:tc>
                <w:tcPr>
                  <w:tcW w:w="446" w:type="pct"/>
                  <w:noWrap w:val="0"/>
                  <w:vAlign w:val="center"/>
                </w:tcPr>
                <w:p w14:paraId="0355C0CF">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排放方式</w:t>
                  </w:r>
                </w:p>
              </w:tc>
              <w:tc>
                <w:tcPr>
                  <w:tcW w:w="562" w:type="pct"/>
                  <w:noWrap w:val="0"/>
                  <w:vAlign w:val="center"/>
                </w:tcPr>
                <w:p w14:paraId="47A94299">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可行技术</w:t>
                  </w:r>
                </w:p>
              </w:tc>
              <w:tc>
                <w:tcPr>
                  <w:tcW w:w="695" w:type="pct"/>
                  <w:noWrap w:val="0"/>
                  <w:vAlign w:val="center"/>
                </w:tcPr>
                <w:p w14:paraId="3C6B3FED">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项目实际采取措施</w:t>
                  </w:r>
                </w:p>
              </w:tc>
              <w:tc>
                <w:tcPr>
                  <w:tcW w:w="515" w:type="pct"/>
                  <w:noWrap w:val="0"/>
                  <w:vAlign w:val="center"/>
                </w:tcPr>
                <w:p w14:paraId="0F6162EE">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是否为可行技术</w:t>
                  </w:r>
                </w:p>
              </w:tc>
            </w:tr>
            <w:tr w14:paraId="3E87E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1046" w:type="pct"/>
                  <w:noWrap w:val="0"/>
                  <w:vAlign w:val="center"/>
                </w:tcPr>
                <w:p w14:paraId="6EB064F3">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lang w:val="en-US" w:eastAsia="zh-CN"/>
                    </w:rPr>
                    <w:t>塑料板、管、型材制造</w:t>
                  </w:r>
                </w:p>
              </w:tc>
              <w:tc>
                <w:tcPr>
                  <w:tcW w:w="718" w:type="pct"/>
                  <w:noWrap w:val="0"/>
                  <w:vAlign w:val="center"/>
                </w:tcPr>
                <w:p w14:paraId="516AD427">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注塑机、挤出机</w:t>
                  </w:r>
                </w:p>
              </w:tc>
              <w:tc>
                <w:tcPr>
                  <w:tcW w:w="570" w:type="pct"/>
                  <w:noWrap w:val="0"/>
                  <w:vAlign w:val="center"/>
                </w:tcPr>
                <w:p w14:paraId="12ADF847">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挥发废气</w:t>
                  </w:r>
                </w:p>
              </w:tc>
              <w:tc>
                <w:tcPr>
                  <w:tcW w:w="444" w:type="pct"/>
                  <w:noWrap w:val="0"/>
                  <w:vAlign w:val="center"/>
                </w:tcPr>
                <w:p w14:paraId="4F090374">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非甲烷总烃</w:t>
                  </w:r>
                </w:p>
              </w:tc>
              <w:tc>
                <w:tcPr>
                  <w:tcW w:w="446" w:type="pct"/>
                  <w:noWrap w:val="0"/>
                  <w:vAlign w:val="center"/>
                </w:tcPr>
                <w:p w14:paraId="1B8EE3E1">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有组织</w:t>
                  </w:r>
                </w:p>
              </w:tc>
              <w:tc>
                <w:tcPr>
                  <w:tcW w:w="562" w:type="pct"/>
                  <w:noWrap w:val="0"/>
                  <w:vAlign w:val="center"/>
                </w:tcPr>
                <w:p w14:paraId="77D1C6D7">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Arial" w:cs="Times New Roman"/>
                      <w:color w:val="auto"/>
                      <w:kern w:val="2"/>
                      <w:sz w:val="21"/>
                      <w:szCs w:val="21"/>
                      <w:vertAlign w:val="baseline"/>
                      <w:lang w:val="en-US" w:eastAsia="zh-CN" w:bidi="ar-SA"/>
                    </w:rPr>
                  </w:pPr>
                  <w:r>
                    <w:rPr>
                      <w:rFonts w:hint="eastAsia" w:ascii="Times New Roman" w:hAnsi="Times New Roman" w:eastAsia="Arial" w:cs="Times New Roman"/>
                      <w:color w:val="auto"/>
                      <w:kern w:val="2"/>
                      <w:sz w:val="21"/>
                      <w:szCs w:val="21"/>
                      <w:vertAlign w:val="baseline"/>
                      <w:lang w:val="en-US" w:eastAsia="zh-CN" w:bidi="ar-SA"/>
                    </w:rPr>
                    <w:t>吸附</w:t>
                  </w:r>
                </w:p>
              </w:tc>
              <w:tc>
                <w:tcPr>
                  <w:tcW w:w="695" w:type="pct"/>
                  <w:noWrap w:val="0"/>
                  <w:vAlign w:val="center"/>
                </w:tcPr>
                <w:p w14:paraId="66775757">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二级活性炭</w:t>
                  </w:r>
                </w:p>
              </w:tc>
              <w:tc>
                <w:tcPr>
                  <w:tcW w:w="515" w:type="pct"/>
                  <w:noWrap w:val="0"/>
                  <w:vAlign w:val="center"/>
                </w:tcPr>
                <w:p w14:paraId="4795404A">
                  <w:pPr>
                    <w:pStyle w:val="36"/>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olor w:val="auto"/>
                      <w:lang w:eastAsia="zh-CN"/>
                    </w:rPr>
                  </w:pPr>
                  <w:r>
                    <w:rPr>
                      <w:rFonts w:hint="eastAsia" w:cs="Times New Roman"/>
                      <w:color w:val="auto"/>
                      <w:lang w:eastAsia="zh-CN"/>
                    </w:rPr>
                    <w:t>是</w:t>
                  </w:r>
                </w:p>
              </w:tc>
            </w:tr>
          </w:tbl>
          <w:p w14:paraId="789215B0">
            <w:pPr>
              <w:keepNext w:val="0"/>
              <w:keepLines w:val="0"/>
              <w:pageBreakBefore w:val="0"/>
              <w:widowControl w:val="0"/>
              <w:suppressLineNumbers w:val="0"/>
              <w:kinsoku/>
              <w:wordWrap/>
              <w:overflowPunct/>
              <w:topLinePunct w:val="0"/>
              <w:autoSpaceDE/>
              <w:autoSpaceDN/>
              <w:bidi w:val="0"/>
              <w:adjustRightInd/>
              <w:snapToGrid/>
              <w:spacing w:before="12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本次评价对环保设施提出如下要求：</w:t>
            </w:r>
          </w:p>
          <w:p w14:paraId="3539708E">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①在废气处理设施达到正常运行条件后方可启动生产设备，在生产设备停止、残留VOCs废气收集处理完毕后，方可停运处理设施；</w:t>
            </w:r>
          </w:p>
          <w:p w14:paraId="4276ECF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right="0" w:firstLine="480" w:firstLineChars="200"/>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highlight w:val="none"/>
                <w:lang w:val="en-US" w:eastAsia="zh-CN" w:bidi="en-US"/>
              </w:rPr>
              <w:t>②</w:t>
            </w:r>
            <w:r>
              <w:rPr>
                <w:rFonts w:hint="eastAsia" w:ascii="Times New Roman" w:hAnsi="Times New Roman" w:eastAsia="宋体" w:cs="Times New Roman"/>
                <w:color w:val="auto"/>
                <w:kern w:val="0"/>
                <w:sz w:val="24"/>
                <w:szCs w:val="24"/>
                <w:highlight w:val="none"/>
                <w:shd w:val="clear" w:color="auto" w:fill="auto"/>
                <w:lang w:val="en-US" w:eastAsia="zh-CN" w:bidi="ar"/>
              </w:rPr>
              <w:t>根据《西咸新区生态环境局（泾河）工作部致新城使用活性炭处理VOCs废气单位的提示函》，企业活性炭吸附装置活性炭填充量不应少于0.5吨，更换周期不应超过3个月（或累计运行500h）</w:t>
            </w:r>
            <w:r>
              <w:rPr>
                <w:rFonts w:hint="default" w:ascii="Times New Roman" w:hAnsi="Times New Roman" w:eastAsia="宋体" w:cs="Times New Roman"/>
                <w:color w:val="auto"/>
                <w:kern w:val="0"/>
                <w:sz w:val="24"/>
                <w:szCs w:val="24"/>
                <w:highlight w:val="none"/>
                <w:lang w:val="en-US" w:eastAsia="zh-CN" w:bidi="en-US"/>
              </w:rPr>
              <w:t>；</w:t>
            </w:r>
          </w:p>
          <w:p w14:paraId="28B88E4C">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eastAsia"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③项目废气收集及处理设施安装完成后，应根据《排风罩的分类及技术条件》（GB/T16758-2008）及《局部排风设施控制风速检测与评估技术规范》（WS/T757-2016）规定的方法对风速进行测量，保证距离及其中开口面最远处的VOCs无组织排放位置风速不低于0.3米/秒；</w:t>
            </w:r>
          </w:p>
          <w:p w14:paraId="4B51C7F4">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④</w:t>
            </w:r>
            <w:r>
              <w:rPr>
                <w:rFonts w:hint="default" w:ascii="Times New Roman" w:hAnsi="Times New Roman" w:eastAsia="宋体" w:cs="Times New Roman"/>
                <w:color w:val="auto"/>
                <w:kern w:val="0"/>
                <w:sz w:val="24"/>
                <w:szCs w:val="24"/>
                <w:highlight w:val="none"/>
                <w:lang w:val="en-US" w:eastAsia="zh-CN" w:bidi="en-US"/>
              </w:rPr>
              <w:t>更换的废活性炭属于危险废物，收集后暂存于</w:t>
            </w:r>
            <w:r>
              <w:rPr>
                <w:rFonts w:hint="eastAsia" w:ascii="Times New Roman" w:hAnsi="Times New Roman" w:eastAsia="宋体" w:cs="Times New Roman"/>
                <w:color w:val="auto"/>
                <w:kern w:val="0"/>
                <w:sz w:val="24"/>
                <w:szCs w:val="24"/>
                <w:highlight w:val="none"/>
                <w:lang w:val="en-US" w:eastAsia="zh-CN" w:bidi="en-US"/>
              </w:rPr>
              <w:t>危险废物贮存库</w:t>
            </w:r>
            <w:r>
              <w:rPr>
                <w:rFonts w:hint="default" w:ascii="Times New Roman" w:hAnsi="Times New Roman" w:eastAsia="宋体" w:cs="Times New Roman"/>
                <w:color w:val="auto"/>
                <w:kern w:val="0"/>
                <w:sz w:val="24"/>
                <w:szCs w:val="24"/>
                <w:highlight w:val="none"/>
                <w:lang w:val="en-US" w:eastAsia="zh-CN" w:bidi="en-US"/>
              </w:rPr>
              <w:t>，定期交有资质单位处置，严禁私自处置。</w:t>
            </w:r>
          </w:p>
          <w:p w14:paraId="3F03D5BA">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⑤</w:t>
            </w:r>
            <w:r>
              <w:rPr>
                <w:rFonts w:hint="eastAsia" w:ascii="Times New Roman" w:hAnsi="Times New Roman" w:eastAsia="宋体" w:cs="Times New Roman"/>
                <w:color w:val="auto"/>
                <w:kern w:val="0"/>
                <w:sz w:val="24"/>
                <w:szCs w:val="24"/>
                <w:highlight w:val="none"/>
                <w:lang w:val="en-US" w:eastAsia="zh-CN" w:bidi="en-US"/>
              </w:rPr>
              <w:t>有机废气的的收集处理措施必须满足环评及相关政策要求，确保达标排放。</w:t>
            </w:r>
          </w:p>
          <w:p w14:paraId="2E0C8ACE">
            <w:pPr>
              <w:keepNext w:val="0"/>
              <w:keepLines w:val="0"/>
              <w:pageBreakBefore w:val="0"/>
              <w:widowControl/>
              <w:kinsoku/>
              <w:wordWrap/>
              <w:overflowPunct/>
              <w:topLinePunct w:val="0"/>
              <w:autoSpaceDE/>
              <w:autoSpaceDN/>
              <w:bidi w:val="0"/>
              <w:adjustRightInd/>
              <w:snapToGrid/>
              <w:spacing w:line="360" w:lineRule="auto"/>
              <w:ind w:right="0" w:rightChars="0"/>
              <w:jc w:val="left"/>
              <w:textAlignment w:val="auto"/>
              <w:rPr>
                <w:rFonts w:hint="default" w:ascii="Times New Roman" w:hAnsi="Times New Roman" w:cs="Times New Roman"/>
                <w:b/>
                <w:color w:val="auto"/>
                <w:kern w:val="0"/>
                <w:sz w:val="24"/>
                <w:lang w:bidi="en-US"/>
              </w:rPr>
            </w:pPr>
            <w:r>
              <w:rPr>
                <w:rFonts w:hint="eastAsia" w:ascii="Times New Roman" w:hAnsi="Times New Roman" w:cs="Times New Roman"/>
                <w:b/>
                <w:color w:val="auto"/>
                <w:kern w:val="0"/>
                <w:sz w:val="24"/>
                <w:lang w:val="en-US" w:eastAsia="zh-CN" w:bidi="en-US"/>
              </w:rPr>
              <w:t>1.</w:t>
            </w:r>
            <w:r>
              <w:rPr>
                <w:rFonts w:hint="default" w:ascii="Times New Roman" w:hAnsi="Times New Roman" w:cs="Times New Roman"/>
                <w:b/>
                <w:color w:val="auto"/>
                <w:kern w:val="0"/>
                <w:sz w:val="24"/>
                <w:lang w:val="en-US" w:eastAsia="zh-CN" w:bidi="en-US"/>
              </w:rPr>
              <w:t>5</w:t>
            </w:r>
            <w:r>
              <w:rPr>
                <w:rFonts w:hint="default" w:ascii="Times New Roman" w:hAnsi="Times New Roman" w:cs="Times New Roman"/>
                <w:b/>
                <w:color w:val="auto"/>
                <w:kern w:val="0"/>
                <w:sz w:val="24"/>
                <w:lang w:bidi="en-US"/>
              </w:rPr>
              <w:t>废气排放口设置情况</w:t>
            </w:r>
          </w:p>
          <w:p w14:paraId="6561B8EB">
            <w:pPr>
              <w:keepNext w:val="0"/>
              <w:keepLines w:val="0"/>
              <w:pageBreakBefore w:val="0"/>
              <w:widowControl/>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s="Times New Roman"/>
                <w:color w:val="auto"/>
                <w:kern w:val="0"/>
                <w:sz w:val="24"/>
                <w:lang w:bidi="en-US"/>
              </w:rPr>
            </w:pPr>
            <w:r>
              <w:rPr>
                <w:rFonts w:hint="default" w:ascii="Times New Roman" w:hAnsi="Times New Roman" w:cs="Times New Roman"/>
                <w:color w:val="auto"/>
                <w:kern w:val="0"/>
                <w:sz w:val="24"/>
                <w:lang w:bidi="en-US"/>
              </w:rPr>
              <w:t>本项目废气排放口设置情况见表4-</w:t>
            </w:r>
            <w:r>
              <w:rPr>
                <w:rFonts w:hint="eastAsia" w:ascii="Times New Roman" w:hAnsi="Times New Roman" w:cs="Times New Roman"/>
                <w:color w:val="auto"/>
                <w:kern w:val="0"/>
                <w:sz w:val="24"/>
                <w:lang w:val="en-US" w:eastAsia="zh-CN" w:bidi="en-US"/>
              </w:rPr>
              <w:t>4</w:t>
            </w:r>
            <w:r>
              <w:rPr>
                <w:rFonts w:hint="default" w:ascii="Times New Roman" w:hAnsi="Times New Roman" w:cs="Times New Roman"/>
                <w:color w:val="auto"/>
                <w:kern w:val="0"/>
                <w:sz w:val="24"/>
                <w:lang w:bidi="en-US"/>
              </w:rPr>
              <w:t>。</w:t>
            </w:r>
          </w:p>
          <w:p w14:paraId="490454BA">
            <w:pPr>
              <w:keepNext w:val="0"/>
              <w:keepLines w:val="0"/>
              <w:pageBreakBefore w:val="0"/>
              <w:widowControl w:val="0"/>
              <w:kinsoku/>
              <w:wordWrap/>
              <w:overflowPunct/>
              <w:topLinePunct w:val="0"/>
              <w:autoSpaceDE/>
              <w:autoSpaceDN/>
              <w:bidi w:val="0"/>
              <w:adjustRightInd/>
              <w:snapToGrid/>
              <w:spacing w:after="80" w:line="264" w:lineRule="auto"/>
              <w:ind w:left="0" w:leftChars="0" w:right="0" w:rightChars="0"/>
              <w:jc w:val="center"/>
              <w:textAlignment w:val="center"/>
              <w:rPr>
                <w:rFonts w:hint="default" w:ascii="Times New Roman" w:hAnsi="Times New Roman" w:cs="Times New Roman" w:eastAsiaTheme="majorEastAsia"/>
                <w:b/>
                <w:bCs/>
                <w:color w:val="auto"/>
                <w:szCs w:val="21"/>
                <w:lang w:val="en-US" w:eastAsia="zh-CN"/>
              </w:rPr>
            </w:pPr>
            <w:r>
              <w:rPr>
                <w:rFonts w:hint="default" w:ascii="Times New Roman" w:hAnsi="Times New Roman" w:cs="Times New Roman" w:eastAsiaTheme="majorEastAsia"/>
                <w:b/>
                <w:bCs/>
                <w:color w:val="auto"/>
                <w:szCs w:val="21"/>
                <w:lang w:val="en-US" w:eastAsia="zh-CN"/>
              </w:rPr>
              <w:t>表4-</w:t>
            </w:r>
            <w:r>
              <w:rPr>
                <w:rFonts w:hint="eastAsia" w:ascii="Times New Roman" w:hAnsi="Times New Roman" w:cs="Times New Roman" w:eastAsiaTheme="majorEastAsia"/>
                <w:b/>
                <w:bCs/>
                <w:color w:val="auto"/>
                <w:szCs w:val="21"/>
                <w:lang w:val="en-US" w:eastAsia="zh-CN"/>
              </w:rPr>
              <w:t xml:space="preserve">4 </w:t>
            </w:r>
            <w:r>
              <w:rPr>
                <w:rFonts w:hint="default" w:ascii="Times New Roman" w:hAnsi="Times New Roman" w:cs="Times New Roman" w:eastAsiaTheme="majorEastAsia"/>
                <w:b/>
                <w:bCs/>
                <w:color w:val="auto"/>
                <w:szCs w:val="21"/>
                <w:lang w:val="en-US" w:eastAsia="zh-CN"/>
              </w:rPr>
              <w:t>项目废气排放口设置情况表</w:t>
            </w:r>
          </w:p>
          <w:tbl>
            <w:tblPr>
              <w:tblStyle w:val="25"/>
              <w:tblW w:w="498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3"/>
              <w:gridCol w:w="739"/>
              <w:gridCol w:w="755"/>
              <w:gridCol w:w="723"/>
              <w:gridCol w:w="668"/>
              <w:gridCol w:w="627"/>
              <w:gridCol w:w="526"/>
              <w:gridCol w:w="742"/>
              <w:gridCol w:w="692"/>
              <w:gridCol w:w="1658"/>
            </w:tblGrid>
            <w:tr w14:paraId="28EDF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753" w:type="dxa"/>
                  <w:vMerge w:val="restart"/>
                  <w:noWrap w:val="0"/>
                  <w:vAlign w:val="center"/>
                </w:tcPr>
                <w:p w14:paraId="7096AEEB">
                  <w:pPr>
                    <w:keepNext w:val="0"/>
                    <w:keepLines w:val="0"/>
                    <w:pageBreakBefore w:val="0"/>
                    <w:widowControl w:val="0"/>
                    <w:kinsoku/>
                    <w:wordWrap/>
                    <w:overflowPunct/>
                    <w:topLinePunct w:val="0"/>
                    <w:autoSpaceDE w:val="0"/>
                    <w:autoSpaceDN w:val="0"/>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b/>
                      <w:color w:val="auto"/>
                      <w:spacing w:val="0"/>
                      <w:sz w:val="21"/>
                      <w:szCs w:val="21"/>
                      <w:lang w:val="en-US" w:eastAsia="zh-CN"/>
                    </w:rPr>
                  </w:pPr>
                  <w:r>
                    <w:rPr>
                      <w:rFonts w:hint="default" w:ascii="Times New Roman" w:hAnsi="Times New Roman" w:cs="Times New Roman"/>
                      <w:b/>
                      <w:bCs/>
                      <w:color w:val="auto"/>
                      <w:lang w:val="en-US" w:eastAsia="zh-CN"/>
                    </w:rPr>
                    <w:t>排放口名称</w:t>
                  </w:r>
                </w:p>
              </w:tc>
              <w:tc>
                <w:tcPr>
                  <w:tcW w:w="739" w:type="dxa"/>
                  <w:vMerge w:val="restart"/>
                  <w:noWrap w:val="0"/>
                  <w:vAlign w:val="center"/>
                </w:tcPr>
                <w:p w14:paraId="0197B561">
                  <w:pPr>
                    <w:keepNext w:val="0"/>
                    <w:keepLines w:val="0"/>
                    <w:pageBreakBefore w:val="0"/>
                    <w:widowControl w:val="0"/>
                    <w:kinsoku/>
                    <w:wordWrap/>
                    <w:overflowPunct/>
                    <w:topLinePunct w:val="0"/>
                    <w:autoSpaceDE w:val="0"/>
                    <w:autoSpaceDN w:val="0"/>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color w:val="auto"/>
                      <w:lang w:val="en-US" w:eastAsia="zh-CN"/>
                    </w:rPr>
                    <w:t>排放口编号</w:t>
                  </w:r>
                </w:p>
              </w:tc>
              <w:tc>
                <w:tcPr>
                  <w:tcW w:w="755" w:type="dxa"/>
                  <w:vMerge w:val="restart"/>
                  <w:noWrap w:val="0"/>
                  <w:vAlign w:val="center"/>
                </w:tcPr>
                <w:p w14:paraId="33ABDD88">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污染物</w:t>
                  </w:r>
                </w:p>
              </w:tc>
              <w:tc>
                <w:tcPr>
                  <w:tcW w:w="1391" w:type="dxa"/>
                  <w:gridSpan w:val="2"/>
                  <w:noWrap w:val="0"/>
                  <w:vAlign w:val="center"/>
                </w:tcPr>
                <w:p w14:paraId="5757359E">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坐标</w:t>
                  </w:r>
                </w:p>
              </w:tc>
              <w:tc>
                <w:tcPr>
                  <w:tcW w:w="627" w:type="dxa"/>
                  <w:vMerge w:val="restart"/>
                  <w:noWrap w:val="0"/>
                  <w:vAlign w:val="center"/>
                </w:tcPr>
                <w:p w14:paraId="4B50211C">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海拔高度/m</w:t>
                  </w:r>
                </w:p>
              </w:tc>
              <w:tc>
                <w:tcPr>
                  <w:tcW w:w="526" w:type="dxa"/>
                  <w:vMerge w:val="restart"/>
                  <w:noWrap w:val="0"/>
                  <w:vAlign w:val="center"/>
                </w:tcPr>
                <w:p w14:paraId="31D441A0">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排气筒高度/m</w:t>
                  </w:r>
                </w:p>
              </w:tc>
              <w:tc>
                <w:tcPr>
                  <w:tcW w:w="742" w:type="dxa"/>
                  <w:vMerge w:val="restart"/>
                  <w:noWrap w:val="0"/>
                  <w:vAlign w:val="center"/>
                </w:tcPr>
                <w:p w14:paraId="71C02D83">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排气筒出口内径/m</w:t>
                  </w:r>
                </w:p>
              </w:tc>
              <w:tc>
                <w:tcPr>
                  <w:tcW w:w="692" w:type="dxa"/>
                  <w:vMerge w:val="restart"/>
                  <w:noWrap w:val="0"/>
                  <w:vAlign w:val="center"/>
                </w:tcPr>
                <w:p w14:paraId="41A7CE39">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烟气温度/℃</w:t>
                  </w:r>
                </w:p>
              </w:tc>
              <w:tc>
                <w:tcPr>
                  <w:tcW w:w="1658" w:type="dxa"/>
                  <w:vMerge w:val="restart"/>
                  <w:noWrap w:val="0"/>
                  <w:vAlign w:val="center"/>
                </w:tcPr>
                <w:p w14:paraId="00719C52">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val="0"/>
                      <w:color w:val="auto"/>
                      <w:spacing w:val="0"/>
                      <w:sz w:val="21"/>
                      <w:szCs w:val="21"/>
                      <w:lang w:val="en-US" w:eastAsia="zh-CN"/>
                    </w:rPr>
                  </w:pPr>
                  <w:r>
                    <w:rPr>
                      <w:rFonts w:hint="default" w:ascii="Times New Roman" w:hAnsi="Times New Roman" w:cs="Times New Roman"/>
                      <w:b/>
                      <w:bCs w:val="0"/>
                      <w:color w:val="auto"/>
                      <w:spacing w:val="0"/>
                      <w:sz w:val="21"/>
                      <w:szCs w:val="21"/>
                      <w:lang w:val="en-US" w:eastAsia="zh-CN"/>
                    </w:rPr>
                    <w:t>排放标准</w:t>
                  </w:r>
                </w:p>
              </w:tc>
            </w:tr>
            <w:tr w14:paraId="32516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753" w:type="dxa"/>
                  <w:vMerge w:val="continue"/>
                  <w:noWrap w:val="0"/>
                  <w:vAlign w:val="center"/>
                </w:tcPr>
                <w:p w14:paraId="14058EBC">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39" w:type="dxa"/>
                  <w:vMerge w:val="continue"/>
                  <w:noWrap w:val="0"/>
                  <w:vAlign w:val="center"/>
                </w:tcPr>
                <w:p w14:paraId="18C1A39E">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55" w:type="dxa"/>
                  <w:vMerge w:val="continue"/>
                  <w:noWrap w:val="0"/>
                  <w:vAlign w:val="center"/>
                </w:tcPr>
                <w:p w14:paraId="524E70EB">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zCs w:val="21"/>
                      <w:lang w:val="en-US" w:eastAsia="zh-CN"/>
                    </w:rPr>
                  </w:pPr>
                </w:p>
              </w:tc>
              <w:tc>
                <w:tcPr>
                  <w:tcW w:w="723" w:type="dxa"/>
                  <w:noWrap w:val="0"/>
                  <w:vAlign w:val="center"/>
                </w:tcPr>
                <w:p w14:paraId="342F7B0B">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color w:val="auto"/>
                      <w:spacing w:val="0"/>
                      <w:sz w:val="21"/>
                      <w:szCs w:val="21"/>
                      <w:lang w:val="en-US" w:eastAsia="zh-CN"/>
                    </w:rPr>
                  </w:pPr>
                  <w:r>
                    <w:rPr>
                      <w:rFonts w:hint="default" w:ascii="Times New Roman" w:hAnsi="Times New Roman" w:cs="Times New Roman"/>
                      <w:b/>
                      <w:bCs/>
                      <w:color w:val="auto"/>
                      <w:spacing w:val="0"/>
                      <w:sz w:val="21"/>
                      <w:szCs w:val="21"/>
                      <w:lang w:val="en-US" w:eastAsia="zh-CN"/>
                    </w:rPr>
                    <w:t>经度</w:t>
                  </w:r>
                  <w:r>
                    <w:rPr>
                      <w:rFonts w:hint="eastAsia" w:ascii="Times New Roman" w:hAnsi="Times New Roman" w:cs="Times New Roman"/>
                      <w:b/>
                      <w:bCs/>
                      <w:color w:val="auto"/>
                      <w:spacing w:val="0"/>
                      <w:sz w:val="21"/>
                      <w:szCs w:val="21"/>
                      <w:lang w:val="en-US" w:eastAsia="zh-CN"/>
                    </w:rPr>
                    <w:t>°</w:t>
                  </w:r>
                </w:p>
              </w:tc>
              <w:tc>
                <w:tcPr>
                  <w:tcW w:w="668" w:type="dxa"/>
                  <w:noWrap w:val="0"/>
                  <w:vAlign w:val="center"/>
                </w:tcPr>
                <w:p w14:paraId="3059E717">
                  <w:pPr>
                    <w:pStyle w:val="43"/>
                    <w:keepNext w:val="0"/>
                    <w:keepLines w:val="0"/>
                    <w:pageBreakBefore w:val="0"/>
                    <w:kinsoku/>
                    <w:wordWrap/>
                    <w:overflowPunct/>
                    <w:topLinePunct w:val="0"/>
                    <w:autoSpaceDE/>
                    <w:autoSpaceDN/>
                    <w:bidi w:val="0"/>
                    <w:adjustRightInd/>
                    <w:snapToGrid/>
                    <w:spacing w:before="0" w:beforeLines="0" w:after="0" w:afterLines="0" w:line="240" w:lineRule="auto"/>
                    <w:ind w:left="0" w:leftChars="0" w:firstLine="0" w:firstLineChars="0"/>
                    <w:rPr>
                      <w:rFonts w:hint="default" w:ascii="Times New Roman" w:hAnsi="Times New Roman" w:cs="Times New Roman"/>
                      <w:b/>
                      <w:bCs/>
                      <w:color w:val="auto"/>
                      <w:spacing w:val="0"/>
                      <w:sz w:val="21"/>
                      <w:szCs w:val="21"/>
                      <w:lang w:val="en-US" w:eastAsia="zh-CN"/>
                    </w:rPr>
                  </w:pPr>
                  <w:r>
                    <w:rPr>
                      <w:rFonts w:hint="default" w:ascii="Times New Roman" w:hAnsi="Times New Roman" w:cs="Times New Roman"/>
                      <w:b/>
                      <w:bCs/>
                      <w:color w:val="auto"/>
                      <w:spacing w:val="0"/>
                      <w:sz w:val="21"/>
                      <w:szCs w:val="21"/>
                      <w:lang w:val="en-US" w:eastAsia="zh-CN"/>
                    </w:rPr>
                    <w:t>纬度</w:t>
                  </w:r>
                  <w:r>
                    <w:rPr>
                      <w:rFonts w:hint="eastAsia" w:ascii="Times New Roman" w:hAnsi="Times New Roman" w:cs="Times New Roman"/>
                      <w:b/>
                      <w:bCs/>
                      <w:color w:val="auto"/>
                      <w:spacing w:val="0"/>
                      <w:sz w:val="21"/>
                      <w:szCs w:val="21"/>
                      <w:lang w:val="en-US" w:eastAsia="zh-CN"/>
                    </w:rPr>
                    <w:t>°</w:t>
                  </w:r>
                </w:p>
              </w:tc>
              <w:tc>
                <w:tcPr>
                  <w:tcW w:w="627" w:type="dxa"/>
                  <w:vMerge w:val="continue"/>
                  <w:noWrap w:val="0"/>
                  <w:vAlign w:val="center"/>
                </w:tcPr>
                <w:p w14:paraId="13FB1EA6">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526" w:type="dxa"/>
                  <w:vMerge w:val="continue"/>
                  <w:noWrap w:val="0"/>
                  <w:vAlign w:val="center"/>
                </w:tcPr>
                <w:p w14:paraId="48E12FDA">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742" w:type="dxa"/>
                  <w:vMerge w:val="continue"/>
                  <w:noWrap w:val="0"/>
                  <w:vAlign w:val="center"/>
                </w:tcPr>
                <w:p w14:paraId="73021815">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692" w:type="dxa"/>
                  <w:vMerge w:val="continue"/>
                  <w:noWrap w:val="0"/>
                  <w:vAlign w:val="center"/>
                </w:tcPr>
                <w:p w14:paraId="1B9F7AF4">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eastAsia="宋体" w:cs="Times New Roman"/>
                      <w:color w:val="auto"/>
                      <w:spacing w:val="0"/>
                      <w:szCs w:val="21"/>
                      <w:lang w:val="en-US" w:eastAsia="zh-CN"/>
                    </w:rPr>
                  </w:pPr>
                </w:p>
              </w:tc>
              <w:tc>
                <w:tcPr>
                  <w:tcW w:w="1658" w:type="dxa"/>
                  <w:vMerge w:val="continue"/>
                  <w:noWrap w:val="0"/>
                  <w:vAlign w:val="center"/>
                </w:tcPr>
                <w:p w14:paraId="1FC6EE9D">
                  <w:pPr>
                    <w:keepNext w:val="0"/>
                    <w:keepLines w:val="0"/>
                    <w:pageBreakBefore w:val="0"/>
                    <w:tabs>
                      <w:tab w:val="left" w:pos="3270"/>
                    </w:tabs>
                    <w:kinsoku/>
                    <w:wordWrap/>
                    <w:overflowPunct/>
                    <w:topLinePunct w:val="0"/>
                    <w:autoSpaceDE/>
                    <w:autoSpaceDN/>
                    <w:bidi w:val="0"/>
                    <w:adjustRightInd/>
                    <w:snapToGrid/>
                    <w:spacing w:line="240" w:lineRule="auto"/>
                    <w:ind w:left="0" w:leftChars="0"/>
                    <w:jc w:val="center"/>
                    <w:rPr>
                      <w:rFonts w:hint="default" w:ascii="Times New Roman" w:hAnsi="Times New Roman" w:cs="Times New Roman"/>
                      <w:color w:val="auto"/>
                      <w:spacing w:val="0"/>
                      <w:szCs w:val="21"/>
                    </w:rPr>
                  </w:pPr>
                </w:p>
              </w:tc>
            </w:tr>
            <w:tr w14:paraId="616F8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jc w:val="center"/>
              </w:trPr>
              <w:tc>
                <w:tcPr>
                  <w:tcW w:w="753" w:type="dxa"/>
                  <w:noWrap w:val="0"/>
                  <w:vAlign w:val="center"/>
                </w:tcPr>
                <w:p w14:paraId="1B22E32D">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color w:val="auto"/>
                      <w:szCs w:val="21"/>
                      <w:lang w:val="en-US" w:eastAsia="zh-CN"/>
                    </w:rPr>
                    <w:t>注塑、挤出</w:t>
                  </w:r>
                </w:p>
              </w:tc>
              <w:tc>
                <w:tcPr>
                  <w:tcW w:w="739" w:type="dxa"/>
                  <w:noWrap w:val="0"/>
                  <w:vAlign w:val="center"/>
                </w:tcPr>
                <w:p w14:paraId="355EF6BD">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lang w:val="en-US" w:eastAsia="zh-CN"/>
                    </w:rPr>
                    <w:t>DA00</w:t>
                  </w:r>
                  <w:r>
                    <w:rPr>
                      <w:rFonts w:hint="eastAsia" w:ascii="Times New Roman" w:hAnsi="Times New Roman" w:eastAsia="宋体" w:cs="Times New Roman"/>
                      <w:b w:val="0"/>
                      <w:bCs/>
                      <w:color w:val="auto"/>
                      <w:sz w:val="21"/>
                      <w:szCs w:val="21"/>
                      <w:lang w:val="en-US" w:eastAsia="zh-CN"/>
                    </w:rPr>
                    <w:t>1</w:t>
                  </w:r>
                </w:p>
              </w:tc>
              <w:tc>
                <w:tcPr>
                  <w:tcW w:w="755" w:type="dxa"/>
                  <w:noWrap w:val="0"/>
                  <w:vAlign w:val="center"/>
                </w:tcPr>
                <w:p w14:paraId="038F7C65">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非甲烷总烃</w:t>
                  </w:r>
                </w:p>
              </w:tc>
              <w:tc>
                <w:tcPr>
                  <w:tcW w:w="723" w:type="dxa"/>
                  <w:noWrap w:val="0"/>
                  <w:vAlign w:val="center"/>
                </w:tcPr>
                <w:p w14:paraId="6F7B414E">
                  <w:pPr>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108°28′50.68″</w:t>
                  </w:r>
                </w:p>
              </w:tc>
              <w:tc>
                <w:tcPr>
                  <w:tcW w:w="668" w:type="dxa"/>
                  <w:noWrap w:val="0"/>
                  <w:vAlign w:val="center"/>
                </w:tcPr>
                <w:p w14:paraId="6F7A36AE">
                  <w:pPr>
                    <w:keepNext w:val="0"/>
                    <w:keepLines w:val="0"/>
                    <w:pageBreakBefore w:val="0"/>
                    <w:kinsoku/>
                    <w:wordWrap/>
                    <w:overflowPunct/>
                    <w:topLinePunct w:val="0"/>
                    <w:autoSpaceDE/>
                    <w:autoSpaceDN/>
                    <w:bidi w:val="0"/>
                    <w:adjustRightInd/>
                    <w:snapToGrid/>
                    <w:spacing w:line="264" w:lineRule="auto"/>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34°14′31.89″</w:t>
                  </w:r>
                </w:p>
              </w:tc>
              <w:tc>
                <w:tcPr>
                  <w:tcW w:w="627" w:type="dxa"/>
                  <w:noWrap w:val="0"/>
                  <w:vAlign w:val="center"/>
                </w:tcPr>
                <w:p w14:paraId="4E2B90D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414</w:t>
                  </w:r>
                </w:p>
              </w:tc>
              <w:tc>
                <w:tcPr>
                  <w:tcW w:w="526" w:type="dxa"/>
                  <w:noWrap w:val="0"/>
                  <w:vAlign w:val="center"/>
                </w:tcPr>
                <w:p w14:paraId="46303FF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15</w:t>
                  </w:r>
                </w:p>
              </w:tc>
              <w:tc>
                <w:tcPr>
                  <w:tcW w:w="742" w:type="dxa"/>
                  <w:noWrap w:val="0"/>
                  <w:vAlign w:val="center"/>
                </w:tcPr>
                <w:p w14:paraId="21DC2AB3">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0.5</w:t>
                  </w:r>
                </w:p>
              </w:tc>
              <w:tc>
                <w:tcPr>
                  <w:tcW w:w="692" w:type="dxa"/>
                  <w:noWrap w:val="0"/>
                  <w:vAlign w:val="center"/>
                </w:tcPr>
                <w:p w14:paraId="1D5FA875">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sz w:val="21"/>
                      <w:szCs w:val="21"/>
                      <w:lang w:val="en-US" w:eastAsia="zh-CN"/>
                    </w:rPr>
                    <w:t>20</w:t>
                  </w:r>
                </w:p>
              </w:tc>
              <w:tc>
                <w:tcPr>
                  <w:tcW w:w="1658" w:type="dxa"/>
                  <w:noWrap w:val="0"/>
                  <w:vAlign w:val="center"/>
                </w:tcPr>
                <w:p w14:paraId="43783136">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《合成树脂工业污染物排放标准》（GB31572-2015</w:t>
                  </w:r>
                  <w:r>
                    <w:rPr>
                      <w:rFonts w:hint="eastAsia" w:cs="Times New Roman"/>
                      <w:b w:val="0"/>
                      <w:bCs/>
                      <w:color w:val="auto"/>
                      <w:kern w:val="2"/>
                      <w:sz w:val="21"/>
                      <w:szCs w:val="21"/>
                      <w:lang w:val="en-US" w:eastAsia="zh-CN" w:bidi="ar-SA"/>
                    </w:rPr>
                    <w:t>，</w:t>
                  </w:r>
                  <w:r>
                    <w:rPr>
                      <w:rFonts w:hint="eastAsia" w:cs="Times New Roman"/>
                      <w:b w:val="0"/>
                      <w:bCs/>
                      <w:color w:val="auto"/>
                      <w:kern w:val="2"/>
                      <w:sz w:val="21"/>
                      <w:szCs w:val="21"/>
                      <w:highlight w:val="none"/>
                      <w:lang w:val="en-US" w:eastAsia="zh-CN" w:bidi="ar-SA"/>
                    </w:rPr>
                    <w:t>含2024年修改单</w:t>
                  </w:r>
                  <w:r>
                    <w:rPr>
                      <w:rFonts w:hint="default" w:ascii="Times New Roman" w:hAnsi="Times New Roman" w:eastAsia="宋体" w:cs="Times New Roman"/>
                      <w:b w:val="0"/>
                      <w:bCs/>
                      <w:color w:val="auto"/>
                      <w:kern w:val="2"/>
                      <w:sz w:val="21"/>
                      <w:szCs w:val="21"/>
                      <w:highlight w:val="none"/>
                      <w:lang w:val="en-US" w:eastAsia="zh-CN" w:bidi="ar-SA"/>
                    </w:rPr>
                    <w:t>）</w:t>
                  </w:r>
                </w:p>
              </w:tc>
            </w:tr>
          </w:tbl>
          <w:p w14:paraId="3D399A62">
            <w:pPr>
              <w:pStyle w:val="2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313" w:beforeLines="100" w:line="360" w:lineRule="auto"/>
              <w:jc w:val="left"/>
              <w:textAlignment w:val="auto"/>
              <w:rPr>
                <w:rFonts w:hint="default" w:ascii="Times New Roman" w:hAnsi="Times New Roman" w:eastAsia="宋体" w:cs="Times New Roman"/>
                <w:b/>
                <w:color w:val="auto"/>
                <w:kern w:val="0"/>
                <w:sz w:val="24"/>
                <w:szCs w:val="24"/>
                <w:lang w:val="en-US" w:eastAsia="zh-CN" w:bidi="en-US"/>
              </w:rPr>
            </w:pPr>
            <w:r>
              <w:rPr>
                <w:rFonts w:hint="eastAsia" w:ascii="Times New Roman" w:hAnsi="Times New Roman" w:eastAsia="宋体" w:cs="Times New Roman"/>
                <w:b/>
                <w:color w:val="auto"/>
                <w:kern w:val="0"/>
                <w:sz w:val="24"/>
                <w:szCs w:val="24"/>
                <w:lang w:val="en-US" w:eastAsia="zh-CN" w:bidi="en-US"/>
              </w:rPr>
              <w:t>1.6</w:t>
            </w:r>
            <w:r>
              <w:rPr>
                <w:rFonts w:hint="default" w:ascii="Times New Roman" w:hAnsi="Times New Roman" w:eastAsia="宋体" w:cs="Times New Roman"/>
                <w:b/>
                <w:color w:val="auto"/>
                <w:kern w:val="0"/>
                <w:sz w:val="24"/>
                <w:szCs w:val="24"/>
                <w:lang w:val="en-US" w:eastAsia="zh-CN" w:bidi="en-US"/>
              </w:rPr>
              <w:t>非正常工况下大气环境影响分析</w:t>
            </w:r>
          </w:p>
          <w:p w14:paraId="2970D573">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2F1641E5">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本项目非正常工况主要包括开、停车，检修；电力供应突然中断；废气处理设施故障。项目非正常工况会引起污染物的非正常排放。本项目非正常工况下情况分析如下：</w:t>
            </w:r>
          </w:p>
          <w:p w14:paraId="33E3F427">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（1）开停车</w:t>
            </w:r>
          </w:p>
          <w:p w14:paraId="1790A136">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项目计划停车，装置首先要停工，生产装置及环保设施等同步进行检修、维护和保养后，再开工生产。</w:t>
            </w:r>
          </w:p>
          <w:p w14:paraId="6762E6A8">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（2）电力故障</w:t>
            </w:r>
          </w:p>
          <w:p w14:paraId="5A330F5E">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 xml:space="preserve">当生产系统出现故障如停电故障，由于本项目采用双回路供电，出现停电的概率极低。 </w:t>
            </w:r>
          </w:p>
          <w:p w14:paraId="6B9B3A97">
            <w:pPr>
              <w:pStyle w:val="6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en-US"/>
              </w:rPr>
            </w:pPr>
            <w:r>
              <w:rPr>
                <w:rFonts w:hint="default" w:ascii="Times New Roman" w:hAnsi="Times New Roman" w:eastAsia="宋体" w:cs="Times New Roman"/>
                <w:color w:val="auto"/>
                <w:kern w:val="0"/>
                <w:sz w:val="24"/>
                <w:szCs w:val="24"/>
                <w:highlight w:val="none"/>
                <w:lang w:val="en-US" w:eastAsia="zh-CN" w:bidi="en-US"/>
              </w:rPr>
              <w:t>由于开停车、设备检修等非正常工况产生的废气量均比正常工况的小，污染物也比正常工况时产生量少，废气经尾气处理装置处理后排放对周围环境的影响也相应地比正常工况轻，本次非正常情况主要考虑废气环保设施运行不正常的情况，本报告按最不利的情况考虑，废气处理装置</w:t>
            </w:r>
            <w:r>
              <w:rPr>
                <w:rFonts w:hint="eastAsia" w:cs="Times New Roman"/>
                <w:color w:val="auto"/>
                <w:kern w:val="0"/>
                <w:sz w:val="24"/>
                <w:szCs w:val="24"/>
                <w:highlight w:val="none"/>
                <w:lang w:val="en-US" w:eastAsia="zh-CN" w:bidi="en-US"/>
              </w:rPr>
              <w:t>的</w:t>
            </w:r>
            <w:r>
              <w:rPr>
                <w:rFonts w:hint="default" w:ascii="Times New Roman" w:hAnsi="Times New Roman" w:eastAsia="宋体" w:cs="Times New Roman"/>
                <w:color w:val="auto"/>
                <w:kern w:val="0"/>
                <w:sz w:val="24"/>
                <w:szCs w:val="24"/>
                <w:highlight w:val="none"/>
                <w:lang w:val="en-US" w:eastAsia="zh-CN" w:bidi="en-US"/>
              </w:rPr>
              <w:t>处理效率下降至</w:t>
            </w:r>
            <w:r>
              <w:rPr>
                <w:rFonts w:hint="eastAsia" w:cs="Times New Roman"/>
                <w:color w:val="auto"/>
                <w:kern w:val="0"/>
                <w:sz w:val="24"/>
                <w:szCs w:val="24"/>
                <w:highlight w:val="none"/>
                <w:lang w:val="en-US" w:eastAsia="zh-CN" w:bidi="en-US"/>
              </w:rPr>
              <w:t>10</w:t>
            </w:r>
            <w:r>
              <w:rPr>
                <w:rFonts w:hint="default" w:ascii="Times New Roman" w:hAnsi="Times New Roman" w:eastAsia="宋体" w:cs="Times New Roman"/>
                <w:color w:val="auto"/>
                <w:kern w:val="0"/>
                <w:sz w:val="24"/>
                <w:szCs w:val="24"/>
                <w:highlight w:val="none"/>
                <w:lang w:val="en-US" w:eastAsia="zh-CN" w:bidi="en-US"/>
              </w:rPr>
              <w:t>%。非正常工况下废气排放详见下表4-5。</w:t>
            </w:r>
          </w:p>
          <w:p w14:paraId="49E22C53">
            <w:pPr>
              <w:keepNext w:val="0"/>
              <w:keepLines w:val="0"/>
              <w:pageBreakBefore w:val="0"/>
              <w:widowControl/>
              <w:kinsoku/>
              <w:wordWrap/>
              <w:overflowPunct/>
              <w:topLinePunct w:val="0"/>
              <w:autoSpaceDE/>
              <w:autoSpaceDN/>
              <w:bidi w:val="0"/>
              <w:spacing w:line="360" w:lineRule="auto"/>
              <w:ind w:right="0" w:rightChars="0"/>
              <w:jc w:val="center"/>
              <w:textAlignment w:val="auto"/>
              <w:rPr>
                <w:rFonts w:hint="default" w:ascii="Times New Roman" w:hAnsi="Times New Roman" w:eastAsia="宋体" w:cs="Times New Roman"/>
                <w:b/>
                <w:bCs/>
                <w:color w:val="auto"/>
                <w:szCs w:val="21"/>
                <w:lang w:val="en-US" w:eastAsia="zh-CN"/>
              </w:rPr>
            </w:pPr>
            <w:r>
              <w:rPr>
                <w:rFonts w:hint="default" w:ascii="Times New Roman" w:hAnsi="Times New Roman" w:cs="Times New Roman" w:eastAsiaTheme="minorEastAsia"/>
                <w:b/>
                <w:bCs/>
                <w:color w:val="auto"/>
                <w:szCs w:val="21"/>
                <w:lang w:val="en-US" w:eastAsia="zh-CN"/>
              </w:rPr>
              <w:t>表4-5   非正常工况排放情况一览表</w:t>
            </w:r>
          </w:p>
          <w:tbl>
            <w:tblPr>
              <w:tblStyle w:val="25"/>
              <w:tblW w:w="78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567"/>
              <w:gridCol w:w="564"/>
              <w:gridCol w:w="853"/>
              <w:gridCol w:w="883"/>
              <w:gridCol w:w="933"/>
              <w:gridCol w:w="834"/>
              <w:gridCol w:w="833"/>
              <w:gridCol w:w="1712"/>
            </w:tblGrid>
            <w:tr w14:paraId="361CF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5" w:hRule="atLeast"/>
                <w:jc w:val="center"/>
              </w:trPr>
              <w:tc>
                <w:tcPr>
                  <w:tcW w:w="649" w:type="dxa"/>
                  <w:noWrap w:val="0"/>
                  <w:vAlign w:val="center"/>
                </w:tcPr>
                <w:p w14:paraId="36899FFA">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非正常工况</w:t>
                  </w:r>
                </w:p>
              </w:tc>
              <w:tc>
                <w:tcPr>
                  <w:tcW w:w="567" w:type="dxa"/>
                  <w:noWrap w:val="0"/>
                  <w:vAlign w:val="center"/>
                </w:tcPr>
                <w:p w14:paraId="17F6065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排放源</w:t>
                  </w:r>
                </w:p>
              </w:tc>
              <w:tc>
                <w:tcPr>
                  <w:tcW w:w="564" w:type="dxa"/>
                  <w:noWrap w:val="0"/>
                  <w:vAlign w:val="center"/>
                </w:tcPr>
                <w:p w14:paraId="5AD89ED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污染物</w:t>
                  </w:r>
                </w:p>
              </w:tc>
              <w:tc>
                <w:tcPr>
                  <w:tcW w:w="853" w:type="dxa"/>
                  <w:noWrap w:val="0"/>
                  <w:vAlign w:val="center"/>
                </w:tcPr>
                <w:p w14:paraId="47AA07A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非正常排放原因</w:t>
                  </w:r>
                </w:p>
              </w:tc>
              <w:tc>
                <w:tcPr>
                  <w:tcW w:w="883" w:type="dxa"/>
                  <w:noWrap w:val="0"/>
                  <w:vAlign w:val="center"/>
                </w:tcPr>
                <w:p w14:paraId="739B303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产生量</w:t>
                  </w:r>
                </w:p>
                <w:p w14:paraId="4A5C5DC0">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w:t>
                  </w:r>
                  <w:r>
                    <w:rPr>
                      <w:rFonts w:hint="eastAsia" w:cs="Times New Roman"/>
                      <w:b/>
                      <w:bCs/>
                      <w:color w:val="auto"/>
                      <w:lang w:val="en-US" w:eastAsia="zh-CN"/>
                    </w:rPr>
                    <w:t>kg</w:t>
                  </w:r>
                  <w:r>
                    <w:rPr>
                      <w:rFonts w:hint="default" w:ascii="Times New Roman" w:hAnsi="Times New Roman" w:cs="Times New Roman"/>
                      <w:b/>
                      <w:bCs/>
                      <w:color w:val="auto"/>
                      <w:lang w:val="en-US" w:eastAsia="zh-CN"/>
                    </w:rPr>
                    <w:t>/a）</w:t>
                  </w:r>
                </w:p>
              </w:tc>
              <w:tc>
                <w:tcPr>
                  <w:tcW w:w="933" w:type="dxa"/>
                  <w:noWrap w:val="0"/>
                  <w:vAlign w:val="center"/>
                </w:tcPr>
                <w:p w14:paraId="44E3D34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产生速率</w:t>
                  </w:r>
                </w:p>
                <w:p w14:paraId="7FD78D01">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（kg/h）</w:t>
                  </w:r>
                </w:p>
              </w:tc>
              <w:tc>
                <w:tcPr>
                  <w:tcW w:w="834" w:type="dxa"/>
                  <w:noWrap w:val="0"/>
                  <w:vAlign w:val="center"/>
                </w:tcPr>
                <w:p w14:paraId="5398CE4E">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单次持续时间（h）</w:t>
                  </w:r>
                </w:p>
              </w:tc>
              <w:tc>
                <w:tcPr>
                  <w:tcW w:w="833" w:type="dxa"/>
                  <w:noWrap w:val="0"/>
                  <w:vAlign w:val="center"/>
                </w:tcPr>
                <w:p w14:paraId="206FDFA5">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年发生频次（次）</w:t>
                  </w:r>
                </w:p>
              </w:tc>
              <w:tc>
                <w:tcPr>
                  <w:tcW w:w="1712" w:type="dxa"/>
                  <w:noWrap w:val="0"/>
                  <w:vAlign w:val="center"/>
                </w:tcPr>
                <w:p w14:paraId="2EA291EF">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措施</w:t>
                  </w:r>
                </w:p>
              </w:tc>
            </w:tr>
            <w:tr w14:paraId="2E527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94" w:hRule="atLeast"/>
                <w:jc w:val="center"/>
              </w:trPr>
              <w:tc>
                <w:tcPr>
                  <w:tcW w:w="649" w:type="dxa"/>
                  <w:noWrap w:val="0"/>
                  <w:vAlign w:val="center"/>
                </w:tcPr>
                <w:p w14:paraId="1602E17F">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eastAsia="宋体" w:cs="Times New Roman"/>
                      <w:color w:val="auto"/>
                      <w:sz w:val="21"/>
                      <w:szCs w:val="22"/>
                      <w:lang w:val="en-US" w:eastAsia="zh-CN" w:bidi="ar-SA"/>
                    </w:rPr>
                  </w:pPr>
                  <w:r>
                    <w:rPr>
                      <w:rFonts w:hint="default" w:ascii="Times New Roman" w:hAnsi="Times New Roman" w:cs="Times New Roman"/>
                      <w:color w:val="auto"/>
                      <w:lang w:val="en-US" w:eastAsia="zh-CN"/>
                    </w:rPr>
                    <w:t>废气治理设施异常</w:t>
                  </w:r>
                </w:p>
              </w:tc>
              <w:tc>
                <w:tcPr>
                  <w:tcW w:w="567" w:type="dxa"/>
                  <w:noWrap w:val="0"/>
                  <w:vAlign w:val="center"/>
                </w:tcPr>
                <w:p w14:paraId="35FE48F0">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DA001</w:t>
                  </w:r>
                </w:p>
              </w:tc>
              <w:tc>
                <w:tcPr>
                  <w:tcW w:w="564" w:type="dxa"/>
                  <w:noWrap w:val="0"/>
                  <w:vAlign w:val="center"/>
                </w:tcPr>
                <w:p w14:paraId="1E48CE98">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非甲烷总烃</w:t>
                  </w:r>
                </w:p>
              </w:tc>
              <w:tc>
                <w:tcPr>
                  <w:tcW w:w="853" w:type="dxa"/>
                  <w:noWrap w:val="0"/>
                  <w:vAlign w:val="center"/>
                </w:tcPr>
                <w:p w14:paraId="7D3E7F0C">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eastAsia" w:cs="Times New Roman"/>
                      <w:color w:val="auto"/>
                      <w:lang w:val="en-US" w:eastAsia="zh-CN"/>
                    </w:rPr>
                  </w:pPr>
                  <w:r>
                    <w:rPr>
                      <w:rFonts w:hint="eastAsia" w:cs="Times New Roman"/>
                      <w:color w:val="auto"/>
                      <w:lang w:val="en-US" w:eastAsia="zh-CN"/>
                    </w:rPr>
                    <w:t>设备</w:t>
                  </w:r>
                </w:p>
                <w:p w14:paraId="418E77C6">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故障</w:t>
                  </w:r>
                </w:p>
              </w:tc>
              <w:tc>
                <w:tcPr>
                  <w:tcW w:w="883" w:type="dxa"/>
                  <w:noWrap w:val="0"/>
                  <w:vAlign w:val="center"/>
                </w:tcPr>
                <w:p w14:paraId="20A16207">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0.643</w:t>
                  </w:r>
                </w:p>
              </w:tc>
              <w:tc>
                <w:tcPr>
                  <w:tcW w:w="933" w:type="dxa"/>
                  <w:noWrap w:val="0"/>
                  <w:vAlign w:val="center"/>
                </w:tcPr>
                <w:p w14:paraId="1BE22B3C">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0.643</w:t>
                  </w:r>
                </w:p>
              </w:tc>
              <w:tc>
                <w:tcPr>
                  <w:tcW w:w="834" w:type="dxa"/>
                  <w:noWrap w:val="0"/>
                  <w:vAlign w:val="center"/>
                </w:tcPr>
                <w:p w14:paraId="56E99C08">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1</w:t>
                  </w:r>
                </w:p>
              </w:tc>
              <w:tc>
                <w:tcPr>
                  <w:tcW w:w="833" w:type="dxa"/>
                  <w:noWrap w:val="0"/>
                  <w:vAlign w:val="center"/>
                </w:tcPr>
                <w:p w14:paraId="6E64D430">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1</w:t>
                  </w:r>
                </w:p>
              </w:tc>
              <w:tc>
                <w:tcPr>
                  <w:tcW w:w="1712" w:type="dxa"/>
                  <w:noWrap w:val="0"/>
                  <w:vAlign w:val="center"/>
                </w:tcPr>
                <w:p w14:paraId="426CB092">
                  <w:pPr>
                    <w:keepNext w:val="0"/>
                    <w:keepLines w:val="0"/>
                    <w:pageBreakBefore w:val="0"/>
                    <w:widowControl w:val="0"/>
                    <w:kinsoku/>
                    <w:wordWrap/>
                    <w:overflowPunct/>
                    <w:topLinePunct w:val="0"/>
                    <w:autoSpaceDE w:val="0"/>
                    <w:autoSpaceDN w:val="0"/>
                    <w:bidi w:val="0"/>
                    <w:adjustRightInd w:val="0"/>
                    <w:snapToGrid w:val="0"/>
                    <w:spacing w:line="264" w:lineRule="auto"/>
                    <w:ind w:left="0" w:leftChars="0" w:right="0" w:rightChars="0"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及时停止生产，对废气设备进行维修。日常加强环保设施的彻底检修，力争将非正常工况污染物排放量降低到最低限度</w:t>
                  </w:r>
                  <w:r>
                    <w:rPr>
                      <w:rFonts w:hint="eastAsia" w:cs="Times New Roman"/>
                      <w:color w:val="auto"/>
                      <w:lang w:val="en-US" w:eastAsia="zh-CN"/>
                    </w:rPr>
                    <w:t>。</w:t>
                  </w:r>
                </w:p>
              </w:tc>
            </w:tr>
          </w:tbl>
          <w:p w14:paraId="29F01FEB">
            <w:pPr>
              <w:keepNext w:val="0"/>
              <w:keepLines w:val="0"/>
              <w:pageBreakBefore w:val="0"/>
              <w:widowControl w:val="0"/>
              <w:kinsoku/>
              <w:wordWrap/>
              <w:overflowPunct/>
              <w:topLinePunct w:val="0"/>
              <w:autoSpaceDE/>
              <w:autoSpaceDN/>
              <w:bidi w:val="0"/>
              <w:adjustRightInd w:val="0"/>
              <w:snapToGrid w:val="0"/>
              <w:spacing w:before="120"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14:paraId="026189AE">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安排专人负责环保设备的日常维护和管理，</w:t>
            </w:r>
            <w:r>
              <w:rPr>
                <w:rFonts w:hint="default" w:ascii="Times New Roman" w:hAnsi="Times New Roman" w:cs="Times New Roman"/>
                <w:color w:val="auto"/>
                <w:sz w:val="24"/>
                <w:szCs w:val="24"/>
                <w:lang w:eastAsia="zh-CN"/>
              </w:rPr>
              <w:t>每隔</w:t>
            </w:r>
            <w:r>
              <w:rPr>
                <w:rFonts w:hint="default" w:ascii="Times New Roman" w:hAnsi="Times New Roman" w:eastAsia="宋体" w:cs="Times New Roman"/>
                <w:color w:val="auto"/>
                <w:sz w:val="24"/>
                <w:szCs w:val="24"/>
              </w:rPr>
              <w:t>固定时间检查、汇报情况，及时发现废气处理设备的隐患，确保废气处理系统正常运行；</w:t>
            </w:r>
          </w:p>
          <w:p w14:paraId="2BCAA70B">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②建立健全的环保管理机构，对环保管理人员和技术人员进行岗位培训，委托具有专业资质的</w:t>
            </w:r>
            <w:r>
              <w:rPr>
                <w:rFonts w:hint="default" w:ascii="Times New Roman" w:hAnsi="Times New Roman" w:eastAsia="宋体" w:cs="Times New Roman"/>
                <w:color w:val="auto"/>
                <w:sz w:val="24"/>
                <w:szCs w:val="24"/>
                <w:lang w:eastAsia="zh-CN"/>
              </w:rPr>
              <w:t>环境监测</w:t>
            </w:r>
            <w:r>
              <w:rPr>
                <w:rFonts w:hint="default" w:ascii="Times New Roman" w:hAnsi="Times New Roman" w:eastAsia="宋体" w:cs="Times New Roman"/>
                <w:color w:val="auto"/>
                <w:sz w:val="24"/>
                <w:szCs w:val="24"/>
              </w:rPr>
              <w:t>单位对项目排放的各类污染物进行定期检测；</w:t>
            </w:r>
          </w:p>
          <w:p w14:paraId="07F04473">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③应定期维护、检修废气净化装置，以保持废气处理装置净化能力和净化容量。</w:t>
            </w:r>
          </w:p>
          <w:p w14:paraId="778B7A13">
            <w:pPr>
              <w:keepNext w:val="0"/>
              <w:keepLines w:val="0"/>
              <w:pageBreakBefore w:val="0"/>
              <w:widowControl w:val="0"/>
              <w:kinsoku/>
              <w:wordWrap/>
              <w:overflowPunct/>
              <w:topLinePunct w:val="0"/>
              <w:autoSpaceDE/>
              <w:autoSpaceDN/>
              <w:bidi w:val="0"/>
              <w:spacing w:line="360" w:lineRule="auto"/>
              <w:ind w:firstLine="480" w:firstLineChars="200"/>
              <w:jc w:val="both"/>
              <w:textAlignment w:val="auto"/>
              <w:rPr>
                <w:rFonts w:hint="eastAsia" w:ascii="Times New Roman" w:hAnsi="Times New Roman" w:eastAsia="宋体" w:cs="Times New Roman"/>
                <w:b/>
                <w:bCs/>
                <w:color w:val="auto"/>
                <w:highlight w:val="none"/>
                <w:lang w:val="en-US" w:eastAsia="zh-CN"/>
              </w:rPr>
            </w:pPr>
            <w:r>
              <w:rPr>
                <w:rFonts w:hint="default" w:ascii="Times New Roman" w:hAnsi="Times New Roman" w:eastAsia="宋体" w:cs="Times New Roman"/>
                <w:color w:val="auto"/>
                <w:sz w:val="24"/>
                <w:szCs w:val="24"/>
              </w:rPr>
              <w:t>④每班次开工前，确认废气处理设备开启并正常运行。若有需要停产检修的情况，需要关闭生产设备一段时间后再关闭废气处理设备，不存在废气突然排放情况</w:t>
            </w:r>
            <w:r>
              <w:rPr>
                <w:rFonts w:hint="eastAsia" w:cs="Times New Roman"/>
                <w:color w:val="auto"/>
                <w:sz w:val="24"/>
                <w:szCs w:val="24"/>
                <w:lang w:eastAsia="zh-CN"/>
              </w:rPr>
              <w:t>。</w:t>
            </w:r>
          </w:p>
          <w:p w14:paraId="514CD9E9">
            <w:pPr>
              <w:pStyle w:val="6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b/>
                <w:bCs/>
                <w:color w:val="auto"/>
                <w:highlight w:val="none"/>
              </w:rPr>
            </w:pPr>
            <w:r>
              <w:rPr>
                <w:rFonts w:hint="eastAsia" w:ascii="Times New Roman" w:hAnsi="Times New Roman" w:cs="Times New Roman"/>
                <w:b/>
                <w:bCs/>
                <w:color w:val="auto"/>
                <w:highlight w:val="none"/>
                <w:lang w:val="en-US" w:eastAsia="zh-CN"/>
              </w:rPr>
              <w:t>1.7</w:t>
            </w:r>
            <w:r>
              <w:rPr>
                <w:rFonts w:hint="default" w:ascii="Times New Roman" w:hAnsi="Times New Roman" w:eastAsia="宋体" w:cs="Times New Roman"/>
                <w:b/>
                <w:color w:val="auto"/>
                <w:kern w:val="0"/>
                <w:sz w:val="24"/>
                <w:szCs w:val="24"/>
                <w:lang w:val="en-US" w:eastAsia="zh-CN" w:bidi="en-US"/>
              </w:rPr>
              <w:t>废气监测计划</w:t>
            </w:r>
          </w:p>
          <w:p w14:paraId="24FF85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en-US"/>
              </w:rPr>
            </w:pPr>
            <w:r>
              <w:rPr>
                <w:rFonts w:hint="eastAsia" w:ascii="Times New Roman" w:hAnsi="Times New Roman" w:eastAsia="宋体" w:cs="Times New Roman"/>
                <w:color w:val="auto"/>
                <w:kern w:val="0"/>
                <w:sz w:val="24"/>
                <w:szCs w:val="24"/>
                <w:highlight w:val="none"/>
                <w:lang w:val="en-US" w:eastAsia="zh-CN" w:bidi="en-US"/>
              </w:rPr>
              <w:t>根据《排污许可证申请与核发技术规范 橡胶和塑料制品工业》（HJ1122-2020），项</w:t>
            </w:r>
            <w:r>
              <w:rPr>
                <w:rFonts w:hint="default" w:ascii="Times New Roman" w:hAnsi="Times New Roman" w:eastAsia="宋体" w:cs="Times New Roman"/>
                <w:color w:val="auto"/>
                <w:kern w:val="0"/>
                <w:sz w:val="24"/>
                <w:szCs w:val="24"/>
                <w:highlight w:val="none"/>
                <w:lang w:val="en-US" w:eastAsia="zh-CN" w:bidi="en-US"/>
              </w:rPr>
              <w:t>目废气监测计划见下表。</w:t>
            </w:r>
          </w:p>
          <w:p w14:paraId="69E58F55">
            <w:pPr>
              <w:keepNext w:val="0"/>
              <w:keepLines w:val="0"/>
              <w:pageBreakBefore w:val="0"/>
              <w:widowControl/>
              <w:kinsoku/>
              <w:wordWrap/>
              <w:overflowPunct/>
              <w:topLinePunct w:val="0"/>
              <w:autoSpaceDE/>
              <w:autoSpaceDN/>
              <w:bidi w:val="0"/>
              <w:spacing w:line="360" w:lineRule="auto"/>
              <w:ind w:left="0" w:leftChars="0" w:right="0" w:rightChars="0" w:firstLine="422" w:firstLineChars="200"/>
              <w:jc w:val="center"/>
              <w:textAlignment w:val="auto"/>
              <w:rPr>
                <w:rFonts w:hint="default" w:ascii="Times New Roman" w:hAnsi="Times New Roman" w:cs="Times New Roman" w:eastAsiaTheme="minorEastAsia"/>
                <w:b/>
                <w:bCs/>
                <w:color w:val="auto"/>
                <w:szCs w:val="21"/>
                <w:lang w:val="en-US" w:eastAsia="zh-CN"/>
              </w:rPr>
            </w:pPr>
            <w:r>
              <w:rPr>
                <w:rFonts w:hint="default" w:ascii="Times New Roman" w:hAnsi="Times New Roman" w:cs="Times New Roman" w:eastAsiaTheme="minorEastAsia"/>
                <w:b/>
                <w:bCs/>
                <w:color w:val="auto"/>
                <w:szCs w:val="21"/>
                <w:lang w:val="en-US" w:eastAsia="zh-CN"/>
              </w:rPr>
              <w:t>表4-6 营运期废气监测一览表</w:t>
            </w:r>
          </w:p>
          <w:tbl>
            <w:tblPr>
              <w:tblStyle w:val="25"/>
              <w:tblW w:w="4997" w:type="pct"/>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6"/>
              <w:gridCol w:w="406"/>
              <w:gridCol w:w="1500"/>
              <w:gridCol w:w="596"/>
              <w:gridCol w:w="901"/>
              <w:gridCol w:w="1097"/>
              <w:gridCol w:w="2125"/>
              <w:gridCol w:w="871"/>
            </w:tblGrid>
            <w:tr w14:paraId="1FDB5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513" w:type="pct"/>
                  <w:gridSpan w:val="2"/>
                  <w:noWrap w:val="0"/>
                  <w:vAlign w:val="center"/>
                </w:tcPr>
                <w:p w14:paraId="7A0B8355">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949" w:type="pct"/>
                  <w:noWrap w:val="0"/>
                  <w:vAlign w:val="center"/>
                </w:tcPr>
                <w:p w14:paraId="5A4D9E2C">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监测点位/断面</w:t>
                  </w:r>
                </w:p>
              </w:tc>
              <w:tc>
                <w:tcPr>
                  <w:tcW w:w="377" w:type="pct"/>
                  <w:noWrap w:val="0"/>
                  <w:vAlign w:val="center"/>
                </w:tcPr>
                <w:p w14:paraId="200D186B">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监测点数</w:t>
                  </w:r>
                </w:p>
              </w:tc>
              <w:tc>
                <w:tcPr>
                  <w:tcW w:w="569" w:type="pct"/>
                  <w:noWrap w:val="0"/>
                  <w:vAlign w:val="center"/>
                </w:tcPr>
                <w:p w14:paraId="7FD2D703">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监测项目</w:t>
                  </w:r>
                </w:p>
              </w:tc>
              <w:tc>
                <w:tcPr>
                  <w:tcW w:w="694" w:type="pct"/>
                  <w:noWrap w:val="0"/>
                  <w:vAlign w:val="center"/>
                </w:tcPr>
                <w:p w14:paraId="7B4CEA5B">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监测时间及频率</w:t>
                  </w:r>
                </w:p>
              </w:tc>
              <w:tc>
                <w:tcPr>
                  <w:tcW w:w="1344" w:type="pct"/>
                  <w:noWrap w:val="0"/>
                  <w:vAlign w:val="center"/>
                </w:tcPr>
                <w:p w14:paraId="565412BB">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控制标准</w:t>
                  </w:r>
                </w:p>
              </w:tc>
              <w:tc>
                <w:tcPr>
                  <w:tcW w:w="551" w:type="pct"/>
                  <w:noWrap w:val="0"/>
                  <w:vAlign w:val="center"/>
                </w:tcPr>
                <w:p w14:paraId="7242D439">
                  <w:pPr>
                    <w:pStyle w:val="2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监测方式</w:t>
                  </w:r>
                </w:p>
              </w:tc>
            </w:tr>
            <w:tr w14:paraId="6638A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atLeast"/>
              </w:trPr>
              <w:tc>
                <w:tcPr>
                  <w:tcW w:w="256" w:type="pct"/>
                  <w:vMerge w:val="restart"/>
                  <w:noWrap w:val="0"/>
                  <w:vAlign w:val="center"/>
                </w:tcPr>
                <w:p w14:paraId="72E506DB">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废气</w:t>
                  </w:r>
                </w:p>
              </w:tc>
              <w:tc>
                <w:tcPr>
                  <w:tcW w:w="256" w:type="pct"/>
                  <w:vMerge w:val="restart"/>
                  <w:noWrap w:val="0"/>
                  <w:vAlign w:val="center"/>
                </w:tcPr>
                <w:p w14:paraId="43876B3F">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有机废气</w:t>
                  </w:r>
                </w:p>
              </w:tc>
              <w:tc>
                <w:tcPr>
                  <w:tcW w:w="949" w:type="pct"/>
                  <w:noWrap w:val="0"/>
                  <w:vAlign w:val="center"/>
                </w:tcPr>
                <w:p w14:paraId="0A2BF218">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DA001排气口</w:t>
                  </w:r>
                </w:p>
              </w:tc>
              <w:tc>
                <w:tcPr>
                  <w:tcW w:w="377" w:type="pct"/>
                  <w:noWrap w:val="0"/>
                  <w:vAlign w:val="center"/>
                </w:tcPr>
                <w:p w14:paraId="291BC02F">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w:t>
                  </w:r>
                </w:p>
              </w:tc>
              <w:tc>
                <w:tcPr>
                  <w:tcW w:w="569" w:type="pct"/>
                  <w:vMerge w:val="restart"/>
                  <w:noWrap w:val="0"/>
                  <w:vAlign w:val="center"/>
                </w:tcPr>
                <w:p w14:paraId="2E96BE1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非甲烷总烃</w:t>
                  </w:r>
                </w:p>
              </w:tc>
              <w:tc>
                <w:tcPr>
                  <w:tcW w:w="694" w:type="pct"/>
                  <w:noWrap w:val="0"/>
                  <w:vAlign w:val="center"/>
                </w:tcPr>
                <w:p w14:paraId="68BACA9E">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vMerge w:val="restart"/>
                  <w:noWrap w:val="0"/>
                  <w:vAlign w:val="center"/>
                </w:tcPr>
                <w:p w14:paraId="7EE693E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b w:val="0"/>
                      <w:bCs/>
                      <w:color w:val="auto"/>
                      <w:szCs w:val="21"/>
                      <w:highlight w:val="none"/>
                      <w:lang w:bidi="ar"/>
                    </w:rPr>
                    <w:t>《合成树脂工业污染物排放标准》（GB31572-2015</w:t>
                  </w:r>
                  <w:r>
                    <w:rPr>
                      <w:rFonts w:hint="eastAsia"/>
                      <w:b w:val="0"/>
                      <w:bCs/>
                      <w:color w:val="auto"/>
                      <w:szCs w:val="21"/>
                      <w:highlight w:val="none"/>
                      <w:lang w:eastAsia="zh-CN" w:bidi="ar"/>
                    </w:rPr>
                    <w:t>，含</w:t>
                  </w:r>
                  <w:r>
                    <w:rPr>
                      <w:rFonts w:hint="eastAsia"/>
                      <w:b w:val="0"/>
                      <w:bCs/>
                      <w:color w:val="auto"/>
                      <w:szCs w:val="21"/>
                      <w:highlight w:val="none"/>
                      <w:lang w:val="en-US" w:eastAsia="zh-CN" w:bidi="ar"/>
                    </w:rPr>
                    <w:t>2024年修改单</w:t>
                  </w:r>
                  <w:r>
                    <w:rPr>
                      <w:rFonts w:hint="eastAsia" w:ascii="Times New Roman" w:hAnsi="Times New Roman"/>
                      <w:b w:val="0"/>
                      <w:bCs/>
                      <w:color w:val="auto"/>
                      <w:szCs w:val="21"/>
                      <w:highlight w:val="none"/>
                      <w:lang w:bidi="ar"/>
                    </w:rPr>
                    <w:t>）</w:t>
                  </w:r>
                  <w:r>
                    <w:rPr>
                      <w:rFonts w:hint="eastAsia" w:ascii="Times New Roman" w:hAnsi="Times New Roman"/>
                      <w:b w:val="0"/>
                      <w:bCs/>
                      <w:color w:val="auto"/>
                      <w:szCs w:val="21"/>
                      <w:highlight w:val="none"/>
                      <w:lang w:eastAsia="zh-CN" w:bidi="ar"/>
                    </w:rPr>
                    <w:t>表</w:t>
                  </w:r>
                  <w:r>
                    <w:rPr>
                      <w:rFonts w:hint="eastAsia" w:ascii="Times New Roman" w:hAnsi="Times New Roman"/>
                      <w:b w:val="0"/>
                      <w:bCs/>
                      <w:color w:val="auto"/>
                      <w:szCs w:val="21"/>
                      <w:highlight w:val="none"/>
                      <w:lang w:val="en-US" w:eastAsia="zh-CN" w:bidi="ar"/>
                    </w:rPr>
                    <w:t>5和表9排放限值要求</w:t>
                  </w:r>
                </w:p>
              </w:tc>
              <w:tc>
                <w:tcPr>
                  <w:tcW w:w="551" w:type="pct"/>
                  <w:vMerge w:val="restart"/>
                  <w:noWrap w:val="0"/>
                  <w:vAlign w:val="center"/>
                </w:tcPr>
                <w:p w14:paraId="4E0712AA">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Cs/>
                      <w:color w:val="auto"/>
                      <w:szCs w:val="21"/>
                      <w:highlight w:val="none"/>
                    </w:rPr>
                  </w:pPr>
                  <w:r>
                    <w:rPr>
                      <w:rFonts w:hint="default" w:ascii="Times New Roman" w:hAnsi="Times New Roman" w:cs="Times New Roman"/>
                      <w:color w:val="auto"/>
                      <w:sz w:val="21"/>
                      <w:highlight w:val="none"/>
                    </w:rPr>
                    <w:t>委托资质单位监测</w:t>
                  </w:r>
                </w:p>
              </w:tc>
            </w:tr>
            <w:tr w14:paraId="519E6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56" w:type="pct"/>
                  <w:vMerge w:val="continue"/>
                  <w:noWrap w:val="0"/>
                  <w:vAlign w:val="center"/>
                </w:tcPr>
                <w:p w14:paraId="779A6DA0">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p>
              </w:tc>
              <w:tc>
                <w:tcPr>
                  <w:tcW w:w="256" w:type="pct"/>
                  <w:vMerge w:val="continue"/>
                  <w:noWrap w:val="0"/>
                  <w:vAlign w:val="center"/>
                </w:tcPr>
                <w:p w14:paraId="5B0CB161">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949" w:type="pct"/>
                  <w:noWrap w:val="0"/>
                  <w:vAlign w:val="center"/>
                </w:tcPr>
                <w:p w14:paraId="137EEC60">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厂界</w:t>
                  </w:r>
                </w:p>
              </w:tc>
              <w:tc>
                <w:tcPr>
                  <w:tcW w:w="377" w:type="pct"/>
                  <w:noWrap w:val="0"/>
                  <w:vAlign w:val="center"/>
                </w:tcPr>
                <w:p w14:paraId="52DC9B4A">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4</w:t>
                  </w:r>
                </w:p>
              </w:tc>
              <w:tc>
                <w:tcPr>
                  <w:tcW w:w="569" w:type="pct"/>
                  <w:vMerge w:val="continue"/>
                  <w:noWrap w:val="0"/>
                  <w:vAlign w:val="center"/>
                </w:tcPr>
                <w:p w14:paraId="45FB840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cs="Times New Roman"/>
                      <w:color w:val="auto"/>
                      <w:sz w:val="21"/>
                      <w:szCs w:val="21"/>
                      <w:highlight w:val="none"/>
                    </w:rPr>
                  </w:pPr>
                </w:p>
              </w:tc>
              <w:tc>
                <w:tcPr>
                  <w:tcW w:w="694" w:type="pct"/>
                  <w:noWrap w:val="0"/>
                  <w:vAlign w:val="center"/>
                </w:tcPr>
                <w:p w14:paraId="1EB8161E">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vMerge w:val="continue"/>
                  <w:noWrap w:val="0"/>
                  <w:vAlign w:val="center"/>
                </w:tcPr>
                <w:p w14:paraId="07310634">
                  <w:pPr>
                    <w:keepNext w:val="0"/>
                    <w:keepLines w:val="0"/>
                    <w:pageBreakBefore w:val="0"/>
                    <w:widowControl/>
                    <w:kinsoku/>
                    <w:wordWrap/>
                    <w:overflowPunct/>
                    <w:topLinePunct w:val="0"/>
                    <w:autoSpaceDE/>
                    <w:autoSpaceDN/>
                    <w:bidi w:val="0"/>
                    <w:adjustRightInd/>
                    <w:snapToGrid/>
                    <w:spacing w:line="264" w:lineRule="auto"/>
                    <w:ind w:left="0" w:lef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551" w:type="pct"/>
                  <w:vMerge w:val="continue"/>
                  <w:noWrap w:val="0"/>
                  <w:vAlign w:val="center"/>
                </w:tcPr>
                <w:p w14:paraId="46561960">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color w:val="auto"/>
                      <w:sz w:val="21"/>
                      <w:highlight w:val="none"/>
                    </w:rPr>
                  </w:pPr>
                </w:p>
              </w:tc>
            </w:tr>
            <w:tr w14:paraId="2F555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256" w:type="pct"/>
                  <w:vMerge w:val="continue"/>
                  <w:noWrap w:val="0"/>
                  <w:vAlign w:val="center"/>
                </w:tcPr>
                <w:p w14:paraId="13E42705">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p>
              </w:tc>
              <w:tc>
                <w:tcPr>
                  <w:tcW w:w="256" w:type="pct"/>
                  <w:vMerge w:val="continue"/>
                  <w:noWrap w:val="0"/>
                  <w:vAlign w:val="center"/>
                </w:tcPr>
                <w:p w14:paraId="60FB896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949" w:type="pct"/>
                  <w:noWrap w:val="0"/>
                  <w:vAlign w:val="center"/>
                </w:tcPr>
                <w:p w14:paraId="11D65BB9">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color w:val="auto"/>
                      <w:sz w:val="21"/>
                      <w:szCs w:val="21"/>
                      <w:highlight w:val="none"/>
                    </w:rPr>
                    <w:t>厂内监控点</w:t>
                  </w:r>
                </w:p>
              </w:tc>
              <w:tc>
                <w:tcPr>
                  <w:tcW w:w="377" w:type="pct"/>
                  <w:noWrap w:val="0"/>
                  <w:vAlign w:val="center"/>
                </w:tcPr>
                <w:p w14:paraId="5A4DCA67">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w:t>
                  </w:r>
                </w:p>
              </w:tc>
              <w:tc>
                <w:tcPr>
                  <w:tcW w:w="569" w:type="pct"/>
                  <w:vMerge w:val="continue"/>
                  <w:noWrap w:val="0"/>
                  <w:vAlign w:val="center"/>
                </w:tcPr>
                <w:p w14:paraId="1CEEFA7B">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eastAsia" w:ascii="Times New Roman" w:hAnsi="Times New Roman" w:eastAsia="宋体" w:cs="Times New Roman"/>
                      <w:b w:val="0"/>
                      <w:bCs/>
                      <w:color w:val="auto"/>
                      <w:sz w:val="21"/>
                      <w:szCs w:val="21"/>
                      <w:highlight w:val="none"/>
                      <w:lang w:val="en-US" w:eastAsia="zh-CN"/>
                    </w:rPr>
                  </w:pPr>
                </w:p>
              </w:tc>
              <w:tc>
                <w:tcPr>
                  <w:tcW w:w="694" w:type="pct"/>
                  <w:noWrap w:val="0"/>
                  <w:vAlign w:val="center"/>
                </w:tcPr>
                <w:p w14:paraId="0CD53FDC">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1次/</w:t>
                  </w:r>
                  <w:r>
                    <w:rPr>
                      <w:rFonts w:hint="eastAsia" w:ascii="Times New Roman" w:hAnsi="Times New Roman" w:eastAsia="宋体" w:cs="Times New Roman"/>
                      <w:b w:val="0"/>
                      <w:bCs/>
                      <w:color w:val="auto"/>
                      <w:sz w:val="21"/>
                      <w:szCs w:val="21"/>
                      <w:highlight w:val="none"/>
                      <w:lang w:val="en-US" w:eastAsia="zh-CN"/>
                    </w:rPr>
                    <w:t>年</w:t>
                  </w:r>
                </w:p>
              </w:tc>
              <w:tc>
                <w:tcPr>
                  <w:tcW w:w="1344" w:type="pct"/>
                  <w:noWrap w:val="0"/>
                  <w:vAlign w:val="center"/>
                </w:tcPr>
                <w:p w14:paraId="7F006D04">
                  <w:pPr>
                    <w:keepNext w:val="0"/>
                    <w:keepLines w:val="0"/>
                    <w:pageBreakBefore w:val="0"/>
                    <w:widowControl/>
                    <w:kinsoku/>
                    <w:wordWrap/>
                    <w:overflowPunct/>
                    <w:topLinePunct w:val="0"/>
                    <w:autoSpaceDE/>
                    <w:autoSpaceDN/>
                    <w:bidi w:val="0"/>
                    <w:adjustRightInd/>
                    <w:snapToGrid/>
                    <w:spacing w:line="264" w:lineRule="auto"/>
                    <w:ind w:lef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《挥发性有机物无组织排放控制标准》（GB37822-2019）</w:t>
                  </w:r>
                </w:p>
              </w:tc>
              <w:tc>
                <w:tcPr>
                  <w:tcW w:w="551" w:type="pct"/>
                  <w:vMerge w:val="continue"/>
                  <w:noWrap w:val="0"/>
                  <w:vAlign w:val="center"/>
                </w:tcPr>
                <w:p w14:paraId="065FC844">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color w:val="auto"/>
                      <w:sz w:val="21"/>
                      <w:highlight w:val="none"/>
                    </w:rPr>
                  </w:pPr>
                </w:p>
              </w:tc>
            </w:tr>
          </w:tbl>
          <w:p w14:paraId="4F0DB724">
            <w:pPr>
              <w:keepNext w:val="0"/>
              <w:keepLines w:val="0"/>
              <w:pageBreakBefore w:val="0"/>
              <w:widowControl w:val="0"/>
              <w:numPr>
                <w:ilvl w:val="0"/>
                <w:numId w:val="0"/>
              </w:numPr>
              <w:kinsoku/>
              <w:wordWrap/>
              <w:overflowPunct/>
              <w:topLinePunct w:val="0"/>
              <w:autoSpaceDE/>
              <w:autoSpaceDN/>
              <w:bidi w:val="0"/>
              <w:adjustRightInd w:val="0"/>
              <w:snapToGrid w:val="0"/>
              <w:spacing w:before="120" w:line="360" w:lineRule="auto"/>
              <w:textAlignment w:val="auto"/>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2、废水</w:t>
            </w:r>
          </w:p>
          <w:p w14:paraId="2D11620A">
            <w:pPr>
              <w:numPr>
                <w:ilvl w:val="0"/>
                <w:numId w:val="0"/>
              </w:numPr>
              <w:adjustRightInd w:val="0"/>
              <w:snapToGrid w:val="0"/>
              <w:spacing w:line="360" w:lineRule="auto"/>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2</w:t>
            </w:r>
            <w:r>
              <w:rPr>
                <w:rFonts w:hint="default" w:ascii="Times New Roman" w:hAnsi="Times New Roman" w:cs="Times New Roman"/>
                <w:b/>
                <w:bCs w:val="0"/>
                <w:color w:val="auto"/>
                <w:spacing w:val="-10"/>
                <w:sz w:val="24"/>
                <w:szCs w:val="24"/>
                <w:highlight w:val="none"/>
                <w:lang w:val="en-US" w:eastAsia="zh-CN"/>
              </w:rPr>
              <w:t>.1废水源强核算</w:t>
            </w:r>
          </w:p>
          <w:p w14:paraId="056DF859">
            <w:pPr>
              <w:pStyle w:val="53"/>
              <w:spacing w:line="360" w:lineRule="auto"/>
              <w:ind w:firstLine="480" w:firstLineChars="200"/>
              <w:jc w:val="both"/>
              <w:rPr>
                <w:rFonts w:hint="eastAsia" w:ascii="Times New Roman" w:hAnsi="Times New Roman" w:eastAsia="宋体" w:cs="Times New Roman"/>
                <w:color w:val="auto"/>
                <w:kern w:val="0"/>
                <w:sz w:val="24"/>
                <w:szCs w:val="24"/>
                <w:highlight w:val="none"/>
                <w:lang w:val="en-US" w:eastAsia="zh-CN" w:bidi="en-US"/>
              </w:rPr>
            </w:pPr>
            <w:r>
              <w:rPr>
                <w:rFonts w:hint="default" w:ascii="Times New Roman" w:hAnsi="Times New Roman" w:cs="Times New Roman" w:eastAsiaTheme="minorEastAsia"/>
                <w:color w:val="auto"/>
                <w:kern w:val="0"/>
                <w:sz w:val="24"/>
                <w:szCs w:val="24"/>
                <w:highlight w:val="none"/>
                <w:lang w:val="en-US" w:eastAsia="zh-CN" w:bidi="en-US"/>
              </w:rPr>
              <w:t>本项目运行过程中产生的废水主要是生活污水。本项目年生产</w:t>
            </w:r>
            <w:r>
              <w:rPr>
                <w:rFonts w:hint="eastAsia" w:ascii="Times New Roman" w:hAnsi="Times New Roman" w:eastAsia="宋体" w:cs="Times New Roman"/>
                <w:color w:val="auto"/>
                <w:kern w:val="2"/>
                <w:sz w:val="24"/>
                <w:szCs w:val="24"/>
                <w:lang w:val="en-US" w:eastAsia="zh-CN" w:bidi="ar-SA"/>
              </w:rPr>
              <w:t>300</w:t>
            </w:r>
            <w:r>
              <w:rPr>
                <w:rFonts w:hint="default" w:ascii="Times New Roman" w:hAnsi="Times New Roman" w:cs="Times New Roman" w:eastAsiaTheme="minorEastAsia"/>
                <w:color w:val="auto"/>
                <w:kern w:val="0"/>
                <w:sz w:val="24"/>
                <w:szCs w:val="24"/>
                <w:highlight w:val="none"/>
                <w:lang w:val="en-US" w:eastAsia="zh-CN" w:bidi="en-US"/>
              </w:rPr>
              <w:t>天，厂区员工为8人，不在厂区食宿，用水主要为职工生活用水，本项目生活用水量</w:t>
            </w:r>
            <w:r>
              <w:rPr>
                <w:rFonts w:hint="default" w:ascii="Times New Roman" w:hAnsi="Times New Roman" w:eastAsia="宋体" w:cs="Times New Roman"/>
                <w:color w:val="auto"/>
                <w:kern w:val="2"/>
                <w:sz w:val="24"/>
                <w:szCs w:val="24"/>
                <w:lang w:val="en-US" w:eastAsia="zh-CN" w:bidi="ar-SA"/>
              </w:rPr>
              <w:t>为200m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/a。污水产生量按照用水量</w:t>
            </w:r>
            <w:r>
              <w:rPr>
                <w:rFonts w:hint="eastAsia" w:ascii="Times New Roman" w:hAnsi="Times New Roman" w:eastAsia="宋体" w:cs="Times New Roman"/>
                <w:color w:val="auto"/>
                <w:kern w:val="2"/>
                <w:sz w:val="24"/>
                <w:szCs w:val="24"/>
                <w:lang w:val="en-US" w:eastAsia="zh-CN" w:bidi="ar-SA"/>
              </w:rPr>
              <w:t>的</w:t>
            </w:r>
            <w:r>
              <w:rPr>
                <w:rFonts w:hint="default" w:ascii="Times New Roman" w:hAnsi="Times New Roman" w:eastAsia="宋体" w:cs="Times New Roman"/>
                <w:color w:val="auto"/>
                <w:kern w:val="2"/>
                <w:sz w:val="24"/>
                <w:szCs w:val="24"/>
                <w:lang w:val="en-US" w:eastAsia="zh-CN" w:bidi="ar-SA"/>
              </w:rPr>
              <w:t>80%计算，则生活污水产生量为160m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w:t>
            </w:r>
            <w:r>
              <w:rPr>
                <w:rFonts w:hint="default" w:ascii="Times New Roman" w:hAnsi="Times New Roman" w:cs="Times New Roman" w:eastAsiaTheme="minorEastAsia"/>
                <w:color w:val="auto"/>
                <w:kern w:val="0"/>
                <w:sz w:val="24"/>
                <w:szCs w:val="24"/>
                <w:highlight w:val="none"/>
                <w:lang w:val="en-US" w:eastAsia="zh-CN" w:bidi="en-US"/>
              </w:rPr>
              <w:t>生活污水排入化粪池</w:t>
            </w:r>
            <w:r>
              <w:rPr>
                <w:color w:val="auto"/>
                <w:sz w:val="24"/>
                <w:szCs w:val="24"/>
              </w:rPr>
              <w:t>（</w:t>
            </w:r>
            <w:r>
              <w:rPr>
                <w:rFonts w:hint="eastAsia"/>
                <w:color w:val="auto"/>
                <w:sz w:val="24"/>
                <w:szCs w:val="24"/>
                <w:lang w:val="en-US" w:eastAsia="zh-CN"/>
              </w:rPr>
              <w:t>20</w:t>
            </w:r>
            <w:r>
              <w:rPr>
                <w:color w:val="auto"/>
                <w:sz w:val="24"/>
                <w:szCs w:val="24"/>
              </w:rPr>
              <w:t>m</w:t>
            </w:r>
            <w:r>
              <w:rPr>
                <w:color w:val="auto"/>
                <w:sz w:val="24"/>
                <w:szCs w:val="24"/>
                <w:vertAlign w:val="superscript"/>
              </w:rPr>
              <w:t>3</w:t>
            </w:r>
            <w:r>
              <w:rPr>
                <w:color w:val="auto"/>
                <w:sz w:val="24"/>
                <w:szCs w:val="24"/>
              </w:rPr>
              <w:t>）</w:t>
            </w:r>
            <w:r>
              <w:rPr>
                <w:rFonts w:hint="default" w:ascii="Times New Roman" w:hAnsi="Times New Roman" w:cs="Times New Roman" w:eastAsiaTheme="minorEastAsia"/>
                <w:color w:val="auto"/>
                <w:kern w:val="0"/>
                <w:sz w:val="24"/>
                <w:szCs w:val="24"/>
                <w:highlight w:val="none"/>
                <w:lang w:val="en-US" w:eastAsia="zh-CN" w:bidi="en-US"/>
              </w:rPr>
              <w:t>，定期清掏，后用于农田施肥。</w:t>
            </w:r>
          </w:p>
          <w:p w14:paraId="2C00FF34">
            <w:pPr>
              <w:pStyle w:val="53"/>
              <w:spacing w:line="276" w:lineRule="auto"/>
              <w:jc w:val="center"/>
              <w:rPr>
                <w:b/>
                <w:bCs/>
                <w:color w:val="auto"/>
                <w:szCs w:val="21"/>
              </w:rPr>
            </w:pPr>
            <w:r>
              <w:rPr>
                <w:b/>
                <w:bCs/>
                <w:color w:val="auto"/>
                <w:szCs w:val="21"/>
              </w:rPr>
              <w:t>表4-</w:t>
            </w:r>
            <w:r>
              <w:rPr>
                <w:rFonts w:hint="eastAsia"/>
                <w:b/>
                <w:bCs/>
                <w:color w:val="auto"/>
                <w:szCs w:val="21"/>
                <w:lang w:val="en-US" w:eastAsia="zh-CN"/>
              </w:rPr>
              <w:t>7</w:t>
            </w:r>
            <w:r>
              <w:rPr>
                <w:rFonts w:hint="eastAsia"/>
                <w:b/>
                <w:bCs/>
                <w:color w:val="auto"/>
                <w:szCs w:val="21"/>
              </w:rPr>
              <w:t xml:space="preserve"> </w:t>
            </w:r>
            <w:r>
              <w:rPr>
                <w:b/>
                <w:bCs/>
                <w:color w:val="auto"/>
                <w:szCs w:val="21"/>
              </w:rPr>
              <w:t>本项目废水产生与排放情况一览表</w:t>
            </w:r>
          </w:p>
          <w:tbl>
            <w:tblPr>
              <w:tblStyle w:val="25"/>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5"/>
              <w:gridCol w:w="1526"/>
              <w:gridCol w:w="4253"/>
            </w:tblGrid>
            <w:tr w14:paraId="45224E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2" w:hRule="atLeast"/>
              </w:trPr>
              <w:tc>
                <w:tcPr>
                  <w:tcW w:w="2309" w:type="pct"/>
                  <w:gridSpan w:val="2"/>
                  <w:tcBorders>
                    <w:tl2br w:val="nil"/>
                    <w:tr2bl w:val="nil"/>
                  </w:tcBorders>
                  <w:noWrap w:val="0"/>
                  <w:vAlign w:val="center"/>
                </w:tcPr>
                <w:p w14:paraId="45AC3EF5">
                  <w:pPr>
                    <w:pStyle w:val="53"/>
                    <w:spacing w:line="240" w:lineRule="auto"/>
                    <w:jc w:val="center"/>
                    <w:rPr>
                      <w:rFonts w:hint="eastAsia" w:asciiTheme="minorEastAsia" w:hAnsiTheme="minorEastAsia" w:eastAsiaTheme="minorEastAsia" w:cstheme="minorEastAsia"/>
                      <w:b/>
                      <w:bCs/>
                      <w:color w:val="auto"/>
                      <w:szCs w:val="21"/>
                    </w:rPr>
                  </w:pPr>
                  <w:bookmarkStart w:id="11" w:name="_Hlk68887236"/>
                  <w:r>
                    <w:rPr>
                      <w:rFonts w:hint="eastAsia" w:asciiTheme="minorEastAsia" w:hAnsiTheme="minorEastAsia" w:eastAsiaTheme="minorEastAsia" w:cstheme="minorEastAsia"/>
                      <w:b/>
                      <w:bCs/>
                      <w:color w:val="auto"/>
                      <w:szCs w:val="21"/>
                    </w:rPr>
                    <w:t>产污环节</w:t>
                  </w:r>
                </w:p>
              </w:tc>
              <w:tc>
                <w:tcPr>
                  <w:tcW w:w="2690" w:type="pct"/>
                  <w:tcBorders>
                    <w:tl2br w:val="nil"/>
                    <w:tr2bl w:val="nil"/>
                  </w:tcBorders>
                  <w:noWrap w:val="0"/>
                  <w:vAlign w:val="center"/>
                </w:tcPr>
                <w:p w14:paraId="72F6E1C9">
                  <w:pPr>
                    <w:pStyle w:val="53"/>
                    <w:spacing w:line="240" w:lineRule="auto"/>
                    <w:jc w:val="center"/>
                    <w:rPr>
                      <w:rFonts w:hint="eastAsia"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生活污水</w:t>
                  </w:r>
                </w:p>
              </w:tc>
            </w:tr>
            <w:tr w14:paraId="045FE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2309" w:type="pct"/>
                  <w:gridSpan w:val="2"/>
                  <w:tcBorders>
                    <w:tl2br w:val="nil"/>
                    <w:tr2bl w:val="nil"/>
                  </w:tcBorders>
                  <w:noWrap w:val="0"/>
                  <w:vAlign w:val="center"/>
                </w:tcPr>
                <w:p w14:paraId="14CCE487">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color w:val="auto"/>
                      <w:szCs w:val="21"/>
                    </w:rPr>
                    <w:t>废水产生量m</w:t>
                  </w:r>
                  <w:r>
                    <w:rPr>
                      <w:color w:val="auto"/>
                      <w:szCs w:val="21"/>
                      <w:vertAlign w:val="superscript"/>
                    </w:rPr>
                    <w:t>3</w:t>
                  </w:r>
                  <w:r>
                    <w:rPr>
                      <w:color w:val="auto"/>
                      <w:szCs w:val="21"/>
                    </w:rPr>
                    <w:t>/</w:t>
                  </w:r>
                  <w:r>
                    <w:rPr>
                      <w:rFonts w:hint="eastAsia"/>
                      <w:color w:val="auto"/>
                      <w:szCs w:val="21"/>
                    </w:rPr>
                    <w:t>a</w:t>
                  </w:r>
                </w:p>
              </w:tc>
              <w:tc>
                <w:tcPr>
                  <w:tcW w:w="2690" w:type="pct"/>
                  <w:tcBorders>
                    <w:tl2br w:val="nil"/>
                    <w:tr2bl w:val="nil"/>
                  </w:tcBorders>
                  <w:noWrap w:val="0"/>
                  <w:vAlign w:val="center"/>
                </w:tcPr>
                <w:p w14:paraId="01877489">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eastAsia="宋体"/>
                      <w:color w:val="auto"/>
                      <w:szCs w:val="21"/>
                      <w:lang w:val="en-US" w:eastAsia="zh-CN"/>
                    </w:rPr>
                  </w:pPr>
                  <w:r>
                    <w:rPr>
                      <w:rFonts w:hint="eastAsia"/>
                      <w:color w:val="auto"/>
                      <w:szCs w:val="21"/>
                      <w:lang w:val="en-US" w:eastAsia="zh-CN"/>
                    </w:rPr>
                    <w:t>160</w:t>
                  </w:r>
                </w:p>
              </w:tc>
            </w:tr>
            <w:tr w14:paraId="19186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trPr>
              <w:tc>
                <w:tcPr>
                  <w:tcW w:w="2309" w:type="pct"/>
                  <w:gridSpan w:val="2"/>
                  <w:tcBorders>
                    <w:tl2br w:val="nil"/>
                    <w:tr2bl w:val="nil"/>
                  </w:tcBorders>
                  <w:noWrap w:val="0"/>
                  <w:vAlign w:val="center"/>
                </w:tcPr>
                <w:p w14:paraId="048A9376">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污染物种类</w:t>
                  </w:r>
                </w:p>
              </w:tc>
              <w:tc>
                <w:tcPr>
                  <w:tcW w:w="2690" w:type="pct"/>
                  <w:tcBorders>
                    <w:tl2br w:val="nil"/>
                    <w:tr2bl w:val="nil"/>
                  </w:tcBorders>
                  <w:noWrap w:val="0"/>
                  <w:vAlign w:val="center"/>
                </w:tcPr>
                <w:p w14:paraId="74006751">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eastAsia="宋体"/>
                      <w:color w:val="auto"/>
                      <w:szCs w:val="21"/>
                      <w:lang w:val="en-US" w:eastAsia="zh-CN"/>
                    </w:rPr>
                  </w:pPr>
                  <w:r>
                    <w:rPr>
                      <w:rFonts w:hint="eastAsia"/>
                      <w:color w:val="auto"/>
                      <w:szCs w:val="21"/>
                    </w:rPr>
                    <w:t>COD、BOD</w:t>
                  </w:r>
                  <w:r>
                    <w:rPr>
                      <w:rFonts w:hint="eastAsia"/>
                      <w:color w:val="auto"/>
                      <w:szCs w:val="21"/>
                      <w:vertAlign w:val="subscript"/>
                    </w:rPr>
                    <w:t>5</w:t>
                  </w:r>
                  <w:r>
                    <w:rPr>
                      <w:rFonts w:hint="eastAsia"/>
                      <w:color w:val="auto"/>
                      <w:szCs w:val="21"/>
                    </w:rPr>
                    <w:t>、NH</w:t>
                  </w:r>
                  <w:r>
                    <w:rPr>
                      <w:rFonts w:hint="eastAsia"/>
                      <w:color w:val="auto"/>
                      <w:szCs w:val="21"/>
                      <w:vertAlign w:val="subscript"/>
                    </w:rPr>
                    <w:t>4</w:t>
                  </w:r>
                  <w:r>
                    <w:rPr>
                      <w:rFonts w:hint="eastAsia"/>
                      <w:color w:val="auto"/>
                      <w:szCs w:val="21"/>
                    </w:rPr>
                    <w:t>-N、SS、</w:t>
                  </w:r>
                  <w:r>
                    <w:rPr>
                      <w:rFonts w:hint="eastAsia"/>
                      <w:color w:val="auto"/>
                      <w:szCs w:val="21"/>
                      <w:lang w:val="en-US" w:eastAsia="zh-CN"/>
                    </w:rPr>
                    <w:t>PH</w:t>
                  </w:r>
                </w:p>
              </w:tc>
            </w:tr>
            <w:tr w14:paraId="17539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rPr>
              <w:tc>
                <w:tcPr>
                  <w:tcW w:w="2309" w:type="pct"/>
                  <w:gridSpan w:val="2"/>
                  <w:tcBorders>
                    <w:tl2br w:val="nil"/>
                    <w:tr2bl w:val="nil"/>
                  </w:tcBorders>
                  <w:noWrap w:val="0"/>
                  <w:vAlign w:val="center"/>
                </w:tcPr>
                <w:p w14:paraId="1CE7C683">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bookmarkStart w:id="12" w:name="_Hlk68796675"/>
                  <w:r>
                    <w:rPr>
                      <w:color w:val="auto"/>
                      <w:szCs w:val="21"/>
                    </w:rPr>
                    <w:t>污染物产生浓度mg/L</w:t>
                  </w:r>
                </w:p>
              </w:tc>
              <w:tc>
                <w:tcPr>
                  <w:tcW w:w="2690" w:type="pct"/>
                  <w:tcBorders>
                    <w:tl2br w:val="nil"/>
                    <w:tr2bl w:val="nil"/>
                  </w:tcBorders>
                  <w:noWrap w:val="0"/>
                  <w:vAlign w:val="center"/>
                </w:tcPr>
                <w:p w14:paraId="66910F67">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2AD8C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2309" w:type="pct"/>
                  <w:gridSpan w:val="2"/>
                  <w:tcBorders>
                    <w:tl2br w:val="nil"/>
                    <w:tr2bl w:val="nil"/>
                  </w:tcBorders>
                  <w:noWrap w:val="0"/>
                  <w:vAlign w:val="center"/>
                </w:tcPr>
                <w:p w14:paraId="28858E1C">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污染物产生量t/a</w:t>
                  </w:r>
                </w:p>
              </w:tc>
              <w:tc>
                <w:tcPr>
                  <w:tcW w:w="2690" w:type="pct"/>
                  <w:tcBorders>
                    <w:tl2br w:val="nil"/>
                    <w:tr2bl w:val="nil"/>
                  </w:tcBorders>
                  <w:noWrap w:val="0"/>
                  <w:vAlign w:val="center"/>
                </w:tcPr>
                <w:p w14:paraId="3353E4DC">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bookmarkEnd w:id="12"/>
            <w:tr w14:paraId="6FEDF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344" w:type="pct"/>
                  <w:vMerge w:val="restart"/>
                  <w:tcBorders>
                    <w:tl2br w:val="nil"/>
                    <w:tr2bl w:val="nil"/>
                  </w:tcBorders>
                  <w:noWrap w:val="0"/>
                  <w:vAlign w:val="center"/>
                </w:tcPr>
                <w:p w14:paraId="72430BD5">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污染治理设施</w:t>
                  </w:r>
                </w:p>
              </w:tc>
              <w:tc>
                <w:tcPr>
                  <w:tcW w:w="965" w:type="pct"/>
                  <w:tcBorders>
                    <w:tl2br w:val="nil"/>
                    <w:tr2bl w:val="nil"/>
                  </w:tcBorders>
                  <w:noWrap w:val="0"/>
                  <w:vAlign w:val="center"/>
                </w:tcPr>
                <w:p w14:paraId="1DF1991A">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设施编号</w:t>
                  </w:r>
                </w:p>
              </w:tc>
              <w:tc>
                <w:tcPr>
                  <w:tcW w:w="2690" w:type="pct"/>
                  <w:tcBorders>
                    <w:tl2br w:val="nil"/>
                    <w:tr2bl w:val="nil"/>
                  </w:tcBorders>
                  <w:noWrap w:val="0"/>
                  <w:vAlign w:val="center"/>
                </w:tcPr>
                <w:p w14:paraId="3B72E73B">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rFonts w:hint="eastAsia"/>
                      <w:color w:val="auto"/>
                      <w:szCs w:val="21"/>
                    </w:rPr>
                    <w:t>TW001</w:t>
                  </w:r>
                </w:p>
              </w:tc>
            </w:tr>
            <w:tr w14:paraId="3E5C0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344" w:type="pct"/>
                  <w:vMerge w:val="continue"/>
                  <w:tcBorders>
                    <w:tl2br w:val="nil"/>
                    <w:tr2bl w:val="nil"/>
                  </w:tcBorders>
                  <w:noWrap w:val="0"/>
                  <w:vAlign w:val="center"/>
                </w:tcPr>
                <w:p w14:paraId="3845E580">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38EC936A">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设施名称</w:t>
                  </w:r>
                </w:p>
              </w:tc>
              <w:tc>
                <w:tcPr>
                  <w:tcW w:w="2690" w:type="pct"/>
                  <w:tcBorders>
                    <w:tl2br w:val="nil"/>
                    <w:tr2bl w:val="nil"/>
                  </w:tcBorders>
                  <w:noWrap w:val="0"/>
                  <w:vAlign w:val="center"/>
                </w:tcPr>
                <w:p w14:paraId="6C2A2EC0">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化粪池</w:t>
                  </w:r>
                </w:p>
              </w:tc>
            </w:tr>
            <w:tr w14:paraId="2699EE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344" w:type="pct"/>
                  <w:vMerge w:val="continue"/>
                  <w:tcBorders>
                    <w:tl2br w:val="nil"/>
                    <w:tr2bl w:val="nil"/>
                  </w:tcBorders>
                  <w:noWrap w:val="0"/>
                  <w:vAlign w:val="center"/>
                </w:tcPr>
                <w:p w14:paraId="3F3D0A67">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72E3D929">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处理工艺</w:t>
                  </w:r>
                </w:p>
              </w:tc>
              <w:tc>
                <w:tcPr>
                  <w:tcW w:w="2690" w:type="pct"/>
                  <w:tcBorders>
                    <w:tl2br w:val="nil"/>
                    <w:tr2bl w:val="nil"/>
                  </w:tcBorders>
                  <w:noWrap w:val="0"/>
                  <w:vAlign w:val="center"/>
                </w:tcPr>
                <w:p w14:paraId="7F9D185C">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沉淀</w:t>
                  </w:r>
                </w:p>
              </w:tc>
            </w:tr>
            <w:tr w14:paraId="11141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344" w:type="pct"/>
                  <w:vMerge w:val="continue"/>
                  <w:tcBorders>
                    <w:tl2br w:val="nil"/>
                    <w:tr2bl w:val="nil"/>
                  </w:tcBorders>
                  <w:noWrap w:val="0"/>
                  <w:vAlign w:val="center"/>
                </w:tcPr>
                <w:p w14:paraId="25AD2D15">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0D3C38B8">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处理效率</w:t>
                  </w:r>
                </w:p>
              </w:tc>
              <w:tc>
                <w:tcPr>
                  <w:tcW w:w="2690" w:type="pct"/>
                  <w:tcBorders>
                    <w:tl2br w:val="nil"/>
                    <w:tr2bl w:val="nil"/>
                  </w:tcBorders>
                  <w:noWrap w:val="0"/>
                  <w:vAlign w:val="center"/>
                </w:tcPr>
                <w:p w14:paraId="5B416E07">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4EA4A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344" w:type="pct"/>
                  <w:vMerge w:val="continue"/>
                  <w:tcBorders>
                    <w:tl2br w:val="nil"/>
                    <w:tr2bl w:val="nil"/>
                  </w:tcBorders>
                  <w:noWrap w:val="0"/>
                  <w:vAlign w:val="center"/>
                </w:tcPr>
                <w:p w14:paraId="61C3214F">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p>
              </w:tc>
              <w:tc>
                <w:tcPr>
                  <w:tcW w:w="965" w:type="pct"/>
                  <w:tcBorders>
                    <w:tl2br w:val="nil"/>
                    <w:tr2bl w:val="nil"/>
                  </w:tcBorders>
                  <w:noWrap w:val="0"/>
                  <w:vAlign w:val="center"/>
                </w:tcPr>
                <w:p w14:paraId="766A1532">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是否可行</w:t>
                  </w:r>
                </w:p>
              </w:tc>
              <w:tc>
                <w:tcPr>
                  <w:tcW w:w="2690" w:type="pct"/>
                  <w:tcBorders>
                    <w:tl2br w:val="nil"/>
                    <w:tr2bl w:val="nil"/>
                  </w:tcBorders>
                  <w:noWrap w:val="0"/>
                  <w:vAlign w:val="center"/>
                </w:tcPr>
                <w:p w14:paraId="6C7A8892">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可行</w:t>
                  </w:r>
                </w:p>
              </w:tc>
            </w:tr>
            <w:tr w14:paraId="78F30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09" w:type="pct"/>
                  <w:gridSpan w:val="2"/>
                  <w:tcBorders>
                    <w:tl2br w:val="nil"/>
                    <w:tr2bl w:val="nil"/>
                  </w:tcBorders>
                  <w:noWrap w:val="0"/>
                  <w:vAlign w:val="center"/>
                </w:tcPr>
                <w:p w14:paraId="53749388">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color w:val="auto"/>
                      <w:szCs w:val="21"/>
                    </w:rPr>
                  </w:pPr>
                  <w:r>
                    <w:rPr>
                      <w:color w:val="auto"/>
                      <w:szCs w:val="21"/>
                    </w:rPr>
                    <w:t>污染物排放浓度</w:t>
                  </w:r>
                </w:p>
              </w:tc>
              <w:tc>
                <w:tcPr>
                  <w:tcW w:w="2690" w:type="pct"/>
                  <w:tcBorders>
                    <w:tl2br w:val="nil"/>
                    <w:tr2bl w:val="nil"/>
                  </w:tcBorders>
                  <w:noWrap w:val="0"/>
                  <w:vAlign w:val="center"/>
                </w:tcPr>
                <w:p w14:paraId="2ECD0D32">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w:t>
                  </w:r>
                </w:p>
              </w:tc>
            </w:tr>
            <w:tr w14:paraId="53B11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trPr>
              <w:tc>
                <w:tcPr>
                  <w:tcW w:w="2309" w:type="pct"/>
                  <w:gridSpan w:val="2"/>
                  <w:tcBorders>
                    <w:tl2br w:val="nil"/>
                    <w:tr2bl w:val="nil"/>
                  </w:tcBorders>
                  <w:noWrap w:val="0"/>
                  <w:vAlign w:val="center"/>
                </w:tcPr>
                <w:p w14:paraId="1BE04A56">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color w:val="auto"/>
                      <w:szCs w:val="21"/>
                    </w:rPr>
                    <w:t>废水排放量m</w:t>
                  </w:r>
                  <w:r>
                    <w:rPr>
                      <w:color w:val="auto"/>
                      <w:szCs w:val="21"/>
                      <w:vertAlign w:val="superscript"/>
                    </w:rPr>
                    <w:t>3</w:t>
                  </w:r>
                  <w:r>
                    <w:rPr>
                      <w:color w:val="auto"/>
                      <w:szCs w:val="21"/>
                    </w:rPr>
                    <w:t>/</w:t>
                  </w:r>
                  <w:r>
                    <w:rPr>
                      <w:rFonts w:hint="eastAsia"/>
                      <w:color w:val="auto"/>
                      <w:szCs w:val="21"/>
                    </w:rPr>
                    <w:t>a</w:t>
                  </w:r>
                </w:p>
              </w:tc>
              <w:tc>
                <w:tcPr>
                  <w:tcW w:w="2690" w:type="pct"/>
                  <w:tcBorders>
                    <w:tl2br w:val="nil"/>
                    <w:tr2bl w:val="nil"/>
                  </w:tcBorders>
                  <w:noWrap w:val="0"/>
                  <w:vAlign w:val="center"/>
                </w:tcPr>
                <w:p w14:paraId="2E386860">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eastAsia"/>
                      <w:color w:val="auto"/>
                      <w:szCs w:val="21"/>
                    </w:rPr>
                  </w:pPr>
                  <w:r>
                    <w:rPr>
                      <w:rFonts w:hint="eastAsia"/>
                      <w:color w:val="auto"/>
                      <w:szCs w:val="21"/>
                    </w:rPr>
                    <w:t>0（不外排）</w:t>
                  </w:r>
                </w:p>
              </w:tc>
            </w:tr>
            <w:tr w14:paraId="10E29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2309" w:type="pct"/>
                  <w:gridSpan w:val="2"/>
                  <w:tcBorders>
                    <w:tl2br w:val="nil"/>
                    <w:tr2bl w:val="nil"/>
                  </w:tcBorders>
                  <w:noWrap w:val="0"/>
                  <w:vAlign w:val="center"/>
                </w:tcPr>
                <w:p w14:paraId="7747FA6C">
                  <w:pPr>
                    <w:pStyle w:val="53"/>
                    <w:spacing w:line="240" w:lineRule="auto"/>
                    <w:jc w:val="center"/>
                    <w:rPr>
                      <w:color w:val="auto"/>
                      <w:szCs w:val="21"/>
                    </w:rPr>
                  </w:pPr>
                  <w:r>
                    <w:rPr>
                      <w:color w:val="auto"/>
                      <w:szCs w:val="21"/>
                    </w:rPr>
                    <w:t>污染物排放量t/a</w:t>
                  </w:r>
                </w:p>
              </w:tc>
              <w:tc>
                <w:tcPr>
                  <w:tcW w:w="2690" w:type="pct"/>
                  <w:tcBorders>
                    <w:tl2br w:val="nil"/>
                    <w:tr2bl w:val="nil"/>
                  </w:tcBorders>
                  <w:noWrap w:val="0"/>
                  <w:vAlign w:val="center"/>
                </w:tcPr>
                <w:p w14:paraId="38E8A165">
                  <w:pPr>
                    <w:pStyle w:val="53"/>
                    <w:spacing w:line="240" w:lineRule="auto"/>
                    <w:jc w:val="center"/>
                    <w:rPr>
                      <w:rFonts w:hint="eastAsia"/>
                      <w:color w:val="auto"/>
                      <w:szCs w:val="21"/>
                    </w:rPr>
                  </w:pPr>
                  <w:r>
                    <w:rPr>
                      <w:rFonts w:hint="eastAsia"/>
                      <w:color w:val="auto"/>
                      <w:szCs w:val="21"/>
                    </w:rPr>
                    <w:t>/</w:t>
                  </w:r>
                </w:p>
              </w:tc>
            </w:tr>
            <w:bookmarkEnd w:id="11"/>
          </w:tbl>
          <w:p w14:paraId="1D1087A6">
            <w:pPr>
              <w:keepNext w:val="0"/>
              <w:keepLines w:val="0"/>
              <w:pageBreakBefore w:val="0"/>
              <w:widowControl w:val="0"/>
              <w:kinsoku/>
              <w:wordWrap/>
              <w:overflowPunct/>
              <w:topLinePunct w:val="0"/>
              <w:autoSpaceDE/>
              <w:autoSpaceDN/>
              <w:bidi w:val="0"/>
              <w:adjustRightInd w:val="0"/>
              <w:snapToGrid w:val="0"/>
              <w:spacing w:before="120" w:line="360" w:lineRule="auto"/>
              <w:textAlignment w:val="auto"/>
              <w:rPr>
                <w:rFonts w:hint="default" w:ascii="Times New Roman" w:hAnsi="Times New Roman" w:eastAsia="宋体" w:cs="Times New Roman"/>
                <w:b/>
                <w:color w:val="auto"/>
                <w:kern w:val="0"/>
                <w:sz w:val="24"/>
                <w:szCs w:val="24"/>
                <w:lang w:val="en-US" w:eastAsia="zh-CN" w:bidi="en-US"/>
              </w:rPr>
            </w:pPr>
            <w:r>
              <w:rPr>
                <w:rFonts w:hint="eastAsia" w:ascii="Times New Roman" w:hAnsi="Times New Roman" w:eastAsia="宋体" w:cs="Times New Roman"/>
                <w:b/>
                <w:color w:val="auto"/>
                <w:kern w:val="0"/>
                <w:sz w:val="24"/>
                <w:szCs w:val="24"/>
                <w:lang w:val="en-US" w:eastAsia="zh-CN" w:bidi="en-US"/>
              </w:rPr>
              <w:t>2.2</w:t>
            </w:r>
            <w:r>
              <w:rPr>
                <w:rFonts w:hint="default" w:ascii="Times New Roman" w:hAnsi="Times New Roman" w:eastAsia="宋体" w:cs="Times New Roman"/>
                <w:b/>
                <w:color w:val="auto"/>
                <w:kern w:val="0"/>
                <w:sz w:val="24"/>
                <w:szCs w:val="24"/>
                <w:lang w:val="en-US" w:eastAsia="zh-CN" w:bidi="en-US"/>
              </w:rPr>
              <w:t>废水治理措施可行性分析</w:t>
            </w:r>
          </w:p>
          <w:p w14:paraId="2D2B8A61">
            <w:pPr>
              <w:adjustRightInd w:val="0"/>
              <w:snapToGrid w:val="0"/>
              <w:spacing w:line="360" w:lineRule="auto"/>
              <w:ind w:firstLine="380"/>
              <w:rPr>
                <w:bCs/>
                <w:color w:val="auto"/>
                <w:sz w:val="24"/>
              </w:rPr>
            </w:pPr>
            <w:r>
              <w:rPr>
                <w:rFonts w:hint="eastAsia"/>
                <w:bCs/>
                <w:color w:val="auto"/>
                <w:sz w:val="24"/>
              </w:rPr>
              <w:t>本</w:t>
            </w:r>
            <w:r>
              <w:rPr>
                <w:bCs/>
                <w:color w:val="auto"/>
                <w:sz w:val="24"/>
              </w:rPr>
              <w:t>项目废水依托现有化粪池</w:t>
            </w:r>
            <w:r>
              <w:rPr>
                <w:rFonts w:hint="eastAsia" w:ascii="Times New Roman" w:hAnsi="Times New Roman" w:eastAsia="宋体" w:cs="Times New Roman"/>
                <w:color w:val="auto"/>
                <w:kern w:val="0"/>
                <w:sz w:val="24"/>
                <w:szCs w:val="24"/>
                <w:highlight w:val="none"/>
                <w:lang w:val="en-US" w:eastAsia="zh-CN" w:bidi="en-US"/>
              </w:rPr>
              <w:t>（20.0m</w:t>
            </w:r>
            <w:r>
              <w:rPr>
                <w:rFonts w:hint="eastAsia" w:ascii="Times New Roman" w:hAnsi="Times New Roman" w:eastAsia="宋体" w:cs="Times New Roman"/>
                <w:color w:val="auto"/>
                <w:kern w:val="0"/>
                <w:sz w:val="24"/>
                <w:szCs w:val="24"/>
                <w:highlight w:val="none"/>
                <w:vertAlign w:val="superscript"/>
                <w:lang w:val="en-US" w:eastAsia="zh-CN" w:bidi="en-US"/>
              </w:rPr>
              <w:t>3</w:t>
            </w:r>
            <w:r>
              <w:rPr>
                <w:rFonts w:hint="eastAsia" w:ascii="Times New Roman" w:hAnsi="Times New Roman" w:eastAsia="宋体" w:cs="Times New Roman"/>
                <w:color w:val="auto"/>
                <w:kern w:val="0"/>
                <w:sz w:val="24"/>
                <w:szCs w:val="24"/>
                <w:highlight w:val="none"/>
                <w:lang w:val="en-US" w:eastAsia="zh-CN" w:bidi="en-US"/>
              </w:rPr>
              <w:t>）处理，化粪池位于厂房西侧，本项目废水量为160.0m</w:t>
            </w:r>
            <w:r>
              <w:rPr>
                <w:rFonts w:hint="eastAsia" w:ascii="Times New Roman" w:hAnsi="Times New Roman" w:eastAsia="宋体" w:cs="Times New Roman"/>
                <w:color w:val="auto"/>
                <w:kern w:val="0"/>
                <w:sz w:val="24"/>
                <w:szCs w:val="24"/>
                <w:highlight w:val="none"/>
                <w:vertAlign w:val="superscript"/>
                <w:lang w:val="en-US" w:eastAsia="zh-CN" w:bidi="en-US"/>
              </w:rPr>
              <w:t>3</w:t>
            </w:r>
            <w:r>
              <w:rPr>
                <w:rFonts w:hint="eastAsia" w:ascii="Times New Roman" w:hAnsi="Times New Roman" w:eastAsia="宋体" w:cs="Times New Roman"/>
                <w:color w:val="auto"/>
                <w:kern w:val="0"/>
                <w:sz w:val="24"/>
                <w:szCs w:val="24"/>
                <w:highlight w:val="none"/>
                <w:lang w:val="en-US" w:eastAsia="zh-CN" w:bidi="en-US"/>
              </w:rPr>
              <w:t xml:space="preserve"> /a，则日产生活污水0.53m</w:t>
            </w:r>
            <w:r>
              <w:rPr>
                <w:rFonts w:hint="eastAsia" w:ascii="Times New Roman" w:hAnsi="Times New Roman" w:eastAsia="宋体" w:cs="Times New Roman"/>
                <w:color w:val="auto"/>
                <w:kern w:val="0"/>
                <w:sz w:val="24"/>
                <w:szCs w:val="24"/>
                <w:highlight w:val="none"/>
                <w:vertAlign w:val="superscript"/>
                <w:lang w:val="en-US" w:eastAsia="zh-CN" w:bidi="en-US"/>
              </w:rPr>
              <w:t>3</w:t>
            </w:r>
            <w:r>
              <w:rPr>
                <w:rFonts w:hint="eastAsia" w:ascii="Times New Roman" w:hAnsi="Times New Roman" w:eastAsia="宋体" w:cs="Times New Roman"/>
                <w:color w:val="auto"/>
                <w:kern w:val="0"/>
                <w:sz w:val="24"/>
                <w:szCs w:val="24"/>
                <w:highlight w:val="none"/>
                <w:lang w:val="en-US" w:eastAsia="zh-CN" w:bidi="en-US"/>
              </w:rPr>
              <w:t>。</w:t>
            </w:r>
            <w:r>
              <w:rPr>
                <w:rFonts w:hint="eastAsia"/>
                <w:bCs/>
                <w:color w:val="auto"/>
                <w:sz w:val="24"/>
              </w:rPr>
              <w:t>根据企业提供资料，</w:t>
            </w:r>
            <w:r>
              <w:rPr>
                <w:rFonts w:hint="eastAsia"/>
                <w:bCs/>
                <w:color w:val="auto"/>
                <w:sz w:val="24"/>
                <w:lang w:eastAsia="zh-CN"/>
              </w:rPr>
              <w:t>废水停留半月后进行清掏用于周边农田施肥，</w:t>
            </w:r>
            <w:r>
              <w:rPr>
                <w:rFonts w:hint="eastAsia"/>
                <w:bCs/>
                <w:color w:val="auto"/>
                <w:sz w:val="24"/>
              </w:rPr>
              <w:t>因此化粪池</w:t>
            </w:r>
            <w:r>
              <w:rPr>
                <w:bCs/>
                <w:color w:val="auto"/>
                <w:sz w:val="24"/>
              </w:rPr>
              <w:t>有足够的容积接纳本项目废水，废水依托</w:t>
            </w:r>
            <w:r>
              <w:rPr>
                <w:rFonts w:hint="eastAsia"/>
                <w:bCs/>
                <w:color w:val="auto"/>
                <w:sz w:val="24"/>
              </w:rPr>
              <w:t>现有</w:t>
            </w:r>
            <w:r>
              <w:rPr>
                <w:bCs/>
                <w:color w:val="auto"/>
                <w:sz w:val="24"/>
              </w:rPr>
              <w:t>化粪池可行。且项目选址于</w:t>
            </w:r>
            <w:r>
              <w:rPr>
                <w:rFonts w:hint="eastAsia"/>
                <w:bCs/>
                <w:color w:val="auto"/>
                <w:sz w:val="24"/>
                <w:lang w:eastAsia="zh-CN"/>
              </w:rPr>
              <w:t>西咸新区泾河新城永乐园区工业密集区</w:t>
            </w:r>
            <w:r>
              <w:rPr>
                <w:bCs/>
                <w:color w:val="auto"/>
                <w:sz w:val="24"/>
              </w:rPr>
              <w:t>，周边有</w:t>
            </w:r>
            <w:r>
              <w:rPr>
                <w:rFonts w:hint="eastAsia"/>
                <w:bCs/>
                <w:color w:val="auto"/>
                <w:sz w:val="24"/>
                <w:lang w:eastAsia="zh-CN"/>
              </w:rPr>
              <w:t>农田</w:t>
            </w:r>
            <w:r>
              <w:rPr>
                <w:bCs/>
                <w:color w:val="auto"/>
                <w:sz w:val="24"/>
              </w:rPr>
              <w:t>耕地，项目产生的生活</w:t>
            </w:r>
            <w:r>
              <w:rPr>
                <w:rFonts w:hint="eastAsia"/>
                <w:bCs/>
                <w:color w:val="auto"/>
                <w:sz w:val="24"/>
              </w:rPr>
              <w:t>污水</w:t>
            </w:r>
            <w:r>
              <w:rPr>
                <w:bCs/>
                <w:color w:val="auto"/>
                <w:sz w:val="24"/>
              </w:rPr>
              <w:t>由当地农民拉运肥田，能够满足废水的消纳要求。</w:t>
            </w:r>
          </w:p>
          <w:p w14:paraId="206C1AD3">
            <w:pPr>
              <w:adjustRightInd w:val="0"/>
              <w:snapToGrid w:val="0"/>
              <w:spacing w:line="360" w:lineRule="auto"/>
              <w:ind w:firstLine="380"/>
              <w:rPr>
                <w:rFonts w:hint="default" w:ascii="Times New Roman" w:hAnsi="Times New Roman" w:cs="Times New Roman"/>
                <w:color w:val="auto"/>
                <w:sz w:val="24"/>
              </w:rPr>
            </w:pPr>
            <w:r>
              <w:rPr>
                <w:bCs/>
                <w:color w:val="auto"/>
                <w:sz w:val="24"/>
              </w:rPr>
              <w:t>综上，本项目废水不进入地表水体，对周围地表水环境影响较小。</w:t>
            </w:r>
            <w:r>
              <w:rPr>
                <w:rFonts w:hint="default" w:ascii="Times New Roman" w:hAnsi="Times New Roman" w:cs="Times New Roman"/>
                <w:color w:val="auto"/>
                <w:sz w:val="24"/>
              </w:rPr>
              <w:t>本项目运营期废水基本信息表见表4-</w:t>
            </w:r>
            <w:r>
              <w:rPr>
                <w:rFonts w:hint="eastAsia" w:ascii="Times New Roman" w:hAnsi="Times New Roman" w:cs="Times New Roman"/>
                <w:color w:val="auto"/>
                <w:sz w:val="24"/>
                <w:lang w:val="en-US" w:eastAsia="zh-CN"/>
              </w:rPr>
              <w:t>8。</w:t>
            </w:r>
          </w:p>
          <w:p w14:paraId="2B459E03">
            <w:pPr>
              <w:adjustRightInd w:val="0"/>
              <w:snapToGrid w:val="0"/>
              <w:spacing w:line="360" w:lineRule="auto"/>
              <w:ind w:firstLine="422" w:firstLineChars="200"/>
              <w:jc w:val="center"/>
              <w:rPr>
                <w:rFonts w:hint="default" w:ascii="Times New Roman" w:hAnsi="Times New Roman" w:cs="Times New Roman"/>
                <w:b/>
                <w:color w:val="auto"/>
                <w:szCs w:val="21"/>
              </w:rPr>
            </w:pPr>
            <w:r>
              <w:rPr>
                <w:rFonts w:hint="default" w:ascii="Times New Roman" w:hAnsi="Times New Roman" w:cs="Times New Roman"/>
                <w:b/>
                <w:color w:val="auto"/>
                <w:szCs w:val="21"/>
              </w:rPr>
              <w:t>表4-</w:t>
            </w:r>
            <w:r>
              <w:rPr>
                <w:rFonts w:hint="eastAsia" w:ascii="Times New Roman" w:hAnsi="Times New Roman" w:cs="Times New Roman"/>
                <w:b/>
                <w:color w:val="auto"/>
                <w:szCs w:val="21"/>
                <w:lang w:val="en-US" w:eastAsia="zh-CN"/>
              </w:rPr>
              <w:t>8</w:t>
            </w:r>
            <w:r>
              <w:rPr>
                <w:rFonts w:hint="default" w:ascii="Times New Roman" w:hAnsi="Times New Roman" w:cs="Times New Roman"/>
                <w:b/>
                <w:color w:val="auto"/>
                <w:szCs w:val="21"/>
              </w:rPr>
              <w:t xml:space="preserve">  废水类别、污染物及污染治理设施信息表</w:t>
            </w:r>
          </w:p>
          <w:tbl>
            <w:tblPr>
              <w:tblStyle w:val="25"/>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829"/>
              <w:gridCol w:w="1342"/>
              <w:gridCol w:w="685"/>
              <w:gridCol w:w="525"/>
              <w:gridCol w:w="672"/>
              <w:gridCol w:w="737"/>
              <w:gridCol w:w="767"/>
              <w:gridCol w:w="663"/>
              <w:gridCol w:w="865"/>
              <w:gridCol w:w="416"/>
            </w:tblGrid>
            <w:tr w14:paraId="47953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52" w:type="pct"/>
                  <w:vMerge w:val="restart"/>
                  <w:noWrap w:val="0"/>
                  <w:vAlign w:val="center"/>
                </w:tcPr>
                <w:p w14:paraId="7762BB1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524" w:type="pct"/>
                  <w:vMerge w:val="restart"/>
                  <w:noWrap w:val="0"/>
                  <w:vAlign w:val="center"/>
                </w:tcPr>
                <w:p w14:paraId="785CCC51">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废水类别</w:t>
                  </w:r>
                </w:p>
              </w:tc>
              <w:tc>
                <w:tcPr>
                  <w:tcW w:w="849" w:type="pct"/>
                  <w:vMerge w:val="restart"/>
                  <w:noWrap w:val="0"/>
                  <w:vAlign w:val="center"/>
                </w:tcPr>
                <w:p w14:paraId="71DFFB12">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污染物种类</w:t>
                  </w:r>
                </w:p>
              </w:tc>
              <w:tc>
                <w:tcPr>
                  <w:tcW w:w="433" w:type="pct"/>
                  <w:vMerge w:val="restart"/>
                  <w:noWrap w:val="0"/>
                  <w:vAlign w:val="center"/>
                </w:tcPr>
                <w:p w14:paraId="25ED569C">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c>
                <w:tcPr>
                  <w:tcW w:w="332" w:type="pct"/>
                  <w:vMerge w:val="restart"/>
                  <w:noWrap w:val="0"/>
                  <w:vAlign w:val="center"/>
                </w:tcPr>
                <w:p w14:paraId="630192F5">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排放规律</w:t>
                  </w:r>
                </w:p>
              </w:tc>
              <w:tc>
                <w:tcPr>
                  <w:tcW w:w="1376" w:type="pct"/>
                  <w:gridSpan w:val="3"/>
                  <w:noWrap w:val="0"/>
                  <w:vAlign w:val="center"/>
                </w:tcPr>
                <w:p w14:paraId="3998B7BE">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污染治理措施</w:t>
                  </w:r>
                </w:p>
              </w:tc>
              <w:tc>
                <w:tcPr>
                  <w:tcW w:w="419" w:type="pct"/>
                  <w:vMerge w:val="restart"/>
                  <w:noWrap w:val="0"/>
                  <w:vAlign w:val="center"/>
                </w:tcPr>
                <w:p w14:paraId="6FE1A044">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排放口编号</w:t>
                  </w:r>
                </w:p>
              </w:tc>
              <w:tc>
                <w:tcPr>
                  <w:tcW w:w="547" w:type="pct"/>
                  <w:vMerge w:val="restart"/>
                  <w:noWrap w:val="0"/>
                  <w:vAlign w:val="center"/>
                </w:tcPr>
                <w:p w14:paraId="0D22660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排放口设置是否符合要求</w:t>
                  </w:r>
                </w:p>
              </w:tc>
              <w:tc>
                <w:tcPr>
                  <w:tcW w:w="263" w:type="pct"/>
                  <w:vMerge w:val="restart"/>
                  <w:noWrap w:val="0"/>
                  <w:vAlign w:val="center"/>
                </w:tcPr>
                <w:p w14:paraId="0541737D">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排放口类型</w:t>
                  </w:r>
                </w:p>
              </w:tc>
            </w:tr>
            <w:tr w14:paraId="15067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252" w:type="pct"/>
                  <w:vMerge w:val="continue"/>
                  <w:noWrap w:val="0"/>
                  <w:vAlign w:val="center"/>
                </w:tcPr>
                <w:p w14:paraId="031EA95B">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p>
              </w:tc>
              <w:tc>
                <w:tcPr>
                  <w:tcW w:w="524" w:type="pct"/>
                  <w:vMerge w:val="continue"/>
                  <w:noWrap w:val="0"/>
                  <w:vAlign w:val="center"/>
                </w:tcPr>
                <w:p w14:paraId="0A571062">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p>
              </w:tc>
              <w:tc>
                <w:tcPr>
                  <w:tcW w:w="849" w:type="pct"/>
                  <w:vMerge w:val="continue"/>
                  <w:noWrap w:val="0"/>
                  <w:vAlign w:val="center"/>
                </w:tcPr>
                <w:p w14:paraId="666FD539">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p>
              </w:tc>
              <w:tc>
                <w:tcPr>
                  <w:tcW w:w="433" w:type="pct"/>
                  <w:vMerge w:val="continue"/>
                  <w:noWrap w:val="0"/>
                  <w:vAlign w:val="center"/>
                </w:tcPr>
                <w:p w14:paraId="23236E61">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p>
              </w:tc>
              <w:tc>
                <w:tcPr>
                  <w:tcW w:w="332" w:type="pct"/>
                  <w:vMerge w:val="continue"/>
                  <w:noWrap w:val="0"/>
                  <w:vAlign w:val="center"/>
                </w:tcPr>
                <w:p w14:paraId="72401A58">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p>
              </w:tc>
              <w:tc>
                <w:tcPr>
                  <w:tcW w:w="425" w:type="pct"/>
                  <w:noWrap w:val="0"/>
                  <w:vAlign w:val="center"/>
                </w:tcPr>
                <w:p w14:paraId="17C005AC">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污染治理措施编号</w:t>
                  </w:r>
                </w:p>
              </w:tc>
              <w:tc>
                <w:tcPr>
                  <w:tcW w:w="466" w:type="pct"/>
                  <w:noWrap w:val="0"/>
                  <w:vAlign w:val="center"/>
                </w:tcPr>
                <w:p w14:paraId="3F731F26">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污染治理措施名称</w:t>
                  </w:r>
                </w:p>
              </w:tc>
              <w:tc>
                <w:tcPr>
                  <w:tcW w:w="483" w:type="pct"/>
                  <w:noWrap w:val="0"/>
                  <w:vAlign w:val="center"/>
                </w:tcPr>
                <w:p w14:paraId="36CC0FA1">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污染治理措施工艺</w:t>
                  </w:r>
                </w:p>
              </w:tc>
              <w:tc>
                <w:tcPr>
                  <w:tcW w:w="419" w:type="pct"/>
                  <w:vMerge w:val="continue"/>
                  <w:noWrap w:val="0"/>
                  <w:vAlign w:val="center"/>
                </w:tcPr>
                <w:p w14:paraId="757D749E">
                  <w:pPr>
                    <w:adjustRightInd w:val="0"/>
                    <w:snapToGrid w:val="0"/>
                    <w:spacing w:line="240" w:lineRule="auto"/>
                    <w:ind w:firstLine="0" w:firstLineChars="0"/>
                    <w:jc w:val="center"/>
                    <w:rPr>
                      <w:rFonts w:hint="default" w:ascii="Times New Roman" w:hAnsi="Times New Roman" w:cs="Times New Roman"/>
                      <w:color w:val="auto"/>
                      <w:sz w:val="21"/>
                      <w:szCs w:val="21"/>
                    </w:rPr>
                  </w:pPr>
                </w:p>
              </w:tc>
              <w:tc>
                <w:tcPr>
                  <w:tcW w:w="547" w:type="pct"/>
                  <w:vMerge w:val="continue"/>
                  <w:noWrap w:val="0"/>
                  <w:vAlign w:val="center"/>
                </w:tcPr>
                <w:p w14:paraId="50626261">
                  <w:pPr>
                    <w:adjustRightInd w:val="0"/>
                    <w:snapToGrid w:val="0"/>
                    <w:spacing w:line="240" w:lineRule="auto"/>
                    <w:ind w:firstLine="0" w:firstLineChars="0"/>
                    <w:jc w:val="center"/>
                    <w:rPr>
                      <w:rFonts w:hint="default" w:ascii="Times New Roman" w:hAnsi="Times New Roman" w:cs="Times New Roman"/>
                      <w:color w:val="auto"/>
                      <w:sz w:val="21"/>
                      <w:szCs w:val="21"/>
                    </w:rPr>
                  </w:pPr>
                </w:p>
              </w:tc>
              <w:tc>
                <w:tcPr>
                  <w:tcW w:w="263" w:type="pct"/>
                  <w:vMerge w:val="continue"/>
                  <w:noWrap w:val="0"/>
                  <w:vAlign w:val="center"/>
                </w:tcPr>
                <w:p w14:paraId="755974DE">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14:paraId="12A13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2" w:type="pct"/>
                  <w:noWrap w:val="0"/>
                  <w:vAlign w:val="center"/>
                </w:tcPr>
                <w:p w14:paraId="09BE44B4">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auto"/>
                      <w:sz w:val="21"/>
                      <w:szCs w:val="21"/>
                      <w:lang w:val="en-US" w:eastAsia="zh-CN"/>
                    </w:rPr>
                    <w:t>1</w:t>
                  </w:r>
                </w:p>
              </w:tc>
              <w:tc>
                <w:tcPr>
                  <w:tcW w:w="524" w:type="pct"/>
                  <w:noWrap w:val="0"/>
                  <w:vAlign w:val="center"/>
                </w:tcPr>
                <w:p w14:paraId="56C0478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员工生活污水</w:t>
                  </w:r>
                </w:p>
              </w:tc>
              <w:tc>
                <w:tcPr>
                  <w:tcW w:w="849" w:type="pct"/>
                  <w:noWrap w:val="0"/>
                  <w:vAlign w:val="center"/>
                </w:tcPr>
                <w:p w14:paraId="321B0E15">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COD、BOD</w:t>
                  </w:r>
                  <w:r>
                    <w:rPr>
                      <w:rFonts w:hint="default" w:ascii="Times New Roman" w:hAnsi="Times New Roman" w:cs="Times New Roman"/>
                      <w:bCs/>
                      <w:color w:val="auto"/>
                      <w:sz w:val="21"/>
                      <w:szCs w:val="21"/>
                      <w:vertAlign w:val="subscript"/>
                    </w:rPr>
                    <w:t>5</w:t>
                  </w:r>
                  <w:r>
                    <w:rPr>
                      <w:rFonts w:hint="default" w:ascii="Times New Roman" w:hAnsi="Times New Roman" w:cs="Times New Roman"/>
                      <w:bCs/>
                      <w:color w:val="auto"/>
                      <w:sz w:val="21"/>
                      <w:szCs w:val="21"/>
                    </w:rPr>
                    <w:t>、SS、NH</w:t>
                  </w:r>
                  <w:r>
                    <w:rPr>
                      <w:rFonts w:hint="default" w:ascii="Times New Roman" w:hAnsi="Times New Roman" w:cs="Times New Roman"/>
                      <w:bCs/>
                      <w:color w:val="auto"/>
                      <w:sz w:val="21"/>
                      <w:szCs w:val="21"/>
                      <w:vertAlign w:val="subscript"/>
                    </w:rPr>
                    <w:t>3</w:t>
                  </w:r>
                  <w:r>
                    <w:rPr>
                      <w:rFonts w:hint="default" w:ascii="Times New Roman" w:hAnsi="Times New Roman" w:cs="Times New Roman"/>
                      <w:bCs/>
                      <w:color w:val="auto"/>
                      <w:sz w:val="21"/>
                      <w:szCs w:val="21"/>
                    </w:rPr>
                    <w:t>-N</w:t>
                  </w:r>
                  <w:r>
                    <w:rPr>
                      <w:rFonts w:hint="default" w:ascii="Times New Roman" w:hAnsi="Times New Roman" w:cs="Times New Roman"/>
                      <w:color w:val="auto"/>
                      <w:sz w:val="21"/>
                      <w:szCs w:val="21"/>
                    </w:rPr>
                    <w:t xml:space="preserve"> </w:t>
                  </w:r>
                </w:p>
              </w:tc>
              <w:tc>
                <w:tcPr>
                  <w:tcW w:w="433" w:type="pct"/>
                  <w:noWrap w:val="0"/>
                  <w:vAlign w:val="center"/>
                </w:tcPr>
                <w:p w14:paraId="4EDF9BE0">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不外排</w:t>
                  </w:r>
                </w:p>
              </w:tc>
              <w:tc>
                <w:tcPr>
                  <w:tcW w:w="332" w:type="pct"/>
                  <w:noWrap w:val="0"/>
                  <w:vAlign w:val="center"/>
                </w:tcPr>
                <w:p w14:paraId="55CC6473">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25" w:type="pct"/>
                  <w:noWrap w:val="0"/>
                  <w:vAlign w:val="center"/>
                </w:tcPr>
                <w:p w14:paraId="34146077">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466" w:type="pct"/>
                  <w:noWrap w:val="0"/>
                  <w:vAlign w:val="center"/>
                </w:tcPr>
                <w:p w14:paraId="29A7BBC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w:t>
                  </w:r>
                </w:p>
              </w:tc>
              <w:tc>
                <w:tcPr>
                  <w:tcW w:w="483" w:type="pct"/>
                  <w:noWrap w:val="0"/>
                  <w:vAlign w:val="center"/>
                </w:tcPr>
                <w:p w14:paraId="205C2C1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定期清掏</w:t>
                  </w:r>
                </w:p>
              </w:tc>
              <w:tc>
                <w:tcPr>
                  <w:tcW w:w="419" w:type="pct"/>
                  <w:noWrap w:val="0"/>
                  <w:vAlign w:val="center"/>
                </w:tcPr>
                <w:p w14:paraId="03D3138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无</w:t>
                  </w:r>
                  <w:r>
                    <w:rPr>
                      <w:rFonts w:hint="default" w:ascii="Times New Roman" w:hAnsi="Times New Roman" w:cs="Times New Roman"/>
                      <w:color w:val="auto"/>
                      <w:sz w:val="21"/>
                      <w:szCs w:val="21"/>
                    </w:rPr>
                    <w:t>排放口</w:t>
                  </w:r>
                </w:p>
              </w:tc>
              <w:tc>
                <w:tcPr>
                  <w:tcW w:w="547" w:type="pct"/>
                  <w:noWrap w:val="0"/>
                  <w:vAlign w:val="center"/>
                </w:tcPr>
                <w:p w14:paraId="3C02605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63" w:type="pct"/>
                  <w:noWrap w:val="0"/>
                  <w:vAlign w:val="center"/>
                </w:tcPr>
                <w:p w14:paraId="51E0596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bl>
          <w:p w14:paraId="37E3AF11">
            <w:pPr>
              <w:keepNext w:val="0"/>
              <w:keepLines w:val="0"/>
              <w:pageBreakBefore w:val="0"/>
              <w:widowControl w:val="0"/>
              <w:numPr>
                <w:ilvl w:val="0"/>
                <w:numId w:val="0"/>
              </w:numPr>
              <w:kinsoku/>
              <w:wordWrap/>
              <w:overflowPunct/>
              <w:topLinePunct w:val="0"/>
              <w:autoSpaceDE/>
              <w:autoSpaceDN/>
              <w:bidi w:val="0"/>
              <w:adjustRightInd w:val="0"/>
              <w:snapToGrid w:val="0"/>
              <w:spacing w:before="120" w:line="360" w:lineRule="auto"/>
              <w:ind w:leftChars="0"/>
              <w:textAlignment w:val="auto"/>
              <w:rPr>
                <w:rFonts w:hint="default" w:ascii="Times New Roman" w:hAnsi="Times New Roman" w:cs="Times New Roman"/>
                <w:b/>
                <w:bCs w:val="0"/>
                <w:color w:val="auto"/>
                <w:spacing w:val="-10"/>
                <w:sz w:val="24"/>
                <w:szCs w:val="24"/>
                <w:highlight w:val="none"/>
                <w:lang w:val="en-US" w:eastAsia="zh-CN"/>
              </w:rPr>
            </w:pPr>
            <w:r>
              <w:rPr>
                <w:rFonts w:hint="eastAsia" w:cs="Times New Roman"/>
                <w:b/>
                <w:bCs w:val="0"/>
                <w:color w:val="auto"/>
                <w:spacing w:val="-10"/>
                <w:sz w:val="24"/>
                <w:szCs w:val="24"/>
                <w:highlight w:val="none"/>
                <w:lang w:val="en-US" w:eastAsia="zh-CN"/>
              </w:rPr>
              <w:t>3、</w:t>
            </w:r>
            <w:r>
              <w:rPr>
                <w:rFonts w:hint="default" w:ascii="Times New Roman" w:hAnsi="Times New Roman" w:cs="Times New Roman"/>
                <w:b/>
                <w:bCs w:val="0"/>
                <w:color w:val="auto"/>
                <w:spacing w:val="-10"/>
                <w:sz w:val="24"/>
                <w:szCs w:val="24"/>
                <w:highlight w:val="none"/>
                <w:lang w:val="en-US" w:eastAsia="zh-CN"/>
              </w:rPr>
              <w:t>噪声</w:t>
            </w:r>
          </w:p>
          <w:p w14:paraId="0EF3CCB3">
            <w:pPr>
              <w:numPr>
                <w:ilvl w:val="0"/>
                <w:numId w:val="0"/>
              </w:numPr>
              <w:adjustRightInd w:val="0"/>
              <w:snapToGrid w:val="0"/>
              <w:spacing w:line="360" w:lineRule="auto"/>
              <w:ind w:leftChars="0"/>
              <w:rPr>
                <w:rFonts w:hint="default" w:ascii="Times New Roman" w:hAnsi="Times New Roman" w:cs="Times New Roman"/>
                <w:b/>
                <w:bCs w:val="0"/>
                <w:color w:val="auto"/>
                <w:spacing w:val="-10"/>
                <w:sz w:val="24"/>
                <w:szCs w:val="24"/>
                <w:highlight w:val="none"/>
                <w:lang w:val="en-US" w:eastAsia="zh-CN"/>
              </w:rPr>
            </w:pPr>
            <w:r>
              <w:rPr>
                <w:rFonts w:hint="default" w:ascii="Times New Roman" w:hAnsi="Times New Roman" w:cs="Times New Roman"/>
                <w:b/>
                <w:bCs w:val="0"/>
                <w:color w:val="auto"/>
                <w:spacing w:val="-10"/>
                <w:sz w:val="24"/>
                <w:szCs w:val="24"/>
                <w:highlight w:val="none"/>
                <w:lang w:val="en-US" w:eastAsia="zh-CN"/>
              </w:rPr>
              <w:t>3.1噪声源强</w:t>
            </w:r>
            <w:r>
              <w:rPr>
                <w:rFonts w:hint="default" w:ascii="Times New Roman" w:hAnsi="Times New Roman" w:cs="Times New Roman"/>
                <w:b/>
                <w:color w:val="auto"/>
                <w:sz w:val="24"/>
                <w:szCs w:val="32"/>
                <w:highlight w:val="none"/>
              </w:rPr>
              <w:t>及降噪措施</w:t>
            </w:r>
          </w:p>
          <w:p w14:paraId="19AAEE61">
            <w:pPr>
              <w:adjustRightInd w:val="0"/>
              <w:snapToGrid w:val="0"/>
              <w:spacing w:line="360" w:lineRule="auto"/>
              <w:ind w:firstLine="380"/>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lang w:val="en-US" w:eastAsia="zh-CN"/>
              </w:rPr>
              <w:t>本项目营运期的噪声主要来源于生产设施及环保措施风机等生产设备运行时产生的噪声，噪声源强在80-95dB（A）之间，噪声源强及治理措施见下表。</w:t>
            </w:r>
          </w:p>
          <w:p w14:paraId="762ED68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default" w:ascii="Times New Roman" w:hAnsi="Times New Roman" w:cs="Times New Roman" w:eastAsiaTheme="majorEastAsia"/>
                <w:b/>
                <w:bCs/>
                <w:color w:val="auto"/>
                <w:sz w:val="21"/>
                <w:szCs w:val="20"/>
                <w:lang w:val="en-US" w:eastAsia="zh-CN"/>
              </w:rPr>
            </w:pPr>
            <w:r>
              <w:rPr>
                <w:rFonts w:hint="default" w:ascii="Times New Roman" w:hAnsi="Times New Roman" w:cs="Times New Roman" w:eastAsiaTheme="majorEastAsia"/>
                <w:b/>
                <w:bCs/>
                <w:color w:val="auto"/>
                <w:sz w:val="21"/>
                <w:szCs w:val="20"/>
              </w:rPr>
              <w:t>表4-</w:t>
            </w:r>
            <w:r>
              <w:rPr>
                <w:rFonts w:hint="eastAsia" w:cs="Times New Roman" w:eastAsiaTheme="majorEastAsia"/>
                <w:b/>
                <w:bCs/>
                <w:color w:val="auto"/>
                <w:sz w:val="21"/>
                <w:szCs w:val="20"/>
                <w:lang w:val="en-US" w:eastAsia="zh-CN"/>
              </w:rPr>
              <w:t>9</w:t>
            </w:r>
            <w:r>
              <w:rPr>
                <w:rFonts w:hint="default" w:ascii="Times New Roman" w:hAnsi="Times New Roman" w:cs="Times New Roman" w:eastAsiaTheme="majorEastAsia"/>
                <w:b/>
                <w:bCs/>
                <w:color w:val="auto"/>
                <w:sz w:val="21"/>
                <w:szCs w:val="20"/>
              </w:rPr>
              <w:t xml:space="preserve">  工业企业噪声源强调查清单</w:t>
            </w:r>
            <w:r>
              <w:rPr>
                <w:rFonts w:hint="default" w:ascii="Times New Roman" w:hAnsi="Times New Roman" w:cs="Times New Roman" w:eastAsiaTheme="majorEastAsia"/>
                <w:b/>
                <w:bCs/>
                <w:color w:val="auto"/>
                <w:sz w:val="21"/>
                <w:szCs w:val="20"/>
                <w:lang w:val="en-US" w:eastAsia="zh-CN"/>
              </w:rPr>
              <w:t>（室内声源）</w:t>
            </w:r>
          </w:p>
          <w:tbl>
            <w:tblPr>
              <w:tblStyle w:val="25"/>
              <w:tblW w:w="499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0"/>
              <w:gridCol w:w="659"/>
              <w:gridCol w:w="591"/>
              <w:gridCol w:w="658"/>
              <w:gridCol w:w="527"/>
              <w:gridCol w:w="512"/>
              <w:gridCol w:w="471"/>
              <w:gridCol w:w="754"/>
              <w:gridCol w:w="770"/>
              <w:gridCol w:w="651"/>
              <w:gridCol w:w="668"/>
              <w:gridCol w:w="612"/>
              <w:gridCol w:w="591"/>
            </w:tblGrid>
            <w:tr w14:paraId="5F6D2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restart"/>
                  <w:noWrap w:val="0"/>
                  <w:vAlign w:val="center"/>
                </w:tcPr>
                <w:p w14:paraId="7653AE33">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建筑物名称</w:t>
                  </w:r>
                </w:p>
              </w:tc>
              <w:tc>
                <w:tcPr>
                  <w:tcW w:w="417" w:type="pct"/>
                  <w:vMerge w:val="restart"/>
                  <w:noWrap w:val="0"/>
                  <w:vAlign w:val="center"/>
                </w:tcPr>
                <w:p w14:paraId="7EBD6AC6">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r>
                    <w:rPr>
                      <w:rFonts w:hint="default" w:ascii="Times New Roman" w:hAnsi="Times New Roman" w:eastAsia="宋体" w:cs="Times New Roman"/>
                      <w:b/>
                      <w:bCs w:val="0"/>
                      <w:color w:val="auto"/>
                      <w:kern w:val="2"/>
                      <w:highlight w:val="none"/>
                    </w:rPr>
                    <w:t>设备名称</w:t>
                  </w:r>
                </w:p>
              </w:tc>
              <w:tc>
                <w:tcPr>
                  <w:tcW w:w="374" w:type="pct"/>
                  <w:vMerge w:val="restart"/>
                  <w:noWrap w:val="0"/>
                  <w:vAlign w:val="center"/>
                </w:tcPr>
                <w:p w14:paraId="2615D14E">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eastAsia="宋体" w:cs="Times New Roman"/>
                      <w:b/>
                      <w:bCs w:val="0"/>
                      <w:color w:val="auto"/>
                      <w:kern w:val="2"/>
                      <w:highlight w:val="none"/>
                      <w:lang w:eastAsia="zh-CN"/>
                    </w:rPr>
                    <w:t>处理前噪声</w:t>
                  </w:r>
                  <w:r>
                    <w:rPr>
                      <w:rFonts w:hint="default" w:ascii="Times New Roman" w:hAnsi="Times New Roman" w:eastAsia="宋体" w:cs="Times New Roman"/>
                      <w:b/>
                      <w:bCs w:val="0"/>
                      <w:color w:val="auto"/>
                      <w:kern w:val="2"/>
                      <w:highlight w:val="none"/>
                      <w:lang w:val="en-US" w:eastAsia="zh-CN"/>
                    </w:rPr>
                    <w:t>dB</w:t>
                  </w:r>
                  <w:r>
                    <w:rPr>
                      <w:rFonts w:hint="default" w:ascii="Times New Roman" w:hAnsi="Times New Roman" w:cs="Times New Roman"/>
                      <w:b/>
                      <w:bCs w:val="0"/>
                      <w:color w:val="auto"/>
                      <w:kern w:val="2"/>
                      <w:highlight w:val="none"/>
                      <w:lang w:val="en-US" w:eastAsia="zh-CN"/>
                    </w:rPr>
                    <w:t>（</w:t>
                  </w:r>
                  <w:r>
                    <w:rPr>
                      <w:rFonts w:hint="default" w:ascii="Times New Roman" w:hAnsi="Times New Roman" w:eastAsia="宋体" w:cs="Times New Roman"/>
                      <w:b/>
                      <w:bCs w:val="0"/>
                      <w:color w:val="auto"/>
                      <w:kern w:val="2"/>
                      <w:highlight w:val="none"/>
                      <w:lang w:val="en-US" w:eastAsia="zh-CN"/>
                    </w:rPr>
                    <w:t>A</w:t>
                  </w:r>
                  <w:r>
                    <w:rPr>
                      <w:rFonts w:hint="default" w:ascii="Times New Roman" w:hAnsi="Times New Roman" w:cs="Times New Roman"/>
                      <w:b/>
                      <w:bCs w:val="0"/>
                      <w:color w:val="auto"/>
                      <w:kern w:val="2"/>
                      <w:highlight w:val="none"/>
                      <w:lang w:val="en-US" w:eastAsia="zh-CN"/>
                    </w:rPr>
                    <w:t>）</w:t>
                  </w:r>
                </w:p>
              </w:tc>
              <w:tc>
                <w:tcPr>
                  <w:tcW w:w="416" w:type="pct"/>
                  <w:vMerge w:val="restart"/>
                  <w:noWrap w:val="0"/>
                  <w:vAlign w:val="center"/>
                </w:tcPr>
                <w:p w14:paraId="1CF443E9">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b/>
                      <w:bCs w:val="0"/>
                      <w:color w:val="auto"/>
                      <w:kern w:val="2"/>
                      <w:highlight w:val="none"/>
                      <w:lang w:eastAsia="zh-CN"/>
                    </w:rPr>
                    <w:t>声源控制</w:t>
                  </w:r>
                  <w:r>
                    <w:rPr>
                      <w:rFonts w:hint="default" w:ascii="Times New Roman" w:hAnsi="Times New Roman" w:eastAsia="宋体" w:cs="Times New Roman"/>
                      <w:b/>
                      <w:bCs w:val="0"/>
                      <w:color w:val="auto"/>
                      <w:kern w:val="2"/>
                      <w:highlight w:val="none"/>
                      <w:lang w:eastAsia="zh-CN"/>
                    </w:rPr>
                    <w:t>措施</w:t>
                  </w:r>
                </w:p>
                <w:p w14:paraId="398B90B6">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956" w:type="pct"/>
                  <w:gridSpan w:val="3"/>
                  <w:noWrap w:val="0"/>
                  <w:vAlign w:val="center"/>
                </w:tcPr>
                <w:p w14:paraId="0A3A713C">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空间相对位置</w:t>
                  </w:r>
                  <w:r>
                    <w:rPr>
                      <w:rFonts w:hint="default" w:ascii="Times New Roman" w:hAnsi="Times New Roman" w:cs="Times New Roman"/>
                      <w:b/>
                      <w:bCs w:val="0"/>
                      <w:color w:val="auto"/>
                      <w:kern w:val="2"/>
                      <w:highlight w:val="none"/>
                      <w:lang w:val="en-US" w:eastAsia="zh-CN"/>
                    </w:rPr>
                    <w:t>/m</w:t>
                  </w:r>
                </w:p>
              </w:tc>
              <w:tc>
                <w:tcPr>
                  <w:tcW w:w="477" w:type="pct"/>
                  <w:vMerge w:val="restart"/>
                  <w:noWrap w:val="0"/>
                  <w:vAlign w:val="center"/>
                </w:tcPr>
                <w:p w14:paraId="32F520E5">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距室内边</w:t>
                  </w:r>
                </w:p>
                <w:p w14:paraId="0A05B776">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界距离/m</w:t>
                  </w:r>
                </w:p>
              </w:tc>
              <w:tc>
                <w:tcPr>
                  <w:tcW w:w="487" w:type="pct"/>
                  <w:vMerge w:val="restart"/>
                  <w:noWrap w:val="0"/>
                  <w:vAlign w:val="center"/>
                </w:tcPr>
                <w:p w14:paraId="5E0E9545">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室内边界声级</w:t>
                  </w:r>
                </w:p>
                <w:p w14:paraId="2AEE1732">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/dB（A）</w:t>
                  </w:r>
                </w:p>
              </w:tc>
              <w:tc>
                <w:tcPr>
                  <w:tcW w:w="412" w:type="pct"/>
                  <w:vMerge w:val="restart"/>
                  <w:noWrap w:val="0"/>
                  <w:vAlign w:val="center"/>
                </w:tcPr>
                <w:p w14:paraId="776D38A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b/>
                      <w:bCs w:val="0"/>
                      <w:color w:val="auto"/>
                      <w:kern w:val="2"/>
                      <w:highlight w:val="none"/>
                      <w:lang w:eastAsia="zh-CN"/>
                    </w:rPr>
                    <w:t>运行时段</w:t>
                  </w:r>
                </w:p>
                <w:p w14:paraId="17FE1348">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423" w:type="pct"/>
                  <w:vMerge w:val="restart"/>
                  <w:noWrap w:val="0"/>
                  <w:vAlign w:val="center"/>
                </w:tcPr>
                <w:p w14:paraId="5B696A11">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建筑物插入损失/dB</w:t>
                  </w:r>
                  <w:r>
                    <w:rPr>
                      <w:rFonts w:hint="default" w:ascii="Times New Roman" w:hAnsi="Times New Roman" w:cs="Times New Roman"/>
                      <w:b/>
                      <w:bCs w:val="0"/>
                      <w:color w:val="auto"/>
                      <w:kern w:val="2"/>
                      <w:highlight w:val="none"/>
                      <w:lang w:eastAsia="zh-CN"/>
                    </w:rPr>
                    <w:t>（</w:t>
                  </w:r>
                  <w:r>
                    <w:rPr>
                      <w:rFonts w:hint="default" w:ascii="Times New Roman" w:hAnsi="Times New Roman" w:eastAsia="宋体" w:cs="Times New Roman"/>
                      <w:b/>
                      <w:bCs w:val="0"/>
                      <w:color w:val="auto"/>
                      <w:kern w:val="2"/>
                      <w:highlight w:val="none"/>
                      <w:lang w:eastAsia="zh-CN"/>
                    </w:rPr>
                    <w:t>A</w:t>
                  </w:r>
                  <w:r>
                    <w:rPr>
                      <w:rFonts w:hint="default" w:ascii="Times New Roman" w:hAnsi="Times New Roman" w:cs="Times New Roman"/>
                      <w:b/>
                      <w:bCs w:val="0"/>
                      <w:color w:val="auto"/>
                      <w:kern w:val="2"/>
                      <w:highlight w:val="none"/>
                      <w:lang w:eastAsia="zh-CN"/>
                    </w:rPr>
                    <w:t>）</w:t>
                  </w:r>
                </w:p>
              </w:tc>
              <w:tc>
                <w:tcPr>
                  <w:tcW w:w="761" w:type="pct"/>
                  <w:gridSpan w:val="2"/>
                  <w:noWrap w:val="0"/>
                  <w:vAlign w:val="center"/>
                </w:tcPr>
                <w:p w14:paraId="57D4E4E4">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建筑物外噪声</w:t>
                  </w:r>
                </w:p>
              </w:tc>
            </w:tr>
            <w:tr w14:paraId="38120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72" w:type="pct"/>
                  <w:vMerge w:val="continue"/>
                  <w:noWrap w:val="0"/>
                  <w:vAlign w:val="center"/>
                </w:tcPr>
                <w:p w14:paraId="69B27A1C">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417" w:type="pct"/>
                  <w:vMerge w:val="continue"/>
                  <w:noWrap w:val="0"/>
                  <w:vAlign w:val="center"/>
                </w:tcPr>
                <w:p w14:paraId="3513DD56">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p>
              </w:tc>
              <w:tc>
                <w:tcPr>
                  <w:tcW w:w="374" w:type="pct"/>
                  <w:vMerge w:val="continue"/>
                  <w:noWrap w:val="0"/>
                  <w:vAlign w:val="center"/>
                </w:tcPr>
                <w:p w14:paraId="2038D23A">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16" w:type="pct"/>
                  <w:vMerge w:val="continue"/>
                  <w:noWrap w:val="0"/>
                  <w:vAlign w:val="center"/>
                </w:tcPr>
                <w:p w14:paraId="63F82DEA">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333" w:type="pct"/>
                  <w:noWrap w:val="0"/>
                  <w:vAlign w:val="center"/>
                </w:tcPr>
                <w:p w14:paraId="67310395">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X</w:t>
                  </w:r>
                </w:p>
              </w:tc>
              <w:tc>
                <w:tcPr>
                  <w:tcW w:w="324" w:type="pct"/>
                  <w:noWrap w:val="0"/>
                  <w:vAlign w:val="center"/>
                </w:tcPr>
                <w:p w14:paraId="3EF724A7">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Y</w:t>
                  </w:r>
                </w:p>
              </w:tc>
              <w:tc>
                <w:tcPr>
                  <w:tcW w:w="298" w:type="pct"/>
                  <w:noWrap w:val="0"/>
                  <w:vAlign w:val="center"/>
                </w:tcPr>
                <w:p w14:paraId="3466CBA9">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Z</w:t>
                  </w:r>
                </w:p>
              </w:tc>
              <w:tc>
                <w:tcPr>
                  <w:tcW w:w="477" w:type="pct"/>
                  <w:vMerge w:val="continue"/>
                  <w:noWrap w:val="0"/>
                  <w:vAlign w:val="center"/>
                </w:tcPr>
                <w:p w14:paraId="0767E762">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87" w:type="pct"/>
                  <w:vMerge w:val="continue"/>
                  <w:noWrap w:val="0"/>
                  <w:vAlign w:val="center"/>
                </w:tcPr>
                <w:p w14:paraId="542693EB">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12" w:type="pct"/>
                  <w:vMerge w:val="continue"/>
                  <w:noWrap w:val="0"/>
                  <w:vAlign w:val="center"/>
                </w:tcPr>
                <w:p w14:paraId="296F35A3">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23" w:type="pct"/>
                  <w:vMerge w:val="continue"/>
                  <w:noWrap w:val="0"/>
                  <w:vAlign w:val="center"/>
                </w:tcPr>
                <w:p w14:paraId="196D8B6A">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387" w:type="pct"/>
                  <w:noWrap w:val="0"/>
                  <w:vAlign w:val="center"/>
                </w:tcPr>
                <w:p w14:paraId="5A8DBF3B">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eastAsia="zh-CN"/>
                    </w:rPr>
                    <w:t>声压级</w:t>
                  </w:r>
                  <w:r>
                    <w:rPr>
                      <w:rFonts w:hint="default" w:ascii="Times New Roman" w:hAnsi="Times New Roman" w:cs="Times New Roman"/>
                      <w:b/>
                      <w:bCs w:val="0"/>
                      <w:color w:val="auto"/>
                      <w:kern w:val="2"/>
                      <w:highlight w:val="none"/>
                      <w:lang w:val="en-US" w:eastAsia="zh-CN"/>
                    </w:rPr>
                    <w:t>/</w:t>
                  </w:r>
                  <w:r>
                    <w:rPr>
                      <w:rFonts w:hint="default" w:ascii="Times New Roman" w:hAnsi="Times New Roman" w:eastAsia="宋体" w:cs="Times New Roman"/>
                      <w:b/>
                      <w:bCs w:val="0"/>
                      <w:color w:val="auto"/>
                      <w:kern w:val="2"/>
                      <w:highlight w:val="none"/>
                      <w:lang w:eastAsia="zh-CN"/>
                    </w:rPr>
                    <w:t>dB</w:t>
                  </w:r>
                  <w:r>
                    <w:rPr>
                      <w:rFonts w:hint="default" w:ascii="Times New Roman" w:hAnsi="Times New Roman" w:cs="Times New Roman"/>
                      <w:b/>
                      <w:bCs w:val="0"/>
                      <w:color w:val="auto"/>
                      <w:kern w:val="2"/>
                      <w:highlight w:val="none"/>
                      <w:lang w:eastAsia="zh-CN"/>
                    </w:rPr>
                    <w:t>（</w:t>
                  </w:r>
                  <w:r>
                    <w:rPr>
                      <w:rFonts w:hint="default" w:ascii="Times New Roman" w:hAnsi="Times New Roman" w:eastAsia="宋体" w:cs="Times New Roman"/>
                      <w:b/>
                      <w:bCs w:val="0"/>
                      <w:color w:val="auto"/>
                      <w:kern w:val="2"/>
                      <w:highlight w:val="none"/>
                      <w:lang w:eastAsia="zh-CN"/>
                    </w:rPr>
                    <w:t>A</w:t>
                  </w:r>
                  <w:r>
                    <w:rPr>
                      <w:rFonts w:hint="default" w:ascii="Times New Roman" w:hAnsi="Times New Roman" w:cs="Times New Roman"/>
                      <w:b/>
                      <w:bCs w:val="0"/>
                      <w:color w:val="auto"/>
                      <w:kern w:val="2"/>
                      <w:highlight w:val="none"/>
                      <w:lang w:eastAsia="zh-CN"/>
                    </w:rPr>
                    <w:t>）</w:t>
                  </w:r>
                </w:p>
              </w:tc>
              <w:tc>
                <w:tcPr>
                  <w:tcW w:w="374" w:type="pct"/>
                  <w:noWrap w:val="0"/>
                  <w:vAlign w:val="center"/>
                </w:tcPr>
                <w:p w14:paraId="02B96A9B">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eastAsia="宋体" w:cs="Times New Roman"/>
                      <w:b/>
                      <w:bCs w:val="0"/>
                      <w:color w:val="auto"/>
                      <w:kern w:val="2"/>
                      <w:highlight w:val="none"/>
                      <w:lang w:eastAsia="zh-CN"/>
                    </w:rPr>
                    <w:t>建筑物外距离m</w:t>
                  </w:r>
                </w:p>
              </w:tc>
            </w:tr>
            <w:tr w14:paraId="5042E8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jc w:val="center"/>
              </w:trPr>
              <w:tc>
                <w:tcPr>
                  <w:tcW w:w="272" w:type="pct"/>
                  <w:vMerge w:val="restart"/>
                  <w:noWrap w:val="0"/>
                  <w:vAlign w:val="center"/>
                </w:tcPr>
                <w:p w14:paraId="0869A44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生产</w:t>
                  </w:r>
                  <w:r>
                    <w:rPr>
                      <w:rFonts w:hint="eastAsia" w:cs="Times New Roman"/>
                      <w:b w:val="0"/>
                      <w:bCs w:val="0"/>
                      <w:color w:val="auto"/>
                      <w:lang w:val="en-US" w:eastAsia="zh-CN"/>
                    </w:rPr>
                    <w:t>厂房</w:t>
                  </w:r>
                </w:p>
              </w:tc>
              <w:tc>
                <w:tcPr>
                  <w:tcW w:w="417" w:type="pct"/>
                  <w:noWrap w:val="0"/>
                  <w:vAlign w:val="center"/>
                </w:tcPr>
                <w:p w14:paraId="457C76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74C20F34">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restart"/>
                  <w:noWrap w:val="0"/>
                  <w:vAlign w:val="center"/>
                </w:tcPr>
                <w:p w14:paraId="1C2ED5F7">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eastAsia="zh-CN"/>
                    </w:rPr>
                    <w:t>低噪声设备、安装减振基座、</w:t>
                  </w:r>
                  <w:r>
                    <w:rPr>
                      <w:rFonts w:hint="default" w:ascii="Times New Roman" w:hAnsi="Times New Roman" w:cs="Times New Roman"/>
                      <w:b w:val="0"/>
                      <w:bCs w:val="0"/>
                      <w:color w:val="auto"/>
                    </w:rPr>
                    <w:t>室内布置</w:t>
                  </w:r>
                  <w:r>
                    <w:rPr>
                      <w:rFonts w:hint="default" w:ascii="Times New Roman" w:hAnsi="Times New Roman" w:cs="Times New Roman"/>
                      <w:b w:val="0"/>
                      <w:bCs w:val="0"/>
                      <w:color w:val="auto"/>
                      <w:lang w:eastAsia="zh-CN"/>
                    </w:rPr>
                    <w:t>，加强维护保养</w:t>
                  </w:r>
                  <w:r>
                    <w:rPr>
                      <w:rFonts w:hint="eastAsia" w:cs="Times New Roman"/>
                      <w:b w:val="0"/>
                      <w:bCs w:val="0"/>
                      <w:color w:val="auto"/>
                      <w:lang w:eastAsia="zh-CN"/>
                    </w:rPr>
                    <w:t>。</w:t>
                  </w:r>
                </w:p>
              </w:tc>
              <w:tc>
                <w:tcPr>
                  <w:tcW w:w="333" w:type="pct"/>
                  <w:noWrap w:val="0"/>
                  <w:vAlign w:val="center"/>
                </w:tcPr>
                <w:p w14:paraId="16484B4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w:t>
                  </w:r>
                </w:p>
              </w:tc>
              <w:tc>
                <w:tcPr>
                  <w:tcW w:w="324" w:type="pct"/>
                  <w:noWrap w:val="0"/>
                  <w:vAlign w:val="center"/>
                </w:tcPr>
                <w:p w14:paraId="24AC512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21</w:t>
                  </w:r>
                </w:p>
              </w:tc>
              <w:tc>
                <w:tcPr>
                  <w:tcW w:w="298" w:type="pct"/>
                  <w:noWrap w:val="0"/>
                  <w:vAlign w:val="center"/>
                </w:tcPr>
                <w:p w14:paraId="744BC52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1</w:t>
                  </w:r>
                </w:p>
              </w:tc>
              <w:tc>
                <w:tcPr>
                  <w:tcW w:w="477" w:type="pct"/>
                  <w:noWrap w:val="0"/>
                  <w:vAlign w:val="center"/>
                </w:tcPr>
                <w:p w14:paraId="140C5A6A">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w:t>
                  </w:r>
                </w:p>
              </w:tc>
              <w:tc>
                <w:tcPr>
                  <w:tcW w:w="487" w:type="pct"/>
                  <w:noWrap w:val="0"/>
                  <w:vAlign w:val="center"/>
                </w:tcPr>
                <w:p w14:paraId="73E196B9">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71</w:t>
                  </w:r>
                </w:p>
              </w:tc>
              <w:tc>
                <w:tcPr>
                  <w:tcW w:w="412" w:type="pct"/>
                  <w:vMerge w:val="restart"/>
                  <w:noWrap w:val="0"/>
                  <w:vAlign w:val="center"/>
                </w:tcPr>
                <w:p w14:paraId="7CF161F5">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70D1B805">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65A7395B">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62DA272A">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21F0853E">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0E9C75AE">
                  <w:pPr>
                    <w:widowControl/>
                    <w:adjustRightInd w:val="0"/>
                    <w:snapToGrid w:val="0"/>
                    <w:spacing w:line="240" w:lineRule="auto"/>
                    <w:ind w:firstLine="0" w:firstLineChars="0"/>
                    <w:jc w:val="both"/>
                    <w:rPr>
                      <w:rFonts w:hint="eastAsia" w:ascii="Times New Roman" w:hAnsi="Times New Roman" w:cs="Times New Roman"/>
                      <w:bCs/>
                      <w:color w:val="auto"/>
                      <w:highlight w:val="none"/>
                      <w:lang w:val="en-US" w:eastAsia="zh-CN"/>
                    </w:rPr>
                  </w:pPr>
                </w:p>
                <w:p w14:paraId="2AB4CD00">
                  <w:pPr>
                    <w:widowControl/>
                    <w:adjustRightInd w:val="0"/>
                    <w:snapToGrid w:val="0"/>
                    <w:spacing w:line="240" w:lineRule="auto"/>
                    <w:ind w:firstLine="0" w:firstLineChars="0"/>
                    <w:jc w:val="both"/>
                    <w:rPr>
                      <w:rFonts w:hint="default" w:ascii="Times New Roman" w:hAnsi="Times New Roman" w:cs="Times New Roman"/>
                      <w:b w:val="0"/>
                      <w:bCs w:val="0"/>
                      <w:color w:val="auto"/>
                      <w:lang w:val="en-US" w:eastAsia="zh-CN"/>
                    </w:rPr>
                  </w:pPr>
                  <w:r>
                    <w:rPr>
                      <w:rFonts w:hint="eastAsia" w:cs="Times New Roman"/>
                      <w:bCs/>
                      <w:color w:val="auto"/>
                      <w:highlight w:val="none"/>
                      <w:lang w:val="en-US" w:eastAsia="zh-CN"/>
                    </w:rPr>
                    <w:t>8</w:t>
                  </w:r>
                  <w:r>
                    <w:rPr>
                      <w:rFonts w:hint="default" w:ascii="Times New Roman" w:hAnsi="Times New Roman" w:cs="Times New Roman"/>
                      <w:bCs/>
                      <w:color w:val="auto"/>
                      <w:highlight w:val="none"/>
                      <w:lang w:val="en-US" w:eastAsia="zh-CN"/>
                    </w:rPr>
                    <w:t>:00-2</w:t>
                  </w:r>
                  <w:r>
                    <w:rPr>
                      <w:rFonts w:hint="eastAsia" w:cs="Times New Roman"/>
                      <w:bCs/>
                      <w:color w:val="auto"/>
                      <w:highlight w:val="none"/>
                      <w:lang w:val="en-US" w:eastAsia="zh-CN"/>
                    </w:rPr>
                    <w:t>2</w:t>
                  </w:r>
                  <w:r>
                    <w:rPr>
                      <w:rFonts w:hint="default" w:ascii="Times New Roman" w:hAnsi="Times New Roman" w:cs="Times New Roman"/>
                      <w:bCs/>
                      <w:color w:val="auto"/>
                      <w:highlight w:val="none"/>
                      <w:lang w:val="en-US" w:eastAsia="zh-CN"/>
                    </w:rPr>
                    <w:t>:00</w:t>
                  </w:r>
                </w:p>
              </w:tc>
              <w:tc>
                <w:tcPr>
                  <w:tcW w:w="423" w:type="pct"/>
                  <w:noWrap w:val="0"/>
                  <w:vAlign w:val="center"/>
                </w:tcPr>
                <w:p w14:paraId="3418AD55">
                  <w:pPr>
                    <w:widowControl/>
                    <w:adjustRightInd w:val="0"/>
                    <w:snapToGrid w:val="0"/>
                    <w:spacing w:line="240" w:lineRule="auto"/>
                    <w:ind w:left="-63" w:leftChars="-30" w:right="-63" w:rightChars="-30" w:firstLine="0" w:firstLineChars="0"/>
                    <w:jc w:val="center"/>
                    <w:rPr>
                      <w:rFonts w:hint="default" w:ascii="Times New Roman" w:hAnsi="Times New Roman" w:cs="Times New Roman"/>
                      <w:b w:val="0"/>
                      <w:bCs w:val="0"/>
                      <w:color w:val="auto"/>
                      <w:highlight w:val="none"/>
                      <w:lang w:val="en-US" w:eastAsia="zh-CN"/>
                    </w:rPr>
                  </w:pPr>
                  <w:r>
                    <w:rPr>
                      <w:rFonts w:hint="eastAsia" w:cs="Times New Roman"/>
                      <w:b w:val="0"/>
                      <w:bCs w:val="0"/>
                      <w:color w:val="auto"/>
                      <w:highlight w:val="none"/>
                      <w:lang w:val="en-US" w:eastAsia="zh-CN"/>
                    </w:rPr>
                    <w:t>21</w:t>
                  </w:r>
                </w:p>
              </w:tc>
              <w:tc>
                <w:tcPr>
                  <w:tcW w:w="387" w:type="pct"/>
                  <w:noWrap w:val="0"/>
                  <w:vAlign w:val="center"/>
                </w:tcPr>
                <w:p w14:paraId="499BD50E">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50</w:t>
                  </w:r>
                </w:p>
              </w:tc>
              <w:tc>
                <w:tcPr>
                  <w:tcW w:w="374" w:type="pct"/>
                  <w:noWrap w:val="0"/>
                  <w:vAlign w:val="center"/>
                </w:tcPr>
                <w:p w14:paraId="0DF94A30">
                  <w:pPr>
                    <w:widowControl/>
                    <w:adjustRightInd w:val="0"/>
                    <w:snapToGrid w:val="0"/>
                    <w:spacing w:line="240" w:lineRule="auto"/>
                    <w:ind w:firstLine="0" w:firstLineChars="0"/>
                    <w:jc w:val="center"/>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1</w:t>
                  </w:r>
                </w:p>
              </w:tc>
            </w:tr>
            <w:tr w14:paraId="6F7E4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0" w:hRule="atLeast"/>
                <w:jc w:val="center"/>
              </w:trPr>
              <w:tc>
                <w:tcPr>
                  <w:tcW w:w="272" w:type="pct"/>
                  <w:vMerge w:val="continue"/>
                  <w:noWrap w:val="0"/>
                  <w:vAlign w:val="center"/>
                </w:tcPr>
                <w:p w14:paraId="471ABAE9">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p>
              </w:tc>
              <w:tc>
                <w:tcPr>
                  <w:tcW w:w="417" w:type="pct"/>
                  <w:noWrap w:val="0"/>
                  <w:vAlign w:val="center"/>
                </w:tcPr>
                <w:p w14:paraId="3F0CC6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45E1C426">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noWrap w:val="0"/>
                  <w:vAlign w:val="center"/>
                </w:tcPr>
                <w:p w14:paraId="6CEAB900">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333" w:type="pct"/>
                  <w:noWrap w:val="0"/>
                  <w:vAlign w:val="center"/>
                </w:tcPr>
                <w:p w14:paraId="2DB1CC8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25</w:t>
                  </w:r>
                </w:p>
              </w:tc>
              <w:tc>
                <w:tcPr>
                  <w:tcW w:w="324" w:type="pct"/>
                  <w:noWrap w:val="0"/>
                  <w:vAlign w:val="center"/>
                </w:tcPr>
                <w:p w14:paraId="2C00235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21</w:t>
                  </w:r>
                </w:p>
              </w:tc>
              <w:tc>
                <w:tcPr>
                  <w:tcW w:w="298" w:type="pct"/>
                  <w:noWrap w:val="0"/>
                  <w:vAlign w:val="center"/>
                </w:tcPr>
                <w:p w14:paraId="2A991B0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1</w:t>
                  </w:r>
                </w:p>
              </w:tc>
              <w:tc>
                <w:tcPr>
                  <w:tcW w:w="477" w:type="pct"/>
                  <w:noWrap w:val="0"/>
                  <w:vAlign w:val="center"/>
                </w:tcPr>
                <w:p w14:paraId="4733B7FF">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w:t>
                  </w:r>
                </w:p>
              </w:tc>
              <w:tc>
                <w:tcPr>
                  <w:tcW w:w="487" w:type="pct"/>
                  <w:noWrap w:val="0"/>
                  <w:vAlign w:val="center"/>
                </w:tcPr>
                <w:p w14:paraId="0B62F8D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71</w:t>
                  </w:r>
                </w:p>
              </w:tc>
              <w:tc>
                <w:tcPr>
                  <w:tcW w:w="412" w:type="pct"/>
                  <w:vMerge w:val="continue"/>
                  <w:noWrap w:val="0"/>
                  <w:vAlign w:val="center"/>
                </w:tcPr>
                <w:p w14:paraId="76933206">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p>
              </w:tc>
              <w:tc>
                <w:tcPr>
                  <w:tcW w:w="423" w:type="pct"/>
                  <w:shd w:val="clear" w:color="auto" w:fill="auto"/>
                  <w:noWrap w:val="0"/>
                  <w:vAlign w:val="center"/>
                </w:tcPr>
                <w:p w14:paraId="3BB1A79A">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4FADCA1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50</w:t>
                  </w:r>
                </w:p>
              </w:tc>
              <w:tc>
                <w:tcPr>
                  <w:tcW w:w="374" w:type="pct"/>
                  <w:noWrap w:val="0"/>
                  <w:vAlign w:val="center"/>
                </w:tcPr>
                <w:p w14:paraId="5835F048">
                  <w:pPr>
                    <w:widowControl/>
                    <w:adjustRightInd w:val="0"/>
                    <w:snapToGrid w:val="0"/>
                    <w:spacing w:line="240" w:lineRule="auto"/>
                    <w:ind w:firstLine="0" w:firstLineChars="0"/>
                    <w:jc w:val="center"/>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1</w:t>
                  </w:r>
                </w:p>
              </w:tc>
            </w:tr>
            <w:tr w14:paraId="1F6FF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1" w:hRule="atLeast"/>
                <w:jc w:val="center"/>
              </w:trPr>
              <w:tc>
                <w:tcPr>
                  <w:tcW w:w="272" w:type="pct"/>
                  <w:vMerge w:val="continue"/>
                  <w:noWrap w:val="0"/>
                  <w:vAlign w:val="center"/>
                </w:tcPr>
                <w:p w14:paraId="111A5152">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noWrap w:val="0"/>
                  <w:vAlign w:val="center"/>
                </w:tcPr>
                <w:p w14:paraId="726957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lang w:val="en-US" w:eastAsia="zh-CN"/>
                    </w:rPr>
                  </w:pPr>
                  <w:r>
                    <w:rPr>
                      <w:rFonts w:hint="eastAsia" w:ascii="宋体" w:hAnsi="宋体" w:eastAsia="宋体" w:cs="Times New Roman"/>
                      <w:color w:val="auto"/>
                      <w:kern w:val="2"/>
                      <w:sz w:val="21"/>
                      <w:szCs w:val="21"/>
                      <w:highlight w:val="none"/>
                      <w:lang w:val="en-US" w:eastAsia="zh-CN" w:bidi="ar-SA"/>
                    </w:rPr>
                    <w:t>注塑机</w:t>
                  </w:r>
                </w:p>
              </w:tc>
              <w:tc>
                <w:tcPr>
                  <w:tcW w:w="374" w:type="pct"/>
                  <w:noWrap w:val="0"/>
                  <w:vAlign w:val="center"/>
                </w:tcPr>
                <w:p w14:paraId="6E18DCA3">
                  <w:pPr>
                    <w:widowControl/>
                    <w:adjustRightInd w:val="0"/>
                    <w:snapToGrid w:val="0"/>
                    <w:spacing w:line="240" w:lineRule="auto"/>
                    <w:ind w:firstLine="0" w:firstLineChars="0"/>
                    <w:jc w:val="center"/>
                    <w:rPr>
                      <w:rFonts w:hint="default" w:ascii="Times New Roman" w:hAnsi="Times New Roman" w:cs="Times New Roman"/>
                      <w:b w:val="0"/>
                      <w:bCs w:val="0"/>
                      <w:color w:val="auto"/>
                      <w:lang w:val="en-US" w:eastAsia="zh-CN"/>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noWrap w:val="0"/>
                  <w:vAlign w:val="center"/>
                </w:tcPr>
                <w:p w14:paraId="4DB08E01">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333" w:type="pct"/>
                  <w:noWrap w:val="0"/>
                  <w:vAlign w:val="center"/>
                </w:tcPr>
                <w:p w14:paraId="47FDE1AD">
                  <w:pPr>
                    <w:widowControl/>
                    <w:adjustRightInd w:val="0"/>
                    <w:snapToGrid w:val="0"/>
                    <w:spacing w:line="240" w:lineRule="auto"/>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45</w:t>
                  </w:r>
                </w:p>
              </w:tc>
              <w:tc>
                <w:tcPr>
                  <w:tcW w:w="324" w:type="pct"/>
                  <w:noWrap w:val="0"/>
                  <w:vAlign w:val="center"/>
                </w:tcPr>
                <w:p w14:paraId="3764BA4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21</w:t>
                  </w:r>
                </w:p>
              </w:tc>
              <w:tc>
                <w:tcPr>
                  <w:tcW w:w="298" w:type="pct"/>
                  <w:noWrap w:val="0"/>
                  <w:vAlign w:val="center"/>
                </w:tcPr>
                <w:p w14:paraId="48B6DE23">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lang w:val="en-US" w:eastAsia="zh-CN"/>
                    </w:rPr>
                    <w:t>1</w:t>
                  </w:r>
                </w:p>
              </w:tc>
              <w:tc>
                <w:tcPr>
                  <w:tcW w:w="477" w:type="pct"/>
                  <w:noWrap w:val="0"/>
                  <w:vAlign w:val="center"/>
                </w:tcPr>
                <w:p w14:paraId="7D4D0143">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w:t>
                  </w:r>
                </w:p>
              </w:tc>
              <w:tc>
                <w:tcPr>
                  <w:tcW w:w="487" w:type="pct"/>
                  <w:noWrap w:val="0"/>
                  <w:vAlign w:val="center"/>
                </w:tcPr>
                <w:p w14:paraId="6C7B428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71</w:t>
                  </w:r>
                </w:p>
              </w:tc>
              <w:tc>
                <w:tcPr>
                  <w:tcW w:w="412" w:type="pct"/>
                  <w:vMerge w:val="continue"/>
                  <w:noWrap w:val="0"/>
                  <w:vAlign w:val="center"/>
                </w:tcPr>
                <w:p w14:paraId="2C69CCB9">
                  <w:pPr>
                    <w:widowControl/>
                    <w:adjustRightInd w:val="0"/>
                    <w:snapToGrid w:val="0"/>
                    <w:spacing w:line="240" w:lineRule="auto"/>
                    <w:ind w:firstLine="0" w:firstLineChars="0"/>
                    <w:jc w:val="center"/>
                    <w:rPr>
                      <w:rFonts w:hint="default" w:ascii="Times New Roman" w:hAnsi="Times New Roman" w:cs="Times New Roman"/>
                      <w:b w:val="0"/>
                      <w:bCs w:val="0"/>
                      <w:color w:val="auto"/>
                      <w:lang w:eastAsia="zh-CN"/>
                    </w:rPr>
                  </w:pPr>
                </w:p>
              </w:tc>
              <w:tc>
                <w:tcPr>
                  <w:tcW w:w="423" w:type="pct"/>
                  <w:shd w:val="clear" w:color="auto" w:fill="auto"/>
                  <w:noWrap w:val="0"/>
                  <w:vAlign w:val="center"/>
                </w:tcPr>
                <w:p w14:paraId="5D315C8F">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129CC8F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50</w:t>
                  </w:r>
                </w:p>
              </w:tc>
              <w:tc>
                <w:tcPr>
                  <w:tcW w:w="374" w:type="pct"/>
                  <w:noWrap w:val="0"/>
                  <w:vAlign w:val="center"/>
                </w:tcPr>
                <w:p w14:paraId="48198A0D">
                  <w:pPr>
                    <w:widowControl/>
                    <w:adjustRightInd w:val="0"/>
                    <w:snapToGrid w:val="0"/>
                    <w:spacing w:line="240" w:lineRule="auto"/>
                    <w:ind w:firstLine="0" w:firstLineChars="0"/>
                    <w:jc w:val="center"/>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val="en-US" w:eastAsia="zh-CN"/>
                    </w:rPr>
                    <w:t>1</w:t>
                  </w:r>
                </w:p>
              </w:tc>
            </w:tr>
            <w:tr w14:paraId="4BCED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jc w:val="center"/>
              </w:trPr>
              <w:tc>
                <w:tcPr>
                  <w:tcW w:w="272" w:type="pct"/>
                  <w:vMerge w:val="continue"/>
                  <w:noWrap w:val="0"/>
                  <w:vAlign w:val="center"/>
                </w:tcPr>
                <w:p w14:paraId="139BFC9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3E355C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注塑机</w:t>
                  </w:r>
                </w:p>
              </w:tc>
              <w:tc>
                <w:tcPr>
                  <w:tcW w:w="374" w:type="pct"/>
                  <w:shd w:val="clear" w:color="auto" w:fill="auto"/>
                  <w:noWrap w:val="0"/>
                  <w:vAlign w:val="center"/>
                </w:tcPr>
                <w:p w14:paraId="5FA0065D">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shd w:val="clear" w:color="auto" w:fill="auto"/>
                  <w:noWrap w:val="0"/>
                  <w:vAlign w:val="center"/>
                </w:tcPr>
                <w:p w14:paraId="02A21CE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61A3FE7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66</w:t>
                  </w:r>
                </w:p>
              </w:tc>
              <w:tc>
                <w:tcPr>
                  <w:tcW w:w="324" w:type="pct"/>
                  <w:shd w:val="clear" w:color="auto" w:fill="auto"/>
                  <w:noWrap w:val="0"/>
                  <w:vAlign w:val="center"/>
                </w:tcPr>
                <w:p w14:paraId="4C6B00A6">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298" w:type="pct"/>
                  <w:shd w:val="clear" w:color="auto" w:fill="auto"/>
                  <w:noWrap w:val="0"/>
                  <w:vAlign w:val="center"/>
                </w:tcPr>
                <w:p w14:paraId="6F061EC0">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eastAsia="宋体" w:cs="Times New Roman"/>
                      <w:b w:val="0"/>
                      <w:bCs w:val="0"/>
                      <w:color w:val="auto"/>
                      <w:highlight w:val="none"/>
                      <w:lang w:val="en-US" w:eastAsia="zh-CN"/>
                    </w:rPr>
                    <w:t>1</w:t>
                  </w:r>
                </w:p>
              </w:tc>
              <w:tc>
                <w:tcPr>
                  <w:tcW w:w="477" w:type="pct"/>
                  <w:shd w:val="clear" w:color="auto" w:fill="auto"/>
                  <w:noWrap w:val="0"/>
                  <w:vAlign w:val="center"/>
                </w:tcPr>
                <w:p w14:paraId="4513D7AF">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5</w:t>
                  </w:r>
                </w:p>
              </w:tc>
              <w:tc>
                <w:tcPr>
                  <w:tcW w:w="487" w:type="pct"/>
                  <w:shd w:val="clear" w:color="auto" w:fill="auto"/>
                  <w:noWrap w:val="0"/>
                  <w:vAlign w:val="center"/>
                </w:tcPr>
                <w:p w14:paraId="1D8FC790">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71</w:t>
                  </w:r>
                </w:p>
              </w:tc>
              <w:tc>
                <w:tcPr>
                  <w:tcW w:w="412" w:type="pct"/>
                  <w:vMerge w:val="continue"/>
                  <w:shd w:val="clear" w:color="auto" w:fill="auto"/>
                  <w:noWrap w:val="0"/>
                  <w:vAlign w:val="center"/>
                </w:tcPr>
                <w:p w14:paraId="7E205D73">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0197D8E1">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78F0946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50</w:t>
                  </w:r>
                </w:p>
              </w:tc>
              <w:tc>
                <w:tcPr>
                  <w:tcW w:w="374" w:type="pct"/>
                  <w:shd w:val="clear" w:color="auto" w:fill="auto"/>
                  <w:noWrap w:val="0"/>
                  <w:vAlign w:val="center"/>
                </w:tcPr>
                <w:p w14:paraId="5EC3341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cs="Times New Roman"/>
                      <w:b w:val="0"/>
                      <w:bCs w:val="0"/>
                      <w:color w:val="auto"/>
                      <w:highlight w:val="none"/>
                      <w:lang w:val="en-US" w:eastAsia="zh-CN"/>
                    </w:rPr>
                    <w:t>1</w:t>
                  </w:r>
                </w:p>
              </w:tc>
            </w:tr>
            <w:tr w14:paraId="24E48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9" w:hRule="atLeast"/>
                <w:jc w:val="center"/>
              </w:trPr>
              <w:tc>
                <w:tcPr>
                  <w:tcW w:w="272" w:type="pct"/>
                  <w:vMerge w:val="continue"/>
                  <w:noWrap w:val="0"/>
                  <w:vAlign w:val="center"/>
                </w:tcPr>
                <w:p w14:paraId="61F3976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094A9A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5C38E5B8">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shd w:val="clear" w:color="auto" w:fill="auto"/>
                  <w:noWrap w:val="0"/>
                  <w:vAlign w:val="center"/>
                </w:tcPr>
                <w:p w14:paraId="351DEAB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631088DF">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ascii="Times New Roman" w:hAnsi="Times New Roman" w:eastAsia="宋体" w:cs="Times New Roman"/>
                      <w:b w:val="0"/>
                      <w:bCs w:val="0"/>
                      <w:color w:val="auto"/>
                      <w:kern w:val="2"/>
                      <w:sz w:val="21"/>
                      <w:szCs w:val="24"/>
                      <w:highlight w:val="none"/>
                      <w:lang w:val="en-US" w:eastAsia="zh-CN" w:bidi="ar-SA"/>
                    </w:rPr>
                    <w:t>5</w:t>
                  </w:r>
                </w:p>
              </w:tc>
              <w:tc>
                <w:tcPr>
                  <w:tcW w:w="324" w:type="pct"/>
                  <w:shd w:val="clear" w:color="auto" w:fill="auto"/>
                  <w:noWrap w:val="0"/>
                  <w:vAlign w:val="center"/>
                </w:tcPr>
                <w:p w14:paraId="7D94C53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16</w:t>
                  </w:r>
                </w:p>
              </w:tc>
              <w:tc>
                <w:tcPr>
                  <w:tcW w:w="298" w:type="pct"/>
                  <w:shd w:val="clear" w:color="auto" w:fill="auto"/>
                  <w:noWrap w:val="0"/>
                  <w:vAlign w:val="center"/>
                </w:tcPr>
                <w:p w14:paraId="166766F2">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eastAsia="宋体" w:cs="Times New Roman"/>
                      <w:b w:val="0"/>
                      <w:bCs w:val="0"/>
                      <w:color w:val="auto"/>
                      <w:highlight w:val="none"/>
                      <w:lang w:val="en-US" w:eastAsia="zh-CN"/>
                    </w:rPr>
                    <w:t>1</w:t>
                  </w:r>
                </w:p>
              </w:tc>
              <w:tc>
                <w:tcPr>
                  <w:tcW w:w="477" w:type="pct"/>
                  <w:shd w:val="clear" w:color="auto" w:fill="auto"/>
                  <w:noWrap w:val="0"/>
                  <w:vAlign w:val="center"/>
                </w:tcPr>
                <w:p w14:paraId="0C56442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10</w:t>
                  </w:r>
                </w:p>
              </w:tc>
              <w:tc>
                <w:tcPr>
                  <w:tcW w:w="487" w:type="pct"/>
                  <w:shd w:val="clear" w:color="auto" w:fill="auto"/>
                  <w:noWrap w:val="0"/>
                  <w:vAlign w:val="center"/>
                </w:tcPr>
                <w:p w14:paraId="5765F834">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65</w:t>
                  </w:r>
                </w:p>
              </w:tc>
              <w:tc>
                <w:tcPr>
                  <w:tcW w:w="412" w:type="pct"/>
                  <w:vMerge w:val="continue"/>
                  <w:shd w:val="clear" w:color="auto" w:fill="auto"/>
                  <w:noWrap w:val="0"/>
                  <w:vAlign w:val="center"/>
                </w:tcPr>
                <w:p w14:paraId="04A8F68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3FCBCEE6">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4A01DC1A">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44</w:t>
                  </w:r>
                </w:p>
              </w:tc>
              <w:tc>
                <w:tcPr>
                  <w:tcW w:w="374" w:type="pct"/>
                  <w:shd w:val="clear" w:color="auto" w:fill="auto"/>
                  <w:noWrap w:val="0"/>
                  <w:vAlign w:val="center"/>
                </w:tcPr>
                <w:p w14:paraId="118219A5">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cs="Times New Roman"/>
                      <w:b w:val="0"/>
                      <w:bCs w:val="0"/>
                      <w:color w:val="auto"/>
                      <w:highlight w:val="none"/>
                      <w:lang w:val="en-US" w:eastAsia="zh-CN"/>
                    </w:rPr>
                    <w:t>1</w:t>
                  </w:r>
                </w:p>
              </w:tc>
            </w:tr>
            <w:tr w14:paraId="459D8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jc w:val="center"/>
              </w:trPr>
              <w:tc>
                <w:tcPr>
                  <w:tcW w:w="272" w:type="pct"/>
                  <w:vMerge w:val="continue"/>
                  <w:noWrap w:val="0"/>
                  <w:vAlign w:val="center"/>
                </w:tcPr>
                <w:p w14:paraId="20936C54">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49264D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7CE4CC2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shd w:val="clear" w:color="auto" w:fill="auto"/>
                  <w:noWrap w:val="0"/>
                  <w:vAlign w:val="center"/>
                </w:tcPr>
                <w:p w14:paraId="109CB42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5E5E704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ascii="Times New Roman" w:hAnsi="Times New Roman" w:eastAsia="宋体" w:cs="Times New Roman"/>
                      <w:b w:val="0"/>
                      <w:bCs w:val="0"/>
                      <w:color w:val="auto"/>
                      <w:highlight w:val="none"/>
                      <w:lang w:val="en-US" w:eastAsia="zh-CN"/>
                    </w:rPr>
                    <w:t>25</w:t>
                  </w:r>
                </w:p>
              </w:tc>
              <w:tc>
                <w:tcPr>
                  <w:tcW w:w="324" w:type="pct"/>
                  <w:shd w:val="clear" w:color="auto" w:fill="auto"/>
                  <w:noWrap w:val="0"/>
                  <w:vAlign w:val="center"/>
                </w:tcPr>
                <w:p w14:paraId="3147AF2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16</w:t>
                  </w:r>
                </w:p>
              </w:tc>
              <w:tc>
                <w:tcPr>
                  <w:tcW w:w="298" w:type="pct"/>
                  <w:shd w:val="clear" w:color="auto" w:fill="auto"/>
                  <w:noWrap w:val="0"/>
                  <w:vAlign w:val="center"/>
                </w:tcPr>
                <w:p w14:paraId="6E30237F">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eastAsia="宋体" w:cs="Times New Roman"/>
                      <w:b w:val="0"/>
                      <w:bCs w:val="0"/>
                      <w:color w:val="auto"/>
                      <w:highlight w:val="none"/>
                      <w:lang w:val="en-US" w:eastAsia="zh-CN"/>
                    </w:rPr>
                    <w:t>1</w:t>
                  </w:r>
                </w:p>
              </w:tc>
              <w:tc>
                <w:tcPr>
                  <w:tcW w:w="477" w:type="pct"/>
                  <w:shd w:val="clear" w:color="auto" w:fill="auto"/>
                  <w:noWrap w:val="0"/>
                  <w:vAlign w:val="center"/>
                </w:tcPr>
                <w:p w14:paraId="5CADDC8D">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10</w:t>
                  </w:r>
                </w:p>
              </w:tc>
              <w:tc>
                <w:tcPr>
                  <w:tcW w:w="487" w:type="pct"/>
                  <w:shd w:val="clear" w:color="auto" w:fill="auto"/>
                  <w:noWrap w:val="0"/>
                  <w:vAlign w:val="center"/>
                </w:tcPr>
                <w:p w14:paraId="46BF1283">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65</w:t>
                  </w:r>
                </w:p>
              </w:tc>
              <w:tc>
                <w:tcPr>
                  <w:tcW w:w="412" w:type="pct"/>
                  <w:vMerge w:val="continue"/>
                  <w:shd w:val="clear" w:color="auto" w:fill="auto"/>
                  <w:noWrap w:val="0"/>
                  <w:vAlign w:val="center"/>
                </w:tcPr>
                <w:p w14:paraId="43374994">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185FBDC7">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079FDF05">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44</w:t>
                  </w:r>
                </w:p>
              </w:tc>
              <w:tc>
                <w:tcPr>
                  <w:tcW w:w="374" w:type="pct"/>
                  <w:shd w:val="clear" w:color="auto" w:fill="auto"/>
                  <w:noWrap w:val="0"/>
                  <w:vAlign w:val="center"/>
                </w:tcPr>
                <w:p w14:paraId="19767AB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cs="Times New Roman"/>
                      <w:b w:val="0"/>
                      <w:bCs w:val="0"/>
                      <w:color w:val="auto"/>
                      <w:highlight w:val="none"/>
                      <w:lang w:val="en-US" w:eastAsia="zh-CN"/>
                    </w:rPr>
                    <w:t>1</w:t>
                  </w:r>
                </w:p>
              </w:tc>
            </w:tr>
            <w:tr w14:paraId="4BC78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1" w:hRule="atLeast"/>
                <w:jc w:val="center"/>
              </w:trPr>
              <w:tc>
                <w:tcPr>
                  <w:tcW w:w="272" w:type="pct"/>
                  <w:vMerge w:val="continue"/>
                  <w:noWrap w:val="0"/>
                  <w:vAlign w:val="center"/>
                </w:tcPr>
                <w:p w14:paraId="3E767817">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52ED69C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72D0A4D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shd w:val="clear" w:color="auto" w:fill="auto"/>
                  <w:noWrap w:val="0"/>
                  <w:vAlign w:val="center"/>
                </w:tcPr>
                <w:p w14:paraId="62DA284D">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413A6B3D">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45</w:t>
                  </w:r>
                </w:p>
              </w:tc>
              <w:tc>
                <w:tcPr>
                  <w:tcW w:w="324" w:type="pct"/>
                  <w:shd w:val="clear" w:color="auto" w:fill="auto"/>
                  <w:noWrap w:val="0"/>
                  <w:vAlign w:val="center"/>
                </w:tcPr>
                <w:p w14:paraId="682D00A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16</w:t>
                  </w:r>
                </w:p>
              </w:tc>
              <w:tc>
                <w:tcPr>
                  <w:tcW w:w="298" w:type="pct"/>
                  <w:shd w:val="clear" w:color="auto" w:fill="auto"/>
                  <w:noWrap w:val="0"/>
                  <w:vAlign w:val="center"/>
                </w:tcPr>
                <w:p w14:paraId="50C29C66">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eastAsia="宋体" w:cs="Times New Roman"/>
                      <w:b w:val="0"/>
                      <w:bCs w:val="0"/>
                      <w:color w:val="auto"/>
                      <w:highlight w:val="none"/>
                      <w:lang w:val="en-US" w:eastAsia="zh-CN"/>
                    </w:rPr>
                    <w:t>1</w:t>
                  </w:r>
                </w:p>
              </w:tc>
              <w:tc>
                <w:tcPr>
                  <w:tcW w:w="477" w:type="pct"/>
                  <w:shd w:val="clear" w:color="auto" w:fill="auto"/>
                  <w:noWrap w:val="0"/>
                  <w:vAlign w:val="center"/>
                </w:tcPr>
                <w:p w14:paraId="71BA8780">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10</w:t>
                  </w:r>
                </w:p>
              </w:tc>
              <w:tc>
                <w:tcPr>
                  <w:tcW w:w="487" w:type="pct"/>
                  <w:shd w:val="clear" w:color="auto" w:fill="auto"/>
                  <w:noWrap w:val="0"/>
                  <w:vAlign w:val="center"/>
                </w:tcPr>
                <w:p w14:paraId="4A96E068">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65</w:t>
                  </w:r>
                </w:p>
              </w:tc>
              <w:tc>
                <w:tcPr>
                  <w:tcW w:w="412" w:type="pct"/>
                  <w:vMerge w:val="continue"/>
                  <w:shd w:val="clear" w:color="auto" w:fill="auto"/>
                  <w:noWrap w:val="0"/>
                  <w:vAlign w:val="center"/>
                </w:tcPr>
                <w:p w14:paraId="30A94FF6">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36F477C5">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0B1BF5A5">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44</w:t>
                  </w:r>
                </w:p>
              </w:tc>
              <w:tc>
                <w:tcPr>
                  <w:tcW w:w="374" w:type="pct"/>
                  <w:shd w:val="clear" w:color="auto" w:fill="auto"/>
                  <w:noWrap w:val="0"/>
                  <w:vAlign w:val="center"/>
                </w:tcPr>
                <w:p w14:paraId="12E36AF7">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cs="Times New Roman"/>
                      <w:b w:val="0"/>
                      <w:bCs w:val="0"/>
                      <w:color w:val="auto"/>
                      <w:highlight w:val="none"/>
                      <w:lang w:val="en-US" w:eastAsia="zh-CN"/>
                    </w:rPr>
                    <w:t>1</w:t>
                  </w:r>
                </w:p>
              </w:tc>
            </w:tr>
            <w:tr w14:paraId="173C5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272" w:type="pct"/>
                  <w:vMerge w:val="continue"/>
                  <w:noWrap w:val="0"/>
                  <w:vAlign w:val="center"/>
                </w:tcPr>
                <w:p w14:paraId="5B9AB1C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417" w:type="pct"/>
                  <w:shd w:val="clear" w:color="auto" w:fill="auto"/>
                  <w:noWrap w:val="0"/>
                  <w:vAlign w:val="center"/>
                </w:tcPr>
                <w:p w14:paraId="7C2C6D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val="0"/>
                      <w:color w:val="auto"/>
                      <w:kern w:val="2"/>
                      <w:sz w:val="21"/>
                      <w:szCs w:val="24"/>
                      <w:lang w:val="en-US" w:eastAsia="zh-CN" w:bidi="ar-SA"/>
                    </w:rPr>
                  </w:pPr>
                  <w:r>
                    <w:rPr>
                      <w:rFonts w:hint="eastAsia" w:ascii="宋体" w:hAnsi="宋体" w:eastAsia="宋体" w:cs="Times New Roman"/>
                      <w:color w:val="auto"/>
                      <w:kern w:val="2"/>
                      <w:sz w:val="21"/>
                      <w:szCs w:val="21"/>
                      <w:highlight w:val="none"/>
                      <w:lang w:val="en-US" w:eastAsia="zh-CN" w:bidi="ar-SA"/>
                    </w:rPr>
                    <w:t>挤出机</w:t>
                  </w:r>
                </w:p>
              </w:tc>
              <w:tc>
                <w:tcPr>
                  <w:tcW w:w="374" w:type="pct"/>
                  <w:shd w:val="clear" w:color="auto" w:fill="auto"/>
                  <w:noWrap w:val="0"/>
                  <w:vAlign w:val="center"/>
                </w:tcPr>
                <w:p w14:paraId="744B9500">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default" w:ascii="Times New Roman" w:hAnsi="Times New Roman" w:cs="Times New Roman"/>
                      <w:color w:val="auto"/>
                      <w:szCs w:val="21"/>
                      <w:lang w:val="en-US" w:eastAsia="zh-CN"/>
                    </w:rPr>
                    <w:t>8</w:t>
                  </w:r>
                  <w:r>
                    <w:rPr>
                      <w:rFonts w:hint="eastAsia" w:cs="Times New Roman"/>
                      <w:color w:val="auto"/>
                      <w:szCs w:val="21"/>
                      <w:lang w:val="en-US" w:eastAsia="zh-CN"/>
                    </w:rPr>
                    <w:t>5</w:t>
                  </w:r>
                </w:p>
              </w:tc>
              <w:tc>
                <w:tcPr>
                  <w:tcW w:w="416" w:type="pct"/>
                  <w:vMerge w:val="continue"/>
                  <w:shd w:val="clear" w:color="auto" w:fill="auto"/>
                  <w:noWrap w:val="0"/>
                  <w:vAlign w:val="center"/>
                </w:tcPr>
                <w:p w14:paraId="00286647">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333" w:type="pct"/>
                  <w:shd w:val="clear" w:color="auto" w:fill="auto"/>
                  <w:noWrap w:val="0"/>
                  <w:vAlign w:val="center"/>
                </w:tcPr>
                <w:p w14:paraId="54D53300">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66</w:t>
                  </w:r>
                </w:p>
              </w:tc>
              <w:tc>
                <w:tcPr>
                  <w:tcW w:w="324" w:type="pct"/>
                  <w:shd w:val="clear" w:color="auto" w:fill="auto"/>
                  <w:noWrap w:val="0"/>
                  <w:vAlign w:val="center"/>
                </w:tcPr>
                <w:p w14:paraId="21AFB97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16</w:t>
                  </w:r>
                </w:p>
              </w:tc>
              <w:tc>
                <w:tcPr>
                  <w:tcW w:w="298" w:type="pct"/>
                  <w:shd w:val="clear" w:color="auto" w:fill="auto"/>
                  <w:noWrap w:val="0"/>
                  <w:vAlign w:val="center"/>
                </w:tcPr>
                <w:p w14:paraId="4A7111C3">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eastAsia="宋体" w:cs="Times New Roman"/>
                      <w:b w:val="0"/>
                      <w:bCs w:val="0"/>
                      <w:color w:val="auto"/>
                      <w:highlight w:val="none"/>
                      <w:lang w:val="en-US" w:eastAsia="zh-CN"/>
                    </w:rPr>
                    <w:t>1</w:t>
                  </w:r>
                </w:p>
              </w:tc>
              <w:tc>
                <w:tcPr>
                  <w:tcW w:w="477" w:type="pct"/>
                  <w:shd w:val="clear" w:color="auto" w:fill="auto"/>
                  <w:noWrap w:val="0"/>
                  <w:vAlign w:val="center"/>
                </w:tcPr>
                <w:p w14:paraId="394CDDA0">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10</w:t>
                  </w:r>
                </w:p>
              </w:tc>
              <w:tc>
                <w:tcPr>
                  <w:tcW w:w="487" w:type="pct"/>
                  <w:shd w:val="clear" w:color="auto" w:fill="auto"/>
                  <w:noWrap w:val="0"/>
                  <w:vAlign w:val="center"/>
                </w:tcPr>
                <w:p w14:paraId="019E72B7">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65</w:t>
                  </w:r>
                </w:p>
              </w:tc>
              <w:tc>
                <w:tcPr>
                  <w:tcW w:w="412" w:type="pct"/>
                  <w:vMerge w:val="continue"/>
                  <w:shd w:val="clear" w:color="auto" w:fill="auto"/>
                  <w:noWrap w:val="0"/>
                  <w:vAlign w:val="center"/>
                </w:tcPr>
                <w:p w14:paraId="0A2FC1C8">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c>
                <w:tcPr>
                  <w:tcW w:w="423" w:type="pct"/>
                  <w:shd w:val="clear" w:color="auto" w:fill="auto"/>
                  <w:noWrap w:val="0"/>
                  <w:vAlign w:val="center"/>
                </w:tcPr>
                <w:p w14:paraId="663543DC">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21</w:t>
                  </w:r>
                </w:p>
              </w:tc>
              <w:tc>
                <w:tcPr>
                  <w:tcW w:w="387" w:type="pct"/>
                  <w:shd w:val="clear" w:color="auto" w:fill="auto"/>
                  <w:noWrap w:val="0"/>
                  <w:vAlign w:val="center"/>
                </w:tcPr>
                <w:p w14:paraId="5EA9D6ED">
                  <w:pPr>
                    <w:widowControl/>
                    <w:adjustRightInd w:val="0"/>
                    <w:snapToGrid w:val="0"/>
                    <w:spacing w:line="240" w:lineRule="auto"/>
                    <w:ind w:left="-63" w:leftChars="-30" w:right="-63" w:rightChars="-30"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44</w:t>
                  </w:r>
                </w:p>
              </w:tc>
              <w:tc>
                <w:tcPr>
                  <w:tcW w:w="374" w:type="pct"/>
                  <w:shd w:val="clear" w:color="auto" w:fill="auto"/>
                  <w:noWrap w:val="0"/>
                  <w:vAlign w:val="center"/>
                </w:tcPr>
                <w:p w14:paraId="68E24030">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default" w:ascii="Times New Roman" w:hAnsi="Times New Roman" w:cs="Times New Roman"/>
                      <w:b w:val="0"/>
                      <w:bCs w:val="0"/>
                      <w:color w:val="auto"/>
                      <w:highlight w:val="none"/>
                      <w:lang w:val="en-US" w:eastAsia="zh-CN"/>
                    </w:rPr>
                    <w:t>1</w:t>
                  </w:r>
                </w:p>
              </w:tc>
            </w:tr>
          </w:tbl>
          <w:p w14:paraId="57E0C59C">
            <w:pPr>
              <w:keepNext w:val="0"/>
              <w:keepLines w:val="0"/>
              <w:pageBreakBefore w:val="0"/>
              <w:widowControl w:val="0"/>
              <w:kinsoku/>
              <w:wordWrap/>
              <w:overflowPunct/>
              <w:topLinePunct w:val="0"/>
              <w:autoSpaceDE/>
              <w:autoSpaceDN/>
              <w:bidi w:val="0"/>
              <w:adjustRightInd/>
              <w:snapToGrid/>
              <w:spacing w:before="120" w:line="360" w:lineRule="auto"/>
              <w:ind w:left="0" w:leftChars="0" w:right="0" w:rightChars="0"/>
              <w:jc w:val="center"/>
              <w:textAlignment w:val="auto"/>
              <w:rPr>
                <w:rFonts w:hint="default" w:ascii="Times New Roman" w:hAnsi="Times New Roman" w:cs="Times New Roman"/>
                <w:b/>
                <w:bCs/>
                <w:color w:val="auto"/>
                <w:sz w:val="21"/>
                <w:szCs w:val="20"/>
                <w:highlight w:val="yellow"/>
              </w:rPr>
            </w:pPr>
            <w:r>
              <w:rPr>
                <w:rFonts w:hint="default" w:ascii="Times New Roman" w:hAnsi="Times New Roman" w:cs="Times New Roman" w:eastAsiaTheme="majorEastAsia"/>
                <w:b/>
                <w:bCs/>
                <w:color w:val="auto"/>
                <w:sz w:val="21"/>
                <w:szCs w:val="20"/>
              </w:rPr>
              <w:t>表4-</w:t>
            </w:r>
            <w:r>
              <w:rPr>
                <w:rFonts w:hint="eastAsia" w:ascii="Times New Roman" w:hAnsi="Times New Roman" w:cs="Times New Roman" w:eastAsiaTheme="majorEastAsia"/>
                <w:b/>
                <w:bCs/>
                <w:color w:val="auto"/>
                <w:sz w:val="21"/>
                <w:szCs w:val="20"/>
                <w:lang w:val="en-US" w:eastAsia="zh-CN"/>
              </w:rPr>
              <w:t>10</w:t>
            </w:r>
            <w:r>
              <w:rPr>
                <w:rFonts w:hint="default" w:ascii="Times New Roman" w:hAnsi="Times New Roman" w:cs="Times New Roman" w:eastAsiaTheme="majorEastAsia"/>
                <w:b/>
                <w:bCs/>
                <w:color w:val="auto"/>
                <w:sz w:val="21"/>
                <w:szCs w:val="20"/>
              </w:rPr>
              <w:t xml:space="preserve">  工业企业噪声源强调查清单</w:t>
            </w:r>
            <w:r>
              <w:rPr>
                <w:rFonts w:hint="default" w:ascii="Times New Roman" w:hAnsi="Times New Roman" w:cs="Times New Roman"/>
                <w:b/>
                <w:bCs/>
                <w:color w:val="auto"/>
                <w:sz w:val="21"/>
                <w:szCs w:val="20"/>
                <w:highlight w:val="none"/>
              </w:rPr>
              <w:t>（室</w:t>
            </w:r>
            <w:r>
              <w:rPr>
                <w:rFonts w:hint="eastAsia" w:ascii="Times New Roman" w:hAnsi="Times New Roman" w:cs="Times New Roman"/>
                <w:b/>
                <w:bCs/>
                <w:color w:val="auto"/>
                <w:sz w:val="21"/>
                <w:szCs w:val="20"/>
                <w:highlight w:val="none"/>
                <w:lang w:eastAsia="zh-CN"/>
              </w:rPr>
              <w:t>外</w:t>
            </w:r>
            <w:r>
              <w:rPr>
                <w:rFonts w:hint="default" w:ascii="Times New Roman" w:hAnsi="Times New Roman" w:cs="Times New Roman"/>
                <w:b/>
                <w:bCs/>
                <w:color w:val="auto"/>
                <w:sz w:val="21"/>
                <w:szCs w:val="20"/>
                <w:highlight w:val="none"/>
              </w:rPr>
              <w:t>声源）</w:t>
            </w:r>
          </w:p>
          <w:tbl>
            <w:tblPr>
              <w:tblStyle w:val="25"/>
              <w:tblW w:w="496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94"/>
              <w:gridCol w:w="1118"/>
              <w:gridCol w:w="1227"/>
              <w:gridCol w:w="709"/>
              <w:gridCol w:w="778"/>
              <w:gridCol w:w="709"/>
              <w:gridCol w:w="1468"/>
              <w:gridCol w:w="651"/>
            </w:tblGrid>
            <w:tr w14:paraId="527D1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760" w:type="pct"/>
                  <w:vMerge w:val="restart"/>
                  <w:noWrap w:val="0"/>
                  <w:vAlign w:val="center"/>
                </w:tcPr>
                <w:p w14:paraId="4FC3E278">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建筑物名称</w:t>
                  </w:r>
                </w:p>
              </w:tc>
              <w:tc>
                <w:tcPr>
                  <w:tcW w:w="711" w:type="pct"/>
                  <w:vMerge w:val="restart"/>
                  <w:noWrap w:val="0"/>
                  <w:vAlign w:val="center"/>
                </w:tcPr>
                <w:p w14:paraId="083BABCF">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r>
                    <w:rPr>
                      <w:rFonts w:hint="default" w:ascii="Times New Roman" w:hAnsi="Times New Roman" w:eastAsia="宋体" w:cs="Times New Roman"/>
                      <w:b/>
                      <w:bCs w:val="0"/>
                      <w:color w:val="auto"/>
                      <w:kern w:val="2"/>
                      <w:highlight w:val="none"/>
                    </w:rPr>
                    <w:t>设备名称</w:t>
                  </w:r>
                </w:p>
              </w:tc>
              <w:tc>
                <w:tcPr>
                  <w:tcW w:w="781" w:type="pct"/>
                  <w:vMerge w:val="restart"/>
                  <w:noWrap w:val="0"/>
                  <w:vAlign w:val="center"/>
                </w:tcPr>
                <w:p w14:paraId="6CA85A0A">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eastAsia="宋体" w:cs="Times New Roman"/>
                      <w:b/>
                      <w:bCs w:val="0"/>
                      <w:color w:val="auto"/>
                      <w:kern w:val="2"/>
                      <w:highlight w:val="none"/>
                      <w:lang w:eastAsia="zh-CN"/>
                    </w:rPr>
                    <w:t>处理前噪声</w:t>
                  </w:r>
                  <w:r>
                    <w:rPr>
                      <w:rFonts w:hint="default" w:ascii="Times New Roman" w:hAnsi="Times New Roman" w:eastAsia="宋体" w:cs="Times New Roman"/>
                      <w:b/>
                      <w:bCs w:val="0"/>
                      <w:color w:val="auto"/>
                      <w:kern w:val="2"/>
                      <w:highlight w:val="none"/>
                      <w:lang w:val="en-US" w:eastAsia="zh-CN"/>
                    </w:rPr>
                    <w:t>dB</w:t>
                  </w:r>
                  <w:r>
                    <w:rPr>
                      <w:rFonts w:hint="default" w:ascii="Times New Roman" w:hAnsi="Times New Roman" w:cs="Times New Roman"/>
                      <w:b/>
                      <w:bCs w:val="0"/>
                      <w:color w:val="auto"/>
                      <w:kern w:val="2"/>
                      <w:highlight w:val="none"/>
                      <w:lang w:val="en-US" w:eastAsia="zh-CN"/>
                    </w:rPr>
                    <w:t>（</w:t>
                  </w:r>
                  <w:r>
                    <w:rPr>
                      <w:rFonts w:hint="default" w:ascii="Times New Roman" w:hAnsi="Times New Roman" w:eastAsia="宋体" w:cs="Times New Roman"/>
                      <w:b/>
                      <w:bCs w:val="0"/>
                      <w:color w:val="auto"/>
                      <w:kern w:val="2"/>
                      <w:highlight w:val="none"/>
                      <w:lang w:val="en-US" w:eastAsia="zh-CN"/>
                    </w:rPr>
                    <w:t>A</w:t>
                  </w:r>
                  <w:r>
                    <w:rPr>
                      <w:rFonts w:hint="default" w:ascii="Times New Roman" w:hAnsi="Times New Roman" w:cs="Times New Roman"/>
                      <w:b/>
                      <w:bCs w:val="0"/>
                      <w:color w:val="auto"/>
                      <w:kern w:val="2"/>
                      <w:highlight w:val="none"/>
                      <w:lang w:val="en-US" w:eastAsia="zh-CN"/>
                    </w:rPr>
                    <w:t>）</w:t>
                  </w:r>
                </w:p>
              </w:tc>
              <w:tc>
                <w:tcPr>
                  <w:tcW w:w="1398" w:type="pct"/>
                  <w:gridSpan w:val="3"/>
                  <w:noWrap w:val="0"/>
                  <w:vAlign w:val="center"/>
                </w:tcPr>
                <w:p w14:paraId="62824222">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r>
                    <w:rPr>
                      <w:rFonts w:hint="default" w:ascii="Times New Roman" w:hAnsi="Times New Roman" w:cs="Times New Roman"/>
                      <w:b/>
                      <w:bCs w:val="0"/>
                      <w:color w:val="auto"/>
                      <w:kern w:val="2"/>
                      <w:highlight w:val="none"/>
                      <w:lang w:eastAsia="zh-CN"/>
                    </w:rPr>
                    <w:t>空间相对位置</w:t>
                  </w:r>
                  <w:r>
                    <w:rPr>
                      <w:rFonts w:hint="default" w:ascii="Times New Roman" w:hAnsi="Times New Roman" w:cs="Times New Roman"/>
                      <w:b/>
                      <w:bCs w:val="0"/>
                      <w:color w:val="auto"/>
                      <w:kern w:val="2"/>
                      <w:highlight w:val="none"/>
                      <w:lang w:val="en-US" w:eastAsia="zh-CN"/>
                    </w:rPr>
                    <w:t>/m</w:t>
                  </w:r>
                </w:p>
              </w:tc>
              <w:tc>
                <w:tcPr>
                  <w:tcW w:w="934" w:type="pct"/>
                  <w:vMerge w:val="restart"/>
                  <w:shd w:val="clear" w:color="auto" w:fill="auto"/>
                  <w:noWrap w:val="0"/>
                  <w:vAlign w:val="center"/>
                </w:tcPr>
                <w:p w14:paraId="096E4B1F">
                  <w:pPr>
                    <w:widowControl/>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b/>
                      <w:bCs/>
                      <w:color w:val="000000"/>
                      <w:kern w:val="0"/>
                      <w:sz w:val="21"/>
                      <w:szCs w:val="21"/>
                      <w:lang w:val="en-US" w:eastAsia="zh-CN" w:bidi="ar"/>
                    </w:rPr>
                    <w:t>声源控制措施</w:t>
                  </w:r>
                </w:p>
              </w:tc>
              <w:tc>
                <w:tcPr>
                  <w:tcW w:w="414" w:type="pct"/>
                  <w:vMerge w:val="restart"/>
                  <w:shd w:val="clear" w:color="auto" w:fill="auto"/>
                  <w:noWrap w:val="0"/>
                  <w:vAlign w:val="center"/>
                </w:tcPr>
                <w:p w14:paraId="47767E14">
                  <w:pPr>
                    <w:jc w:val="center"/>
                    <w:rPr>
                      <w:rFonts w:hint="default" w:ascii="Times New Roman" w:hAnsi="Times New Roman" w:eastAsia="宋体" w:cs="Times New Roman"/>
                      <w:b/>
                      <w:bCs/>
                      <w:color w:val="000000"/>
                      <w:kern w:val="2"/>
                      <w:sz w:val="21"/>
                      <w:szCs w:val="21"/>
                      <w:lang w:val="en-US" w:eastAsia="zh-CN" w:bidi="ar-SA"/>
                    </w:rPr>
                  </w:pPr>
                  <w:r>
                    <w:rPr>
                      <w:rFonts w:hint="default" w:ascii="Times New Roman" w:hAnsi="Times New Roman" w:eastAsia="宋体" w:cs="Times New Roman"/>
                      <w:b/>
                      <w:bCs/>
                      <w:color w:val="000000"/>
                      <w:sz w:val="21"/>
                      <w:szCs w:val="21"/>
                    </w:rPr>
                    <w:t>运行时间</w:t>
                  </w:r>
                </w:p>
              </w:tc>
            </w:tr>
            <w:tr w14:paraId="6960C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760" w:type="pct"/>
                  <w:vMerge w:val="continue"/>
                  <w:noWrap w:val="0"/>
                  <w:vAlign w:val="center"/>
                </w:tcPr>
                <w:p w14:paraId="73717698">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cs="Times New Roman"/>
                      <w:b/>
                      <w:bCs w:val="0"/>
                      <w:color w:val="auto"/>
                      <w:kern w:val="2"/>
                      <w:highlight w:val="none"/>
                      <w:lang w:eastAsia="zh-CN"/>
                    </w:rPr>
                  </w:pPr>
                </w:p>
              </w:tc>
              <w:tc>
                <w:tcPr>
                  <w:tcW w:w="711" w:type="pct"/>
                  <w:vMerge w:val="continue"/>
                  <w:noWrap w:val="0"/>
                  <w:vAlign w:val="center"/>
                </w:tcPr>
                <w:p w14:paraId="28775A19">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rPr>
                  </w:pPr>
                </w:p>
              </w:tc>
              <w:tc>
                <w:tcPr>
                  <w:tcW w:w="781" w:type="pct"/>
                  <w:vMerge w:val="continue"/>
                  <w:noWrap w:val="0"/>
                  <w:vAlign w:val="center"/>
                </w:tcPr>
                <w:p w14:paraId="6C69D2A4">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51" w:type="pct"/>
                  <w:noWrap w:val="0"/>
                  <w:vAlign w:val="center"/>
                </w:tcPr>
                <w:p w14:paraId="4C5543F0">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X</w:t>
                  </w:r>
                </w:p>
              </w:tc>
              <w:tc>
                <w:tcPr>
                  <w:tcW w:w="495" w:type="pct"/>
                  <w:noWrap w:val="0"/>
                  <w:vAlign w:val="center"/>
                </w:tcPr>
                <w:p w14:paraId="532E3CAD">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Y</w:t>
                  </w:r>
                </w:p>
              </w:tc>
              <w:tc>
                <w:tcPr>
                  <w:tcW w:w="451" w:type="pct"/>
                  <w:noWrap w:val="0"/>
                  <w:vAlign w:val="center"/>
                </w:tcPr>
                <w:p w14:paraId="7C3623DA">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val="en-US" w:eastAsia="zh-CN"/>
                    </w:rPr>
                  </w:pPr>
                  <w:r>
                    <w:rPr>
                      <w:rFonts w:hint="default" w:ascii="Times New Roman" w:hAnsi="Times New Roman" w:cs="Times New Roman"/>
                      <w:b/>
                      <w:bCs w:val="0"/>
                      <w:color w:val="auto"/>
                      <w:kern w:val="2"/>
                      <w:highlight w:val="none"/>
                      <w:lang w:val="en-US" w:eastAsia="zh-CN"/>
                    </w:rPr>
                    <w:t>Z</w:t>
                  </w:r>
                </w:p>
              </w:tc>
              <w:tc>
                <w:tcPr>
                  <w:tcW w:w="934" w:type="pct"/>
                  <w:vMerge w:val="continue"/>
                  <w:noWrap w:val="0"/>
                  <w:vAlign w:val="center"/>
                </w:tcPr>
                <w:p w14:paraId="6C95B78E">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c>
                <w:tcPr>
                  <w:tcW w:w="414" w:type="pct"/>
                  <w:vMerge w:val="continue"/>
                  <w:noWrap w:val="0"/>
                  <w:vAlign w:val="center"/>
                </w:tcPr>
                <w:p w14:paraId="0D934F6D">
                  <w:pPr>
                    <w:pStyle w:val="4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105" w:leftChars="-50" w:right="-105" w:rightChars="-50"/>
                    <w:jc w:val="center"/>
                    <w:textAlignment w:val="auto"/>
                    <w:rPr>
                      <w:rFonts w:hint="default" w:ascii="Times New Roman" w:hAnsi="Times New Roman" w:eastAsia="宋体" w:cs="Times New Roman"/>
                      <w:b/>
                      <w:bCs w:val="0"/>
                      <w:color w:val="auto"/>
                      <w:kern w:val="2"/>
                      <w:highlight w:val="none"/>
                      <w:lang w:eastAsia="zh-CN"/>
                    </w:rPr>
                  </w:pPr>
                </w:p>
              </w:tc>
            </w:tr>
            <w:tr w14:paraId="442DA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760" w:type="pct"/>
                  <w:vMerge w:val="restart"/>
                  <w:noWrap w:val="0"/>
                  <w:vAlign w:val="center"/>
                </w:tcPr>
                <w:p w14:paraId="7B047D23">
                  <w:pPr>
                    <w:widowControl/>
                    <w:adjustRightInd w:val="0"/>
                    <w:snapToGrid w:val="0"/>
                    <w:spacing w:line="240" w:lineRule="auto"/>
                    <w:ind w:firstLine="0" w:firstLineChars="0"/>
                    <w:jc w:val="center"/>
                    <w:rPr>
                      <w:rFonts w:hint="eastAsia" w:ascii="Times New Roman" w:hAnsi="Times New Roman" w:eastAsia="宋体" w:cs="Times New Roman"/>
                      <w:b w:val="0"/>
                      <w:bCs w:val="0"/>
                      <w:color w:val="auto"/>
                      <w:lang w:eastAsia="zh-CN"/>
                    </w:rPr>
                  </w:pPr>
                  <w:r>
                    <w:rPr>
                      <w:rFonts w:hint="eastAsia" w:cs="Times New Roman"/>
                      <w:b w:val="0"/>
                      <w:bCs w:val="0"/>
                      <w:color w:val="auto"/>
                      <w:lang w:eastAsia="zh-CN"/>
                    </w:rPr>
                    <w:t>厂房</w:t>
                  </w:r>
                  <w:r>
                    <w:rPr>
                      <w:rFonts w:hint="eastAsia" w:ascii="Times New Roman" w:hAnsi="Times New Roman" w:cs="Times New Roman"/>
                      <w:b w:val="0"/>
                      <w:bCs w:val="0"/>
                      <w:color w:val="auto"/>
                      <w:lang w:eastAsia="zh-CN"/>
                    </w:rPr>
                    <w:t>外</w:t>
                  </w:r>
                </w:p>
              </w:tc>
              <w:tc>
                <w:tcPr>
                  <w:tcW w:w="711" w:type="pct"/>
                  <w:shd w:val="clear" w:color="auto" w:fill="auto"/>
                  <w:noWrap w:val="0"/>
                  <w:vAlign w:val="center"/>
                </w:tcPr>
                <w:p w14:paraId="6F7FD8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冷却塔</w:t>
                  </w:r>
                </w:p>
              </w:tc>
              <w:tc>
                <w:tcPr>
                  <w:tcW w:w="781" w:type="pct"/>
                  <w:shd w:val="clear" w:color="auto" w:fill="auto"/>
                  <w:noWrap w:val="0"/>
                  <w:vAlign w:val="center"/>
                </w:tcPr>
                <w:p w14:paraId="7EC87FC9">
                  <w:pPr>
                    <w:widowControl/>
                    <w:adjustRightInd w:val="0"/>
                    <w:snapToGrid w:val="0"/>
                    <w:spacing w:line="240" w:lineRule="auto"/>
                    <w:ind w:firstLine="0" w:firstLineChars="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90</w:t>
                  </w:r>
                </w:p>
              </w:tc>
              <w:tc>
                <w:tcPr>
                  <w:tcW w:w="451" w:type="pct"/>
                  <w:shd w:val="clear" w:color="auto" w:fill="auto"/>
                  <w:noWrap w:val="0"/>
                  <w:vAlign w:val="center"/>
                </w:tcPr>
                <w:p w14:paraId="3EA583C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40</w:t>
                  </w:r>
                </w:p>
              </w:tc>
              <w:tc>
                <w:tcPr>
                  <w:tcW w:w="495" w:type="pct"/>
                  <w:shd w:val="clear" w:color="auto" w:fill="auto"/>
                  <w:noWrap w:val="0"/>
                  <w:vAlign w:val="center"/>
                </w:tcPr>
                <w:p w14:paraId="2B613599">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-3</w:t>
                  </w:r>
                </w:p>
              </w:tc>
              <w:tc>
                <w:tcPr>
                  <w:tcW w:w="451" w:type="pct"/>
                  <w:shd w:val="clear" w:color="auto" w:fill="auto"/>
                  <w:noWrap w:val="0"/>
                  <w:vAlign w:val="center"/>
                </w:tcPr>
                <w:p w14:paraId="5F58099C">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1</w:t>
                  </w:r>
                </w:p>
              </w:tc>
              <w:tc>
                <w:tcPr>
                  <w:tcW w:w="934" w:type="pct"/>
                  <w:shd w:val="clear" w:color="auto" w:fill="auto"/>
                  <w:noWrap w:val="0"/>
                  <w:vAlign w:val="center"/>
                </w:tcPr>
                <w:p w14:paraId="2308B419">
                  <w:pPr>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sz w:val="21"/>
                      <w:szCs w:val="21"/>
                      <w:lang w:val="en-US" w:eastAsia="zh-CN"/>
                    </w:rPr>
                    <w:t>低噪声设备、减振</w:t>
                  </w:r>
                  <w:r>
                    <w:rPr>
                      <w:rFonts w:hint="eastAsia" w:cs="Times New Roman"/>
                      <w:color w:val="000000"/>
                      <w:sz w:val="21"/>
                      <w:szCs w:val="21"/>
                      <w:lang w:val="en-US" w:eastAsia="zh-CN"/>
                    </w:rPr>
                    <w:t>基座</w:t>
                  </w:r>
                  <w:r>
                    <w:rPr>
                      <w:rFonts w:hint="default" w:ascii="Times New Roman" w:hAnsi="Times New Roman" w:eastAsia="宋体" w:cs="Times New Roman"/>
                      <w:color w:val="000000"/>
                      <w:sz w:val="21"/>
                      <w:szCs w:val="21"/>
                      <w:lang w:val="en-US" w:eastAsia="zh-CN"/>
                    </w:rPr>
                    <w:t>、</w:t>
                  </w:r>
                  <w:r>
                    <w:rPr>
                      <w:rFonts w:hint="default" w:ascii="Times New Roman" w:hAnsi="Times New Roman" w:cs="Times New Roman"/>
                      <w:color w:val="000000"/>
                      <w:spacing w:val="-2"/>
                      <w:kern w:val="0"/>
                      <w:sz w:val="21"/>
                      <w:szCs w:val="21"/>
                    </w:rPr>
                    <w:t>搭建</w:t>
                  </w:r>
                  <w:r>
                    <w:rPr>
                      <w:rFonts w:hint="default" w:ascii="Times New Roman" w:hAnsi="Times New Roman" w:cs="Times New Roman"/>
                      <w:color w:val="000000"/>
                      <w:spacing w:val="-2"/>
                      <w:kern w:val="0"/>
                      <w:sz w:val="21"/>
                      <w:szCs w:val="21"/>
                      <w:lang w:eastAsia="zh-CN"/>
                    </w:rPr>
                    <w:t>隔声房</w:t>
                  </w:r>
                  <w:r>
                    <w:rPr>
                      <w:rFonts w:hint="default" w:ascii="Times New Roman" w:hAnsi="Times New Roman" w:eastAsia="宋体" w:cs="Times New Roman"/>
                      <w:color w:val="000000"/>
                      <w:sz w:val="21"/>
                      <w:szCs w:val="21"/>
                      <w:lang w:val="en-US" w:eastAsia="zh-CN"/>
                    </w:rPr>
                    <w:t>等</w:t>
                  </w:r>
                </w:p>
              </w:tc>
              <w:tc>
                <w:tcPr>
                  <w:tcW w:w="414" w:type="pct"/>
                  <w:vMerge w:val="restart"/>
                  <w:shd w:val="clear" w:color="auto" w:fill="auto"/>
                  <w:noWrap w:val="0"/>
                  <w:vAlign w:val="center"/>
                </w:tcPr>
                <w:p w14:paraId="5343FCBE">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r>
                    <w:rPr>
                      <w:rFonts w:hint="eastAsia" w:cs="Times New Roman"/>
                      <w:bCs/>
                      <w:color w:val="auto"/>
                      <w:highlight w:val="none"/>
                      <w:lang w:val="en-US" w:eastAsia="zh-CN"/>
                    </w:rPr>
                    <w:t>8</w:t>
                  </w:r>
                  <w:r>
                    <w:rPr>
                      <w:rFonts w:hint="default" w:ascii="Times New Roman" w:hAnsi="Times New Roman" w:cs="Times New Roman"/>
                      <w:bCs/>
                      <w:color w:val="auto"/>
                      <w:highlight w:val="none"/>
                      <w:lang w:val="en-US" w:eastAsia="zh-CN"/>
                    </w:rPr>
                    <w:t>:00-2</w:t>
                  </w:r>
                  <w:r>
                    <w:rPr>
                      <w:rFonts w:hint="eastAsia" w:cs="Times New Roman"/>
                      <w:bCs/>
                      <w:color w:val="auto"/>
                      <w:highlight w:val="none"/>
                      <w:lang w:val="en-US" w:eastAsia="zh-CN"/>
                    </w:rPr>
                    <w:t>2</w:t>
                  </w:r>
                  <w:r>
                    <w:rPr>
                      <w:rFonts w:hint="default" w:ascii="Times New Roman" w:hAnsi="Times New Roman" w:cs="Times New Roman"/>
                      <w:bCs/>
                      <w:color w:val="auto"/>
                      <w:highlight w:val="none"/>
                      <w:lang w:val="en-US" w:eastAsia="zh-CN"/>
                    </w:rPr>
                    <w:t>:00</w:t>
                  </w:r>
                </w:p>
              </w:tc>
            </w:tr>
            <w:tr w14:paraId="78781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6" w:hRule="atLeast"/>
                <w:jc w:val="center"/>
              </w:trPr>
              <w:tc>
                <w:tcPr>
                  <w:tcW w:w="760" w:type="pct"/>
                  <w:vMerge w:val="continue"/>
                  <w:noWrap w:val="0"/>
                  <w:vAlign w:val="center"/>
                </w:tcPr>
                <w:p w14:paraId="2AF5F781">
                  <w:pPr>
                    <w:widowControl/>
                    <w:adjustRightInd w:val="0"/>
                    <w:snapToGrid w:val="0"/>
                    <w:spacing w:line="240" w:lineRule="auto"/>
                    <w:ind w:firstLine="0" w:firstLineChars="0"/>
                    <w:jc w:val="center"/>
                    <w:rPr>
                      <w:rFonts w:hint="default" w:ascii="Times New Roman" w:hAnsi="Times New Roman" w:cs="Times New Roman"/>
                      <w:b w:val="0"/>
                      <w:bCs w:val="0"/>
                      <w:color w:val="auto"/>
                    </w:rPr>
                  </w:pPr>
                </w:p>
              </w:tc>
              <w:tc>
                <w:tcPr>
                  <w:tcW w:w="711" w:type="pct"/>
                  <w:shd w:val="clear" w:color="auto" w:fill="auto"/>
                  <w:noWrap w:val="0"/>
                  <w:vAlign w:val="center"/>
                </w:tcPr>
                <w:p w14:paraId="582453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none"/>
                      <w:lang w:val="en-US" w:eastAsia="zh-CN" w:bidi="ar-SA"/>
                    </w:rPr>
                  </w:pPr>
                  <w:r>
                    <w:rPr>
                      <w:rFonts w:hint="eastAsia" w:ascii="宋体" w:hAnsi="宋体" w:cs="Times New Roman"/>
                      <w:color w:val="auto"/>
                      <w:kern w:val="2"/>
                      <w:sz w:val="21"/>
                      <w:szCs w:val="21"/>
                      <w:highlight w:val="none"/>
                      <w:lang w:val="en-US" w:eastAsia="zh-CN" w:bidi="ar-SA"/>
                    </w:rPr>
                    <w:t>环保风机</w:t>
                  </w:r>
                </w:p>
              </w:tc>
              <w:tc>
                <w:tcPr>
                  <w:tcW w:w="781" w:type="pct"/>
                  <w:shd w:val="clear" w:color="auto" w:fill="auto"/>
                  <w:noWrap w:val="0"/>
                  <w:vAlign w:val="center"/>
                </w:tcPr>
                <w:p w14:paraId="0C1C62FA">
                  <w:pPr>
                    <w:widowControl/>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95</w:t>
                  </w:r>
                </w:p>
              </w:tc>
              <w:tc>
                <w:tcPr>
                  <w:tcW w:w="451" w:type="pct"/>
                  <w:shd w:val="clear" w:color="auto" w:fill="auto"/>
                  <w:noWrap w:val="0"/>
                  <w:vAlign w:val="center"/>
                </w:tcPr>
                <w:p w14:paraId="6B68E66B">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40</w:t>
                  </w:r>
                </w:p>
              </w:tc>
              <w:tc>
                <w:tcPr>
                  <w:tcW w:w="495" w:type="pct"/>
                  <w:shd w:val="clear" w:color="auto" w:fill="auto"/>
                  <w:noWrap w:val="0"/>
                  <w:vAlign w:val="center"/>
                </w:tcPr>
                <w:p w14:paraId="10D8CB81">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kern w:val="2"/>
                      <w:sz w:val="21"/>
                      <w:szCs w:val="24"/>
                      <w:highlight w:val="none"/>
                      <w:lang w:val="en-US" w:eastAsia="zh-CN" w:bidi="ar-SA"/>
                    </w:rPr>
                    <w:t>30</w:t>
                  </w:r>
                </w:p>
              </w:tc>
              <w:tc>
                <w:tcPr>
                  <w:tcW w:w="451" w:type="pct"/>
                  <w:shd w:val="clear" w:color="auto" w:fill="auto"/>
                  <w:noWrap w:val="0"/>
                  <w:vAlign w:val="center"/>
                </w:tcPr>
                <w:p w14:paraId="660B1A03">
                  <w:pPr>
                    <w:widowControl/>
                    <w:adjustRightInd w:val="0"/>
                    <w:snapToGrid w:val="0"/>
                    <w:spacing w:line="240" w:lineRule="auto"/>
                    <w:ind w:firstLine="0" w:firstLineChars="0"/>
                    <w:jc w:val="center"/>
                    <w:rPr>
                      <w:rFonts w:hint="eastAsia" w:ascii="Times New Roman" w:hAnsi="Times New Roman" w:eastAsia="宋体" w:cs="Times New Roman"/>
                      <w:b w:val="0"/>
                      <w:bCs w:val="0"/>
                      <w:color w:val="auto"/>
                      <w:kern w:val="2"/>
                      <w:sz w:val="21"/>
                      <w:szCs w:val="24"/>
                      <w:highlight w:val="none"/>
                      <w:lang w:val="en-US" w:eastAsia="zh-CN" w:bidi="ar-SA"/>
                    </w:rPr>
                  </w:pPr>
                  <w:r>
                    <w:rPr>
                      <w:rFonts w:hint="eastAsia" w:cs="Times New Roman"/>
                      <w:b w:val="0"/>
                      <w:bCs w:val="0"/>
                      <w:color w:val="auto"/>
                      <w:highlight w:val="none"/>
                      <w:lang w:val="en-US" w:eastAsia="zh-CN"/>
                    </w:rPr>
                    <w:t>1</w:t>
                  </w:r>
                </w:p>
              </w:tc>
              <w:tc>
                <w:tcPr>
                  <w:tcW w:w="934" w:type="pct"/>
                  <w:shd w:val="clear" w:color="auto" w:fill="auto"/>
                  <w:noWrap w:val="0"/>
                  <w:vAlign w:val="center"/>
                </w:tcPr>
                <w:p w14:paraId="5D2CE92A">
                  <w:pPr>
                    <w:jc w:val="center"/>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低噪声设备、减振等</w:t>
                  </w:r>
                </w:p>
              </w:tc>
              <w:tc>
                <w:tcPr>
                  <w:tcW w:w="414" w:type="pct"/>
                  <w:vMerge w:val="continue"/>
                  <w:shd w:val="clear" w:color="auto" w:fill="auto"/>
                  <w:noWrap w:val="0"/>
                  <w:vAlign w:val="center"/>
                </w:tcPr>
                <w:p w14:paraId="407C9727">
                  <w:pPr>
                    <w:widowControl/>
                    <w:adjustRightInd w:val="0"/>
                    <w:snapToGrid w:val="0"/>
                    <w:spacing w:line="240" w:lineRule="auto"/>
                    <w:ind w:firstLine="0" w:firstLineChars="0"/>
                    <w:jc w:val="center"/>
                    <w:rPr>
                      <w:rFonts w:hint="default" w:ascii="Times New Roman" w:hAnsi="Times New Roman" w:eastAsia="宋体" w:cs="Times New Roman"/>
                      <w:b w:val="0"/>
                      <w:bCs w:val="0"/>
                      <w:color w:val="auto"/>
                      <w:kern w:val="2"/>
                      <w:sz w:val="21"/>
                      <w:szCs w:val="24"/>
                      <w:lang w:val="en-US" w:eastAsia="zh-CN" w:bidi="ar-SA"/>
                    </w:rPr>
                  </w:pPr>
                </w:p>
              </w:tc>
            </w:tr>
          </w:tbl>
          <w:p w14:paraId="4E9161F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Times New Roman" w:cs="Times New Roman"/>
                <w:b/>
                <w:bCs w:val="0"/>
                <w:color w:val="auto"/>
                <w:sz w:val="24"/>
                <w:lang w:val="en-US" w:bidi="zh-CN"/>
              </w:rPr>
            </w:pPr>
            <w:r>
              <w:rPr>
                <w:rFonts w:hint="default" w:ascii="Times New Roman" w:hAnsi="Times New Roman" w:eastAsia="宋体" w:cs="Times New Roman"/>
                <w:b/>
                <w:bCs/>
                <w:color w:val="auto"/>
                <w:sz w:val="21"/>
                <w:szCs w:val="21"/>
              </w:rPr>
              <w:t>注：以</w:t>
            </w:r>
            <w:r>
              <w:rPr>
                <w:rFonts w:hint="eastAsia" w:ascii="Times New Roman" w:hAnsi="Times New Roman" w:eastAsia="宋体" w:cs="Times New Roman"/>
                <w:b/>
                <w:bCs/>
                <w:color w:val="auto"/>
                <w:sz w:val="21"/>
                <w:szCs w:val="21"/>
                <w:lang w:eastAsia="zh-CN"/>
              </w:rPr>
              <w:t>厂房</w:t>
            </w:r>
            <w:r>
              <w:rPr>
                <w:rFonts w:hint="default" w:ascii="Times New Roman" w:hAnsi="Times New Roman" w:eastAsia="宋体" w:cs="Times New Roman"/>
                <w:b/>
                <w:bCs/>
                <w:color w:val="auto"/>
                <w:sz w:val="21"/>
                <w:szCs w:val="21"/>
              </w:rPr>
              <w:t>西南角为原点（0,0）</w:t>
            </w:r>
          </w:p>
          <w:p w14:paraId="454DF1F8">
            <w:pPr>
              <w:keepNext w:val="0"/>
              <w:keepLines w:val="0"/>
              <w:pageBreakBefore w:val="0"/>
              <w:widowControl w:val="0"/>
              <w:kinsoku/>
              <w:wordWrap/>
              <w:overflowPunct/>
              <w:topLinePunct w:val="0"/>
              <w:autoSpaceDE/>
              <w:autoSpaceDN/>
              <w:bidi w:val="0"/>
              <w:adjustRightInd/>
              <w:snapToGrid/>
              <w:spacing w:before="120" w:line="264" w:lineRule="auto"/>
              <w:jc w:val="both"/>
              <w:textAlignment w:val="auto"/>
              <w:rPr>
                <w:rFonts w:hint="default" w:ascii="Times New Roman" w:hAnsi="Times New Roman" w:eastAsia="Times New Roman" w:cs="Times New Roman"/>
                <w:b/>
                <w:bCs w:val="0"/>
                <w:color w:val="auto"/>
                <w:sz w:val="24"/>
                <w:lang w:bidi="zh-CN"/>
              </w:rPr>
            </w:pPr>
            <w:r>
              <w:rPr>
                <w:rFonts w:hint="eastAsia" w:ascii="Times New Roman" w:hAnsi="Times New Roman" w:eastAsia="Times New Roman" w:cs="Times New Roman"/>
                <w:b/>
                <w:bCs w:val="0"/>
                <w:color w:val="auto"/>
                <w:sz w:val="24"/>
                <w:lang w:val="en-US" w:bidi="zh-CN"/>
              </w:rPr>
              <w:t>3.2</w:t>
            </w:r>
            <w:r>
              <w:rPr>
                <w:rFonts w:hint="default" w:ascii="Times New Roman" w:hAnsi="Times New Roman" w:eastAsia="Times New Roman" w:cs="Times New Roman"/>
                <w:b/>
                <w:bCs w:val="0"/>
                <w:color w:val="auto"/>
                <w:sz w:val="24"/>
                <w:lang w:bidi="zh-CN"/>
              </w:rPr>
              <w:t>噪声源强分析</w:t>
            </w:r>
          </w:p>
          <w:p w14:paraId="2360D693">
            <w:pPr>
              <w:keepNext w:val="0"/>
              <w:keepLines w:val="0"/>
              <w:pageBreakBefore w:val="0"/>
              <w:widowControl w:val="0"/>
              <w:kinsoku/>
              <w:wordWrap/>
              <w:overflowPunct/>
              <w:topLinePunct w:val="0"/>
              <w:autoSpaceDE/>
              <w:autoSpaceDN/>
              <w:bidi w:val="0"/>
              <w:adjustRightInd/>
              <w:snapToGrid/>
              <w:spacing w:before="120" w:line="264" w:lineRule="auto"/>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为更进一步降低项目噪声对周边声环境的影响，项目须采取以下措施：</w:t>
            </w:r>
          </w:p>
          <w:p w14:paraId="07BD6AAF">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①选用低噪声设备</w:t>
            </w:r>
          </w:p>
          <w:p w14:paraId="274A9812">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设备选型时优先选用振动小、噪声低的设备；</w:t>
            </w:r>
            <w:bookmarkStart w:id="13" w:name="OLE_LINK51"/>
            <w:r>
              <w:rPr>
                <w:rFonts w:hint="default" w:ascii="Times New Roman" w:hAnsi="Times New Roman" w:eastAsia="Times New Roman" w:cs="Times New Roman"/>
                <w:bCs/>
                <w:color w:val="auto"/>
                <w:sz w:val="24"/>
                <w:lang w:bidi="zh-CN"/>
              </w:rPr>
              <w:t>且</w:t>
            </w:r>
            <w:bookmarkEnd w:id="13"/>
            <w:r>
              <w:rPr>
                <w:rFonts w:hint="default" w:ascii="Times New Roman" w:hAnsi="Times New Roman" w:eastAsia="Times New Roman" w:cs="Times New Roman"/>
                <w:bCs/>
                <w:color w:val="auto"/>
                <w:sz w:val="24"/>
                <w:lang w:bidi="zh-CN"/>
              </w:rPr>
              <w:t>生产设备均安装于室内。</w:t>
            </w:r>
          </w:p>
          <w:p w14:paraId="45DC662A">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②加强设备养护管理</w:t>
            </w:r>
          </w:p>
          <w:p w14:paraId="24A27CDB">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eastAsia="Times New Roman" w:cs="Times New Roman"/>
                <w:bCs/>
                <w:color w:val="auto"/>
                <w:sz w:val="24"/>
                <w:lang w:bidi="zh-CN"/>
              </w:rPr>
              <w:t>建立设备定期维护、保养的管理制度，以防止设备故障形成的非正常生产噪声，同时确保环保措施发挥最佳有效的功能；加强职工环保意识教育，提倡文明生产，防止人为噪声。</w:t>
            </w:r>
          </w:p>
          <w:p w14:paraId="5B498BA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Times New Roman" w:cs="Times New Roman"/>
                <w:bCs/>
                <w:color w:val="auto"/>
                <w:sz w:val="24"/>
                <w:lang w:bidi="zh-CN"/>
              </w:rPr>
            </w:pPr>
            <w:r>
              <w:rPr>
                <w:rFonts w:hint="default" w:ascii="Times New Roman" w:hAnsi="Times New Roman" w:cs="Times New Roman"/>
                <w:color w:val="auto"/>
                <w:sz w:val="24"/>
                <w:szCs w:val="24"/>
                <w:lang w:eastAsia="zh-CN"/>
              </w:rPr>
              <w:t>③</w:t>
            </w:r>
            <w:r>
              <w:rPr>
                <w:rFonts w:hint="default" w:ascii="Times New Roman" w:hAnsi="Times New Roman" w:eastAsia="Times New Roman" w:cs="Times New Roman"/>
                <w:bCs/>
                <w:color w:val="auto"/>
                <w:sz w:val="24"/>
                <w:lang w:bidi="zh-CN"/>
              </w:rPr>
              <w:t>采取适用的技术降噪</w:t>
            </w:r>
          </w:p>
          <w:p w14:paraId="29673C5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96" w:firstLineChars="200"/>
              <w:jc w:val="both"/>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snapToGrid w:val="0"/>
                <w:color w:val="auto"/>
                <w:spacing w:val="4"/>
                <w:kern w:val="18"/>
                <w:sz w:val="24"/>
                <w:szCs w:val="24"/>
                <w:highlight w:val="none"/>
                <w:lang w:val="en-US" w:eastAsia="zh-CN" w:bidi="ar-SA"/>
              </w:rPr>
              <w:t>对于高噪声设备除要求选用低噪声设备外，安装时应安装减振胶垫，降低振动噪声源强，风机采取安装减振胶垫、</w:t>
            </w:r>
            <w:r>
              <w:rPr>
                <w:rFonts w:hint="default" w:ascii="Times New Roman" w:hAnsi="Times New Roman" w:cs="Times New Roman"/>
                <w:snapToGrid w:val="0"/>
                <w:color w:val="auto"/>
                <w:spacing w:val="4"/>
                <w:kern w:val="18"/>
                <w:sz w:val="24"/>
                <w:szCs w:val="24"/>
                <w:highlight w:val="none"/>
                <w:lang w:val="en-US" w:eastAsia="zh-CN" w:bidi="ar-SA"/>
              </w:rPr>
              <w:t>软性连接</w:t>
            </w:r>
            <w:r>
              <w:rPr>
                <w:rFonts w:hint="default" w:ascii="Times New Roman" w:hAnsi="Times New Roman" w:eastAsia="宋体" w:cs="Times New Roman"/>
                <w:snapToGrid w:val="0"/>
                <w:color w:val="auto"/>
                <w:spacing w:val="4"/>
                <w:kern w:val="18"/>
                <w:sz w:val="24"/>
                <w:szCs w:val="24"/>
                <w:highlight w:val="none"/>
                <w:lang w:val="en-US" w:eastAsia="zh-CN" w:bidi="ar-SA"/>
              </w:rPr>
              <w:t>等措施。</w:t>
            </w:r>
            <w:r>
              <w:rPr>
                <w:rFonts w:hint="default" w:ascii="Times New Roman" w:hAnsi="Times New Roman" w:eastAsia="Times New Roman" w:cs="Times New Roman"/>
                <w:bCs/>
                <w:color w:val="auto"/>
                <w:sz w:val="24"/>
                <w:lang w:bidi="zh-CN"/>
              </w:rPr>
              <w:t>采取以上措施可综合降噪</w:t>
            </w:r>
            <w:r>
              <w:rPr>
                <w:rFonts w:hint="default" w:ascii="Times New Roman" w:hAnsi="Times New Roman" w:eastAsia="Times New Roman" w:cs="Times New Roman"/>
                <w:bCs/>
                <w:color w:val="auto"/>
                <w:sz w:val="24"/>
                <w:lang w:val="en-US" w:bidi="zh-CN"/>
              </w:rPr>
              <w:t>15</w:t>
            </w:r>
            <w:r>
              <w:rPr>
                <w:rFonts w:hint="default" w:ascii="Times New Roman" w:hAnsi="Times New Roman" w:eastAsia="Times New Roman" w:cs="Times New Roman"/>
                <w:bCs/>
                <w:color w:val="auto"/>
                <w:sz w:val="24"/>
                <w:lang w:bidi="zh-CN"/>
              </w:rPr>
              <w:t>dB（A）左右。</w:t>
            </w:r>
          </w:p>
          <w:p w14:paraId="7CC4BF65">
            <w:pPr>
              <w:keepNext w:val="0"/>
              <w:keepLines w:val="0"/>
              <w:widowControl w:val="0"/>
              <w:suppressLineNumbers w:val="0"/>
              <w:shd w:val="clear" w:color="auto" w:fill="auto"/>
              <w:spacing w:before="0" w:beforeAutospacing="0" w:after="0" w:afterAutospacing="0" w:line="360" w:lineRule="auto"/>
              <w:ind w:right="0"/>
              <w:jc w:val="both"/>
              <w:rPr>
                <w:rFonts w:hint="default" w:ascii="Times New Roman" w:hAnsi="Times New Roman" w:eastAsia="宋体" w:cs="Times New Roman"/>
                <w:b/>
                <w:bCs/>
                <w:color w:val="auto"/>
                <w:sz w:val="24"/>
                <w:szCs w:val="24"/>
                <w:highlight w:val="none"/>
              </w:rPr>
            </w:pPr>
            <w:r>
              <w:rPr>
                <w:rFonts w:hint="eastAsia" w:ascii="宋体" w:hAnsi="宋体" w:eastAsia="宋体" w:cs="宋体"/>
                <w:b/>
                <w:bCs/>
                <w:color w:val="auto"/>
                <w:kern w:val="0"/>
                <w:sz w:val="24"/>
                <w:szCs w:val="24"/>
                <w:highlight w:val="none"/>
                <w:lang w:val="en-US" w:eastAsia="zh-CN" w:bidi="ar"/>
              </w:rPr>
              <w:t>3.3预测模式选择</w:t>
            </w:r>
          </w:p>
          <w:p w14:paraId="2622602E">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根据《环境影响评价技术导则</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声环境》（HJ2.4-20</w:t>
            </w:r>
            <w:r>
              <w:rPr>
                <w:rFonts w:hint="default" w:ascii="Times New Roman" w:hAnsi="Times New Roman" w:cs="Times New Roman"/>
                <w:color w:val="auto"/>
                <w:sz w:val="24"/>
                <w:lang w:val="en-US" w:eastAsia="zh-CN"/>
              </w:rPr>
              <w:t>21</w:t>
            </w:r>
            <w:r>
              <w:rPr>
                <w:rFonts w:hint="default" w:ascii="Times New Roman" w:hAnsi="Times New Roman" w:cs="Times New Roman"/>
                <w:color w:val="auto"/>
                <w:sz w:val="24"/>
              </w:rPr>
              <w:t>）中规定，在不能取得声源倍频带声功率级或倍频带声压级，只能获得A声功率级或某点的A声级时，可用A声功率级或某点的A声级计算。</w:t>
            </w:r>
          </w:p>
          <w:p w14:paraId="30D77180">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val="en-US" w:eastAsia="zh-CN"/>
              </w:rPr>
              <w:t>（1）</w:t>
            </w:r>
            <w:r>
              <w:rPr>
                <w:rFonts w:hint="default" w:ascii="Times New Roman" w:hAnsi="Times New Roman" w:cs="Times New Roman"/>
                <w:b w:val="0"/>
                <w:bCs/>
                <w:color w:val="auto"/>
                <w:sz w:val="24"/>
              </w:rPr>
              <w:t>预测条件假设</w:t>
            </w:r>
          </w:p>
          <w:p w14:paraId="24B0C5C1">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①所有产噪设备均在正常工况条件下运行；</w:t>
            </w:r>
          </w:p>
          <w:p w14:paraId="68767FBF">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②考虑室内声源所在厂房围护结构的隔声、吸声作用；</w:t>
            </w:r>
          </w:p>
          <w:p w14:paraId="596EE352">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③衰减仅考虑几何发散衰减，屏障衰减。</w:t>
            </w:r>
          </w:p>
          <w:p w14:paraId="38ADB78B">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val="en-US" w:eastAsia="zh-CN"/>
              </w:rPr>
              <w:t>（2）</w:t>
            </w:r>
            <w:r>
              <w:rPr>
                <w:rFonts w:hint="default" w:ascii="Times New Roman" w:hAnsi="Times New Roman" w:cs="Times New Roman"/>
                <w:b w:val="0"/>
                <w:bCs/>
                <w:color w:val="auto"/>
                <w:sz w:val="24"/>
              </w:rPr>
              <w:t>室内声源</w:t>
            </w:r>
          </w:p>
          <w:p w14:paraId="7BAE4F5C">
            <w:pPr>
              <w:keepNext w:val="0"/>
              <w:keepLines w:val="0"/>
              <w:pageBreakBefore w:val="0"/>
              <w:widowControl w:val="0"/>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①如果已知声源的声压级，且声源位于地面上，则</w:t>
            </w:r>
          </w:p>
          <w:p w14:paraId="2473A90E">
            <w:pPr>
              <w:keepNext w:val="0"/>
              <w:keepLines w:val="0"/>
              <w:pageBreakBefore w:val="0"/>
              <w:widowControl w:val="0"/>
              <w:kinsoku/>
              <w:wordWrap/>
              <w:overflowPunct/>
              <w:topLinePunct w:val="0"/>
              <w:autoSpaceDE/>
              <w:autoSpaceDN/>
              <w:bidi w:val="0"/>
              <w:adjustRightInd/>
              <w:snapToGrid/>
              <w:spacing w:before="0" w:beforeLines="50" w:line="360" w:lineRule="auto"/>
              <w:ind w:left="0" w:leftChars="0" w:right="0" w:rightChars="0" w:firstLine="480" w:firstLineChars="200"/>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485900" cy="228600"/>
                  <wp:effectExtent l="0" t="0" r="0" b="0"/>
                  <wp:docPr id="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
                          <pic:cNvPicPr>
                            <a:picLocks noChangeAspect="1"/>
                          </pic:cNvPicPr>
                        </pic:nvPicPr>
                        <pic:blipFill>
                          <a:blip r:embed="rId10"/>
                          <a:stretch>
                            <a:fillRect/>
                          </a:stretch>
                        </pic:blipFill>
                        <pic:spPr>
                          <a:xfrm>
                            <a:off x="0" y="0"/>
                            <a:ext cx="1485900" cy="228600"/>
                          </a:xfrm>
                          <a:prstGeom prst="rect">
                            <a:avLst/>
                          </a:prstGeom>
                          <a:noFill/>
                          <a:ln>
                            <a:noFill/>
                          </a:ln>
                        </pic:spPr>
                      </pic:pic>
                    </a:graphicData>
                  </a:graphic>
                </wp:inline>
              </w:drawing>
            </w:r>
          </w:p>
          <w:p w14:paraId="4BF7CF8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②首先计算出某个室内声源靠近围护结构处的声压级：</w:t>
            </w:r>
          </w:p>
          <w:p w14:paraId="6E0FA317">
            <w:pPr>
              <w:spacing w:line="360" w:lineRule="auto"/>
              <w:jc w:val="center"/>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739900" cy="533400"/>
                  <wp:effectExtent l="0" t="0" r="12700" b="0"/>
                  <wp:docPr id="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4"/>
                          <pic:cNvPicPr>
                            <a:picLocks noChangeAspect="1"/>
                          </pic:cNvPicPr>
                        </pic:nvPicPr>
                        <pic:blipFill>
                          <a:blip r:embed="rId11"/>
                          <a:stretch>
                            <a:fillRect/>
                          </a:stretch>
                        </pic:blipFill>
                        <pic:spPr>
                          <a:xfrm>
                            <a:off x="0" y="0"/>
                            <a:ext cx="1739900" cy="533400"/>
                          </a:xfrm>
                          <a:prstGeom prst="rect">
                            <a:avLst/>
                          </a:prstGeom>
                          <a:noFill/>
                          <a:ln>
                            <a:noFill/>
                          </a:ln>
                        </pic:spPr>
                      </pic:pic>
                    </a:graphicData>
                  </a:graphic>
                </wp:inline>
              </w:drawing>
            </w:r>
          </w:p>
          <w:p w14:paraId="1FDF98E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color w:val="auto"/>
                <w:sz w:val="24"/>
              </w:rPr>
              <w:drawing>
                <wp:inline distT="0" distB="0" distL="114300" distR="114300">
                  <wp:extent cx="228600" cy="241300"/>
                  <wp:effectExtent l="0" t="0" r="0" b="5080"/>
                  <wp:docPr id="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
                          <pic:cNvPicPr>
                            <a:picLocks noChangeAspect="1"/>
                          </pic:cNvPicPr>
                        </pic:nvPicPr>
                        <pic:blipFill>
                          <a:blip r:embed="rId12"/>
                          <a:stretch>
                            <a:fillRect/>
                          </a:stretch>
                        </pic:blipFill>
                        <pic:spPr>
                          <a:xfrm>
                            <a:off x="0" y="0"/>
                            <a:ext cx="228600" cy="241300"/>
                          </a:xfrm>
                          <a:prstGeom prst="rect">
                            <a:avLst/>
                          </a:prstGeom>
                          <a:noFill/>
                          <a:ln>
                            <a:noFill/>
                          </a:ln>
                        </pic:spPr>
                      </pic:pic>
                    </a:graphicData>
                  </a:graphic>
                </wp:inline>
              </w:drawing>
            </w:r>
            <w:r>
              <w:rPr>
                <w:rFonts w:hint="default" w:ascii="Times New Roman" w:hAnsi="Times New Roman" w:eastAsia="宋体" w:cs="Times New Roman"/>
                <w:color w:val="auto"/>
                <w:sz w:val="24"/>
              </w:rPr>
              <w:t>：某个室内声源靠近维护结构处的声压级。</w:t>
            </w:r>
          </w:p>
          <w:p w14:paraId="34D8E15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Lw：某个室内声源靠近维护结构处产生的声功率级。</w:t>
            </w:r>
          </w:p>
          <w:p w14:paraId="03FC4B4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Q：指向性因数；通常对无指向性声源，当声源放在房间中心时，Q=1；当放在一面墙的中心时，Q=2；当放在两面墙夹角处时，Q=4；当放在三面墙夹角处时，Q=8。 </w:t>
            </w:r>
          </w:p>
          <w:p w14:paraId="54802A2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R：房间常数；R=Sa/(1-a)，S 为房间内表面面积，m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；a 为平均吸声系数，本评价a取0.15。</w:t>
            </w:r>
          </w:p>
          <w:p w14:paraId="4A70A7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r：声源到靠近围护结构某点处的距离，m。</w:t>
            </w:r>
          </w:p>
          <w:p w14:paraId="184479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③计算出所有室内声源在靠近围护结构处产生的总声压级：</w:t>
            </w:r>
          </w:p>
          <w:p w14:paraId="531634B7">
            <w:pPr>
              <w:spacing w:line="360" w:lineRule="auto"/>
              <w:jc w:val="center"/>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992630" cy="553085"/>
                  <wp:effectExtent l="0" t="0" r="0" b="18415"/>
                  <wp:docPr id="8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6"/>
                          <pic:cNvPicPr>
                            <a:picLocks noChangeAspect="1"/>
                          </pic:cNvPicPr>
                        </pic:nvPicPr>
                        <pic:blipFill>
                          <a:blip r:embed="rId13"/>
                          <a:stretch>
                            <a:fillRect/>
                          </a:stretch>
                        </pic:blipFill>
                        <pic:spPr>
                          <a:xfrm>
                            <a:off x="0" y="0"/>
                            <a:ext cx="1992630" cy="553085"/>
                          </a:xfrm>
                          <a:prstGeom prst="rect">
                            <a:avLst/>
                          </a:prstGeom>
                          <a:noFill/>
                          <a:ln>
                            <a:noFill/>
                          </a:ln>
                        </pic:spPr>
                      </pic:pic>
                    </a:graphicData>
                  </a:graphic>
                </wp:inline>
              </w:drawing>
            </w:r>
          </w:p>
          <w:p w14:paraId="6427090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式中：</w:t>
            </w:r>
            <w:r>
              <w:rPr>
                <w:rFonts w:hint="default" w:ascii="Times New Roman" w:hAnsi="Times New Roman" w:eastAsia="宋体" w:cs="Times New Roman"/>
                <w:color w:val="auto"/>
                <w:sz w:val="24"/>
              </w:rPr>
              <w:t xml:space="preserve">Lp1(T)：靠近围护结构处室内N个声源的叠加声压级，dB(A)； </w:t>
            </w:r>
          </w:p>
          <w:p w14:paraId="16889DE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Lp1.j：j声源的声压级，dB(A)； </w:t>
            </w:r>
          </w:p>
          <w:p w14:paraId="1CA8F3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室内声源总数。</w:t>
            </w:r>
          </w:p>
          <w:p w14:paraId="02099CE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④计算出室外靠近围护结构处的声压级：</w:t>
            </w:r>
          </w:p>
          <w:p w14:paraId="13E775BF">
            <w:pPr>
              <w:keepNext w:val="0"/>
              <w:keepLines w:val="0"/>
              <w:pageBreakBefore w:val="0"/>
              <w:widowControl w:val="0"/>
              <w:kinsoku/>
              <w:wordWrap/>
              <w:overflowPunct/>
              <w:topLinePunct w:val="0"/>
              <w:autoSpaceDE/>
              <w:autoSpaceDN/>
              <w:bidi w:val="0"/>
              <w:adjustRightInd/>
              <w:snapToGrid/>
              <w:spacing w:before="0" w:beforeLines="50" w:line="360" w:lineRule="auto"/>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638300" cy="241300"/>
                  <wp:effectExtent l="0" t="0" r="0" b="5080"/>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14"/>
                          <a:stretch>
                            <a:fillRect/>
                          </a:stretch>
                        </pic:blipFill>
                        <pic:spPr>
                          <a:xfrm>
                            <a:off x="0" y="0"/>
                            <a:ext cx="1638300" cy="241300"/>
                          </a:xfrm>
                          <a:prstGeom prst="rect">
                            <a:avLst/>
                          </a:prstGeom>
                          <a:noFill/>
                          <a:ln>
                            <a:noFill/>
                          </a:ln>
                        </pic:spPr>
                      </pic:pic>
                    </a:graphicData>
                  </a:graphic>
                </wp:inline>
              </w:drawing>
            </w:r>
          </w:p>
          <w:p w14:paraId="33E1E5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式中：Lp2 (T)：靠近围护结构处室外N个声源的叠加声压级，dB(A)； </w:t>
            </w:r>
          </w:p>
          <w:p w14:paraId="702157A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TLi；围护结构的隔声量，dB(A)。</w:t>
            </w:r>
          </w:p>
          <w:p w14:paraId="7EAF58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⑤将室外声级Lp2(T)和透声面积换算成等效的室外声源，计算出等效声源的声功率级LW；</w:t>
            </w:r>
          </w:p>
          <w:p w14:paraId="191956D1">
            <w:pPr>
              <w:keepNext w:val="0"/>
              <w:keepLines w:val="0"/>
              <w:pageBreakBefore w:val="0"/>
              <w:widowControl w:val="0"/>
              <w:kinsoku/>
              <w:wordWrap/>
              <w:overflowPunct/>
              <w:topLinePunct w:val="0"/>
              <w:autoSpaceDE/>
              <w:autoSpaceDN/>
              <w:bidi w:val="0"/>
              <w:adjustRightInd/>
              <w:spacing w:line="360" w:lineRule="auto"/>
              <w:jc w:val="center"/>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drawing>
                <wp:inline distT="0" distB="0" distL="114300" distR="114300">
                  <wp:extent cx="1270000" cy="241300"/>
                  <wp:effectExtent l="0" t="0" r="0" b="5080"/>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
                          <pic:cNvPicPr>
                            <a:picLocks noChangeAspect="1"/>
                          </pic:cNvPicPr>
                        </pic:nvPicPr>
                        <pic:blipFill>
                          <a:blip r:embed="rId15"/>
                          <a:stretch>
                            <a:fillRect/>
                          </a:stretch>
                        </pic:blipFill>
                        <pic:spPr>
                          <a:xfrm>
                            <a:off x="0" y="0"/>
                            <a:ext cx="1270000" cy="241300"/>
                          </a:xfrm>
                          <a:prstGeom prst="rect">
                            <a:avLst/>
                          </a:prstGeom>
                          <a:noFill/>
                          <a:ln>
                            <a:noFill/>
                          </a:ln>
                        </pic:spPr>
                      </pic:pic>
                    </a:graphicData>
                  </a:graphic>
                </wp:inline>
              </w:drawing>
            </w:r>
          </w:p>
          <w:p w14:paraId="615C80A5">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式中：s为透声面积，m</w:t>
            </w:r>
            <w:r>
              <w:rPr>
                <w:rFonts w:hint="default" w:ascii="Times New Roman" w:hAnsi="Times New Roman" w:eastAsia="宋体" w:cs="Times New Roman"/>
                <w:color w:val="auto"/>
                <w:sz w:val="24"/>
                <w:szCs w:val="32"/>
                <w:highlight w:val="none"/>
                <w:vertAlign w:val="superscript"/>
              </w:rPr>
              <w:t>2</w:t>
            </w:r>
            <w:r>
              <w:rPr>
                <w:rFonts w:hint="default" w:ascii="Times New Roman" w:hAnsi="Times New Roman" w:eastAsia="宋体" w:cs="Times New Roman"/>
                <w:color w:val="auto"/>
                <w:sz w:val="24"/>
                <w:szCs w:val="32"/>
                <w:highlight w:val="none"/>
              </w:rPr>
              <w:t>。</w:t>
            </w:r>
          </w:p>
          <w:p w14:paraId="4ED202E2">
            <w:pPr>
              <w:keepNext w:val="0"/>
              <w:keepLines w:val="0"/>
              <w:pageBreakBefore w:val="0"/>
              <w:widowControl w:val="0"/>
              <w:kinsoku/>
              <w:wordWrap/>
              <w:overflowPunct/>
              <w:topLinePunct w:val="0"/>
              <w:autoSpaceDE/>
              <w:autoSpaceDN/>
              <w:bidi w:val="0"/>
              <w:adjustRightInd/>
              <w:spacing w:line="360" w:lineRule="auto"/>
              <w:ind w:firstLine="432" w:firstLineChars="180"/>
              <w:jc w:val="left"/>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⑥等效室外声源的位置为围护结构的位置，其声功率级为Lw，由此按室外声源方法计算等效室外声源在预测点产生的A声级。</w:t>
            </w:r>
          </w:p>
          <w:p w14:paraId="21067A34">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eastAsia="宋体" w:cs="Times New Roman"/>
                <w:b w:val="0"/>
                <w:bCs w:val="0"/>
                <w:color w:val="auto"/>
                <w:sz w:val="24"/>
                <w:szCs w:val="32"/>
                <w:highlight w:val="none"/>
              </w:rPr>
            </w:pPr>
            <w:r>
              <w:rPr>
                <w:rFonts w:hint="default" w:ascii="Times New Roman" w:hAnsi="Times New Roman" w:eastAsia="宋体" w:cs="Times New Roman"/>
                <w:b w:val="0"/>
                <w:bCs w:val="0"/>
                <w:color w:val="auto"/>
                <w:sz w:val="24"/>
                <w:szCs w:val="32"/>
                <w:highlight w:val="none"/>
              </w:rPr>
              <w:t>总声压级</w:t>
            </w:r>
          </w:p>
          <w:p w14:paraId="1AF83F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32"/>
                <w:highlight w:val="none"/>
              </w:rPr>
            </w:pPr>
            <m:oMathPara>
              <m:oMath>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m:t>
                    </m:r>
                    <m:ctrlPr>
                      <w:rPr>
                        <w:rFonts w:hint="default" w:ascii="Cambria Math" w:hAnsi="Cambria Math" w:cs="Times New Roman"/>
                        <w:b w:val="0"/>
                        <w:bCs w:val="0"/>
                        <w:color w:val="auto"/>
                        <w:kern w:val="2"/>
                        <w:sz w:val="24"/>
                        <w:szCs w:val="32"/>
                        <w:highlight w:val="none"/>
                        <w:lang w:val="en-US" w:eastAsia="zh-CN" w:bidi="ar-SA"/>
                      </w:rPr>
                    </m:ctrlPr>
                  </m:sub>
                </m:sSub>
                <m:r>
                  <m:rPr>
                    <m:sty m:val="p"/>
                  </m:rPr>
                  <w:rPr>
                    <w:rFonts w:hint="default" w:ascii="Cambria Math" w:hAnsi="Cambria Math" w:cs="Times New Roman"/>
                    <w:color w:val="auto"/>
                    <w:kern w:val="2"/>
                    <w:sz w:val="24"/>
                    <w:szCs w:val="32"/>
                    <w:highlight w:val="none"/>
                    <w:lang w:val="en-US" w:eastAsia="zh-CN" w:bidi="ar-SA"/>
                  </w:rPr>
                  <m:t>=10lg(</m:t>
                </m:r>
                <m:sSup>
                  <m:sSupPr>
                    <m:ctrlPr>
                      <w:rPr>
                        <w:rFonts w:hint="default" w:ascii="Cambria Math" w:hAnsi="Cambria Math" w:cs="Times New Roman"/>
                        <w:b w:val="0"/>
                        <w:bCs w:val="0"/>
                        <w:color w:val="auto"/>
                        <w:kern w:val="2"/>
                        <w:sz w:val="24"/>
                        <w:szCs w:val="32"/>
                        <w:highlight w:val="none"/>
                        <w:lang w:val="en-US" w:eastAsia="zh-CN" w:bidi="ar-SA"/>
                      </w:rPr>
                    </m:ctrlPr>
                  </m:sSupPr>
                  <m:e>
                    <m:r>
                      <m:rPr>
                        <m:sty m:val="p"/>
                      </m:rPr>
                      <w:rPr>
                        <w:rFonts w:hint="default" w:ascii="Cambria Math" w:hAnsi="Cambria Math" w:cs="Times New Roman"/>
                        <w:color w:val="auto"/>
                        <w:kern w:val="2"/>
                        <w:sz w:val="24"/>
                        <w:szCs w:val="32"/>
                        <w:highlight w:val="none"/>
                        <w:lang w:val="en-US" w:eastAsia="zh-CN" w:bidi="ar-SA"/>
                      </w:rPr>
                      <m:t>10</m:t>
                    </m:r>
                    <m:ctrlPr>
                      <w:rPr>
                        <w:rFonts w:hint="default" w:ascii="Cambria Math" w:hAnsi="Cambria Math" w:cs="Times New Roman"/>
                        <w:b w:val="0"/>
                        <w:bCs w:val="0"/>
                        <w:color w:val="auto"/>
                        <w:kern w:val="2"/>
                        <w:sz w:val="24"/>
                        <w:szCs w:val="32"/>
                        <w:highlight w:val="none"/>
                        <w:lang w:val="en-US" w:eastAsia="zh-CN" w:bidi="ar-SA"/>
                      </w:rPr>
                    </m:ctrlPr>
                  </m:e>
                  <m:sup>
                    <m:r>
                      <m:rPr>
                        <m:sty m:val="p"/>
                      </m:rPr>
                      <w:rPr>
                        <w:rFonts w:hint="default" w:ascii="Cambria Math" w:hAnsi="Cambria Math" w:cs="Times New Roman"/>
                        <w:color w:val="auto"/>
                        <w:kern w:val="2"/>
                        <w:sz w:val="24"/>
                        <w:szCs w:val="32"/>
                        <w:highlight w:val="none"/>
                        <w:lang w:val="en-US" w:eastAsia="zh-CN" w:bidi="ar-SA"/>
                      </w:rPr>
                      <m:t>0.1</m:t>
                    </m:r>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eqg</m:t>
                        </m:r>
                        <m:ctrlPr>
                          <w:rPr>
                            <w:rFonts w:hint="default" w:ascii="Cambria Math" w:hAnsi="Cambria Math" w:cs="Times New Roman"/>
                            <w:b w:val="0"/>
                            <w:bCs w:val="0"/>
                            <w:color w:val="auto"/>
                            <w:kern w:val="2"/>
                            <w:sz w:val="24"/>
                            <w:szCs w:val="32"/>
                            <w:highlight w:val="none"/>
                            <w:lang w:val="en-US" w:eastAsia="zh-CN" w:bidi="ar-SA"/>
                          </w:rPr>
                        </m:ctrlPr>
                      </m:sub>
                    </m:sSub>
                    <m:ctrlPr>
                      <w:rPr>
                        <w:rFonts w:hint="default" w:ascii="Cambria Math" w:hAnsi="Cambria Math" w:cs="Times New Roman"/>
                        <w:b w:val="0"/>
                        <w:bCs w:val="0"/>
                        <w:color w:val="auto"/>
                        <w:kern w:val="2"/>
                        <w:sz w:val="24"/>
                        <w:szCs w:val="32"/>
                        <w:highlight w:val="none"/>
                        <w:lang w:val="en-US" w:eastAsia="zh-CN" w:bidi="ar-SA"/>
                      </w:rPr>
                    </m:ctrlPr>
                  </m:sup>
                </m:sSup>
                <m:r>
                  <m:rPr>
                    <m:sty m:val="p"/>
                  </m:rPr>
                  <w:rPr>
                    <w:rFonts w:hint="default" w:ascii="Cambria Math" w:hAnsi="Cambria Math" w:cs="Times New Roman"/>
                    <w:color w:val="auto"/>
                    <w:kern w:val="2"/>
                    <w:sz w:val="24"/>
                    <w:szCs w:val="32"/>
                    <w:highlight w:val="none"/>
                    <w:lang w:val="en-US" w:eastAsia="zh-CN" w:bidi="ar-SA"/>
                  </w:rPr>
                  <m:t>+</m:t>
                </m:r>
                <m:sSup>
                  <m:sSupPr>
                    <m:ctrlPr>
                      <w:rPr>
                        <w:rFonts w:hint="default" w:ascii="Cambria Math" w:hAnsi="Cambria Math" w:cs="Times New Roman"/>
                        <w:b w:val="0"/>
                        <w:bCs w:val="0"/>
                        <w:color w:val="auto"/>
                        <w:kern w:val="2"/>
                        <w:sz w:val="24"/>
                        <w:szCs w:val="32"/>
                        <w:highlight w:val="none"/>
                        <w:lang w:val="en-US" w:eastAsia="zh-CN" w:bidi="ar-SA"/>
                      </w:rPr>
                    </m:ctrlPr>
                  </m:sSupPr>
                  <m:e>
                    <m:r>
                      <m:rPr>
                        <m:sty m:val="p"/>
                      </m:rPr>
                      <w:rPr>
                        <w:rFonts w:hint="default" w:ascii="Cambria Math" w:hAnsi="Cambria Math" w:cs="Times New Roman"/>
                        <w:color w:val="auto"/>
                        <w:kern w:val="2"/>
                        <w:sz w:val="24"/>
                        <w:szCs w:val="32"/>
                        <w:highlight w:val="none"/>
                        <w:lang w:val="en-US" w:eastAsia="zh-CN" w:bidi="ar-SA"/>
                      </w:rPr>
                      <m:t>10</m:t>
                    </m:r>
                    <m:ctrlPr>
                      <w:rPr>
                        <w:rFonts w:hint="default" w:ascii="Cambria Math" w:hAnsi="Cambria Math" w:cs="Times New Roman"/>
                        <w:b w:val="0"/>
                        <w:bCs w:val="0"/>
                        <w:color w:val="auto"/>
                        <w:kern w:val="2"/>
                        <w:sz w:val="24"/>
                        <w:szCs w:val="32"/>
                        <w:highlight w:val="none"/>
                        <w:lang w:val="en-US" w:eastAsia="zh-CN" w:bidi="ar-SA"/>
                      </w:rPr>
                    </m:ctrlPr>
                  </m:e>
                  <m:sup>
                    <m:r>
                      <m:rPr>
                        <m:sty m:val="p"/>
                      </m:rPr>
                      <w:rPr>
                        <w:rFonts w:hint="default" w:ascii="Cambria Math" w:hAnsi="Cambria Math" w:cs="Times New Roman"/>
                        <w:color w:val="auto"/>
                        <w:kern w:val="2"/>
                        <w:sz w:val="24"/>
                        <w:szCs w:val="32"/>
                        <w:highlight w:val="none"/>
                        <w:lang w:val="en-US" w:eastAsia="zh-CN" w:bidi="ar-SA"/>
                      </w:rPr>
                      <m:t>0.1</m:t>
                    </m:r>
                    <m:sSub>
                      <m:sSubPr>
                        <m:ctrlPr>
                          <w:rPr>
                            <w:rFonts w:hint="default" w:ascii="Cambria Math" w:hAnsi="Cambria Math" w:cs="Times New Roman"/>
                            <w:b w:val="0"/>
                            <w:bCs w:val="0"/>
                            <w:color w:val="auto"/>
                            <w:kern w:val="2"/>
                            <w:sz w:val="24"/>
                            <w:szCs w:val="32"/>
                            <w:highlight w:val="none"/>
                            <w:lang w:val="en-US" w:eastAsia="zh-CN" w:bidi="ar-SA"/>
                          </w:rPr>
                        </m:ctrlPr>
                      </m:sSubPr>
                      <m:e>
                        <m:r>
                          <m:rPr>
                            <m:sty m:val="p"/>
                          </m:rPr>
                          <w:rPr>
                            <w:rFonts w:hint="default" w:ascii="Cambria Math" w:hAnsi="Cambria Math" w:cs="Times New Roman"/>
                            <w:color w:val="auto"/>
                            <w:kern w:val="2"/>
                            <w:sz w:val="24"/>
                            <w:szCs w:val="32"/>
                            <w:highlight w:val="none"/>
                            <w:lang w:val="en-US" w:eastAsia="zh-CN" w:bidi="ar-SA"/>
                          </w:rPr>
                          <m:t>L</m:t>
                        </m:r>
                        <m:ctrlPr>
                          <w:rPr>
                            <w:rFonts w:hint="default" w:ascii="Cambria Math" w:hAnsi="Cambria Math" w:cs="Times New Roman"/>
                            <w:b w:val="0"/>
                            <w:bCs w:val="0"/>
                            <w:color w:val="auto"/>
                            <w:kern w:val="2"/>
                            <w:sz w:val="24"/>
                            <w:szCs w:val="32"/>
                            <w:highlight w:val="none"/>
                            <w:lang w:val="en-US" w:eastAsia="zh-CN" w:bidi="ar-SA"/>
                          </w:rPr>
                        </m:ctrlPr>
                      </m:e>
                      <m:sub>
                        <m:r>
                          <m:rPr>
                            <m:sty m:val="p"/>
                          </m:rPr>
                          <w:rPr>
                            <w:rFonts w:hint="default" w:ascii="Cambria Math" w:hAnsi="Cambria Math" w:cs="Times New Roman"/>
                            <w:color w:val="auto"/>
                            <w:kern w:val="2"/>
                            <w:sz w:val="24"/>
                            <w:szCs w:val="32"/>
                            <w:highlight w:val="none"/>
                            <w:lang w:val="en-US" w:eastAsia="zh-CN" w:bidi="ar-SA"/>
                          </w:rPr>
                          <m:t>eqb</m:t>
                        </m:r>
                        <m:ctrlPr>
                          <w:rPr>
                            <w:rFonts w:hint="default" w:ascii="Cambria Math" w:hAnsi="Cambria Math" w:cs="Times New Roman"/>
                            <w:b w:val="0"/>
                            <w:bCs w:val="0"/>
                            <w:color w:val="auto"/>
                            <w:kern w:val="2"/>
                            <w:sz w:val="24"/>
                            <w:szCs w:val="32"/>
                            <w:highlight w:val="none"/>
                            <w:lang w:val="en-US" w:eastAsia="zh-CN" w:bidi="ar-SA"/>
                          </w:rPr>
                        </m:ctrlPr>
                      </m:sub>
                    </m:sSub>
                    <m:ctrlPr>
                      <w:rPr>
                        <w:rFonts w:hint="default" w:ascii="Cambria Math" w:hAnsi="Cambria Math" w:cs="Times New Roman"/>
                        <w:b w:val="0"/>
                        <w:bCs w:val="0"/>
                        <w:color w:val="auto"/>
                        <w:kern w:val="2"/>
                        <w:sz w:val="24"/>
                        <w:szCs w:val="32"/>
                        <w:highlight w:val="none"/>
                        <w:lang w:val="en-US" w:eastAsia="zh-CN" w:bidi="ar-SA"/>
                      </w:rPr>
                    </m:ctrlPr>
                  </m:sup>
                </m:sSup>
                <m:r>
                  <m:rPr>
                    <m:sty m:val="p"/>
                  </m:rPr>
                  <w:rPr>
                    <w:rFonts w:hint="default" w:ascii="Cambria Math" w:hAnsi="Cambria Math" w:cs="Times New Roman"/>
                    <w:color w:val="auto"/>
                    <w:kern w:val="2"/>
                    <w:sz w:val="24"/>
                    <w:szCs w:val="32"/>
                    <w:highlight w:val="none"/>
                    <w:lang w:val="en-US" w:eastAsia="zh-CN" w:bidi="ar-SA"/>
                  </w:rPr>
                  <m:t>)</m:t>
                </m:r>
              </m:oMath>
            </m:oMathPara>
          </w:p>
          <w:p w14:paraId="2FA755B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 xml:space="preserve">式中：Leqg：项目声源在预测点的等效声级贡献值，dB(A)； </w:t>
            </w:r>
          </w:p>
          <w:p w14:paraId="7F6463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rPr>
              <w:t>Leqb：预测点的背景值，dB(A)。</w:t>
            </w:r>
            <w:r>
              <w:rPr>
                <w:rFonts w:hint="eastAsia" w:cs="Times New Roman"/>
                <w:color w:val="auto"/>
                <w:sz w:val="24"/>
                <w:szCs w:val="32"/>
                <w:highlight w:val="none"/>
                <w:lang w:val="en-US" w:eastAsia="zh-CN"/>
              </w:rPr>
              <w:t xml:space="preserve"> </w:t>
            </w:r>
          </w:p>
          <w:p w14:paraId="3C472F5D">
            <w:pPr>
              <w:keepNext w:val="0"/>
              <w:keepLines w:val="0"/>
              <w:pageBreakBefore w:val="0"/>
              <w:widowControl w:val="0"/>
              <w:kinsoku/>
              <w:wordWrap/>
              <w:overflowPunct/>
              <w:topLinePunct w:val="0"/>
              <w:autoSpaceDE/>
              <w:autoSpaceDN/>
              <w:bidi w:val="0"/>
              <w:adjustRightInd/>
              <w:spacing w:line="360" w:lineRule="auto"/>
              <w:ind w:firstLine="432" w:firstLineChars="180"/>
              <w:jc w:val="left"/>
              <w:textAlignment w:val="auto"/>
              <w:rPr>
                <w:rFonts w:hint="default" w:ascii="Times New Roman" w:hAnsi="Times New Roman" w:eastAsia="宋体" w:cs="Times New Roman"/>
                <w:b w:val="0"/>
                <w:bCs w:val="0"/>
                <w:color w:val="auto"/>
                <w:sz w:val="24"/>
                <w:szCs w:val="32"/>
                <w:highlight w:val="none"/>
              </w:rPr>
            </w:pPr>
            <w:r>
              <w:rPr>
                <w:rFonts w:hint="default" w:ascii="Times New Roman" w:hAnsi="Times New Roman" w:eastAsia="宋体" w:cs="Times New Roman"/>
                <w:b w:val="0"/>
                <w:bCs w:val="0"/>
                <w:color w:val="auto"/>
                <w:sz w:val="24"/>
                <w:szCs w:val="32"/>
                <w:highlight w:val="none"/>
                <w:lang w:val="en-US" w:eastAsia="zh-CN"/>
              </w:rPr>
              <w:t>（4）</w:t>
            </w:r>
            <w:r>
              <w:rPr>
                <w:rFonts w:hint="default" w:ascii="Times New Roman" w:hAnsi="Times New Roman" w:eastAsia="宋体" w:cs="Times New Roman"/>
                <w:b w:val="0"/>
                <w:bCs w:val="0"/>
                <w:color w:val="auto"/>
                <w:sz w:val="24"/>
                <w:szCs w:val="32"/>
                <w:highlight w:val="none"/>
              </w:rPr>
              <w:t>预测因子、预测时段、预测方案</w:t>
            </w:r>
          </w:p>
          <w:p w14:paraId="055D485C">
            <w:pPr>
              <w:keepNext w:val="0"/>
              <w:keepLines w:val="0"/>
              <w:pageBreakBefore w:val="0"/>
              <w:widowControl w:val="0"/>
              <w:kinsoku/>
              <w:wordWrap/>
              <w:overflowPunct/>
              <w:topLinePunct w:val="0"/>
              <w:autoSpaceDE/>
              <w:autoSpaceDN/>
              <w:bidi w:val="0"/>
              <w:adjustRightInd/>
              <w:spacing w:line="360" w:lineRule="auto"/>
              <w:ind w:left="0" w:leftChars="0"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①预测因子：等效连续A声级Leq（A）。</w:t>
            </w:r>
          </w:p>
          <w:p w14:paraId="698EFED9">
            <w:pPr>
              <w:keepNext w:val="0"/>
              <w:keepLines w:val="0"/>
              <w:pageBreakBefore w:val="0"/>
              <w:widowControl w:val="0"/>
              <w:kinsoku/>
              <w:wordWrap/>
              <w:overflowPunct/>
              <w:topLinePunct w:val="0"/>
              <w:autoSpaceDE/>
              <w:autoSpaceDN/>
              <w:bidi w:val="0"/>
              <w:adjustRightInd/>
              <w:spacing w:line="360" w:lineRule="auto"/>
              <w:ind w:left="0" w:leftChars="0" w:firstLine="480" w:firstLineChars="200"/>
              <w:jc w:val="both"/>
              <w:textAlignment w:val="auto"/>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②预测时段：固定声源投入运行期。</w:t>
            </w:r>
          </w:p>
          <w:p w14:paraId="0DF13CE3">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color w:val="auto"/>
                <w:kern w:val="2"/>
                <w:sz w:val="24"/>
                <w:szCs w:val="24"/>
                <w:lang w:val="en-US" w:eastAsia="zh-CN" w:bidi="ar"/>
              </w:rPr>
            </w:pPr>
            <w:r>
              <w:rPr>
                <w:rFonts w:hint="default" w:ascii="Times New Roman" w:hAnsi="Times New Roman" w:eastAsia="宋体" w:cs="Times New Roman"/>
                <w:color w:val="auto"/>
                <w:sz w:val="24"/>
                <w:szCs w:val="32"/>
                <w:highlight w:val="none"/>
              </w:rPr>
              <w:t>③预测方案：</w:t>
            </w:r>
            <w:r>
              <w:rPr>
                <w:rFonts w:hint="default" w:ascii="Times New Roman" w:hAnsi="Times New Roman" w:eastAsia="宋体" w:cs="Times New Roman"/>
                <w:color w:val="auto"/>
                <w:sz w:val="24"/>
                <w:szCs w:val="32"/>
                <w:highlight w:val="none"/>
                <w:lang w:val="en-US" w:eastAsia="zh-CN"/>
              </w:rPr>
              <w:t>本项目夜间不运行，</w:t>
            </w:r>
            <w:r>
              <w:rPr>
                <w:rFonts w:hint="default" w:ascii="Times New Roman" w:hAnsi="Times New Roman" w:eastAsia="宋体" w:cs="Times New Roman"/>
                <w:color w:val="auto"/>
                <w:sz w:val="24"/>
                <w:szCs w:val="32"/>
                <w:highlight w:val="none"/>
              </w:rPr>
              <w:t>本次预测按照最不利情况考虑，即所有设备同时连续运行的情况进行预测，预测厂界</w:t>
            </w:r>
            <w:r>
              <w:rPr>
                <w:rFonts w:hint="default" w:ascii="Times New Roman" w:hAnsi="Times New Roman" w:eastAsia="宋体" w:cs="Times New Roman"/>
                <w:color w:val="auto"/>
                <w:sz w:val="24"/>
                <w:szCs w:val="32"/>
                <w:highlight w:val="none"/>
                <w:lang w:val="en-US" w:eastAsia="zh-CN"/>
              </w:rPr>
              <w:t>昼间</w:t>
            </w:r>
            <w:r>
              <w:rPr>
                <w:rFonts w:hint="default" w:ascii="Times New Roman" w:hAnsi="Times New Roman" w:eastAsia="宋体" w:cs="Times New Roman"/>
                <w:color w:val="auto"/>
                <w:sz w:val="24"/>
                <w:szCs w:val="32"/>
                <w:highlight w:val="none"/>
              </w:rPr>
              <w:t>噪声的达标情况</w:t>
            </w:r>
            <w:r>
              <w:rPr>
                <w:rFonts w:hint="eastAsia" w:ascii="宋体" w:hAnsi="宋体" w:eastAsia="宋体" w:cs="宋体"/>
                <w:color w:val="auto"/>
                <w:kern w:val="2"/>
                <w:sz w:val="24"/>
                <w:szCs w:val="24"/>
                <w:lang w:val="en-US" w:eastAsia="zh-CN" w:bidi="ar"/>
              </w:rPr>
              <w:t>。</w:t>
            </w:r>
          </w:p>
          <w:p w14:paraId="646DC1A6">
            <w:pPr>
              <w:keepNext w:val="0"/>
              <w:keepLines w:val="0"/>
              <w:widowControl w:val="0"/>
              <w:suppressLineNumbers w:val="0"/>
              <w:shd w:val="clear" w:color="auto" w:fill="auto"/>
              <w:spacing w:before="0" w:beforeAutospacing="0" w:after="0" w:afterAutospacing="0" w:line="360" w:lineRule="auto"/>
              <w:ind w:right="0"/>
              <w:jc w:val="both"/>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3.4 噪声预测结果</w:t>
            </w:r>
          </w:p>
          <w:p w14:paraId="372D7538">
            <w:pPr>
              <w:spacing w:line="360" w:lineRule="auto"/>
              <w:ind w:firstLine="480"/>
              <w:rPr>
                <w:color w:val="auto"/>
                <w:sz w:val="24"/>
              </w:rPr>
            </w:pPr>
            <w:r>
              <w:rPr>
                <w:color w:val="auto"/>
                <w:sz w:val="24"/>
              </w:rPr>
              <w:t>根据项目的机械设备声级、所在位置，利用噪声预测模式和方法</w:t>
            </w:r>
            <w:r>
              <w:rPr>
                <w:rFonts w:hint="eastAsia"/>
                <w:color w:val="auto"/>
                <w:sz w:val="24"/>
                <w:lang w:eastAsia="zh-CN"/>
              </w:rPr>
              <w:t>，</w:t>
            </w:r>
            <w:r>
              <w:rPr>
                <w:color w:val="auto"/>
                <w:sz w:val="24"/>
              </w:rPr>
              <w:t>对</w:t>
            </w:r>
            <w:r>
              <w:rPr>
                <w:rFonts w:hint="eastAsia"/>
                <w:color w:val="auto"/>
                <w:sz w:val="24"/>
                <w:lang w:eastAsia="zh-CN"/>
              </w:rPr>
              <w:t>厂界</w:t>
            </w:r>
            <w:r>
              <w:rPr>
                <w:color w:val="auto"/>
                <w:sz w:val="24"/>
              </w:rPr>
              <w:t>噪声进行预测</w:t>
            </w:r>
            <w:r>
              <w:rPr>
                <w:rFonts w:hint="eastAsia"/>
                <w:color w:val="auto"/>
                <w:sz w:val="24"/>
                <w:lang w:eastAsia="zh-CN"/>
              </w:rPr>
              <w:t>。本项目以生产厂区为厂界，</w:t>
            </w:r>
            <w:r>
              <w:rPr>
                <w:rFonts w:hint="eastAsia"/>
                <w:color w:val="auto"/>
                <w:sz w:val="24"/>
                <w:lang w:val="en-US" w:eastAsia="zh-CN"/>
              </w:rPr>
              <w:t>5号</w:t>
            </w:r>
            <w:r>
              <w:rPr>
                <w:rFonts w:hint="eastAsia"/>
                <w:color w:val="auto"/>
                <w:sz w:val="24"/>
                <w:lang w:eastAsia="zh-CN"/>
              </w:rPr>
              <w:t>厂房和室外噪声源为声源点，对厂界噪声进行预测</w:t>
            </w:r>
            <w:r>
              <w:rPr>
                <w:color w:val="auto"/>
                <w:sz w:val="24"/>
              </w:rPr>
              <w:t>，项目声源点距各厂界距离见表4-</w:t>
            </w:r>
            <w:r>
              <w:rPr>
                <w:rFonts w:hint="eastAsia"/>
                <w:color w:val="auto"/>
                <w:sz w:val="24"/>
                <w:lang w:val="en-US" w:eastAsia="zh-CN"/>
              </w:rPr>
              <w:t>11</w:t>
            </w:r>
            <w:r>
              <w:rPr>
                <w:color w:val="auto"/>
                <w:sz w:val="24"/>
              </w:rPr>
              <w:t>，本次环评取厂界贡献值。</w:t>
            </w:r>
          </w:p>
          <w:p w14:paraId="05DC1002">
            <w:pPr>
              <w:spacing w:line="360" w:lineRule="auto"/>
              <w:ind w:firstLine="48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表4-</w:t>
            </w:r>
            <w:r>
              <w:rPr>
                <w:rFonts w:hint="default" w:ascii="Times New Roman" w:hAnsi="Times New Roman" w:cs="Times New Roman"/>
                <w:b/>
                <w:bCs/>
                <w:color w:val="auto"/>
                <w:szCs w:val="21"/>
                <w:lang w:val="en-US" w:eastAsia="zh-CN"/>
              </w:rPr>
              <w:t>1</w:t>
            </w:r>
            <w:r>
              <w:rPr>
                <w:rFonts w:hint="eastAsia" w:ascii="Times New Roman" w:hAnsi="Times New Roman" w:cs="Times New Roman"/>
                <w:b/>
                <w:bCs/>
                <w:color w:val="auto"/>
                <w:szCs w:val="21"/>
                <w:lang w:val="en-US" w:eastAsia="zh-CN"/>
              </w:rPr>
              <w:t>1</w:t>
            </w:r>
            <w:r>
              <w:rPr>
                <w:rFonts w:hint="default" w:ascii="Times New Roman" w:hAnsi="Times New Roman" w:cs="Times New Roman"/>
                <w:b/>
                <w:bCs/>
                <w:color w:val="auto"/>
                <w:szCs w:val="21"/>
              </w:rPr>
              <w:t xml:space="preserve">  项目声源点距各厂界距离   单位：m</w:t>
            </w:r>
          </w:p>
          <w:tbl>
            <w:tblPr>
              <w:tblStyle w:val="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779"/>
              <w:gridCol w:w="1262"/>
              <w:gridCol w:w="1023"/>
              <w:gridCol w:w="1023"/>
              <w:gridCol w:w="1024"/>
              <w:gridCol w:w="1024"/>
            </w:tblGrid>
            <w:tr w14:paraId="33B4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6" w:type="pct"/>
                  <w:noWrap w:val="0"/>
                  <w:vAlign w:val="center"/>
                </w:tcPr>
                <w:p w14:paraId="7E8A7D0C">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1125" w:type="pct"/>
                  <w:noWrap w:val="0"/>
                  <w:vAlign w:val="center"/>
                </w:tcPr>
                <w:p w14:paraId="371E6A2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设备名称</w:t>
                  </w:r>
                </w:p>
              </w:tc>
              <w:tc>
                <w:tcPr>
                  <w:tcW w:w="798" w:type="pct"/>
                  <w:noWrap w:val="0"/>
                  <w:vAlign w:val="center"/>
                </w:tcPr>
                <w:p w14:paraId="62D395D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处理后</w:t>
                  </w:r>
                </w:p>
                <w:p w14:paraId="5492704D">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dB（A）</w:t>
                  </w:r>
                </w:p>
              </w:tc>
              <w:tc>
                <w:tcPr>
                  <w:tcW w:w="647" w:type="pct"/>
                  <w:noWrap w:val="0"/>
                  <w:vAlign w:val="center"/>
                </w:tcPr>
                <w:p w14:paraId="65E7910B">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lang w:val="en-US"/>
                    </w:rPr>
                  </w:pPr>
                  <w:r>
                    <w:rPr>
                      <w:rFonts w:hint="default" w:ascii="Times New Roman" w:hAnsi="Times New Roman" w:cs="Times New Roman"/>
                      <w:b/>
                      <w:bCs/>
                      <w:color w:val="auto"/>
                      <w:sz w:val="21"/>
                      <w:szCs w:val="21"/>
                      <w:highlight w:val="none"/>
                      <w:lang w:eastAsia="zh-CN"/>
                    </w:rPr>
                    <w:t>北厂界</w:t>
                  </w:r>
                </w:p>
              </w:tc>
              <w:tc>
                <w:tcPr>
                  <w:tcW w:w="647" w:type="pct"/>
                  <w:noWrap w:val="0"/>
                  <w:vAlign w:val="center"/>
                </w:tcPr>
                <w:p w14:paraId="0C3FCA57">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eastAsia="zh-CN"/>
                    </w:rPr>
                    <w:t>西厂界</w:t>
                  </w:r>
                </w:p>
              </w:tc>
              <w:tc>
                <w:tcPr>
                  <w:tcW w:w="647" w:type="pct"/>
                  <w:noWrap w:val="0"/>
                  <w:vAlign w:val="center"/>
                </w:tcPr>
                <w:p w14:paraId="3DF73B70">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eastAsia="zh-CN"/>
                    </w:rPr>
                    <w:t>南厂界</w:t>
                  </w:r>
                </w:p>
              </w:tc>
              <w:tc>
                <w:tcPr>
                  <w:tcW w:w="647" w:type="pct"/>
                  <w:noWrap w:val="0"/>
                  <w:vAlign w:val="center"/>
                </w:tcPr>
                <w:p w14:paraId="52986371">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eastAsia="zh-CN"/>
                    </w:rPr>
                    <w:t>东厂界</w:t>
                  </w:r>
                </w:p>
              </w:tc>
            </w:tr>
            <w:tr w14:paraId="762DB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6" w:type="pct"/>
                  <w:noWrap w:val="0"/>
                  <w:vAlign w:val="center"/>
                </w:tcPr>
                <w:p w14:paraId="5294885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25" w:type="pct"/>
                  <w:noWrap w:val="0"/>
                  <w:vAlign w:val="center"/>
                </w:tcPr>
                <w:p w14:paraId="70D9A05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号</w:t>
                  </w:r>
                  <w:r>
                    <w:rPr>
                      <w:rFonts w:hint="default" w:ascii="Times New Roman" w:hAnsi="Times New Roman" w:eastAsia="宋体" w:cs="Times New Roman"/>
                      <w:color w:val="auto"/>
                      <w:sz w:val="21"/>
                      <w:szCs w:val="21"/>
                      <w:highlight w:val="none"/>
                      <w:lang w:val="en-US" w:eastAsia="zh-CN"/>
                    </w:rPr>
                    <w:t>厂房</w:t>
                  </w:r>
                </w:p>
              </w:tc>
              <w:tc>
                <w:tcPr>
                  <w:tcW w:w="798" w:type="pct"/>
                  <w:noWrap w:val="0"/>
                  <w:vAlign w:val="center"/>
                </w:tcPr>
                <w:p w14:paraId="76361748">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56.99</w:t>
                  </w:r>
                </w:p>
              </w:tc>
              <w:tc>
                <w:tcPr>
                  <w:tcW w:w="647" w:type="pct"/>
                  <w:noWrap w:val="0"/>
                  <w:vAlign w:val="center"/>
                </w:tcPr>
                <w:p w14:paraId="5375126B">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15</w:t>
                  </w:r>
                </w:p>
              </w:tc>
              <w:tc>
                <w:tcPr>
                  <w:tcW w:w="647" w:type="pct"/>
                  <w:noWrap w:val="0"/>
                  <w:vAlign w:val="center"/>
                </w:tcPr>
                <w:p w14:paraId="567F490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w:t>
                  </w:r>
                </w:p>
              </w:tc>
              <w:tc>
                <w:tcPr>
                  <w:tcW w:w="647" w:type="pct"/>
                  <w:noWrap w:val="0"/>
                  <w:vAlign w:val="center"/>
                </w:tcPr>
                <w:p w14:paraId="5B968FC4">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w:t>
                  </w:r>
                </w:p>
              </w:tc>
              <w:tc>
                <w:tcPr>
                  <w:tcW w:w="647" w:type="pct"/>
                  <w:noWrap w:val="0"/>
                  <w:vAlign w:val="center"/>
                </w:tcPr>
                <w:p w14:paraId="39257DBD">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220</w:t>
                  </w:r>
                </w:p>
              </w:tc>
            </w:tr>
            <w:tr w14:paraId="7AD09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486" w:type="pct"/>
                  <w:noWrap w:val="0"/>
                  <w:vAlign w:val="center"/>
                </w:tcPr>
                <w:p w14:paraId="63BFAC5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1125" w:type="pct"/>
                  <w:noWrap w:val="0"/>
                  <w:vAlign w:val="center"/>
                </w:tcPr>
                <w:p w14:paraId="27E264E2">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环保风机</w:t>
                  </w:r>
                </w:p>
              </w:tc>
              <w:tc>
                <w:tcPr>
                  <w:tcW w:w="798" w:type="pct"/>
                  <w:noWrap w:val="0"/>
                  <w:vAlign w:val="center"/>
                </w:tcPr>
                <w:p w14:paraId="422BBCA1">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80</w:t>
                  </w:r>
                </w:p>
              </w:tc>
              <w:tc>
                <w:tcPr>
                  <w:tcW w:w="647" w:type="pct"/>
                  <w:noWrap w:val="0"/>
                  <w:vAlign w:val="center"/>
                </w:tcPr>
                <w:p w14:paraId="3BF93A70">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13</w:t>
                  </w:r>
                </w:p>
              </w:tc>
              <w:tc>
                <w:tcPr>
                  <w:tcW w:w="647" w:type="pct"/>
                  <w:noWrap w:val="0"/>
                  <w:vAlign w:val="center"/>
                </w:tcPr>
                <w:p w14:paraId="55F8D4C7">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p>
              </w:tc>
              <w:tc>
                <w:tcPr>
                  <w:tcW w:w="647" w:type="pct"/>
                  <w:noWrap w:val="0"/>
                  <w:vAlign w:val="center"/>
                </w:tcPr>
                <w:p w14:paraId="1587C3BC">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53</w:t>
                  </w:r>
                </w:p>
              </w:tc>
              <w:tc>
                <w:tcPr>
                  <w:tcW w:w="647" w:type="pct"/>
                  <w:noWrap w:val="0"/>
                  <w:vAlign w:val="center"/>
                </w:tcPr>
                <w:p w14:paraId="61124410">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255</w:t>
                  </w:r>
                </w:p>
              </w:tc>
            </w:tr>
            <w:tr w14:paraId="0915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486" w:type="pct"/>
                  <w:noWrap w:val="0"/>
                  <w:vAlign w:val="center"/>
                </w:tcPr>
                <w:p w14:paraId="193D93D8">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1125" w:type="pct"/>
                  <w:noWrap w:val="0"/>
                  <w:vAlign w:val="center"/>
                </w:tcPr>
                <w:p w14:paraId="5059BF9B">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冷却塔</w:t>
                  </w:r>
                </w:p>
              </w:tc>
              <w:tc>
                <w:tcPr>
                  <w:tcW w:w="798" w:type="pct"/>
                  <w:noWrap w:val="0"/>
                  <w:vAlign w:val="center"/>
                </w:tcPr>
                <w:p w14:paraId="2592C07F">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75</w:t>
                  </w:r>
                </w:p>
              </w:tc>
              <w:tc>
                <w:tcPr>
                  <w:tcW w:w="647" w:type="pct"/>
                  <w:noWrap w:val="0"/>
                  <w:vAlign w:val="center"/>
                </w:tcPr>
                <w:p w14:paraId="4041E36A">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44</w:t>
                  </w:r>
                </w:p>
              </w:tc>
              <w:tc>
                <w:tcPr>
                  <w:tcW w:w="647" w:type="pct"/>
                  <w:noWrap w:val="0"/>
                  <w:vAlign w:val="center"/>
                </w:tcPr>
                <w:p w14:paraId="060D63DC">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p>
              </w:tc>
              <w:tc>
                <w:tcPr>
                  <w:tcW w:w="647" w:type="pct"/>
                  <w:noWrap w:val="0"/>
                  <w:vAlign w:val="center"/>
                </w:tcPr>
                <w:p w14:paraId="1A9B53F0">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22</w:t>
                  </w:r>
                </w:p>
              </w:tc>
              <w:tc>
                <w:tcPr>
                  <w:tcW w:w="647" w:type="pct"/>
                  <w:noWrap w:val="0"/>
                  <w:vAlign w:val="center"/>
                </w:tcPr>
                <w:p w14:paraId="3D19E6D9">
                  <w:pPr>
                    <w:keepNext w:val="0"/>
                    <w:keepLines w:val="0"/>
                    <w:pageBreakBefore w:val="0"/>
                    <w:widowControl w:val="0"/>
                    <w:kinsoku/>
                    <w:wordWrap/>
                    <w:overflowPunct/>
                    <w:topLinePunct w:val="0"/>
                    <w:autoSpaceDE/>
                    <w:autoSpaceDN/>
                    <w:bidi w:val="0"/>
                    <w:spacing w:line="360" w:lineRule="exact"/>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255</w:t>
                  </w:r>
                </w:p>
              </w:tc>
            </w:tr>
          </w:tbl>
          <w:p w14:paraId="79DBB16C">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120" w:beforeAutospacing="0" w:after="0" w:afterAutospacing="0" w:line="360" w:lineRule="auto"/>
              <w:ind w:right="0" w:firstLine="480" w:firstLineChars="200"/>
              <w:jc w:val="both"/>
              <w:textAlignment w:val="auto"/>
              <w:rPr>
                <w:rFonts w:hint="eastAsia" w:ascii="宋体" w:hAnsi="宋体" w:eastAsia="宋体" w:cs="宋体"/>
                <w:color w:val="auto"/>
                <w:kern w:val="0"/>
                <w:sz w:val="24"/>
                <w:szCs w:val="24"/>
                <w:highlight w:val="none"/>
                <w:lang w:val="en-US" w:eastAsia="zh-CN" w:bidi="ar"/>
              </w:rPr>
            </w:pPr>
            <w:r>
              <w:rPr>
                <w:rFonts w:hint="eastAsia" w:eastAsia="宋体" w:cs="宋体"/>
                <w:color w:val="auto"/>
                <w:kern w:val="0"/>
                <w:sz w:val="24"/>
                <w:szCs w:val="24"/>
                <w:highlight w:val="none"/>
                <w:lang w:val="en-US" w:eastAsia="zh-CN" w:bidi="ar"/>
              </w:rPr>
              <w:t>预测结果见</w:t>
            </w:r>
            <w:r>
              <w:rPr>
                <w:rFonts w:hint="eastAsia" w:ascii="宋体" w:hAnsi="宋体" w:eastAsia="宋体" w:cs="宋体"/>
                <w:color w:val="auto"/>
                <w:kern w:val="0"/>
                <w:sz w:val="24"/>
                <w:szCs w:val="24"/>
                <w:highlight w:val="none"/>
                <w:lang w:val="en-US" w:eastAsia="zh-CN" w:bidi="ar"/>
              </w:rPr>
              <w:t>表</w:t>
            </w:r>
            <w:r>
              <w:rPr>
                <w:rFonts w:hint="eastAsia" w:ascii="Times New Roman" w:hAnsi="Times New Roman" w:eastAsia="宋体" w:cs="Times New Roman"/>
                <w:color w:val="auto"/>
                <w:kern w:val="0"/>
                <w:sz w:val="24"/>
                <w:szCs w:val="24"/>
                <w:highlight w:val="none"/>
                <w:lang w:val="en-US" w:eastAsia="zh-CN" w:bidi="ar"/>
              </w:rPr>
              <w:t>4-</w:t>
            </w:r>
            <w:r>
              <w:rPr>
                <w:rFonts w:hint="eastAsia" w:cs="Times New Roman"/>
                <w:color w:val="auto"/>
                <w:kern w:val="0"/>
                <w:sz w:val="24"/>
                <w:szCs w:val="24"/>
                <w:highlight w:val="none"/>
                <w:lang w:val="en-US" w:eastAsia="zh-CN" w:bidi="ar"/>
              </w:rPr>
              <w:t>12</w:t>
            </w:r>
            <w:r>
              <w:rPr>
                <w:rFonts w:hint="eastAsia" w:ascii="宋体" w:hAnsi="宋体" w:eastAsia="宋体" w:cs="宋体"/>
                <w:color w:val="auto"/>
                <w:kern w:val="0"/>
                <w:sz w:val="24"/>
                <w:szCs w:val="24"/>
                <w:highlight w:val="none"/>
                <w:lang w:val="en-US" w:eastAsia="zh-CN" w:bidi="ar"/>
              </w:rPr>
              <w:t>。</w:t>
            </w:r>
          </w:p>
          <w:p w14:paraId="2F8414EF">
            <w:pPr>
              <w:shd w:val="clear" w:color="auto" w:fill="auto"/>
              <w:spacing w:beforeLines="0" w:afterLines="0" w:line="360" w:lineRule="auto"/>
              <w:jc w:val="center"/>
              <w:rPr>
                <w:rFonts w:hint="default" w:ascii="Times New Roman" w:hAnsi="Times New Roman" w:eastAsia="宋体" w:cs="Times New Roman"/>
                <w:b/>
                <w:color w:val="auto"/>
                <w:sz w:val="21"/>
                <w:szCs w:val="24"/>
                <w:highlight w:val="none"/>
                <w:lang w:val="en-US" w:eastAsia="zh-CN"/>
              </w:rPr>
            </w:pPr>
            <w:r>
              <w:rPr>
                <w:rFonts w:hint="default" w:ascii="Times New Roman" w:hAnsi="Times New Roman" w:eastAsia="宋体" w:cs="Times New Roman"/>
                <w:b/>
                <w:color w:val="auto"/>
                <w:sz w:val="21"/>
                <w:szCs w:val="24"/>
                <w:highlight w:val="none"/>
                <w:lang w:val="en-US" w:eastAsia="zh-CN"/>
              </w:rPr>
              <w:t>表4-</w:t>
            </w:r>
            <w:r>
              <w:rPr>
                <w:rFonts w:hint="eastAsia" w:cs="Times New Roman"/>
                <w:b/>
                <w:color w:val="auto"/>
                <w:sz w:val="21"/>
                <w:szCs w:val="24"/>
                <w:highlight w:val="none"/>
                <w:lang w:val="en-US" w:eastAsia="zh-CN"/>
              </w:rPr>
              <w:t>12</w:t>
            </w:r>
            <w:r>
              <w:rPr>
                <w:rFonts w:hint="default" w:ascii="Times New Roman" w:hAnsi="Times New Roman" w:eastAsia="宋体" w:cs="Times New Roman"/>
                <w:b/>
                <w:color w:val="auto"/>
                <w:sz w:val="21"/>
                <w:szCs w:val="24"/>
                <w:highlight w:val="none"/>
                <w:lang w:val="en-US" w:eastAsia="zh-CN"/>
              </w:rPr>
              <w:t xml:space="preserve"> 噪声影响预测结果表  单位：dB（A）</w:t>
            </w:r>
          </w:p>
          <w:tbl>
            <w:tblPr>
              <w:tblStyle w:val="25"/>
              <w:tblW w:w="498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180"/>
              <w:gridCol w:w="1314"/>
              <w:gridCol w:w="1864"/>
              <w:gridCol w:w="2023"/>
              <w:gridCol w:w="1505"/>
            </w:tblGrid>
            <w:tr w14:paraId="463675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09" w:hRule="atLeast"/>
                <w:tblHeader/>
                <w:jc w:val="center"/>
              </w:trPr>
              <w:tc>
                <w:tcPr>
                  <w:tcW w:w="1581" w:type="pct"/>
                  <w:gridSpan w:val="2"/>
                  <w:vMerge w:val="restart"/>
                  <w:noWrap w:val="0"/>
                  <w:vAlign w:val="center"/>
                </w:tcPr>
                <w:p w14:paraId="034DE7F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分类</w:t>
                  </w:r>
                </w:p>
              </w:tc>
              <w:tc>
                <w:tcPr>
                  <w:tcW w:w="1181" w:type="pct"/>
                  <w:vMerge w:val="restart"/>
                  <w:tcBorders>
                    <w:right w:val="single" w:color="auto" w:sz="4" w:space="0"/>
                  </w:tcBorders>
                  <w:noWrap w:val="0"/>
                  <w:vAlign w:val="center"/>
                </w:tcPr>
                <w:p w14:paraId="74149268">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贡献值</w:t>
                  </w:r>
                </w:p>
              </w:tc>
              <w:tc>
                <w:tcPr>
                  <w:tcW w:w="1282" w:type="pct"/>
                  <w:tcBorders>
                    <w:left w:val="single" w:color="auto" w:sz="4" w:space="0"/>
                    <w:bottom w:val="single" w:color="auto" w:sz="4" w:space="0"/>
                  </w:tcBorders>
                  <w:noWrap w:val="0"/>
                  <w:vAlign w:val="center"/>
                </w:tcPr>
                <w:p w14:paraId="16A3EAB0">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标准值</w:t>
                  </w:r>
                </w:p>
              </w:tc>
              <w:tc>
                <w:tcPr>
                  <w:tcW w:w="954" w:type="pct"/>
                  <w:vMerge w:val="restart"/>
                  <w:tcBorders>
                    <w:left w:val="single" w:color="auto" w:sz="4" w:space="0"/>
                  </w:tcBorders>
                  <w:noWrap w:val="0"/>
                  <w:vAlign w:val="center"/>
                </w:tcPr>
                <w:p w14:paraId="3104A07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达标情况</w:t>
                  </w:r>
                </w:p>
              </w:tc>
            </w:tr>
            <w:tr w14:paraId="4C7160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1581" w:type="pct"/>
                  <w:gridSpan w:val="2"/>
                  <w:vMerge w:val="continue"/>
                  <w:noWrap w:val="0"/>
                  <w:vAlign w:val="center"/>
                </w:tcPr>
                <w:p w14:paraId="460CBA75">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1181" w:type="pct"/>
                  <w:vMerge w:val="continue"/>
                  <w:tcBorders>
                    <w:right w:val="single" w:color="auto" w:sz="4" w:space="0"/>
                  </w:tcBorders>
                  <w:noWrap w:val="0"/>
                  <w:vAlign w:val="center"/>
                </w:tcPr>
                <w:p w14:paraId="03A0B90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highlight w:val="none"/>
                      <w:lang w:val="en-US" w:eastAsia="zh-CN"/>
                    </w:rPr>
                  </w:pPr>
                </w:p>
              </w:tc>
              <w:tc>
                <w:tcPr>
                  <w:tcW w:w="1282" w:type="pct"/>
                  <w:tcBorders>
                    <w:left w:val="single" w:color="auto" w:sz="4" w:space="0"/>
                  </w:tcBorders>
                  <w:noWrap w:val="0"/>
                  <w:vAlign w:val="center"/>
                </w:tcPr>
                <w:p w14:paraId="6780073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昼间</w:t>
                  </w:r>
                </w:p>
              </w:tc>
              <w:tc>
                <w:tcPr>
                  <w:tcW w:w="954" w:type="pct"/>
                  <w:vMerge w:val="continue"/>
                  <w:tcBorders>
                    <w:left w:val="single" w:color="auto" w:sz="4" w:space="0"/>
                  </w:tcBorders>
                  <w:noWrap w:val="0"/>
                  <w:vAlign w:val="center"/>
                </w:tcPr>
                <w:p w14:paraId="00A5D564">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r>
            <w:tr w14:paraId="0E635C8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46" w:hRule="atLeast"/>
                <w:tblHeader/>
                <w:jc w:val="center"/>
              </w:trPr>
              <w:tc>
                <w:tcPr>
                  <w:tcW w:w="748" w:type="pct"/>
                  <w:vMerge w:val="restart"/>
                  <w:noWrap w:val="0"/>
                  <w:vAlign w:val="center"/>
                </w:tcPr>
                <w:p w14:paraId="548BCD25">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p>
              </w:tc>
              <w:tc>
                <w:tcPr>
                  <w:tcW w:w="833" w:type="pct"/>
                  <w:noWrap w:val="0"/>
                  <w:vAlign w:val="center"/>
                </w:tcPr>
                <w:p w14:paraId="676E4018">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东厂界</w:t>
                  </w:r>
                </w:p>
              </w:tc>
              <w:tc>
                <w:tcPr>
                  <w:tcW w:w="1181" w:type="pct"/>
                  <w:tcBorders>
                    <w:right w:val="single" w:color="auto" w:sz="4" w:space="0"/>
                  </w:tcBorders>
                  <w:noWrap w:val="0"/>
                  <w:vAlign w:val="center"/>
                </w:tcPr>
                <w:p w14:paraId="606984D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33.02</w:t>
                  </w:r>
                </w:p>
              </w:tc>
              <w:tc>
                <w:tcPr>
                  <w:tcW w:w="1282" w:type="pct"/>
                  <w:tcBorders>
                    <w:left w:val="single" w:color="auto" w:sz="4" w:space="0"/>
                  </w:tcBorders>
                  <w:noWrap w:val="0"/>
                  <w:vAlign w:val="center"/>
                </w:tcPr>
                <w:p w14:paraId="07F36F0D">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631E15A1">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45A5E44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65" w:hRule="atLeast"/>
                <w:tblHeader/>
                <w:jc w:val="center"/>
              </w:trPr>
              <w:tc>
                <w:tcPr>
                  <w:tcW w:w="748" w:type="pct"/>
                  <w:vMerge w:val="continue"/>
                  <w:noWrap w:val="0"/>
                  <w:vAlign w:val="center"/>
                </w:tcPr>
                <w:p w14:paraId="34831FA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0E3B7C1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南厂界</w:t>
                  </w:r>
                </w:p>
              </w:tc>
              <w:tc>
                <w:tcPr>
                  <w:tcW w:w="1181" w:type="pct"/>
                  <w:tcBorders>
                    <w:right w:val="single" w:color="auto" w:sz="4" w:space="0"/>
                  </w:tcBorders>
                  <w:noWrap w:val="0"/>
                  <w:vAlign w:val="center"/>
                </w:tcPr>
                <w:p w14:paraId="65A9DC0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48.05</w:t>
                  </w:r>
                </w:p>
              </w:tc>
              <w:tc>
                <w:tcPr>
                  <w:tcW w:w="1282" w:type="pct"/>
                  <w:tcBorders>
                    <w:left w:val="single" w:color="auto" w:sz="4" w:space="0"/>
                  </w:tcBorders>
                  <w:noWrap w:val="0"/>
                  <w:vAlign w:val="center"/>
                </w:tcPr>
                <w:p w14:paraId="07234D6A">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240F574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60E9683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508" w:hRule="atLeast"/>
                <w:tblHeader/>
                <w:jc w:val="center"/>
              </w:trPr>
              <w:tc>
                <w:tcPr>
                  <w:tcW w:w="748" w:type="pct"/>
                  <w:vMerge w:val="continue"/>
                  <w:noWrap w:val="0"/>
                  <w:vAlign w:val="center"/>
                </w:tcPr>
                <w:p w14:paraId="53F5F212">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5085180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西厂界</w:t>
                  </w:r>
                </w:p>
              </w:tc>
              <w:tc>
                <w:tcPr>
                  <w:tcW w:w="1181" w:type="pct"/>
                  <w:tcBorders>
                    <w:right w:val="single" w:color="auto" w:sz="4" w:space="0"/>
                  </w:tcBorders>
                  <w:noWrap w:val="0"/>
                  <w:vAlign w:val="center"/>
                </w:tcPr>
                <w:p w14:paraId="2CE07DA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45.35</w:t>
                  </w:r>
                </w:p>
              </w:tc>
              <w:tc>
                <w:tcPr>
                  <w:tcW w:w="1282" w:type="pct"/>
                  <w:tcBorders>
                    <w:left w:val="single" w:color="auto" w:sz="4" w:space="0"/>
                  </w:tcBorders>
                  <w:noWrap w:val="0"/>
                  <w:vAlign w:val="center"/>
                </w:tcPr>
                <w:p w14:paraId="4C4E8A96">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6244E376">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14:paraId="607AB84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91" w:hRule="atLeast"/>
                <w:tblHeader/>
                <w:jc w:val="center"/>
              </w:trPr>
              <w:tc>
                <w:tcPr>
                  <w:tcW w:w="748" w:type="pct"/>
                  <w:vMerge w:val="continue"/>
                  <w:noWrap w:val="0"/>
                  <w:vAlign w:val="center"/>
                </w:tcPr>
                <w:p w14:paraId="36AB5D6C">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p>
              </w:tc>
              <w:tc>
                <w:tcPr>
                  <w:tcW w:w="833" w:type="pct"/>
                  <w:noWrap w:val="0"/>
                  <w:vAlign w:val="center"/>
                </w:tcPr>
                <w:p w14:paraId="56A50FFF">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北厂界</w:t>
                  </w:r>
                </w:p>
              </w:tc>
              <w:tc>
                <w:tcPr>
                  <w:tcW w:w="1181" w:type="pct"/>
                  <w:tcBorders>
                    <w:right w:val="single" w:color="auto" w:sz="4" w:space="0"/>
                  </w:tcBorders>
                  <w:noWrap w:val="0"/>
                  <w:vAlign w:val="center"/>
                </w:tcPr>
                <w:p w14:paraId="3FADF434">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57.71</w:t>
                  </w:r>
                </w:p>
              </w:tc>
              <w:tc>
                <w:tcPr>
                  <w:tcW w:w="1282" w:type="pct"/>
                  <w:tcBorders>
                    <w:left w:val="single" w:color="auto" w:sz="4" w:space="0"/>
                  </w:tcBorders>
                  <w:noWrap w:val="0"/>
                  <w:vAlign w:val="center"/>
                </w:tcPr>
                <w:p w14:paraId="4063E779">
                  <w:pPr>
                    <w:keepNext w:val="0"/>
                    <w:keepLines w:val="0"/>
                    <w:pageBreakBefore w:val="0"/>
                    <w:widowControl w:val="0"/>
                    <w:kinsoku/>
                    <w:wordWrap/>
                    <w:overflowPunct/>
                    <w:topLinePunct w:val="0"/>
                    <w:autoSpaceDE/>
                    <w:autoSpaceDN/>
                    <w:bidi w:val="0"/>
                    <w:adjustRightInd w:val="0"/>
                    <w:snapToGrid w:val="0"/>
                    <w:spacing w:line="360" w:lineRule="exact"/>
                    <w:ind w:firstLine="0" w:firstLineChars="0"/>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lang w:val="en-US" w:eastAsia="zh-CN"/>
                    </w:rPr>
                    <w:t>5</w:t>
                  </w:r>
                </w:p>
              </w:tc>
              <w:tc>
                <w:tcPr>
                  <w:tcW w:w="954" w:type="pct"/>
                  <w:tcBorders>
                    <w:left w:val="single" w:color="auto" w:sz="4" w:space="0"/>
                  </w:tcBorders>
                  <w:noWrap w:val="0"/>
                  <w:vAlign w:val="center"/>
                </w:tcPr>
                <w:p w14:paraId="076F3D1E">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bl>
          <w:p w14:paraId="1C62CB55">
            <w:pPr>
              <w:pStyle w:val="12"/>
              <w:ind w:left="0" w:leftChars="0" w:firstLine="0" w:firstLineChars="0"/>
              <w:rPr>
                <w:rFonts w:hint="eastAsia"/>
                <w:color w:val="auto"/>
                <w:lang w:val="en-US" w:eastAsia="zh-CN"/>
              </w:rPr>
            </w:pPr>
          </w:p>
          <w:p w14:paraId="5BB47659">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eastAsia" w:ascii="宋体" w:hAnsi="宋体" w:eastAsia="宋体" w:cs="宋体"/>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本项目每天工作</w:t>
            </w:r>
            <w:r>
              <w:rPr>
                <w:rFonts w:hint="eastAsia" w:ascii="Times New Roman" w:hAnsi="Times New Roman" w:eastAsia="宋体" w:cs="Times New Roman"/>
                <w:color w:val="auto"/>
                <w:kern w:val="0"/>
                <w:sz w:val="24"/>
                <w:szCs w:val="24"/>
                <w:highlight w:val="none"/>
                <w:lang w:val="en-US" w:eastAsia="zh-CN" w:bidi="ar"/>
              </w:rPr>
              <w:t>14</w:t>
            </w:r>
            <w:r>
              <w:rPr>
                <w:rFonts w:hint="default" w:ascii="Times New Roman" w:hAnsi="Times New Roman" w:eastAsia="宋体" w:cs="Times New Roman"/>
                <w:color w:val="auto"/>
                <w:kern w:val="0"/>
                <w:sz w:val="24"/>
                <w:szCs w:val="24"/>
                <w:highlight w:val="none"/>
                <w:lang w:val="en-US" w:eastAsia="zh-CN" w:bidi="ar"/>
              </w:rPr>
              <w:t>小时，夜间不生产。</w:t>
            </w:r>
            <w:r>
              <w:rPr>
                <w:rFonts w:hint="eastAsia" w:ascii="宋体" w:hAnsi="宋体" w:eastAsia="宋体" w:cs="宋体"/>
                <w:color w:val="auto"/>
                <w:kern w:val="0"/>
                <w:sz w:val="24"/>
                <w:szCs w:val="24"/>
                <w:lang w:val="en-US" w:eastAsia="zh-CN" w:bidi="ar"/>
              </w:rPr>
              <w:t>根据预测结果可知，项目运营期间，经厂房隔声后各厂界噪声贡献值满足《工业企业厂界环境噪声排放标准》（</w:t>
            </w:r>
            <w:r>
              <w:rPr>
                <w:rFonts w:hint="default" w:ascii="Times New Roman" w:hAnsi="Times New Roman" w:eastAsia="宋体" w:cs="Times New Roman"/>
                <w:color w:val="auto"/>
                <w:kern w:val="0"/>
                <w:sz w:val="24"/>
                <w:szCs w:val="24"/>
                <w:lang w:val="en-US" w:eastAsia="zh-CN" w:bidi="ar"/>
              </w:rPr>
              <w:t>GB12348-2008）3</w:t>
            </w:r>
            <w:r>
              <w:rPr>
                <w:rFonts w:hint="eastAsia" w:ascii="宋体" w:hAnsi="宋体" w:eastAsia="宋体" w:cs="宋体"/>
                <w:color w:val="auto"/>
                <w:kern w:val="0"/>
                <w:sz w:val="24"/>
                <w:szCs w:val="24"/>
                <w:lang w:val="en-US" w:eastAsia="zh-CN" w:bidi="ar"/>
              </w:rPr>
              <w:t>类标准的要求，故厂内设备噪声不会对周围声环境造成较大的影响</w:t>
            </w:r>
            <w:r>
              <w:rPr>
                <w:rFonts w:hint="eastAsia" w:ascii="宋体" w:hAnsi="宋体" w:eastAsia="宋体" w:cs="宋体"/>
                <w:color w:val="auto"/>
                <w:kern w:val="0"/>
                <w:sz w:val="24"/>
                <w:szCs w:val="24"/>
                <w:highlight w:val="none"/>
                <w:lang w:val="en-US" w:eastAsia="zh-CN" w:bidi="ar"/>
              </w:rPr>
              <w:t>。</w:t>
            </w:r>
          </w:p>
          <w:p w14:paraId="34435920">
            <w:pPr>
              <w:keepNext w:val="0"/>
              <w:keepLines w:val="0"/>
              <w:pageBreakBefore w:val="0"/>
              <w:widowControl w:val="0"/>
              <w:shd w:val="clear" w:color="auto" w:fill="auto"/>
              <w:kinsoku/>
              <w:wordWrap/>
              <w:overflowPunct/>
              <w:topLinePunct w:val="0"/>
              <w:autoSpaceDE/>
              <w:autoSpaceDN/>
              <w:bidi w:val="0"/>
              <w:adjustRightInd/>
              <w:snapToGrid/>
              <w:spacing w:beforeLines="0" w:afterLines="0" w:line="360" w:lineRule="auto"/>
              <w:textAlignment w:val="auto"/>
              <w:rPr>
                <w:rFonts w:hint="default" w:ascii="Times New Roman" w:hAnsi="Times New Roman" w:eastAsia="Times New Roman" w:cs="Times New Roman"/>
                <w:b/>
                <w:color w:val="auto"/>
                <w:sz w:val="24"/>
                <w:szCs w:val="24"/>
                <w:highlight w:val="none"/>
              </w:rPr>
            </w:pPr>
            <w:r>
              <w:rPr>
                <w:rFonts w:hint="eastAsia" w:ascii="宋体" w:hAnsi="Times New Roman" w:eastAsia="宋体" w:cs="Times New Roman"/>
                <w:b/>
                <w:color w:val="auto"/>
                <w:sz w:val="24"/>
                <w:szCs w:val="24"/>
                <w:highlight w:val="none"/>
                <w:lang w:val="en-US" w:eastAsia="zh-CN"/>
              </w:rPr>
              <w:t>3.5</w:t>
            </w:r>
            <w:r>
              <w:rPr>
                <w:rFonts w:hint="default" w:ascii="宋体" w:hAnsi="Times New Roman" w:eastAsia="宋体" w:cs="Times New Roman"/>
                <w:b/>
                <w:color w:val="auto"/>
                <w:sz w:val="24"/>
                <w:szCs w:val="24"/>
                <w:highlight w:val="none"/>
              </w:rPr>
              <w:t>运营期</w:t>
            </w:r>
            <w:r>
              <w:rPr>
                <w:rFonts w:hint="eastAsia" w:ascii="宋体" w:hAnsi="Times New Roman" w:eastAsia="宋体" w:cs="Times New Roman"/>
                <w:b/>
                <w:color w:val="auto"/>
                <w:sz w:val="24"/>
                <w:szCs w:val="24"/>
                <w:highlight w:val="none"/>
                <w:lang w:val="en-US" w:eastAsia="zh-CN"/>
              </w:rPr>
              <w:t>噪声</w:t>
            </w:r>
            <w:r>
              <w:rPr>
                <w:rFonts w:hint="default" w:ascii="宋体" w:hAnsi="Times New Roman" w:eastAsia="宋体" w:cs="Times New Roman"/>
                <w:b/>
                <w:color w:val="auto"/>
                <w:sz w:val="24"/>
                <w:szCs w:val="24"/>
                <w:highlight w:val="none"/>
              </w:rPr>
              <w:t>监测计划</w:t>
            </w:r>
          </w:p>
          <w:p w14:paraId="7D40D057">
            <w:pPr>
              <w:shd w:val="clear" w:color="auto" w:fill="auto"/>
              <w:spacing w:beforeLines="0" w:afterLines="0" w:line="360" w:lineRule="auto"/>
              <w:ind w:firstLine="480" w:firstLineChars="200"/>
              <w:rPr>
                <w:rFonts w:hint="default" w:ascii="Times New Roman" w:hAnsi="Times New Roman" w:eastAsia="宋体" w:cs="Times New Roman"/>
                <w:b/>
                <w:color w:val="auto"/>
                <w:sz w:val="21"/>
                <w:szCs w:val="24"/>
                <w:highlight w:val="none"/>
              </w:rPr>
            </w:pPr>
            <w:r>
              <w:rPr>
                <w:rFonts w:hint="default" w:ascii="宋体" w:hAnsi="Times New Roman" w:eastAsia="宋体" w:cs="Times New Roman"/>
                <w:color w:val="auto"/>
                <w:sz w:val="24"/>
                <w:szCs w:val="24"/>
                <w:highlight w:val="none"/>
              </w:rPr>
              <w:t>根据本项目运营期各项污染物的污染特点及《排污单位自行监测技术指南 总则》（</w:t>
            </w:r>
            <w:r>
              <w:rPr>
                <w:rFonts w:hint="default" w:ascii="Times New Roman" w:hAnsi="Times New Roman" w:eastAsia="宋体" w:cs="Times New Roman"/>
                <w:color w:val="auto"/>
                <w:sz w:val="24"/>
                <w:szCs w:val="24"/>
                <w:highlight w:val="none"/>
              </w:rPr>
              <w:t>HJ819-2017</w:t>
            </w:r>
            <w:r>
              <w:rPr>
                <w:rFonts w:hint="default" w:ascii="宋体" w:hAnsi="Times New Roman" w:eastAsia="宋体" w:cs="Times New Roman"/>
                <w:color w:val="auto"/>
                <w:sz w:val="24"/>
                <w:szCs w:val="24"/>
                <w:highlight w:val="none"/>
              </w:rPr>
              <w:t>）中的相关监测要求，制定了本项目运营期</w:t>
            </w:r>
            <w:r>
              <w:rPr>
                <w:rFonts w:hint="default" w:ascii="宋体" w:hAnsi="Times New Roman" w:eastAsia="宋体" w:cs="Times New Roman"/>
                <w:color w:val="auto"/>
                <w:sz w:val="24"/>
                <w:szCs w:val="24"/>
                <w:highlight w:val="none"/>
                <w:lang w:val="en-US" w:eastAsia="zh-CN"/>
              </w:rPr>
              <w:t>噪声</w:t>
            </w:r>
            <w:r>
              <w:rPr>
                <w:rFonts w:hint="default" w:ascii="宋体" w:hAnsi="Times New Roman" w:eastAsia="宋体" w:cs="Times New Roman"/>
                <w:color w:val="auto"/>
                <w:sz w:val="24"/>
                <w:szCs w:val="24"/>
                <w:highlight w:val="none"/>
              </w:rPr>
              <w:t>污染源与环境监测计划表，见表</w:t>
            </w:r>
            <w:r>
              <w:rPr>
                <w:rFonts w:hint="default" w:ascii="Times New Roman" w:hAnsi="Times New Roman" w:cs="Times New Roman" w:eastAsiaTheme="minorEastAsia"/>
                <w:color w:val="auto"/>
                <w:sz w:val="24"/>
                <w:szCs w:val="24"/>
                <w:highlight w:val="none"/>
              </w:rPr>
              <w:t>4-1</w:t>
            </w:r>
            <w:r>
              <w:rPr>
                <w:rFonts w:hint="eastAsia" w:cs="Times New Roman" w:eastAsiaTheme="minorEastAsia"/>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p>
          <w:p w14:paraId="1DA68853">
            <w:pPr>
              <w:shd w:val="clear" w:color="auto" w:fill="auto"/>
              <w:spacing w:beforeLines="0" w:afterLines="0" w:line="360" w:lineRule="auto"/>
              <w:jc w:val="center"/>
              <w:rPr>
                <w:rFonts w:hint="default" w:ascii="Times New Roman" w:hAnsi="Times New Roman" w:eastAsia="宋体" w:cs="Times New Roman"/>
                <w:b/>
                <w:color w:val="auto"/>
                <w:sz w:val="21"/>
                <w:szCs w:val="24"/>
                <w:highlight w:val="none"/>
                <w:lang w:val="en-US" w:eastAsia="zh-CN"/>
              </w:rPr>
            </w:pPr>
            <w:r>
              <w:rPr>
                <w:rFonts w:hint="default" w:ascii="Times New Roman" w:hAnsi="Times New Roman" w:eastAsia="宋体" w:cs="Times New Roman"/>
                <w:b/>
                <w:color w:val="auto"/>
                <w:sz w:val="21"/>
                <w:szCs w:val="24"/>
                <w:highlight w:val="none"/>
                <w:lang w:val="en-US" w:eastAsia="zh-CN"/>
              </w:rPr>
              <w:t>表4-1</w:t>
            </w:r>
            <w:r>
              <w:rPr>
                <w:rFonts w:hint="eastAsia" w:cs="Times New Roman"/>
                <w:b/>
                <w:color w:val="auto"/>
                <w:sz w:val="21"/>
                <w:szCs w:val="24"/>
                <w:highlight w:val="none"/>
                <w:lang w:val="en-US" w:eastAsia="zh-CN"/>
              </w:rPr>
              <w:t>2</w:t>
            </w:r>
            <w:r>
              <w:rPr>
                <w:rFonts w:hint="default" w:ascii="Times New Roman" w:hAnsi="Times New Roman" w:eastAsia="宋体" w:cs="Times New Roman"/>
                <w:b/>
                <w:color w:val="auto"/>
                <w:sz w:val="21"/>
                <w:szCs w:val="24"/>
                <w:highlight w:val="none"/>
                <w:lang w:val="en-US" w:eastAsia="zh-CN"/>
              </w:rPr>
              <w:t xml:space="preserve"> 运营期噪声污染源监测计划</w:t>
            </w:r>
          </w:p>
          <w:tbl>
            <w:tblPr>
              <w:tblStyle w:val="25"/>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2"/>
              <w:gridCol w:w="1118"/>
              <w:gridCol w:w="1072"/>
              <w:gridCol w:w="1936"/>
              <w:gridCol w:w="954"/>
              <w:gridCol w:w="1521"/>
            </w:tblGrid>
            <w:tr w14:paraId="357C7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23" w:type="pct"/>
                  <w:tcBorders>
                    <w:tl2br w:val="nil"/>
                    <w:tr2bl w:val="nil"/>
                  </w:tcBorders>
                  <w:noWrap w:val="0"/>
                  <w:vAlign w:val="center"/>
                </w:tcPr>
                <w:p w14:paraId="22AFBCDB">
                  <w:pPr>
                    <w:pStyle w:val="53"/>
                    <w:spacing w:line="240" w:lineRule="auto"/>
                    <w:jc w:val="center"/>
                    <w:rPr>
                      <w:b/>
                      <w:bCs/>
                      <w:color w:val="auto"/>
                      <w:szCs w:val="21"/>
                    </w:rPr>
                  </w:pPr>
                  <w:bookmarkStart w:id="14" w:name="_Hlk68887805"/>
                  <w:r>
                    <w:rPr>
                      <w:b/>
                      <w:bCs/>
                      <w:color w:val="auto"/>
                      <w:szCs w:val="21"/>
                    </w:rPr>
                    <w:t>监测点位</w:t>
                  </w:r>
                </w:p>
              </w:tc>
              <w:tc>
                <w:tcPr>
                  <w:tcW w:w="706" w:type="pct"/>
                  <w:tcBorders>
                    <w:tl2br w:val="nil"/>
                    <w:tr2bl w:val="nil"/>
                  </w:tcBorders>
                  <w:noWrap w:val="0"/>
                  <w:vAlign w:val="center"/>
                </w:tcPr>
                <w:p w14:paraId="73F1FEA4">
                  <w:pPr>
                    <w:pStyle w:val="53"/>
                    <w:spacing w:line="240" w:lineRule="auto"/>
                    <w:jc w:val="center"/>
                    <w:rPr>
                      <w:b/>
                      <w:bCs/>
                      <w:color w:val="auto"/>
                      <w:szCs w:val="21"/>
                    </w:rPr>
                  </w:pPr>
                  <w:r>
                    <w:rPr>
                      <w:b/>
                      <w:bCs/>
                      <w:color w:val="auto"/>
                      <w:szCs w:val="21"/>
                    </w:rPr>
                    <w:t>监测项目</w:t>
                  </w:r>
                </w:p>
              </w:tc>
              <w:tc>
                <w:tcPr>
                  <w:tcW w:w="678" w:type="pct"/>
                  <w:tcBorders>
                    <w:tl2br w:val="nil"/>
                    <w:tr2bl w:val="nil"/>
                  </w:tcBorders>
                  <w:noWrap w:val="0"/>
                  <w:vAlign w:val="center"/>
                </w:tcPr>
                <w:p w14:paraId="60957E1C">
                  <w:pPr>
                    <w:pStyle w:val="53"/>
                    <w:spacing w:line="240" w:lineRule="auto"/>
                    <w:jc w:val="center"/>
                    <w:rPr>
                      <w:b/>
                      <w:bCs/>
                      <w:color w:val="auto"/>
                      <w:szCs w:val="21"/>
                    </w:rPr>
                  </w:pPr>
                  <w:r>
                    <w:rPr>
                      <w:b/>
                      <w:bCs/>
                      <w:color w:val="auto"/>
                      <w:szCs w:val="21"/>
                    </w:rPr>
                    <w:t>监测频次</w:t>
                  </w:r>
                </w:p>
              </w:tc>
              <w:tc>
                <w:tcPr>
                  <w:tcW w:w="1224" w:type="pct"/>
                  <w:tcBorders>
                    <w:tl2br w:val="nil"/>
                    <w:tr2bl w:val="nil"/>
                  </w:tcBorders>
                  <w:noWrap w:val="0"/>
                  <w:vAlign w:val="center"/>
                </w:tcPr>
                <w:p w14:paraId="378713A6">
                  <w:pPr>
                    <w:pStyle w:val="53"/>
                    <w:spacing w:line="240" w:lineRule="auto"/>
                    <w:jc w:val="center"/>
                    <w:rPr>
                      <w:b/>
                      <w:bCs/>
                      <w:color w:val="auto"/>
                      <w:szCs w:val="21"/>
                    </w:rPr>
                  </w:pPr>
                  <w:r>
                    <w:rPr>
                      <w:b/>
                      <w:bCs/>
                      <w:color w:val="auto"/>
                      <w:szCs w:val="21"/>
                    </w:rPr>
                    <w:t>执行标准</w:t>
                  </w:r>
                </w:p>
              </w:tc>
              <w:tc>
                <w:tcPr>
                  <w:tcW w:w="603" w:type="pct"/>
                  <w:tcBorders>
                    <w:tl2br w:val="nil"/>
                    <w:tr2bl w:val="nil"/>
                  </w:tcBorders>
                  <w:noWrap w:val="0"/>
                  <w:vAlign w:val="center"/>
                </w:tcPr>
                <w:p w14:paraId="2C6D84F2">
                  <w:pPr>
                    <w:pStyle w:val="53"/>
                    <w:spacing w:line="240" w:lineRule="auto"/>
                    <w:jc w:val="center"/>
                    <w:rPr>
                      <w:b/>
                      <w:bCs/>
                      <w:color w:val="auto"/>
                      <w:szCs w:val="21"/>
                    </w:rPr>
                  </w:pPr>
                  <w:r>
                    <w:rPr>
                      <w:b/>
                      <w:bCs/>
                      <w:color w:val="auto"/>
                      <w:szCs w:val="21"/>
                    </w:rPr>
                    <w:t>级别</w:t>
                  </w:r>
                </w:p>
              </w:tc>
              <w:tc>
                <w:tcPr>
                  <w:tcW w:w="962" w:type="pct"/>
                  <w:tcBorders>
                    <w:tl2br w:val="nil"/>
                    <w:tr2bl w:val="nil"/>
                  </w:tcBorders>
                  <w:noWrap w:val="0"/>
                  <w:vAlign w:val="center"/>
                </w:tcPr>
                <w:p w14:paraId="6F53FAF8">
                  <w:pPr>
                    <w:pStyle w:val="53"/>
                    <w:spacing w:line="240" w:lineRule="auto"/>
                    <w:jc w:val="center"/>
                    <w:rPr>
                      <w:b/>
                      <w:bCs/>
                      <w:color w:val="auto"/>
                      <w:szCs w:val="21"/>
                    </w:rPr>
                  </w:pPr>
                  <w:r>
                    <w:rPr>
                      <w:b/>
                      <w:bCs/>
                      <w:color w:val="auto"/>
                      <w:szCs w:val="21"/>
                    </w:rPr>
                    <w:t>标准限值</w:t>
                  </w:r>
                </w:p>
              </w:tc>
            </w:tr>
            <w:tr w14:paraId="50628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9" w:hRule="atLeast"/>
                <w:jc w:val="center"/>
              </w:trPr>
              <w:tc>
                <w:tcPr>
                  <w:tcW w:w="823" w:type="pct"/>
                  <w:tcBorders>
                    <w:tl2br w:val="nil"/>
                    <w:tr2bl w:val="nil"/>
                  </w:tcBorders>
                  <w:noWrap w:val="0"/>
                  <w:vAlign w:val="center"/>
                </w:tcPr>
                <w:p w14:paraId="0A0E9048">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厂界东侧</w:t>
                  </w:r>
                </w:p>
              </w:tc>
              <w:tc>
                <w:tcPr>
                  <w:tcW w:w="706" w:type="pct"/>
                  <w:vMerge w:val="restart"/>
                  <w:tcBorders>
                    <w:tl2br w:val="nil"/>
                    <w:tr2bl w:val="nil"/>
                  </w:tcBorders>
                  <w:noWrap w:val="0"/>
                  <w:vAlign w:val="center"/>
                </w:tcPr>
                <w:p w14:paraId="53871C74">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等效连续A声级</w:t>
                  </w:r>
                </w:p>
              </w:tc>
              <w:tc>
                <w:tcPr>
                  <w:tcW w:w="678" w:type="pct"/>
                  <w:vMerge w:val="restart"/>
                  <w:tcBorders>
                    <w:tl2br w:val="nil"/>
                    <w:tr2bl w:val="nil"/>
                  </w:tcBorders>
                  <w:noWrap w:val="0"/>
                  <w:vAlign w:val="center"/>
                </w:tcPr>
                <w:p w14:paraId="3E0E186E">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1次/季</w:t>
                  </w:r>
                </w:p>
              </w:tc>
              <w:tc>
                <w:tcPr>
                  <w:tcW w:w="1224" w:type="pct"/>
                  <w:vMerge w:val="restart"/>
                  <w:tcBorders>
                    <w:tl2br w:val="nil"/>
                    <w:tr2bl w:val="nil"/>
                  </w:tcBorders>
                  <w:noWrap w:val="0"/>
                  <w:vAlign w:val="center"/>
                </w:tcPr>
                <w:p w14:paraId="6657F1EF">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w:t>
                  </w:r>
                </w:p>
              </w:tc>
              <w:tc>
                <w:tcPr>
                  <w:tcW w:w="603" w:type="pct"/>
                  <w:vMerge w:val="restart"/>
                  <w:tcBorders>
                    <w:tl2br w:val="nil"/>
                    <w:tr2bl w:val="nil"/>
                  </w:tcBorders>
                  <w:noWrap w:val="0"/>
                  <w:vAlign w:val="center"/>
                </w:tcPr>
                <w:p w14:paraId="53FA3EAE">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类</w:t>
                  </w:r>
                </w:p>
              </w:tc>
              <w:tc>
                <w:tcPr>
                  <w:tcW w:w="962" w:type="pct"/>
                  <w:vMerge w:val="restart"/>
                  <w:tcBorders>
                    <w:tl2br w:val="nil"/>
                    <w:tr2bl w:val="nil"/>
                  </w:tcBorders>
                  <w:noWrap w:val="0"/>
                  <w:vAlign w:val="center"/>
                </w:tcPr>
                <w:p w14:paraId="69404A90">
                  <w:pPr>
                    <w:pStyle w:val="53"/>
                    <w:keepNext w:val="0"/>
                    <w:keepLines w:val="0"/>
                    <w:pageBreakBefore w:val="0"/>
                    <w:widowControl w:val="0"/>
                    <w:kinsoku/>
                    <w:wordWrap/>
                    <w:overflowPunct/>
                    <w:topLinePunct w:val="0"/>
                    <w:autoSpaceDE/>
                    <w:autoSpaceDN/>
                    <w:bidi w:val="0"/>
                    <w:adjustRightInd/>
                    <w:snapToGrid/>
                    <w:spacing w:line="264"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昼间：6</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dB(A)</w:t>
                  </w:r>
                </w:p>
              </w:tc>
            </w:tr>
            <w:tr w14:paraId="24D86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823" w:type="pct"/>
                  <w:tcBorders>
                    <w:tl2br w:val="nil"/>
                    <w:tr2bl w:val="nil"/>
                  </w:tcBorders>
                  <w:noWrap w:val="0"/>
                  <w:vAlign w:val="center"/>
                </w:tcPr>
                <w:p w14:paraId="2E3754AD">
                  <w:pPr>
                    <w:pStyle w:val="53"/>
                    <w:spacing w:line="240" w:lineRule="auto"/>
                    <w:jc w:val="center"/>
                    <w:rPr>
                      <w:rFonts w:hint="eastAsia"/>
                      <w:color w:val="auto"/>
                      <w:szCs w:val="21"/>
                    </w:rPr>
                  </w:pPr>
                  <w:r>
                    <w:rPr>
                      <w:rFonts w:hint="eastAsia"/>
                      <w:color w:val="auto"/>
                      <w:szCs w:val="21"/>
                    </w:rPr>
                    <w:t>厂界南侧</w:t>
                  </w:r>
                </w:p>
              </w:tc>
              <w:tc>
                <w:tcPr>
                  <w:tcW w:w="706" w:type="pct"/>
                  <w:vMerge w:val="continue"/>
                  <w:tcBorders>
                    <w:tl2br w:val="nil"/>
                    <w:tr2bl w:val="nil"/>
                  </w:tcBorders>
                  <w:noWrap w:val="0"/>
                  <w:vAlign w:val="center"/>
                </w:tcPr>
                <w:p w14:paraId="3DF6562A">
                  <w:pPr>
                    <w:pStyle w:val="53"/>
                    <w:spacing w:line="240" w:lineRule="auto"/>
                    <w:jc w:val="center"/>
                    <w:rPr>
                      <w:color w:val="auto"/>
                      <w:szCs w:val="21"/>
                    </w:rPr>
                  </w:pPr>
                </w:p>
              </w:tc>
              <w:tc>
                <w:tcPr>
                  <w:tcW w:w="678" w:type="pct"/>
                  <w:vMerge w:val="continue"/>
                  <w:tcBorders>
                    <w:tl2br w:val="nil"/>
                    <w:tr2bl w:val="nil"/>
                  </w:tcBorders>
                  <w:noWrap w:val="0"/>
                  <w:vAlign w:val="center"/>
                </w:tcPr>
                <w:p w14:paraId="68991797">
                  <w:pPr>
                    <w:pStyle w:val="53"/>
                    <w:spacing w:line="240" w:lineRule="auto"/>
                    <w:jc w:val="center"/>
                    <w:rPr>
                      <w:color w:val="auto"/>
                      <w:szCs w:val="21"/>
                    </w:rPr>
                  </w:pPr>
                </w:p>
              </w:tc>
              <w:tc>
                <w:tcPr>
                  <w:tcW w:w="1224" w:type="pct"/>
                  <w:vMerge w:val="continue"/>
                  <w:tcBorders>
                    <w:tl2br w:val="nil"/>
                    <w:tr2bl w:val="nil"/>
                  </w:tcBorders>
                  <w:noWrap w:val="0"/>
                  <w:vAlign w:val="center"/>
                </w:tcPr>
                <w:p w14:paraId="6629935F">
                  <w:pPr>
                    <w:pStyle w:val="53"/>
                    <w:spacing w:line="240" w:lineRule="auto"/>
                    <w:jc w:val="center"/>
                    <w:rPr>
                      <w:color w:val="auto"/>
                      <w:szCs w:val="21"/>
                    </w:rPr>
                  </w:pPr>
                </w:p>
              </w:tc>
              <w:tc>
                <w:tcPr>
                  <w:tcW w:w="603" w:type="pct"/>
                  <w:vMerge w:val="continue"/>
                  <w:tcBorders>
                    <w:tl2br w:val="nil"/>
                    <w:tr2bl w:val="nil"/>
                  </w:tcBorders>
                  <w:noWrap w:val="0"/>
                  <w:vAlign w:val="center"/>
                </w:tcPr>
                <w:p w14:paraId="2CE092E0">
                  <w:pPr>
                    <w:pStyle w:val="53"/>
                    <w:spacing w:line="240" w:lineRule="auto"/>
                    <w:jc w:val="center"/>
                    <w:rPr>
                      <w:color w:val="auto"/>
                      <w:szCs w:val="21"/>
                    </w:rPr>
                  </w:pPr>
                </w:p>
              </w:tc>
              <w:tc>
                <w:tcPr>
                  <w:tcW w:w="962" w:type="pct"/>
                  <w:vMerge w:val="continue"/>
                  <w:tcBorders>
                    <w:tl2br w:val="nil"/>
                    <w:tr2bl w:val="nil"/>
                  </w:tcBorders>
                  <w:noWrap w:val="0"/>
                  <w:vAlign w:val="center"/>
                </w:tcPr>
                <w:p w14:paraId="3B906295">
                  <w:pPr>
                    <w:pStyle w:val="53"/>
                    <w:spacing w:line="240" w:lineRule="auto"/>
                    <w:jc w:val="center"/>
                    <w:rPr>
                      <w:color w:val="auto"/>
                      <w:szCs w:val="21"/>
                    </w:rPr>
                  </w:pPr>
                </w:p>
              </w:tc>
            </w:tr>
            <w:tr w14:paraId="4BD0E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823" w:type="pct"/>
                  <w:tcBorders>
                    <w:tl2br w:val="nil"/>
                    <w:tr2bl w:val="nil"/>
                  </w:tcBorders>
                  <w:noWrap w:val="0"/>
                  <w:vAlign w:val="center"/>
                </w:tcPr>
                <w:p w14:paraId="75BD827E">
                  <w:pPr>
                    <w:pStyle w:val="53"/>
                    <w:spacing w:line="240" w:lineRule="auto"/>
                    <w:jc w:val="center"/>
                    <w:rPr>
                      <w:rFonts w:hint="eastAsia"/>
                      <w:color w:val="auto"/>
                      <w:szCs w:val="21"/>
                    </w:rPr>
                  </w:pPr>
                  <w:r>
                    <w:rPr>
                      <w:rFonts w:hint="eastAsia"/>
                      <w:color w:val="auto"/>
                      <w:szCs w:val="21"/>
                    </w:rPr>
                    <w:t>厂界</w:t>
                  </w:r>
                  <w:r>
                    <w:rPr>
                      <w:rFonts w:hint="eastAsia"/>
                      <w:color w:val="auto"/>
                      <w:szCs w:val="21"/>
                      <w:lang w:eastAsia="zh-CN"/>
                    </w:rPr>
                    <w:t>西</w:t>
                  </w:r>
                  <w:r>
                    <w:rPr>
                      <w:rFonts w:hint="eastAsia"/>
                      <w:color w:val="auto"/>
                      <w:szCs w:val="21"/>
                    </w:rPr>
                    <w:t>侧</w:t>
                  </w:r>
                </w:p>
              </w:tc>
              <w:tc>
                <w:tcPr>
                  <w:tcW w:w="706" w:type="pct"/>
                  <w:vMerge w:val="continue"/>
                  <w:tcBorders>
                    <w:tl2br w:val="nil"/>
                    <w:tr2bl w:val="nil"/>
                  </w:tcBorders>
                  <w:noWrap w:val="0"/>
                  <w:vAlign w:val="center"/>
                </w:tcPr>
                <w:p w14:paraId="30482827">
                  <w:pPr>
                    <w:pStyle w:val="53"/>
                    <w:spacing w:line="240" w:lineRule="auto"/>
                    <w:jc w:val="center"/>
                    <w:rPr>
                      <w:color w:val="auto"/>
                      <w:szCs w:val="21"/>
                    </w:rPr>
                  </w:pPr>
                </w:p>
              </w:tc>
              <w:tc>
                <w:tcPr>
                  <w:tcW w:w="678" w:type="pct"/>
                  <w:vMerge w:val="continue"/>
                  <w:tcBorders>
                    <w:tl2br w:val="nil"/>
                    <w:tr2bl w:val="nil"/>
                  </w:tcBorders>
                  <w:noWrap w:val="0"/>
                  <w:vAlign w:val="center"/>
                </w:tcPr>
                <w:p w14:paraId="3BD4BB99">
                  <w:pPr>
                    <w:pStyle w:val="53"/>
                    <w:spacing w:line="240" w:lineRule="auto"/>
                    <w:jc w:val="center"/>
                    <w:rPr>
                      <w:color w:val="auto"/>
                      <w:szCs w:val="21"/>
                    </w:rPr>
                  </w:pPr>
                </w:p>
              </w:tc>
              <w:tc>
                <w:tcPr>
                  <w:tcW w:w="1224" w:type="pct"/>
                  <w:vMerge w:val="continue"/>
                  <w:tcBorders>
                    <w:tl2br w:val="nil"/>
                    <w:tr2bl w:val="nil"/>
                  </w:tcBorders>
                  <w:noWrap w:val="0"/>
                  <w:vAlign w:val="center"/>
                </w:tcPr>
                <w:p w14:paraId="7A659962">
                  <w:pPr>
                    <w:pStyle w:val="53"/>
                    <w:spacing w:line="240" w:lineRule="auto"/>
                    <w:jc w:val="center"/>
                    <w:rPr>
                      <w:color w:val="auto"/>
                      <w:szCs w:val="21"/>
                    </w:rPr>
                  </w:pPr>
                </w:p>
              </w:tc>
              <w:tc>
                <w:tcPr>
                  <w:tcW w:w="603" w:type="pct"/>
                  <w:vMerge w:val="continue"/>
                  <w:tcBorders>
                    <w:tl2br w:val="nil"/>
                    <w:tr2bl w:val="nil"/>
                  </w:tcBorders>
                  <w:noWrap w:val="0"/>
                  <w:vAlign w:val="center"/>
                </w:tcPr>
                <w:p w14:paraId="13A41462">
                  <w:pPr>
                    <w:pStyle w:val="53"/>
                    <w:spacing w:line="240" w:lineRule="auto"/>
                    <w:jc w:val="center"/>
                    <w:rPr>
                      <w:color w:val="auto"/>
                      <w:szCs w:val="21"/>
                    </w:rPr>
                  </w:pPr>
                </w:p>
              </w:tc>
              <w:tc>
                <w:tcPr>
                  <w:tcW w:w="962" w:type="pct"/>
                  <w:vMerge w:val="continue"/>
                  <w:tcBorders>
                    <w:tl2br w:val="nil"/>
                    <w:tr2bl w:val="nil"/>
                  </w:tcBorders>
                  <w:noWrap w:val="0"/>
                  <w:vAlign w:val="center"/>
                </w:tcPr>
                <w:p w14:paraId="472A406A">
                  <w:pPr>
                    <w:pStyle w:val="53"/>
                    <w:spacing w:line="240" w:lineRule="auto"/>
                    <w:jc w:val="center"/>
                    <w:rPr>
                      <w:color w:val="auto"/>
                      <w:szCs w:val="21"/>
                    </w:rPr>
                  </w:pPr>
                </w:p>
              </w:tc>
            </w:tr>
            <w:tr w14:paraId="53475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823" w:type="pct"/>
                  <w:tcBorders>
                    <w:tl2br w:val="nil"/>
                    <w:tr2bl w:val="nil"/>
                  </w:tcBorders>
                  <w:noWrap w:val="0"/>
                  <w:vAlign w:val="center"/>
                </w:tcPr>
                <w:p w14:paraId="6409887A">
                  <w:pPr>
                    <w:pStyle w:val="53"/>
                    <w:spacing w:line="240" w:lineRule="auto"/>
                    <w:jc w:val="center"/>
                    <w:rPr>
                      <w:rFonts w:hint="eastAsia"/>
                      <w:color w:val="auto"/>
                      <w:szCs w:val="21"/>
                    </w:rPr>
                  </w:pPr>
                  <w:r>
                    <w:rPr>
                      <w:rFonts w:hint="eastAsia"/>
                      <w:color w:val="auto"/>
                      <w:szCs w:val="21"/>
                    </w:rPr>
                    <w:t>厂界</w:t>
                  </w:r>
                  <w:r>
                    <w:rPr>
                      <w:rFonts w:hint="eastAsia"/>
                      <w:color w:val="auto"/>
                      <w:szCs w:val="21"/>
                      <w:lang w:eastAsia="zh-CN"/>
                    </w:rPr>
                    <w:t>北</w:t>
                  </w:r>
                  <w:r>
                    <w:rPr>
                      <w:rFonts w:hint="eastAsia"/>
                      <w:color w:val="auto"/>
                      <w:szCs w:val="21"/>
                    </w:rPr>
                    <w:t>侧</w:t>
                  </w:r>
                </w:p>
              </w:tc>
              <w:tc>
                <w:tcPr>
                  <w:tcW w:w="706" w:type="pct"/>
                  <w:vMerge w:val="continue"/>
                  <w:tcBorders>
                    <w:tl2br w:val="nil"/>
                    <w:tr2bl w:val="nil"/>
                  </w:tcBorders>
                  <w:shd w:val="clear" w:color="auto" w:fill="auto"/>
                  <w:noWrap w:val="0"/>
                  <w:vAlign w:val="center"/>
                </w:tcPr>
                <w:p w14:paraId="2E1782F4">
                  <w:pPr>
                    <w:pStyle w:val="53"/>
                    <w:spacing w:line="240" w:lineRule="auto"/>
                    <w:jc w:val="center"/>
                    <w:rPr>
                      <w:rFonts w:ascii="Times New Roman" w:hAnsi="Times New Roman" w:eastAsia="宋体" w:cs="Times New Roman"/>
                      <w:color w:val="auto"/>
                      <w:kern w:val="2"/>
                      <w:sz w:val="21"/>
                      <w:szCs w:val="21"/>
                      <w:lang w:val="en-US" w:eastAsia="zh-CN" w:bidi="ar-SA"/>
                    </w:rPr>
                  </w:pPr>
                </w:p>
              </w:tc>
              <w:tc>
                <w:tcPr>
                  <w:tcW w:w="678" w:type="pct"/>
                  <w:vMerge w:val="continue"/>
                  <w:tcBorders>
                    <w:tl2br w:val="nil"/>
                    <w:tr2bl w:val="nil"/>
                  </w:tcBorders>
                  <w:shd w:val="clear" w:color="auto" w:fill="auto"/>
                  <w:noWrap w:val="0"/>
                  <w:vAlign w:val="center"/>
                </w:tcPr>
                <w:p w14:paraId="6182B8FE">
                  <w:pPr>
                    <w:pStyle w:val="53"/>
                    <w:spacing w:line="240" w:lineRule="auto"/>
                    <w:jc w:val="center"/>
                    <w:rPr>
                      <w:rFonts w:ascii="Times New Roman" w:hAnsi="Times New Roman" w:eastAsia="宋体" w:cs="Times New Roman"/>
                      <w:color w:val="auto"/>
                      <w:kern w:val="2"/>
                      <w:sz w:val="21"/>
                      <w:szCs w:val="21"/>
                      <w:lang w:val="en-US" w:eastAsia="zh-CN" w:bidi="ar-SA"/>
                    </w:rPr>
                  </w:pPr>
                </w:p>
              </w:tc>
              <w:tc>
                <w:tcPr>
                  <w:tcW w:w="1224" w:type="pct"/>
                  <w:vMerge w:val="continue"/>
                  <w:tcBorders>
                    <w:tl2br w:val="nil"/>
                    <w:tr2bl w:val="nil"/>
                  </w:tcBorders>
                  <w:shd w:val="clear" w:color="auto" w:fill="auto"/>
                  <w:noWrap w:val="0"/>
                  <w:vAlign w:val="center"/>
                </w:tcPr>
                <w:p w14:paraId="12FD94CD">
                  <w:pPr>
                    <w:pStyle w:val="53"/>
                    <w:spacing w:line="240" w:lineRule="auto"/>
                    <w:jc w:val="center"/>
                    <w:rPr>
                      <w:rFonts w:ascii="Times New Roman" w:hAnsi="Times New Roman" w:eastAsia="宋体" w:cs="Times New Roman"/>
                      <w:color w:val="auto"/>
                      <w:kern w:val="2"/>
                      <w:sz w:val="21"/>
                      <w:szCs w:val="21"/>
                      <w:lang w:val="en-US" w:eastAsia="zh-CN" w:bidi="ar-SA"/>
                    </w:rPr>
                  </w:pPr>
                </w:p>
              </w:tc>
              <w:tc>
                <w:tcPr>
                  <w:tcW w:w="603" w:type="pct"/>
                  <w:vMerge w:val="continue"/>
                  <w:tcBorders>
                    <w:tl2br w:val="nil"/>
                    <w:tr2bl w:val="nil"/>
                  </w:tcBorders>
                  <w:shd w:val="clear" w:color="auto" w:fill="auto"/>
                  <w:noWrap w:val="0"/>
                  <w:vAlign w:val="center"/>
                </w:tcPr>
                <w:p w14:paraId="4454D79F">
                  <w:pPr>
                    <w:pStyle w:val="53"/>
                    <w:spacing w:line="240" w:lineRule="auto"/>
                    <w:jc w:val="center"/>
                    <w:rPr>
                      <w:rFonts w:hint="eastAsia" w:ascii="Times New Roman" w:hAnsi="Times New Roman" w:eastAsia="宋体" w:cs="Times New Roman"/>
                      <w:color w:val="auto"/>
                      <w:kern w:val="2"/>
                      <w:sz w:val="21"/>
                      <w:szCs w:val="21"/>
                      <w:lang w:val="en-US" w:eastAsia="zh-CN" w:bidi="ar-SA"/>
                    </w:rPr>
                  </w:pPr>
                </w:p>
              </w:tc>
              <w:tc>
                <w:tcPr>
                  <w:tcW w:w="962" w:type="pct"/>
                  <w:vMerge w:val="continue"/>
                  <w:tcBorders>
                    <w:tl2br w:val="nil"/>
                    <w:tr2bl w:val="nil"/>
                  </w:tcBorders>
                  <w:shd w:val="clear" w:color="auto" w:fill="auto"/>
                  <w:noWrap w:val="0"/>
                  <w:vAlign w:val="center"/>
                </w:tcPr>
                <w:p w14:paraId="53C4D850">
                  <w:pPr>
                    <w:rPr>
                      <w:rFonts w:ascii="Times New Roman" w:hAnsi="Times New Roman" w:eastAsia="宋体" w:cs="Times New Roman"/>
                      <w:color w:val="auto"/>
                      <w:kern w:val="2"/>
                      <w:sz w:val="21"/>
                      <w:szCs w:val="21"/>
                      <w:lang w:val="en-US" w:eastAsia="zh-CN" w:bidi="ar-SA"/>
                    </w:rPr>
                  </w:pPr>
                </w:p>
              </w:tc>
            </w:tr>
            <w:bookmarkEnd w:id="14"/>
          </w:tbl>
          <w:p w14:paraId="07C9764A">
            <w:pPr>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line="360" w:lineRule="auto"/>
              <w:textAlignment w:val="auto"/>
              <w:rPr>
                <w:rFonts w:hint="default" w:ascii="Times New Roman" w:hAnsi="Times New Roman" w:eastAsia="宋体" w:cs="Times New Roman"/>
                <w:b/>
                <w:bCs w:val="0"/>
                <w:color w:val="auto"/>
                <w:spacing w:val="-10"/>
                <w:sz w:val="24"/>
                <w:szCs w:val="24"/>
                <w:highlight w:val="none"/>
                <w:lang w:val="en-US" w:eastAsia="zh-CN"/>
              </w:rPr>
            </w:pPr>
            <w:r>
              <w:rPr>
                <w:rFonts w:hint="eastAsia" w:ascii="Times New Roman" w:hAnsi="Times New Roman" w:eastAsia="宋体" w:cs="Times New Roman"/>
                <w:b/>
                <w:bCs w:val="0"/>
                <w:color w:val="auto"/>
                <w:spacing w:val="-10"/>
                <w:sz w:val="24"/>
                <w:szCs w:val="24"/>
                <w:highlight w:val="none"/>
                <w:lang w:val="en-US" w:eastAsia="zh-CN"/>
              </w:rPr>
              <w:t>4</w:t>
            </w:r>
            <w:r>
              <w:rPr>
                <w:rFonts w:hint="default" w:ascii="Times New Roman" w:hAnsi="Times New Roman" w:eastAsia="宋体" w:cs="Times New Roman"/>
                <w:b/>
                <w:bCs w:val="0"/>
                <w:color w:val="auto"/>
                <w:spacing w:val="-10"/>
                <w:sz w:val="24"/>
                <w:szCs w:val="24"/>
                <w:highlight w:val="none"/>
                <w:lang w:val="en-US" w:eastAsia="zh-CN"/>
              </w:rPr>
              <w:t>、固体</w:t>
            </w:r>
            <w:r>
              <w:rPr>
                <w:rFonts w:hint="default" w:ascii="宋体" w:hAnsi="Times New Roman" w:eastAsia="宋体" w:cs="Times New Roman"/>
                <w:b/>
                <w:color w:val="auto"/>
                <w:sz w:val="24"/>
                <w:szCs w:val="24"/>
                <w:highlight w:val="none"/>
                <w:lang w:val="en-US" w:eastAsia="zh-CN"/>
              </w:rPr>
              <w:t>废物</w:t>
            </w:r>
          </w:p>
          <w:p w14:paraId="6E99D5D4">
            <w:pPr>
              <w:keepNext w:val="0"/>
              <w:keepLines w:val="0"/>
              <w:pageBreakBefore w:val="0"/>
              <w:widowControl/>
              <w:suppressLineNumbers w:val="0"/>
              <w:shd w:val="clear" w:color="auto" w:fill="auto"/>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Times New Roman" w:hAnsi="Times New Roman" w:eastAsia="宋体" w:cs="宋体"/>
                <w:color w:val="auto"/>
                <w:sz w:val="24"/>
                <w:szCs w:val="24"/>
                <w:highlight w:val="none"/>
                <w:lang w:val="en-US" w:eastAsia="zh-CN"/>
              </w:rPr>
            </w:pPr>
            <w:r>
              <w:rPr>
                <w:rFonts w:hint="eastAsia" w:ascii="Times New Roman" w:hAnsi="Times New Roman" w:eastAsia="宋体" w:cs="宋体"/>
                <w:color w:val="auto"/>
                <w:sz w:val="24"/>
                <w:szCs w:val="24"/>
                <w:highlight w:val="none"/>
                <w:lang w:val="en-US" w:eastAsia="zh-CN"/>
              </w:rPr>
              <w:t>项目营运期固体废物分为生产固废和生活垃圾两类。</w:t>
            </w:r>
          </w:p>
          <w:p w14:paraId="61E58968">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rPr>
                <w:rFonts w:hint="default" w:ascii="Times New Roman" w:hAnsi="Times New Roman" w:eastAsia="宋体" w:cs="Times New Roman"/>
                <w:b/>
                <w:bCs/>
                <w:snapToGrid w:val="0"/>
                <w:color w:val="auto"/>
                <w:kern w:val="0"/>
                <w:sz w:val="24"/>
                <w:lang w:val="en-US" w:eastAsia="zh-CN"/>
              </w:rPr>
            </w:pPr>
            <w:r>
              <w:rPr>
                <w:rFonts w:hint="eastAsia" w:ascii="Times New Roman" w:hAnsi="Times New Roman" w:cs="Times New Roman"/>
                <w:b/>
                <w:bCs/>
                <w:snapToGrid w:val="0"/>
                <w:color w:val="auto"/>
                <w:kern w:val="0"/>
                <w:sz w:val="24"/>
                <w:lang w:val="en-US" w:eastAsia="zh-CN"/>
              </w:rPr>
              <w:t>4.1</w:t>
            </w:r>
            <w:r>
              <w:rPr>
                <w:rFonts w:hint="default" w:ascii="Times New Roman" w:hAnsi="Times New Roman" w:cs="Times New Roman"/>
                <w:b/>
                <w:bCs/>
                <w:snapToGrid w:val="0"/>
                <w:color w:val="auto"/>
                <w:kern w:val="0"/>
                <w:sz w:val="24"/>
                <w:lang w:val="en-US" w:eastAsia="zh-CN"/>
              </w:rPr>
              <w:t>固废产生情况</w:t>
            </w:r>
          </w:p>
          <w:p w14:paraId="11FAC2A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right="0" w:firstLine="480" w:firstLineChars="200"/>
              <w:contextualSpacing/>
              <w:jc w:val="both"/>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kern w:val="0"/>
                <w:sz w:val="24"/>
                <w:szCs w:val="24"/>
                <w:highlight w:val="none"/>
                <w:lang w:val="en-US" w:eastAsia="zh-CN" w:bidi="ar"/>
              </w:rPr>
              <w:t>（1）生产固废</w:t>
            </w:r>
          </w:p>
          <w:p w14:paraId="7A14178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right="0" w:firstLine="480" w:firstLineChars="200"/>
              <w:contextualSpacing/>
              <w:jc w:val="both"/>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本项目生产固废主要包括一般固废：废包装材料、废边角料及不合格产品；危险废物：废润滑油桶、废油抹布及手套、废活性炭。</w:t>
            </w:r>
          </w:p>
          <w:p w14:paraId="6E97BF1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right="0" w:firstLine="480" w:firstLineChars="200"/>
              <w:contextualSpacing/>
              <w:jc w:val="both"/>
              <w:textAlignment w:val="auto"/>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根据关于发布</w:t>
            </w:r>
            <w:r>
              <w:rPr>
                <w:rFonts w:hint="eastAsia" w:ascii="宋体" w:hAnsi="宋体" w:eastAsia="宋体" w:cs="宋体"/>
                <w:color w:val="auto"/>
                <w:kern w:val="2"/>
                <w:sz w:val="24"/>
                <w:szCs w:val="24"/>
                <w:highlight w:val="none"/>
                <w:lang w:val="en-US" w:eastAsia="zh-CN" w:bidi="ar"/>
              </w:rPr>
              <w:t>《</w:t>
            </w:r>
            <w:r>
              <w:rPr>
                <w:rFonts w:hint="eastAsia" w:ascii="宋体" w:hAnsi="宋体" w:cs="宋体"/>
                <w:color w:val="auto"/>
                <w:kern w:val="0"/>
                <w:sz w:val="24"/>
                <w:szCs w:val="24"/>
                <w:highlight w:val="none"/>
                <w:lang w:val="en-US" w:eastAsia="zh-CN" w:bidi="ar"/>
              </w:rPr>
              <w:t>固体废物分类与代码名录</w:t>
            </w:r>
            <w:r>
              <w:rPr>
                <w:rFonts w:hint="eastAsia" w:ascii="宋体" w:hAnsi="宋体" w:eastAsia="宋体" w:cs="宋体"/>
                <w:color w:val="auto"/>
                <w:kern w:val="2"/>
                <w:sz w:val="24"/>
                <w:szCs w:val="24"/>
                <w:highlight w:val="none"/>
                <w:lang w:val="en-US" w:eastAsia="zh-CN" w:bidi="ar"/>
              </w:rPr>
              <w:t>》</w:t>
            </w:r>
            <w:r>
              <w:rPr>
                <w:rFonts w:hint="eastAsia" w:ascii="宋体" w:hAnsi="宋体" w:cs="宋体"/>
                <w:color w:val="auto"/>
                <w:kern w:val="2"/>
                <w:sz w:val="24"/>
                <w:szCs w:val="24"/>
                <w:highlight w:val="none"/>
                <w:lang w:val="en-US" w:eastAsia="zh-CN" w:bidi="ar"/>
              </w:rPr>
              <w:t>的公告（公告 2024年 第4号）</w:t>
            </w:r>
            <w:r>
              <w:rPr>
                <w:rFonts w:hint="eastAsia" w:ascii="宋体" w:hAnsi="宋体" w:eastAsia="宋体" w:cs="宋体"/>
                <w:color w:val="auto"/>
                <w:kern w:val="2"/>
                <w:sz w:val="24"/>
                <w:szCs w:val="24"/>
                <w:highlight w:val="none"/>
                <w:lang w:val="en-US" w:eastAsia="zh-CN" w:bidi="ar"/>
              </w:rPr>
              <w:t>，本项目产生的一般固废废物种类为可再生废物</w:t>
            </w:r>
            <w:r>
              <w:rPr>
                <w:rFonts w:hint="default" w:ascii="Times New Roman" w:hAnsi="Times New Roman" w:eastAsia="宋体" w:cs="Times New Roman"/>
                <w:color w:val="auto"/>
                <w:kern w:val="2"/>
                <w:sz w:val="24"/>
                <w:szCs w:val="24"/>
                <w:highlight w:val="none"/>
                <w:lang w:val="en-US" w:eastAsia="zh-CN" w:bidi="ar"/>
              </w:rPr>
              <w:t>（SW17</w:t>
            </w:r>
            <w:r>
              <w:rPr>
                <w:rFonts w:hint="eastAsia" w:ascii="Times New Roman" w:hAnsi="Times New Roman" w:eastAsia="宋体" w:cs="Times New Roman"/>
                <w:color w:val="auto"/>
                <w:kern w:val="2"/>
                <w:sz w:val="24"/>
                <w:szCs w:val="24"/>
                <w:highlight w:val="none"/>
                <w:lang w:val="en-US" w:eastAsia="zh-CN" w:bidi="ar"/>
              </w:rPr>
              <w:t>）</w:t>
            </w:r>
            <w:r>
              <w:rPr>
                <w:rFonts w:hint="eastAsia"/>
                <w:color w:val="auto"/>
                <w:sz w:val="24"/>
                <w:highlight w:val="none"/>
                <w:lang w:val="en-US" w:eastAsia="zh-CN"/>
              </w:rPr>
              <w:t>，</w:t>
            </w:r>
            <w:r>
              <w:rPr>
                <w:rFonts w:hint="eastAsia" w:ascii="宋体" w:hAnsi="宋体" w:eastAsia="宋体" w:cs="宋体"/>
                <w:color w:val="auto"/>
                <w:kern w:val="0"/>
                <w:sz w:val="24"/>
                <w:szCs w:val="24"/>
                <w:highlight w:val="none"/>
                <w:lang w:val="en-US" w:eastAsia="zh-CN" w:bidi="ar"/>
              </w:rPr>
              <w:t>废包装材料、废边角料及不合格产品的</w:t>
            </w:r>
            <w:r>
              <w:rPr>
                <w:rFonts w:hint="default" w:ascii="Times New Roman" w:hAnsi="Times New Roman" w:eastAsia="宋体" w:cs="Times New Roman"/>
                <w:color w:val="auto"/>
                <w:kern w:val="2"/>
                <w:sz w:val="24"/>
                <w:szCs w:val="24"/>
                <w:highlight w:val="none"/>
                <w:lang w:val="en-US" w:eastAsia="zh-CN" w:bidi="ar"/>
              </w:rPr>
              <w:t>固废代码为900-005-S17</w:t>
            </w:r>
            <w:r>
              <w:rPr>
                <w:rFonts w:hint="eastAsia" w:ascii="Times New Roman" w:hAnsi="Times New Roman" w:eastAsia="宋体" w:cs="Times New Roman"/>
                <w:color w:val="auto"/>
                <w:kern w:val="2"/>
                <w:sz w:val="24"/>
                <w:szCs w:val="24"/>
                <w:highlight w:val="none"/>
                <w:lang w:val="en-US" w:eastAsia="zh-CN" w:bidi="ar"/>
              </w:rPr>
              <w:t>。</w:t>
            </w:r>
          </w:p>
          <w:p w14:paraId="2388CE65">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①废包装材料</w:t>
            </w:r>
          </w:p>
          <w:p w14:paraId="7C0EEF02">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cs="Times New Roman"/>
                <w:snapToGrid w:val="0"/>
                <w:color w:val="auto"/>
                <w:kern w:val="0"/>
                <w:sz w:val="24"/>
                <w:lang w:val="en-US" w:eastAsia="zh-CN"/>
              </w:rPr>
            </w:pPr>
            <w:r>
              <w:rPr>
                <w:rFonts w:hint="eastAsia"/>
                <w:color w:val="auto"/>
                <w:sz w:val="24"/>
                <w:lang w:val="en-US" w:eastAsia="zh-CN"/>
              </w:rPr>
              <w:t>项目产生的废包装材料主要为原料包装材料，产生量约为0.5t/a，</w:t>
            </w:r>
            <w:r>
              <w:rPr>
                <w:rFonts w:hint="default" w:ascii="Times New Roman" w:hAnsi="Times New Roman" w:cs="Times New Roman"/>
                <w:snapToGrid w:val="0"/>
                <w:color w:val="auto"/>
                <w:kern w:val="0"/>
                <w:sz w:val="24"/>
                <w:lang w:val="en-US" w:eastAsia="zh-CN"/>
              </w:rPr>
              <w:t>属于一般固体废物，暂存于一般固废间，定期交由废品回收单位进行回收处理</w:t>
            </w:r>
            <w:r>
              <w:rPr>
                <w:rFonts w:hint="eastAsia" w:ascii="Times New Roman" w:hAnsi="Times New Roman" w:cs="Times New Roman"/>
                <w:snapToGrid w:val="0"/>
                <w:color w:val="auto"/>
                <w:kern w:val="0"/>
                <w:sz w:val="24"/>
                <w:lang w:val="en-US" w:eastAsia="zh-CN"/>
              </w:rPr>
              <w:t>。</w:t>
            </w:r>
          </w:p>
          <w:p w14:paraId="551008BA">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eastAsia="宋体" w:cs="Times New Roman"/>
                <w:color w:val="auto"/>
                <w:sz w:val="24"/>
                <w:szCs w:val="24"/>
                <w:lang w:val="en-US" w:eastAsia="zh-CN"/>
              </w:rPr>
            </w:pPr>
            <w:r>
              <w:rPr>
                <w:rFonts w:hint="eastAsia" w:ascii="宋体" w:hAnsi="宋体" w:eastAsia="宋体" w:cs="宋体"/>
                <w:color w:val="auto"/>
                <w:kern w:val="0"/>
                <w:sz w:val="24"/>
                <w:szCs w:val="24"/>
                <w:highlight w:val="none"/>
                <w:lang w:val="en-US" w:eastAsia="zh-CN" w:bidi="ar"/>
              </w:rPr>
              <w:t>②边角料及不合格产品</w:t>
            </w:r>
          </w:p>
          <w:p w14:paraId="3F127A9A">
            <w:pPr>
              <w:keepNext w:val="0"/>
              <w:keepLines w:val="0"/>
              <w:widowControl w:val="0"/>
              <w:suppressLineNumbers w:val="0"/>
              <w:shd w:val="clear" w:color="auto" w:fill="auto"/>
              <w:spacing w:before="0" w:beforeAutospacing="0" w:after="0" w:afterAutospacing="0" w:line="360" w:lineRule="auto"/>
              <w:ind w:left="0" w:right="0" w:firstLine="480" w:firstLineChars="200"/>
              <w:contextualSpacing/>
              <w:jc w:val="both"/>
              <w:rPr>
                <w:rFonts w:hint="default" w:ascii="Times New Roman" w:hAnsi="Times New Roman" w:eastAsia="宋体" w:cs="Times New Roman"/>
                <w:snapToGrid w:val="0"/>
                <w:color w:val="auto"/>
                <w:kern w:val="0"/>
                <w:sz w:val="24"/>
                <w:lang w:val="en-US" w:eastAsia="zh-CN"/>
              </w:rPr>
            </w:pPr>
            <w:r>
              <w:rPr>
                <w:rFonts w:hint="eastAsia"/>
                <w:color w:val="auto"/>
                <w:sz w:val="24"/>
                <w:lang w:val="en-US" w:eastAsia="zh-CN"/>
              </w:rPr>
              <w:t>根据企业提供资料，边角料及不合格产品产生量约为原料的3%，项目原料总吨数约为2000t，则边角料</w:t>
            </w:r>
            <w:r>
              <w:rPr>
                <w:rFonts w:hint="eastAsia" w:ascii="宋体" w:hAnsi="宋体" w:eastAsia="宋体" w:cs="宋体"/>
                <w:color w:val="auto"/>
                <w:kern w:val="0"/>
                <w:sz w:val="24"/>
                <w:szCs w:val="24"/>
                <w:highlight w:val="none"/>
                <w:lang w:val="en-US" w:eastAsia="zh-CN" w:bidi="ar"/>
              </w:rPr>
              <w:t>及不合格产品</w:t>
            </w:r>
            <w:r>
              <w:rPr>
                <w:rFonts w:hint="eastAsia"/>
                <w:color w:val="auto"/>
                <w:sz w:val="24"/>
                <w:lang w:val="en-US" w:eastAsia="zh-CN"/>
              </w:rPr>
              <w:t>产生量</w:t>
            </w:r>
            <w:r>
              <w:rPr>
                <w:rFonts w:hint="eastAsia"/>
                <w:color w:val="auto"/>
                <w:sz w:val="24"/>
                <w:highlight w:val="none"/>
                <w:lang w:val="en-US" w:eastAsia="zh-CN"/>
              </w:rPr>
              <w:t>为60t，</w:t>
            </w:r>
            <w:r>
              <w:rPr>
                <w:rFonts w:hint="eastAsia"/>
                <w:color w:val="auto"/>
                <w:sz w:val="24"/>
                <w:lang w:val="en-US" w:eastAsia="zh-CN"/>
              </w:rPr>
              <w:t>集中收集以废品形式外售。</w:t>
            </w:r>
          </w:p>
          <w:p w14:paraId="4AA1AF77">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宋体" w:hAnsi="宋体" w:eastAsia="宋体" w:cs="宋体"/>
                <w:color w:val="auto"/>
                <w:kern w:val="0"/>
                <w:sz w:val="24"/>
                <w:szCs w:val="24"/>
                <w:highlight w:val="none"/>
                <w:lang w:val="en-US" w:eastAsia="zh-CN" w:bidi="ar"/>
              </w:rPr>
            </w:pPr>
            <w:r>
              <w:rPr>
                <w:rFonts w:hint="default" w:ascii="Times New Roman" w:hAnsi="Times New Roman" w:eastAsia="宋体" w:cs="Times New Roman"/>
                <w:snapToGrid w:val="0"/>
                <w:color w:val="auto"/>
                <w:kern w:val="0"/>
                <w:sz w:val="24"/>
                <w:highlight w:val="none"/>
                <w:lang w:val="en-US" w:eastAsia="zh-CN"/>
              </w:rPr>
              <w:t>③</w:t>
            </w:r>
            <w:r>
              <w:rPr>
                <w:rFonts w:hint="eastAsia" w:ascii="宋体" w:hAnsi="宋体" w:eastAsia="宋体" w:cs="宋体"/>
                <w:color w:val="auto"/>
                <w:kern w:val="0"/>
                <w:sz w:val="24"/>
                <w:szCs w:val="24"/>
                <w:highlight w:val="none"/>
                <w:lang w:val="en-US" w:eastAsia="zh-CN" w:bidi="ar"/>
              </w:rPr>
              <w:t>废润滑油、废润滑油桶、废含油抹布及手套</w:t>
            </w:r>
          </w:p>
          <w:p w14:paraId="4BB99065">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Times New Roman" w:hAnsi="Times New Roman" w:eastAsia="宋体" w:cs="Times New Roman"/>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本项目设备在维修、检修过程中会产生一定的</w:t>
            </w:r>
            <w:r>
              <w:rPr>
                <w:rFonts w:hint="eastAsia" w:ascii="宋体" w:hAnsi="宋体" w:cs="宋体"/>
                <w:color w:val="auto"/>
                <w:kern w:val="2"/>
                <w:sz w:val="24"/>
                <w:szCs w:val="24"/>
                <w:highlight w:val="none"/>
                <w:lang w:val="en-US" w:eastAsia="zh-CN" w:bidi="ar"/>
              </w:rPr>
              <w:t>废润滑油、</w:t>
            </w:r>
            <w:r>
              <w:rPr>
                <w:rFonts w:hint="eastAsia" w:ascii="宋体" w:hAnsi="宋体" w:eastAsia="宋体" w:cs="宋体"/>
                <w:color w:val="auto"/>
                <w:kern w:val="2"/>
                <w:sz w:val="24"/>
                <w:szCs w:val="24"/>
                <w:highlight w:val="none"/>
                <w:lang w:val="en-US" w:eastAsia="zh-CN" w:bidi="ar"/>
              </w:rPr>
              <w:t>废润滑桶、废含油抹布及手套，根据建设单位提供数据，</w:t>
            </w:r>
            <w:r>
              <w:rPr>
                <w:rFonts w:hint="eastAsia" w:ascii="宋体" w:hAnsi="宋体" w:cs="宋体"/>
                <w:color w:val="auto"/>
                <w:kern w:val="2"/>
                <w:sz w:val="24"/>
                <w:szCs w:val="24"/>
                <w:highlight w:val="none"/>
                <w:lang w:val="en-US" w:eastAsia="zh-CN" w:bidi="ar"/>
              </w:rPr>
              <w:t>废润滑油、</w:t>
            </w:r>
            <w:r>
              <w:rPr>
                <w:rFonts w:hint="eastAsia" w:ascii="宋体" w:hAnsi="宋体" w:eastAsia="宋体" w:cs="宋体"/>
                <w:color w:val="auto"/>
                <w:kern w:val="2"/>
                <w:sz w:val="24"/>
                <w:szCs w:val="24"/>
                <w:highlight w:val="none"/>
                <w:lang w:val="en-US" w:eastAsia="zh-CN" w:bidi="ar"/>
              </w:rPr>
              <w:t>废润滑桶产生量为</w:t>
            </w:r>
            <w:r>
              <w:rPr>
                <w:rFonts w:hint="default" w:ascii="Times New Roman" w:hAnsi="Times New Roman" w:eastAsia="宋体" w:cs="Times New Roman"/>
                <w:color w:val="auto"/>
                <w:kern w:val="2"/>
                <w:sz w:val="24"/>
                <w:szCs w:val="24"/>
                <w:highlight w:val="none"/>
                <w:lang w:val="en-US" w:eastAsia="zh-CN" w:bidi="ar"/>
              </w:rPr>
              <w:t>0.</w:t>
            </w:r>
            <w:r>
              <w:rPr>
                <w:rFonts w:hint="eastAsia" w:cs="Times New Roman"/>
                <w:color w:val="auto"/>
                <w:kern w:val="2"/>
                <w:sz w:val="24"/>
                <w:szCs w:val="24"/>
                <w:highlight w:val="none"/>
                <w:lang w:val="en-US" w:eastAsia="zh-CN" w:bidi="ar"/>
              </w:rPr>
              <w:t>2</w:t>
            </w:r>
            <w:r>
              <w:rPr>
                <w:rFonts w:hint="eastAsia" w:ascii="Times New Roman" w:hAnsi="Times New Roman" w:eastAsia="宋体" w:cs="Times New Roman"/>
                <w:color w:val="auto"/>
                <w:kern w:val="2"/>
                <w:sz w:val="24"/>
                <w:szCs w:val="24"/>
                <w:highlight w:val="none"/>
                <w:lang w:val="en-US" w:eastAsia="zh-CN" w:bidi="ar"/>
              </w:rPr>
              <w:t>t</w:t>
            </w:r>
            <w:r>
              <w:rPr>
                <w:rFonts w:hint="default" w:ascii="Times New Roman" w:hAnsi="Times New Roman" w:eastAsia="宋体" w:cs="Times New Roman"/>
                <w:color w:val="auto"/>
                <w:kern w:val="2"/>
                <w:sz w:val="24"/>
                <w:szCs w:val="24"/>
                <w:highlight w:val="none"/>
                <w:lang w:val="en-US" w:eastAsia="zh-CN" w:bidi="ar"/>
              </w:rPr>
              <w:t>/a</w:t>
            </w:r>
            <w:r>
              <w:rPr>
                <w:rFonts w:hint="eastAsia" w:ascii="宋体" w:hAnsi="宋体" w:eastAsia="宋体" w:cs="宋体"/>
                <w:color w:val="auto"/>
                <w:kern w:val="2"/>
                <w:sz w:val="24"/>
                <w:szCs w:val="24"/>
                <w:highlight w:val="none"/>
                <w:lang w:val="en-US" w:eastAsia="zh-CN" w:bidi="ar"/>
              </w:rPr>
              <w:t>，根据《国家危险废物名录》，</w:t>
            </w:r>
            <w:r>
              <w:rPr>
                <w:rFonts w:hint="eastAsia" w:ascii="宋体" w:hAnsi="宋体" w:cs="宋体"/>
                <w:color w:val="auto"/>
                <w:kern w:val="2"/>
                <w:sz w:val="24"/>
                <w:szCs w:val="24"/>
                <w:highlight w:val="none"/>
                <w:lang w:val="en-US" w:eastAsia="zh-CN" w:bidi="ar"/>
              </w:rPr>
              <w:t>废润滑油属于</w:t>
            </w:r>
            <w:r>
              <w:rPr>
                <w:rFonts w:hint="default" w:ascii="Times New Roman" w:hAnsi="Times New Roman" w:eastAsia="宋体" w:cs="Times New Roman"/>
                <w:color w:val="auto"/>
                <w:kern w:val="2"/>
                <w:sz w:val="24"/>
                <w:szCs w:val="24"/>
                <w:highlight w:val="none"/>
                <w:lang w:val="en-US" w:eastAsia="zh-CN" w:bidi="ar"/>
              </w:rPr>
              <w:t>HW08</w:t>
            </w:r>
            <w:r>
              <w:rPr>
                <w:rFonts w:hint="eastAsia" w:ascii="Times New Roman" w:hAnsi="Times New Roman" w:eastAsia="宋体" w:cs="Times New Roman"/>
                <w:color w:val="auto"/>
                <w:kern w:val="2"/>
                <w:sz w:val="24"/>
                <w:szCs w:val="24"/>
                <w:highlight w:val="none"/>
                <w:lang w:val="en-US" w:eastAsia="zh-CN" w:bidi="ar"/>
              </w:rPr>
              <w:t>，危废代码为900-209-</w:t>
            </w:r>
          </w:p>
          <w:p w14:paraId="73F9DA7E">
            <w:pPr>
              <w:keepNext w:val="0"/>
              <w:keepLines w:val="0"/>
              <w:widowControl w:val="0"/>
              <w:suppressLineNumbers w:val="0"/>
              <w:shd w:val="clear" w:color="auto" w:fill="auto"/>
              <w:autoSpaceDE w:val="0"/>
              <w:autoSpaceDN w:val="0"/>
              <w:spacing w:before="0" w:beforeAutospacing="0" w:after="0" w:afterAutospacing="0" w:line="360" w:lineRule="auto"/>
              <w:ind w:right="0"/>
              <w:contextualSpacing/>
              <w:jc w:val="left"/>
              <w:rPr>
                <w:rFonts w:hint="default" w:ascii="Times New Roman" w:hAnsi="Times New Roman" w:eastAsia="宋体" w:cs="Times New Roman"/>
                <w:color w:val="auto"/>
                <w:kern w:val="2"/>
                <w:sz w:val="24"/>
                <w:szCs w:val="24"/>
                <w:highlight w:val="none"/>
                <w:lang w:val="en-US"/>
              </w:rPr>
            </w:pPr>
            <w:r>
              <w:rPr>
                <w:rFonts w:hint="eastAsia" w:ascii="Times New Roman" w:hAnsi="Times New Roman" w:eastAsia="宋体" w:cs="Times New Roman"/>
                <w:color w:val="auto"/>
                <w:kern w:val="2"/>
                <w:sz w:val="24"/>
                <w:szCs w:val="24"/>
                <w:highlight w:val="none"/>
                <w:lang w:val="en-US" w:eastAsia="zh-CN" w:bidi="ar"/>
              </w:rPr>
              <w:t>08；</w:t>
            </w:r>
            <w:r>
              <w:rPr>
                <w:rFonts w:hint="eastAsia" w:ascii="宋体" w:hAnsi="宋体" w:eastAsia="宋体" w:cs="宋体"/>
                <w:color w:val="auto"/>
                <w:kern w:val="2"/>
                <w:sz w:val="24"/>
                <w:szCs w:val="24"/>
                <w:highlight w:val="none"/>
                <w:lang w:val="en-US" w:eastAsia="zh-CN" w:bidi="ar"/>
              </w:rPr>
              <w:t>废润滑桶属于</w:t>
            </w:r>
            <w:r>
              <w:rPr>
                <w:rFonts w:hint="default" w:ascii="Times New Roman" w:hAnsi="Times New Roman" w:eastAsia="宋体" w:cs="Times New Roman"/>
                <w:color w:val="auto"/>
                <w:kern w:val="2"/>
                <w:sz w:val="24"/>
                <w:szCs w:val="24"/>
                <w:highlight w:val="none"/>
                <w:lang w:val="en-US" w:eastAsia="zh-CN" w:bidi="ar"/>
              </w:rPr>
              <w:t>HW08</w:t>
            </w:r>
            <w:r>
              <w:rPr>
                <w:rFonts w:hint="eastAsia" w:ascii="宋体" w:hAnsi="宋体" w:eastAsia="宋体" w:cs="宋体"/>
                <w:color w:val="auto"/>
                <w:kern w:val="2"/>
                <w:sz w:val="24"/>
                <w:szCs w:val="24"/>
                <w:highlight w:val="none"/>
                <w:lang w:val="en-US" w:eastAsia="zh-CN" w:bidi="ar"/>
              </w:rPr>
              <w:t>，危废代码为</w:t>
            </w:r>
            <w:r>
              <w:rPr>
                <w:rFonts w:hint="default" w:ascii="Times New Roman" w:hAnsi="Times New Roman" w:eastAsia="宋体" w:cs="Times New Roman"/>
                <w:color w:val="auto"/>
                <w:kern w:val="2"/>
                <w:sz w:val="24"/>
                <w:szCs w:val="24"/>
                <w:highlight w:val="none"/>
                <w:lang w:val="en-US" w:eastAsia="zh-CN" w:bidi="ar"/>
              </w:rPr>
              <w:t>900-</w:t>
            </w:r>
            <w:r>
              <w:rPr>
                <w:rFonts w:hint="eastAsia" w:ascii="Times New Roman" w:hAnsi="Times New Roman" w:eastAsia="宋体" w:cs="Times New Roman"/>
                <w:color w:val="auto"/>
                <w:kern w:val="2"/>
                <w:sz w:val="24"/>
                <w:szCs w:val="24"/>
                <w:highlight w:val="none"/>
                <w:lang w:val="en-US" w:eastAsia="zh-CN" w:bidi="ar"/>
              </w:rPr>
              <w:t>249</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08；</w:t>
            </w:r>
            <w:r>
              <w:rPr>
                <w:rFonts w:hint="eastAsia" w:ascii="宋体" w:hAnsi="宋体" w:eastAsia="宋体" w:cs="宋体"/>
                <w:color w:val="auto"/>
                <w:kern w:val="2"/>
                <w:sz w:val="24"/>
                <w:szCs w:val="24"/>
                <w:highlight w:val="none"/>
                <w:lang w:val="en-US" w:eastAsia="zh-CN" w:bidi="ar"/>
              </w:rPr>
              <w:t>废含油抹布及手套</w:t>
            </w:r>
            <w:r>
              <w:rPr>
                <w:rFonts w:hint="eastAsia" w:ascii="Times New Roman" w:hAnsi="Times New Roman" w:eastAsia="宋体" w:cs="Times New Roman"/>
                <w:color w:val="auto"/>
                <w:kern w:val="2"/>
                <w:sz w:val="24"/>
                <w:szCs w:val="24"/>
                <w:highlight w:val="none"/>
                <w:lang w:val="en-US" w:eastAsia="zh-CN" w:bidi="ar"/>
              </w:rPr>
              <w:t>产生量为0.01t</w:t>
            </w:r>
            <w:r>
              <w:rPr>
                <w:rFonts w:hint="default" w:ascii="Times New Roman" w:hAnsi="Times New Roman" w:eastAsia="宋体" w:cs="Times New Roman"/>
                <w:color w:val="auto"/>
                <w:kern w:val="2"/>
                <w:sz w:val="24"/>
                <w:szCs w:val="24"/>
                <w:highlight w:val="none"/>
                <w:lang w:val="en-US" w:eastAsia="zh-CN" w:bidi="ar"/>
              </w:rPr>
              <w:t>/a</w:t>
            </w:r>
            <w:r>
              <w:rPr>
                <w:rFonts w:hint="eastAsia" w:ascii="宋体" w:hAnsi="宋体" w:eastAsia="宋体" w:cs="宋体"/>
                <w:color w:val="auto"/>
                <w:kern w:val="2"/>
                <w:sz w:val="24"/>
                <w:szCs w:val="24"/>
                <w:highlight w:val="none"/>
                <w:lang w:val="en-US" w:eastAsia="zh-CN" w:bidi="ar"/>
              </w:rPr>
              <w:t>，废含油抹布及手套属于</w:t>
            </w:r>
            <w:r>
              <w:rPr>
                <w:rFonts w:hint="default" w:ascii="Times New Roman" w:hAnsi="Times New Roman" w:eastAsia="宋体" w:cs="Times New Roman"/>
                <w:color w:val="auto"/>
                <w:kern w:val="2"/>
                <w:sz w:val="24"/>
                <w:szCs w:val="24"/>
                <w:highlight w:val="none"/>
                <w:lang w:val="en-US" w:eastAsia="zh-CN" w:bidi="ar"/>
              </w:rPr>
              <w:t>HW</w:t>
            </w:r>
            <w:r>
              <w:rPr>
                <w:rFonts w:hint="eastAsia" w:ascii="Times New Roman" w:hAnsi="Times New Roman" w:eastAsia="宋体" w:cs="Times New Roman"/>
                <w:color w:val="auto"/>
                <w:kern w:val="2"/>
                <w:sz w:val="24"/>
                <w:szCs w:val="24"/>
                <w:highlight w:val="none"/>
                <w:lang w:val="en-US" w:eastAsia="zh-CN" w:bidi="ar"/>
              </w:rPr>
              <w:t>49</w:t>
            </w:r>
            <w:r>
              <w:rPr>
                <w:rFonts w:hint="eastAsia" w:ascii="宋体" w:hAnsi="宋体" w:eastAsia="宋体" w:cs="宋体"/>
                <w:color w:val="auto"/>
                <w:kern w:val="2"/>
                <w:sz w:val="24"/>
                <w:szCs w:val="24"/>
                <w:highlight w:val="none"/>
                <w:lang w:val="en-US" w:eastAsia="zh-CN" w:bidi="ar"/>
              </w:rPr>
              <w:t>，危废代码为</w:t>
            </w:r>
            <w:r>
              <w:rPr>
                <w:rFonts w:hint="default" w:ascii="Times New Roman" w:hAnsi="Times New Roman" w:eastAsia="宋体" w:cs="Times New Roman"/>
                <w:color w:val="auto"/>
                <w:kern w:val="2"/>
                <w:sz w:val="24"/>
                <w:szCs w:val="24"/>
                <w:highlight w:val="none"/>
                <w:lang w:val="en-US" w:eastAsia="zh-CN" w:bidi="ar"/>
              </w:rPr>
              <w:t>900-</w:t>
            </w:r>
            <w:r>
              <w:rPr>
                <w:rFonts w:hint="eastAsia" w:ascii="Times New Roman" w:hAnsi="Times New Roman" w:eastAsia="宋体" w:cs="Times New Roman"/>
                <w:color w:val="auto"/>
                <w:kern w:val="2"/>
                <w:sz w:val="24"/>
                <w:szCs w:val="24"/>
                <w:highlight w:val="none"/>
                <w:lang w:val="en-US" w:eastAsia="zh-CN" w:bidi="ar"/>
              </w:rPr>
              <w:t>041</w:t>
            </w:r>
            <w:r>
              <w:rPr>
                <w:rFonts w:hint="default" w:ascii="Times New Roman" w:hAnsi="Times New Roman" w:eastAsia="宋体" w:cs="Times New Roman"/>
                <w:color w:val="auto"/>
                <w:kern w:val="2"/>
                <w:sz w:val="24"/>
                <w:szCs w:val="24"/>
                <w:highlight w:val="none"/>
                <w:lang w:val="en-US" w:eastAsia="zh-CN" w:bidi="ar"/>
              </w:rPr>
              <w:t>-</w:t>
            </w:r>
            <w:r>
              <w:rPr>
                <w:rFonts w:hint="eastAsia" w:ascii="Times New Roman" w:hAnsi="Times New Roman" w:eastAsia="宋体" w:cs="Times New Roman"/>
                <w:color w:val="auto"/>
                <w:kern w:val="2"/>
                <w:sz w:val="24"/>
                <w:szCs w:val="24"/>
                <w:highlight w:val="none"/>
                <w:lang w:val="en-US" w:eastAsia="zh-CN" w:bidi="ar"/>
              </w:rPr>
              <w:t>49</w:t>
            </w:r>
            <w:r>
              <w:rPr>
                <w:rFonts w:hint="eastAsia" w:ascii="宋体" w:hAnsi="宋体" w:eastAsia="宋体" w:cs="宋体"/>
                <w:color w:val="auto"/>
                <w:kern w:val="2"/>
                <w:sz w:val="24"/>
                <w:szCs w:val="24"/>
                <w:highlight w:val="none"/>
                <w:lang w:val="en-US" w:eastAsia="zh-CN" w:bidi="ar"/>
              </w:rPr>
              <w:t>。废润滑桶、废含油抹布及手套经收集后暂存于危险废物贮存库，定期交有资质单位处理。</w:t>
            </w:r>
          </w:p>
          <w:p w14:paraId="093933AC">
            <w:pPr>
              <w:keepNext w:val="0"/>
              <w:keepLines w:val="0"/>
              <w:widowControl w:val="0"/>
              <w:suppressLineNumbers w:val="0"/>
              <w:shd w:val="clear" w:color="auto" w:fill="auto"/>
              <w:autoSpaceDE w:val="0"/>
              <w:autoSpaceDN w:val="0"/>
              <w:spacing w:before="0" w:beforeAutospacing="0" w:after="0" w:afterAutospacing="0" w:line="360" w:lineRule="auto"/>
              <w:ind w:left="0" w:right="0" w:firstLine="480" w:firstLineChars="200"/>
              <w:contextualSpacing/>
              <w:jc w:val="left"/>
              <w:rPr>
                <w:rFonts w:hint="eastAsia" w:ascii="宋体" w:hAnsi="宋体" w:eastAsia="宋体" w:cs="宋体"/>
                <w:color w:val="auto"/>
                <w:kern w:val="2"/>
                <w:sz w:val="24"/>
                <w:szCs w:val="24"/>
                <w:lang w:val="en-US" w:eastAsia="zh-CN" w:bidi="ar"/>
              </w:rPr>
            </w:pPr>
            <w:r>
              <w:rPr>
                <w:rFonts w:hint="default" w:ascii="Times New Roman" w:hAnsi="Times New Roman" w:cs="Times New Roman"/>
                <w:color w:val="auto"/>
                <w:sz w:val="24"/>
                <w:szCs w:val="24"/>
                <w:highlight w:val="none"/>
                <w:lang w:val="en-US" w:eastAsia="zh-CN"/>
              </w:rPr>
              <w:t>④</w:t>
            </w:r>
            <w:r>
              <w:rPr>
                <w:rFonts w:hint="eastAsia" w:ascii="宋体" w:hAnsi="宋体" w:eastAsia="宋体" w:cs="宋体"/>
                <w:color w:val="auto"/>
                <w:kern w:val="2"/>
                <w:sz w:val="24"/>
                <w:szCs w:val="24"/>
                <w:lang w:val="en-US" w:eastAsia="zh-CN" w:bidi="ar"/>
              </w:rPr>
              <w:t>废活性炭</w:t>
            </w:r>
          </w:p>
          <w:p w14:paraId="4DDD1306">
            <w:pPr>
              <w:pStyle w:val="11"/>
              <w:numPr>
                <w:ilvl w:val="0"/>
                <w:numId w:val="0"/>
              </w:numPr>
              <w:tabs>
                <w:tab w:val="left" w:pos="902"/>
                <w:tab w:val="clear" w:pos="2040"/>
              </w:tabs>
              <w:spacing w:line="360" w:lineRule="auto"/>
              <w:ind w:firstLine="480" w:firstLineChars="200"/>
              <w:rPr>
                <w:rFonts w:hint="eastAsia" w:eastAsia="宋体" w:cs="Times New Roman"/>
                <w:color w:val="0000FF"/>
                <w:kern w:val="0"/>
                <w:sz w:val="24"/>
                <w:szCs w:val="24"/>
                <w:highlight w:val="none"/>
                <w:shd w:val="clear" w:color="auto" w:fill="auto"/>
                <w:lang w:val="en-US" w:eastAsia="zh-CN" w:bidi="ar"/>
              </w:rPr>
            </w:pPr>
            <w:r>
              <w:rPr>
                <w:rFonts w:hint="default" w:ascii="Times New Roman" w:hAnsi="Times New Roman" w:eastAsia="宋体" w:cs="Times New Roman"/>
                <w:color w:val="auto"/>
                <w:kern w:val="0"/>
                <w:sz w:val="24"/>
                <w:szCs w:val="24"/>
                <w:highlight w:val="none"/>
                <w:shd w:val="clear" w:color="auto" w:fill="auto"/>
                <w:lang w:val="en-US" w:eastAsia="zh-CN" w:bidi="ar"/>
              </w:rPr>
              <w:t>本项目设置</w:t>
            </w:r>
            <w:r>
              <w:rPr>
                <w:rFonts w:hint="eastAsia" w:ascii="Times New Roman" w:hAnsi="Times New Roman" w:cs="Times New Roman"/>
                <w:color w:val="auto"/>
                <w:kern w:val="0"/>
                <w:sz w:val="24"/>
                <w:szCs w:val="24"/>
                <w:highlight w:val="none"/>
                <w:shd w:val="clear" w:color="auto" w:fill="auto"/>
                <w:lang w:val="en-US" w:eastAsia="zh-CN" w:bidi="ar"/>
              </w:rPr>
              <w:t>1</w:t>
            </w:r>
            <w:r>
              <w:rPr>
                <w:rFonts w:hint="default" w:ascii="Times New Roman" w:hAnsi="Times New Roman" w:eastAsia="宋体" w:cs="Times New Roman"/>
                <w:color w:val="auto"/>
                <w:kern w:val="0"/>
                <w:sz w:val="24"/>
                <w:szCs w:val="24"/>
                <w:highlight w:val="none"/>
                <w:shd w:val="clear" w:color="auto" w:fill="auto"/>
                <w:lang w:val="en-US" w:eastAsia="zh-CN" w:bidi="ar"/>
              </w:rPr>
              <w:t>套二级活性炭吸附装置，为保证处理效率，企业应按《工业有机废气净化用活性炭技术指标及</w:t>
            </w:r>
            <w:r>
              <w:rPr>
                <w:rFonts w:hint="eastAsia" w:ascii="Times New Roman" w:hAnsi="Times New Roman" w:eastAsia="宋体" w:cs="Times New Roman"/>
                <w:color w:val="auto"/>
                <w:kern w:val="0"/>
                <w:sz w:val="24"/>
                <w:szCs w:val="24"/>
                <w:highlight w:val="none"/>
                <w:shd w:val="clear" w:color="auto" w:fill="auto"/>
                <w:lang w:val="en-US" w:eastAsia="zh-CN" w:bidi="ar"/>
              </w:rPr>
              <w:t>实验</w:t>
            </w:r>
            <w:r>
              <w:rPr>
                <w:rFonts w:hint="default" w:ascii="Times New Roman" w:hAnsi="Times New Roman" w:eastAsia="宋体" w:cs="Times New Roman"/>
                <w:color w:val="auto"/>
                <w:kern w:val="0"/>
                <w:sz w:val="24"/>
                <w:szCs w:val="24"/>
                <w:highlight w:val="none"/>
                <w:shd w:val="clear" w:color="auto" w:fill="auto"/>
                <w:lang w:val="en-US" w:eastAsia="zh-CN" w:bidi="ar"/>
              </w:rPr>
              <w:t>方法》（LY/T3284）选用优级品颗粒活性炭或者蜂窝活性炭并足量添加。</w:t>
            </w:r>
            <w:r>
              <w:rPr>
                <w:rFonts w:hint="eastAsia" w:cs="Times New Roman"/>
                <w:color w:val="auto"/>
                <w:kern w:val="0"/>
                <w:sz w:val="24"/>
                <w:szCs w:val="24"/>
                <w:highlight w:val="none"/>
                <w:shd w:val="clear" w:color="auto" w:fill="auto"/>
                <w:lang w:val="en-US" w:eastAsia="zh-CN" w:bidi="ar"/>
              </w:rPr>
              <w:t>本项目选择使用碘吸附值600mg/g的蜂窝状活性炭。</w:t>
            </w:r>
            <w:r>
              <w:rPr>
                <w:rFonts w:hint="eastAsia" w:ascii="Times New Roman" w:hAnsi="Times New Roman" w:eastAsia="宋体" w:cs="Times New Roman"/>
                <w:color w:val="auto"/>
                <w:kern w:val="0"/>
                <w:sz w:val="24"/>
                <w:szCs w:val="24"/>
                <w:highlight w:val="none"/>
                <w:shd w:val="clear" w:color="auto" w:fill="auto"/>
                <w:lang w:val="en-US" w:eastAsia="zh-CN" w:bidi="ar"/>
              </w:rPr>
              <w:t>根据《西咸新区生态环境局（泾河）工作部致新城使用活性炭处理VOCs废气单位的提示函》，企业活性炭吸附装置活性炭填充量不应少于0.5吨，更换周期不应超过3个月（或累计运行500h）</w:t>
            </w:r>
            <w:r>
              <w:rPr>
                <w:rFonts w:hint="eastAsia" w:ascii="Times New Roman" w:hAnsi="Times New Roman" w:cs="Times New Roman"/>
                <w:color w:val="auto"/>
                <w:kern w:val="0"/>
                <w:sz w:val="24"/>
                <w:szCs w:val="24"/>
                <w:highlight w:val="none"/>
                <w:shd w:val="clear" w:color="auto" w:fill="auto"/>
                <w:lang w:val="en-US" w:eastAsia="zh-CN" w:bidi="ar"/>
              </w:rPr>
              <w:t>。因此</w:t>
            </w:r>
            <w:r>
              <w:rPr>
                <w:rFonts w:hint="default" w:ascii="Times New Roman" w:hAnsi="Times New Roman" w:eastAsia="宋体" w:cs="Times New Roman"/>
                <w:color w:val="auto"/>
                <w:kern w:val="0"/>
                <w:sz w:val="24"/>
                <w:szCs w:val="24"/>
                <w:highlight w:val="none"/>
                <w:shd w:val="clear" w:color="auto" w:fill="auto"/>
                <w:lang w:val="en-US" w:eastAsia="zh-CN" w:bidi="ar"/>
              </w:rPr>
              <w:t>本项目活性炭拟定3个月更换一次，则年更换四次，</w:t>
            </w:r>
            <w:r>
              <w:rPr>
                <w:rFonts w:hint="eastAsia" w:ascii="Times New Roman" w:hAnsi="Times New Roman" w:cs="Times New Roman"/>
                <w:color w:val="auto"/>
                <w:kern w:val="0"/>
                <w:sz w:val="24"/>
                <w:szCs w:val="24"/>
                <w:highlight w:val="none"/>
                <w:shd w:val="clear" w:color="auto" w:fill="auto"/>
                <w:lang w:val="en-US" w:eastAsia="zh-CN" w:bidi="ar"/>
              </w:rPr>
              <w:t>同时，</w:t>
            </w:r>
            <w:r>
              <w:rPr>
                <w:rFonts w:hint="default" w:ascii="Times New Roman" w:hAnsi="Times New Roman" w:eastAsia="宋体" w:cs="Times New Roman"/>
                <w:color w:val="auto"/>
                <w:kern w:val="0"/>
                <w:sz w:val="24"/>
                <w:szCs w:val="24"/>
                <w:highlight w:val="none"/>
                <w:shd w:val="clear" w:color="auto" w:fill="auto"/>
                <w:lang w:val="en-US" w:eastAsia="zh-CN" w:bidi="ar"/>
              </w:rPr>
              <w:t>项目活性炭吸附的有机废气量</w:t>
            </w:r>
            <w:r>
              <w:rPr>
                <w:rFonts w:hint="eastAsia" w:ascii="Times New Roman" w:hAnsi="Times New Roman" w:eastAsia="宋体" w:cs="Times New Roman"/>
                <w:color w:val="auto"/>
                <w:kern w:val="0"/>
                <w:sz w:val="24"/>
                <w:szCs w:val="24"/>
                <w:highlight w:val="none"/>
                <w:shd w:val="clear" w:color="auto" w:fill="auto"/>
                <w:lang w:val="en-US" w:eastAsia="zh-CN" w:bidi="ar"/>
              </w:rPr>
              <w:t>约</w:t>
            </w:r>
            <w:r>
              <w:rPr>
                <w:rFonts w:hint="default" w:ascii="Times New Roman" w:hAnsi="Times New Roman" w:eastAsia="宋体" w:cs="Times New Roman"/>
                <w:color w:val="auto"/>
                <w:kern w:val="0"/>
                <w:sz w:val="24"/>
                <w:szCs w:val="24"/>
                <w:highlight w:val="none"/>
                <w:shd w:val="clear" w:color="auto" w:fill="auto"/>
                <w:lang w:val="en-US" w:eastAsia="zh-CN" w:bidi="ar"/>
              </w:rPr>
              <w:t>为</w:t>
            </w:r>
            <w:r>
              <w:rPr>
                <w:rFonts w:hint="eastAsia" w:ascii="Times New Roman" w:hAnsi="Times New Roman" w:cs="Times New Roman"/>
                <w:color w:val="auto"/>
                <w:kern w:val="0"/>
                <w:sz w:val="24"/>
                <w:szCs w:val="24"/>
                <w:highlight w:val="none"/>
                <w:shd w:val="clear" w:color="auto" w:fill="auto"/>
                <w:lang w:val="en-US" w:eastAsia="zh-CN" w:bidi="ar"/>
              </w:rPr>
              <w:t>0.888</w:t>
            </w:r>
            <w:r>
              <w:rPr>
                <w:rFonts w:hint="default" w:ascii="Times New Roman" w:hAnsi="Times New Roman" w:eastAsia="宋体" w:cs="Times New Roman"/>
                <w:color w:val="auto"/>
                <w:kern w:val="0"/>
                <w:sz w:val="24"/>
                <w:szCs w:val="24"/>
                <w:highlight w:val="none"/>
                <w:shd w:val="clear" w:color="auto" w:fill="auto"/>
                <w:lang w:val="en-US" w:eastAsia="zh-CN" w:bidi="ar"/>
              </w:rPr>
              <w:t>t/a，则废活性炭产生量为</w:t>
            </w:r>
            <w:r>
              <w:rPr>
                <w:rFonts w:hint="eastAsia" w:ascii="Times New Roman" w:hAnsi="Times New Roman" w:cs="Times New Roman"/>
                <w:color w:val="auto"/>
                <w:kern w:val="0"/>
                <w:sz w:val="24"/>
                <w:szCs w:val="24"/>
                <w:highlight w:val="none"/>
                <w:shd w:val="clear" w:color="auto" w:fill="auto"/>
                <w:lang w:val="en-US" w:eastAsia="zh-CN" w:bidi="ar"/>
              </w:rPr>
              <w:t>2.888</w:t>
            </w:r>
            <w:r>
              <w:rPr>
                <w:rFonts w:hint="default" w:ascii="Times New Roman" w:hAnsi="Times New Roman" w:eastAsia="宋体" w:cs="Times New Roman"/>
                <w:color w:val="auto"/>
                <w:kern w:val="0"/>
                <w:sz w:val="24"/>
                <w:szCs w:val="24"/>
                <w:highlight w:val="none"/>
                <w:shd w:val="clear" w:color="auto" w:fill="auto"/>
                <w:lang w:val="en-US" w:eastAsia="zh-CN" w:bidi="ar"/>
              </w:rPr>
              <w:t>t/a</w:t>
            </w:r>
            <w:r>
              <w:rPr>
                <w:rFonts w:hint="eastAsia" w:ascii="Times New Roman" w:hAnsi="Times New Roman" w:cs="Times New Roman"/>
                <w:color w:val="auto"/>
                <w:kern w:val="0"/>
                <w:sz w:val="24"/>
                <w:szCs w:val="24"/>
                <w:highlight w:val="none"/>
                <w:shd w:val="clear" w:color="auto" w:fill="auto"/>
                <w:lang w:val="en-US" w:eastAsia="zh-CN" w:bidi="ar"/>
              </w:rPr>
              <w:t>。</w:t>
            </w:r>
            <w:r>
              <w:rPr>
                <w:rFonts w:hint="default" w:ascii="Times New Roman" w:hAnsi="Times New Roman" w:eastAsia="宋体" w:cs="Times New Roman"/>
                <w:color w:val="auto"/>
                <w:kern w:val="0"/>
                <w:sz w:val="24"/>
                <w:szCs w:val="24"/>
                <w:highlight w:val="none"/>
                <w:shd w:val="clear" w:color="auto" w:fill="auto"/>
                <w:lang w:val="en-US" w:eastAsia="zh-CN" w:bidi="ar"/>
              </w:rPr>
              <w:t>根据《国家危险废物名录（202</w:t>
            </w:r>
            <w:r>
              <w:rPr>
                <w:rFonts w:hint="eastAsia" w:cs="Times New Roman"/>
                <w:color w:val="auto"/>
                <w:kern w:val="0"/>
                <w:sz w:val="24"/>
                <w:szCs w:val="24"/>
                <w:highlight w:val="none"/>
                <w:shd w:val="clear" w:color="auto" w:fill="auto"/>
                <w:lang w:val="en-US" w:eastAsia="zh-CN" w:bidi="ar"/>
              </w:rPr>
              <w:t>5</w:t>
            </w:r>
            <w:r>
              <w:rPr>
                <w:rFonts w:hint="default" w:ascii="Times New Roman" w:hAnsi="Times New Roman" w:eastAsia="宋体" w:cs="Times New Roman"/>
                <w:color w:val="auto"/>
                <w:kern w:val="0"/>
                <w:sz w:val="24"/>
                <w:szCs w:val="24"/>
                <w:highlight w:val="none"/>
                <w:shd w:val="clear" w:color="auto" w:fill="auto"/>
                <w:lang w:val="en-US" w:eastAsia="zh-CN" w:bidi="ar"/>
              </w:rPr>
              <w:t>年版）》，废活性炭属于HW49其他废物，危废代码为：900-039-49。环评要求废活性炭暂存于</w:t>
            </w:r>
            <w:r>
              <w:rPr>
                <w:rFonts w:hint="eastAsia" w:ascii="Times New Roman" w:hAnsi="Times New Roman" w:eastAsia="宋体" w:cs="Times New Roman"/>
                <w:color w:val="auto"/>
                <w:kern w:val="0"/>
                <w:sz w:val="24"/>
                <w:szCs w:val="24"/>
                <w:highlight w:val="none"/>
                <w:shd w:val="clear" w:color="auto" w:fill="auto"/>
                <w:lang w:val="en-US" w:eastAsia="zh-CN" w:bidi="ar"/>
              </w:rPr>
              <w:t>危废贮存库</w:t>
            </w:r>
            <w:r>
              <w:rPr>
                <w:rFonts w:hint="default" w:ascii="Times New Roman" w:hAnsi="Times New Roman" w:eastAsia="宋体" w:cs="Times New Roman"/>
                <w:color w:val="auto"/>
                <w:kern w:val="0"/>
                <w:sz w:val="24"/>
                <w:szCs w:val="24"/>
                <w:highlight w:val="none"/>
                <w:shd w:val="clear" w:color="auto" w:fill="auto"/>
                <w:lang w:val="en-US" w:eastAsia="zh-CN" w:bidi="ar"/>
              </w:rPr>
              <w:t>，定期交由有资质的单位进行处理。</w:t>
            </w:r>
          </w:p>
          <w:p w14:paraId="25C885F7">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生活垃圾</w:t>
            </w:r>
          </w:p>
          <w:p w14:paraId="1E97F1AE">
            <w:pPr>
              <w:keepNext w:val="0"/>
              <w:keepLines w:val="0"/>
              <w:widowControl w:val="0"/>
              <w:suppressLineNumbers w:val="0"/>
              <w:shd w:val="clear" w:color="auto" w:fill="auto"/>
              <w:spacing w:before="0" w:beforeAutospacing="0" w:after="0" w:afterAutospacing="0" w:line="360" w:lineRule="auto"/>
              <w:ind w:left="0" w:right="0" w:firstLine="480" w:firstLineChars="200"/>
              <w:jc w:val="both"/>
              <w:rPr>
                <w:rFonts w:hint="default" w:ascii="Times New Roman" w:hAnsi="Times New Roman" w:eastAsia="宋体" w:cs="Times New Roman"/>
                <w:color w:val="auto"/>
                <w:sz w:val="24"/>
                <w:szCs w:val="24"/>
                <w:highlight w:val="none"/>
              </w:rPr>
            </w:pPr>
            <w:r>
              <w:rPr>
                <w:rFonts w:hint="eastAsia" w:ascii="宋体" w:hAnsi="宋体" w:eastAsia="宋体" w:cs="宋体"/>
                <w:color w:val="auto"/>
                <w:kern w:val="0"/>
                <w:sz w:val="24"/>
                <w:szCs w:val="24"/>
                <w:highlight w:val="none"/>
                <w:lang w:val="en-US" w:eastAsia="zh-CN" w:bidi="ar"/>
              </w:rPr>
              <w:t>项目劳动定员</w:t>
            </w:r>
            <w:r>
              <w:rPr>
                <w:rFonts w:hint="default" w:ascii="Times New Roman" w:hAnsi="Times New Roman" w:eastAsia="宋体" w:cs="Times New Roman"/>
                <w:color w:val="auto"/>
                <w:kern w:val="0"/>
                <w:sz w:val="24"/>
                <w:szCs w:val="24"/>
                <w:highlight w:val="none"/>
                <w:lang w:val="en-US" w:eastAsia="zh-CN" w:bidi="ar"/>
              </w:rPr>
              <w:t>8人，按每人每天产生生活垃圾0.5kg计，则生活垃圾产生量为4kg/d，0.6t/a。统一分类收集后，由环卫部门定期清运。</w:t>
            </w:r>
          </w:p>
          <w:p w14:paraId="7A792717">
            <w:pPr>
              <w:keepNext w:val="0"/>
              <w:keepLines w:val="0"/>
              <w:widowControl w:val="0"/>
              <w:suppressLineNumbers w:val="0"/>
              <w:shd w:val="clear" w:color="auto" w:fill="auto"/>
              <w:spacing w:before="0" w:beforeAutospacing="0" w:after="0" w:afterAutospacing="0" w:line="360" w:lineRule="auto"/>
              <w:ind w:left="0" w:right="0" w:firstLine="480" w:firstLineChars="200"/>
              <w:jc w:val="left"/>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项目固废统计结果汇总见表4-1</w:t>
            </w:r>
            <w:r>
              <w:rPr>
                <w:rFonts w:hint="eastAsia" w:cs="Times New Roman"/>
                <w:color w:val="auto"/>
                <w:kern w:val="0"/>
                <w:sz w:val="24"/>
                <w:szCs w:val="24"/>
                <w:highlight w:val="none"/>
                <w:lang w:val="en-US" w:eastAsia="zh-CN" w:bidi="ar"/>
              </w:rPr>
              <w:t>3</w:t>
            </w:r>
            <w:r>
              <w:rPr>
                <w:rFonts w:hint="default" w:ascii="Times New Roman" w:hAnsi="Times New Roman" w:eastAsia="宋体" w:cs="Times New Roman"/>
                <w:color w:val="auto"/>
                <w:kern w:val="0"/>
                <w:sz w:val="24"/>
                <w:szCs w:val="24"/>
                <w:highlight w:val="none"/>
                <w:lang w:val="en-US" w:eastAsia="zh-CN" w:bidi="ar"/>
              </w:rPr>
              <w:t>。</w:t>
            </w:r>
          </w:p>
          <w:p w14:paraId="57BF0FD2">
            <w:pPr>
              <w:keepNext w:val="0"/>
              <w:keepLines w:val="0"/>
              <w:widowControl w:val="0"/>
              <w:suppressLineNumbers w:val="0"/>
              <w:shd w:val="clear" w:color="auto" w:fill="auto"/>
              <w:spacing w:before="0" w:beforeAutospacing="0" w:after="0" w:afterAutospacing="0" w:line="360" w:lineRule="auto"/>
              <w:ind w:left="0" w:right="0"/>
              <w:jc w:val="center"/>
              <w:rPr>
                <w:rFonts w:hint="default" w:ascii="Times New Roman" w:hAnsi="Times New Roman" w:eastAsia="宋体" w:cs="Times New Roman"/>
                <w:b/>
                <w:bCs/>
                <w:color w:val="auto"/>
                <w:sz w:val="21"/>
                <w:szCs w:val="21"/>
                <w:highlight w:val="none"/>
              </w:rPr>
            </w:pPr>
            <w:r>
              <w:rPr>
                <w:rFonts w:hint="eastAsia" w:ascii="宋体" w:hAnsi="宋体" w:eastAsia="宋体" w:cs="宋体"/>
                <w:b/>
                <w:bCs/>
                <w:color w:val="auto"/>
                <w:kern w:val="0"/>
                <w:sz w:val="21"/>
                <w:szCs w:val="21"/>
                <w:highlight w:val="none"/>
                <w:lang w:val="en-US" w:eastAsia="zh-CN" w:bidi="ar"/>
              </w:rPr>
              <w:t>表</w:t>
            </w:r>
            <w:r>
              <w:rPr>
                <w:rFonts w:hint="eastAsia" w:ascii="Times New Roman" w:hAnsi="Times New Roman" w:eastAsia="宋体" w:cs="Times New Roman"/>
                <w:b/>
                <w:bCs/>
                <w:color w:val="auto"/>
                <w:kern w:val="0"/>
                <w:sz w:val="21"/>
                <w:szCs w:val="21"/>
                <w:highlight w:val="none"/>
                <w:lang w:val="en-US" w:eastAsia="zh-CN" w:bidi="ar"/>
              </w:rPr>
              <w:t>4-1</w:t>
            </w:r>
            <w:r>
              <w:rPr>
                <w:rFonts w:hint="eastAsia" w:cs="Times New Roman"/>
                <w:b/>
                <w:bCs/>
                <w:color w:val="auto"/>
                <w:kern w:val="0"/>
                <w:sz w:val="21"/>
                <w:szCs w:val="21"/>
                <w:highlight w:val="none"/>
                <w:lang w:val="en-US" w:eastAsia="zh-CN" w:bidi="ar"/>
              </w:rPr>
              <w:t>3</w:t>
            </w:r>
            <w:r>
              <w:rPr>
                <w:rFonts w:hint="eastAsia" w:ascii="Times New Roman" w:hAnsi="Times New Roman" w:eastAsia="宋体" w:cs="Times New Roman"/>
                <w:b/>
                <w:bCs/>
                <w:color w:val="auto"/>
                <w:kern w:val="0"/>
                <w:sz w:val="21"/>
                <w:szCs w:val="21"/>
                <w:highlight w:val="none"/>
                <w:lang w:val="en-US" w:eastAsia="zh-CN" w:bidi="ar"/>
              </w:rPr>
              <w:t xml:space="preserve">  </w:t>
            </w:r>
            <w:r>
              <w:rPr>
                <w:rFonts w:hint="eastAsia" w:ascii="宋体" w:hAnsi="宋体" w:eastAsia="宋体" w:cs="宋体"/>
                <w:b/>
                <w:bCs/>
                <w:color w:val="auto"/>
                <w:kern w:val="0"/>
                <w:sz w:val="21"/>
                <w:szCs w:val="21"/>
                <w:highlight w:val="none"/>
                <w:lang w:val="en-US" w:eastAsia="zh-CN" w:bidi="ar"/>
              </w:rPr>
              <w:t>项目固体废物统计结果汇总表</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60"/>
              <w:gridCol w:w="967"/>
              <w:gridCol w:w="629"/>
              <w:gridCol w:w="679"/>
              <w:gridCol w:w="978"/>
              <w:gridCol w:w="1466"/>
              <w:gridCol w:w="749"/>
              <w:gridCol w:w="1352"/>
              <w:gridCol w:w="727"/>
            </w:tblGrid>
            <w:tr w14:paraId="7E6DA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160797E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序号</w:t>
                  </w:r>
                </w:p>
              </w:tc>
              <w:tc>
                <w:tcPr>
                  <w:tcW w:w="611" w:type="pct"/>
                  <w:tcBorders>
                    <w:tl2br w:val="nil"/>
                    <w:tr2bl w:val="nil"/>
                  </w:tcBorders>
                  <w:noWrap w:val="0"/>
                  <w:vAlign w:val="center"/>
                </w:tcPr>
                <w:p w14:paraId="09CDB184">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固废名称</w:t>
                  </w:r>
                </w:p>
              </w:tc>
              <w:tc>
                <w:tcPr>
                  <w:tcW w:w="397" w:type="pct"/>
                  <w:tcBorders>
                    <w:tl2br w:val="nil"/>
                    <w:tr2bl w:val="nil"/>
                  </w:tcBorders>
                  <w:noWrap w:val="0"/>
                  <w:vAlign w:val="center"/>
                </w:tcPr>
                <w:p w14:paraId="681957ED">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产生</w:t>
                  </w:r>
                </w:p>
                <w:p w14:paraId="605E826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工序</w:t>
                  </w:r>
                </w:p>
              </w:tc>
              <w:tc>
                <w:tcPr>
                  <w:tcW w:w="429" w:type="pct"/>
                  <w:tcBorders>
                    <w:tl2br w:val="nil"/>
                    <w:tr2bl w:val="nil"/>
                  </w:tcBorders>
                  <w:noWrap w:val="0"/>
                  <w:vAlign w:val="center"/>
                </w:tcPr>
                <w:p w14:paraId="59AEEACB">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形态</w:t>
                  </w:r>
                </w:p>
              </w:tc>
              <w:tc>
                <w:tcPr>
                  <w:tcW w:w="618" w:type="pct"/>
                  <w:tcBorders>
                    <w:tl2br w:val="nil"/>
                    <w:tr2bl w:val="nil"/>
                  </w:tcBorders>
                  <w:noWrap w:val="0"/>
                  <w:vAlign w:val="center"/>
                </w:tcPr>
                <w:p w14:paraId="08F1A086">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主要成分</w:t>
                  </w:r>
                </w:p>
              </w:tc>
              <w:tc>
                <w:tcPr>
                  <w:tcW w:w="927" w:type="pct"/>
                  <w:tcBorders>
                    <w:tl2br w:val="nil"/>
                    <w:tr2bl w:val="nil"/>
                  </w:tcBorders>
                  <w:noWrap w:val="0"/>
                  <w:vAlign w:val="center"/>
                </w:tcPr>
                <w:p w14:paraId="282C40A8">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属性</w:t>
                  </w:r>
                </w:p>
              </w:tc>
              <w:tc>
                <w:tcPr>
                  <w:tcW w:w="473" w:type="pct"/>
                  <w:tcBorders>
                    <w:tl2br w:val="nil"/>
                    <w:tr2bl w:val="nil"/>
                  </w:tcBorders>
                  <w:noWrap w:val="0"/>
                  <w:vAlign w:val="center"/>
                </w:tcPr>
                <w:p w14:paraId="11025041">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lang w:val="en-US" w:eastAsia="zh-CN" w:bidi="ar"/>
                    </w:rPr>
                  </w:pPr>
                  <w:r>
                    <w:rPr>
                      <w:rFonts w:hint="eastAsia" w:ascii="Times New Roman" w:hAnsi="Times New Roman" w:eastAsia="宋体" w:cs="Times New Roman"/>
                      <w:b/>
                      <w:bCs/>
                      <w:color w:val="auto"/>
                      <w:kern w:val="2"/>
                      <w:sz w:val="21"/>
                      <w:szCs w:val="21"/>
                      <w:highlight w:val="none"/>
                      <w:lang w:val="en-US" w:eastAsia="zh-CN" w:bidi="ar"/>
                    </w:rPr>
                    <w:t>特性</w:t>
                  </w:r>
                </w:p>
              </w:tc>
              <w:tc>
                <w:tcPr>
                  <w:tcW w:w="854" w:type="pct"/>
                  <w:tcBorders>
                    <w:tl2br w:val="nil"/>
                    <w:tr2bl w:val="nil"/>
                  </w:tcBorders>
                  <w:noWrap w:val="0"/>
                  <w:vAlign w:val="center"/>
                </w:tcPr>
                <w:p w14:paraId="0BF136BE">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排放/</w:t>
                  </w:r>
                  <w:r>
                    <w:rPr>
                      <w:rFonts w:hint="eastAsia" w:ascii="宋体" w:hAnsi="宋体" w:eastAsia="宋体" w:cs="宋体"/>
                      <w:b/>
                      <w:bCs/>
                      <w:color w:val="auto"/>
                      <w:kern w:val="2"/>
                      <w:sz w:val="21"/>
                      <w:szCs w:val="21"/>
                      <w:highlight w:val="none"/>
                      <w:lang w:val="en-US" w:eastAsia="zh-CN" w:bidi="ar"/>
                    </w:rPr>
                    <w:t>处理方式</w:t>
                  </w:r>
                </w:p>
              </w:tc>
              <w:tc>
                <w:tcPr>
                  <w:tcW w:w="459" w:type="pct"/>
                  <w:tcBorders>
                    <w:tl2br w:val="nil"/>
                    <w:tr2bl w:val="nil"/>
                  </w:tcBorders>
                  <w:noWrap w:val="0"/>
                  <w:vAlign w:val="center"/>
                </w:tcPr>
                <w:p w14:paraId="550007F4">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lang w:val="en-US" w:eastAsia="zh-CN" w:bidi="ar"/>
                    </w:rPr>
                    <w:t>产生量t/a</w:t>
                  </w:r>
                </w:p>
              </w:tc>
            </w:tr>
            <w:tr w14:paraId="08354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1DEC387E">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w:t>
                  </w:r>
                </w:p>
              </w:tc>
              <w:tc>
                <w:tcPr>
                  <w:tcW w:w="611" w:type="pct"/>
                  <w:tcBorders>
                    <w:tl2br w:val="nil"/>
                    <w:tr2bl w:val="nil"/>
                  </w:tcBorders>
                  <w:noWrap w:val="0"/>
                  <w:vAlign w:val="center"/>
                </w:tcPr>
                <w:p w14:paraId="563A06D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废包装材料</w:t>
                  </w:r>
                </w:p>
              </w:tc>
              <w:tc>
                <w:tcPr>
                  <w:tcW w:w="397" w:type="pct"/>
                  <w:tcBorders>
                    <w:tl2br w:val="nil"/>
                    <w:tr2bl w:val="nil"/>
                  </w:tcBorders>
                  <w:noWrap w:val="0"/>
                  <w:vAlign w:val="center"/>
                </w:tcPr>
                <w:p w14:paraId="4F9546BF">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eastAsia="zh-CN"/>
                    </w:rPr>
                  </w:pPr>
                  <w:r>
                    <w:rPr>
                      <w:rFonts w:hint="eastAsia" w:cs="Times New Roman"/>
                      <w:color w:val="auto"/>
                      <w:kern w:val="2"/>
                      <w:sz w:val="21"/>
                      <w:szCs w:val="21"/>
                      <w:highlight w:val="none"/>
                      <w:lang w:eastAsia="zh-CN"/>
                    </w:rPr>
                    <w:t>投料</w:t>
                  </w:r>
                </w:p>
              </w:tc>
              <w:tc>
                <w:tcPr>
                  <w:tcW w:w="429" w:type="pct"/>
                  <w:tcBorders>
                    <w:tl2br w:val="nil"/>
                    <w:tr2bl w:val="nil"/>
                  </w:tcBorders>
                  <w:noWrap w:val="0"/>
                  <w:vAlign w:val="center"/>
                </w:tcPr>
                <w:p w14:paraId="481DE0E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1E321FEC">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金属、纸板等</w:t>
                  </w:r>
                </w:p>
              </w:tc>
              <w:tc>
                <w:tcPr>
                  <w:tcW w:w="927" w:type="pct"/>
                  <w:tcBorders>
                    <w:tl2br w:val="nil"/>
                    <w:tr2bl w:val="nil"/>
                  </w:tcBorders>
                  <w:noWrap w:val="0"/>
                  <w:vAlign w:val="center"/>
                </w:tcPr>
                <w:p w14:paraId="1BD92D8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一般固废</w:t>
                  </w:r>
                </w:p>
                <w:p w14:paraId="3827667E">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SW17</w:t>
                  </w:r>
                </w:p>
                <w:p w14:paraId="0B73184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900-</w:t>
                  </w:r>
                  <w:r>
                    <w:rPr>
                      <w:rFonts w:hint="eastAsia" w:ascii="Times New Roman" w:hAnsi="Times New Roman" w:eastAsia="宋体" w:cs="Times New Roman"/>
                      <w:color w:val="auto"/>
                      <w:highlight w:val="none"/>
                      <w:lang w:val="en-US" w:eastAsia="zh-CN"/>
                    </w:rPr>
                    <w:t>005-S17</w:t>
                  </w:r>
                </w:p>
              </w:tc>
              <w:tc>
                <w:tcPr>
                  <w:tcW w:w="473" w:type="pct"/>
                  <w:tcBorders>
                    <w:tl2br w:val="nil"/>
                    <w:tr2bl w:val="nil"/>
                  </w:tcBorders>
                  <w:noWrap w:val="0"/>
                  <w:vAlign w:val="center"/>
                </w:tcPr>
                <w:p w14:paraId="11F0906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vMerge w:val="restart"/>
                  <w:tcBorders>
                    <w:tl2br w:val="nil"/>
                    <w:tr2bl w:val="nil"/>
                  </w:tcBorders>
                  <w:noWrap w:val="0"/>
                  <w:vAlign w:val="center"/>
                </w:tcPr>
                <w:p w14:paraId="0027C1A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统一收集后外售</w:t>
                  </w:r>
                  <w:r>
                    <w:rPr>
                      <w:rFonts w:hint="eastAsia" w:ascii="Times New Roman" w:hAnsi="Times New Roman" w:eastAsia="宋体" w:cs="Times New Roman"/>
                      <w:color w:val="auto"/>
                      <w:kern w:val="2"/>
                      <w:sz w:val="21"/>
                      <w:szCs w:val="21"/>
                      <w:highlight w:val="none"/>
                      <w:lang w:val="en-US" w:eastAsia="zh-CN" w:bidi="ar"/>
                    </w:rPr>
                    <w:t>至废品回收站</w:t>
                  </w:r>
                </w:p>
              </w:tc>
              <w:tc>
                <w:tcPr>
                  <w:tcW w:w="459" w:type="pct"/>
                  <w:tcBorders>
                    <w:tl2br w:val="nil"/>
                    <w:tr2bl w:val="nil"/>
                  </w:tcBorders>
                  <w:noWrap w:val="0"/>
                  <w:vAlign w:val="center"/>
                </w:tcPr>
                <w:p w14:paraId="49D3642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rPr>
                  </w:pPr>
                  <w:r>
                    <w:rPr>
                      <w:rFonts w:hint="eastAsia" w:ascii="Times New Roman" w:hAnsi="Times New Roman" w:eastAsia="宋体" w:cs="Times New Roman"/>
                      <w:color w:val="auto"/>
                      <w:kern w:val="2"/>
                      <w:sz w:val="21"/>
                      <w:szCs w:val="21"/>
                      <w:highlight w:val="none"/>
                      <w:lang w:val="en-US" w:eastAsia="zh-CN" w:bidi="ar"/>
                    </w:rPr>
                    <w:t>0.5</w:t>
                  </w:r>
                </w:p>
              </w:tc>
            </w:tr>
            <w:tr w14:paraId="5D8CB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2483F1CF">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2</w:t>
                  </w:r>
                </w:p>
              </w:tc>
              <w:tc>
                <w:tcPr>
                  <w:tcW w:w="611" w:type="pct"/>
                  <w:tcBorders>
                    <w:tl2br w:val="nil"/>
                    <w:tr2bl w:val="nil"/>
                  </w:tcBorders>
                  <w:noWrap w:val="0"/>
                  <w:vAlign w:val="center"/>
                </w:tcPr>
                <w:p w14:paraId="18FA9150">
                  <w:pPr>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outlineLvl w:val="9"/>
                    <w:rPr>
                      <w:rFonts w:hint="eastAsia" w:ascii="宋体" w:hAnsi="宋体" w:eastAsia="宋体" w:cs="宋体"/>
                      <w:color w:val="auto"/>
                      <w:kern w:val="0"/>
                      <w:sz w:val="24"/>
                      <w:szCs w:val="24"/>
                      <w:highlight w:val="none"/>
                      <w:lang w:val="en-US" w:eastAsia="zh-CN" w:bidi="ar"/>
                    </w:rPr>
                  </w:pPr>
                  <w:r>
                    <w:rPr>
                      <w:rFonts w:hint="default" w:ascii="Times New Roman" w:hAnsi="Times New Roman" w:eastAsia="宋体" w:cs="Times New Roman"/>
                      <w:color w:val="auto"/>
                      <w:kern w:val="2"/>
                      <w:sz w:val="21"/>
                      <w:szCs w:val="21"/>
                      <w:highlight w:val="none"/>
                      <w:lang w:val="en-US" w:eastAsia="zh-CN"/>
                    </w:rPr>
                    <w:t>边角料</w:t>
                  </w:r>
                  <w:r>
                    <w:rPr>
                      <w:rFonts w:hint="eastAsia" w:ascii="Times New Roman" w:hAnsi="Times New Roman" w:eastAsia="宋体" w:cs="Times New Roman"/>
                      <w:color w:val="auto"/>
                      <w:kern w:val="2"/>
                      <w:sz w:val="21"/>
                      <w:szCs w:val="21"/>
                      <w:highlight w:val="none"/>
                      <w:lang w:val="en-US" w:eastAsia="zh-CN"/>
                    </w:rPr>
                    <w:t>及不合格产品</w:t>
                  </w:r>
                </w:p>
              </w:tc>
              <w:tc>
                <w:tcPr>
                  <w:tcW w:w="397" w:type="pct"/>
                  <w:tcBorders>
                    <w:tl2br w:val="nil"/>
                    <w:tr2bl w:val="nil"/>
                  </w:tcBorders>
                  <w:noWrap w:val="0"/>
                  <w:vAlign w:val="center"/>
                </w:tcPr>
                <w:p w14:paraId="0957730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产品修边</w:t>
                  </w:r>
                </w:p>
              </w:tc>
              <w:tc>
                <w:tcPr>
                  <w:tcW w:w="429" w:type="pct"/>
                  <w:tcBorders>
                    <w:tl2br w:val="nil"/>
                    <w:tr2bl w:val="nil"/>
                  </w:tcBorders>
                  <w:noWrap w:val="0"/>
                  <w:vAlign w:val="center"/>
                </w:tcPr>
                <w:p w14:paraId="2C9FC98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3B06009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塑料</w:t>
                  </w:r>
                </w:p>
              </w:tc>
              <w:tc>
                <w:tcPr>
                  <w:tcW w:w="927" w:type="pct"/>
                  <w:tcBorders>
                    <w:tl2br w:val="nil"/>
                    <w:tr2bl w:val="nil"/>
                  </w:tcBorders>
                  <w:noWrap w:val="0"/>
                  <w:vAlign w:val="center"/>
                </w:tcPr>
                <w:p w14:paraId="4E5BDCE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一般固废</w:t>
                  </w:r>
                </w:p>
                <w:p w14:paraId="5BB5BAD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SW17</w:t>
                  </w:r>
                </w:p>
                <w:p w14:paraId="369F35F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900-</w:t>
                  </w:r>
                  <w:r>
                    <w:rPr>
                      <w:rFonts w:hint="eastAsia" w:ascii="Times New Roman" w:hAnsi="Times New Roman" w:eastAsia="宋体" w:cs="Times New Roman"/>
                      <w:color w:val="auto"/>
                      <w:highlight w:val="none"/>
                      <w:lang w:val="en-US" w:eastAsia="zh-CN"/>
                    </w:rPr>
                    <w:t>00</w:t>
                  </w:r>
                  <w:r>
                    <w:rPr>
                      <w:rFonts w:hint="eastAsia" w:cs="Times New Roman"/>
                      <w:color w:val="auto"/>
                      <w:highlight w:val="none"/>
                      <w:lang w:val="en-US" w:eastAsia="zh-CN"/>
                    </w:rPr>
                    <w:t>5</w:t>
                  </w:r>
                  <w:r>
                    <w:rPr>
                      <w:rFonts w:hint="eastAsia" w:ascii="Times New Roman" w:hAnsi="Times New Roman" w:eastAsia="宋体" w:cs="Times New Roman"/>
                      <w:color w:val="auto"/>
                      <w:highlight w:val="none"/>
                      <w:lang w:val="en-US" w:eastAsia="zh-CN"/>
                    </w:rPr>
                    <w:t>-S17</w:t>
                  </w:r>
                </w:p>
              </w:tc>
              <w:tc>
                <w:tcPr>
                  <w:tcW w:w="473" w:type="pct"/>
                  <w:tcBorders>
                    <w:tl2br w:val="nil"/>
                    <w:tr2bl w:val="nil"/>
                  </w:tcBorders>
                  <w:noWrap w:val="0"/>
                  <w:vAlign w:val="center"/>
                </w:tcPr>
                <w:p w14:paraId="4E75525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vMerge w:val="continue"/>
                  <w:tcBorders>
                    <w:tl2br w:val="nil"/>
                    <w:tr2bl w:val="nil"/>
                  </w:tcBorders>
                  <w:noWrap w:val="0"/>
                  <w:vAlign w:val="center"/>
                </w:tcPr>
                <w:p w14:paraId="3D6D70F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p>
              </w:tc>
              <w:tc>
                <w:tcPr>
                  <w:tcW w:w="459" w:type="pct"/>
                  <w:tcBorders>
                    <w:tl2br w:val="nil"/>
                    <w:tr2bl w:val="nil"/>
                  </w:tcBorders>
                  <w:noWrap w:val="0"/>
                  <w:vAlign w:val="center"/>
                </w:tcPr>
                <w:p w14:paraId="6A5204B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r>
                    <w:rPr>
                      <w:rFonts w:hint="eastAsia" w:ascii="Times New Roman" w:hAnsi="Times New Roman" w:eastAsia="宋体" w:cs="Times New Roman"/>
                      <w:color w:val="auto"/>
                      <w:kern w:val="2"/>
                      <w:sz w:val="21"/>
                      <w:szCs w:val="21"/>
                      <w:highlight w:val="none"/>
                      <w:lang w:val="en-US" w:eastAsia="zh-CN" w:bidi="ar-SA"/>
                    </w:rPr>
                    <w:t>.0</w:t>
                  </w:r>
                </w:p>
              </w:tc>
            </w:tr>
            <w:tr w14:paraId="4336F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2" w:hRule="atLeast"/>
                <w:jc w:val="center"/>
              </w:trPr>
              <w:tc>
                <w:tcPr>
                  <w:tcW w:w="227" w:type="pct"/>
                  <w:tcBorders>
                    <w:tl2br w:val="nil"/>
                    <w:tr2bl w:val="nil"/>
                  </w:tcBorders>
                  <w:noWrap w:val="0"/>
                  <w:vAlign w:val="center"/>
                </w:tcPr>
                <w:p w14:paraId="2120BD5F">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w:t>
                  </w:r>
                </w:p>
              </w:tc>
              <w:tc>
                <w:tcPr>
                  <w:tcW w:w="611" w:type="pct"/>
                  <w:tcBorders>
                    <w:tl2br w:val="nil"/>
                    <w:tr2bl w:val="nil"/>
                  </w:tcBorders>
                  <w:noWrap w:val="0"/>
                  <w:vAlign w:val="center"/>
                </w:tcPr>
                <w:p w14:paraId="60510C5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废润滑油</w:t>
                  </w:r>
                </w:p>
              </w:tc>
              <w:tc>
                <w:tcPr>
                  <w:tcW w:w="397" w:type="pct"/>
                  <w:tcBorders>
                    <w:tl2br w:val="nil"/>
                    <w:tr2bl w:val="nil"/>
                  </w:tcBorders>
                  <w:noWrap w:val="0"/>
                  <w:vAlign w:val="center"/>
                </w:tcPr>
                <w:p w14:paraId="29E038A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设备维护</w:t>
                  </w:r>
                </w:p>
              </w:tc>
              <w:tc>
                <w:tcPr>
                  <w:tcW w:w="429" w:type="pct"/>
                  <w:tcBorders>
                    <w:tl2br w:val="nil"/>
                    <w:tr2bl w:val="nil"/>
                  </w:tcBorders>
                  <w:noWrap w:val="0"/>
                  <w:vAlign w:val="center"/>
                </w:tcPr>
                <w:p w14:paraId="57894DD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液态</w:t>
                  </w:r>
                </w:p>
              </w:tc>
              <w:tc>
                <w:tcPr>
                  <w:tcW w:w="618" w:type="pct"/>
                  <w:tcBorders>
                    <w:tl2br w:val="nil"/>
                    <w:tr2bl w:val="nil"/>
                  </w:tcBorders>
                  <w:noWrap w:val="0"/>
                  <w:vAlign w:val="center"/>
                </w:tcPr>
                <w:p w14:paraId="2891BB8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矿物油</w:t>
                  </w:r>
                </w:p>
              </w:tc>
              <w:tc>
                <w:tcPr>
                  <w:tcW w:w="927" w:type="pct"/>
                  <w:tcBorders>
                    <w:tl2br w:val="nil"/>
                    <w:tr2bl w:val="nil"/>
                  </w:tcBorders>
                  <w:noWrap w:val="0"/>
                  <w:vAlign w:val="center"/>
                </w:tcPr>
                <w:p w14:paraId="6B3384B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危险废物</w:t>
                  </w:r>
                  <w:r>
                    <w:rPr>
                      <w:rFonts w:hint="default" w:ascii="Times New Roman" w:hAnsi="Times New Roman" w:eastAsia="宋体" w:cs="Times New Roman"/>
                      <w:color w:val="auto"/>
                      <w:kern w:val="2"/>
                      <w:sz w:val="21"/>
                      <w:szCs w:val="21"/>
                      <w:highlight w:val="none"/>
                      <w:lang w:val="en-US" w:eastAsia="zh-CN" w:bidi="ar"/>
                    </w:rPr>
                    <w:t>HW08</w:t>
                  </w:r>
                </w:p>
                <w:p w14:paraId="25EDF6B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209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08</w:t>
                  </w:r>
                </w:p>
              </w:tc>
              <w:tc>
                <w:tcPr>
                  <w:tcW w:w="473" w:type="pct"/>
                  <w:tcBorders>
                    <w:tl2br w:val="nil"/>
                    <w:tr2bl w:val="nil"/>
                  </w:tcBorders>
                  <w:noWrap w:val="0"/>
                  <w:vAlign w:val="center"/>
                </w:tcPr>
                <w:p w14:paraId="734C5C2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restart"/>
                  <w:tcBorders>
                    <w:tl2br w:val="nil"/>
                    <w:tr2bl w:val="nil"/>
                  </w:tcBorders>
                  <w:noWrap w:val="0"/>
                  <w:vAlign w:val="center"/>
                </w:tcPr>
                <w:p w14:paraId="74BC2563">
                  <w:pPr>
                    <w:pStyle w:val="2"/>
                    <w:jc w:val="center"/>
                    <w:rPr>
                      <w:rFonts w:hint="default"/>
                      <w:color w:val="auto"/>
                      <w:lang w:val="en-US" w:eastAsia="zh-CN"/>
                    </w:rPr>
                  </w:pPr>
                  <w:r>
                    <w:rPr>
                      <w:rFonts w:hint="default" w:ascii="Times New Roman" w:hAnsi="Times New Roman" w:cs="Times New Roman" w:eastAsiaTheme="minorEastAsia"/>
                      <w:bCs/>
                      <w:color w:val="auto"/>
                      <w:sz w:val="21"/>
                      <w:szCs w:val="21"/>
                      <w:highlight w:val="none"/>
                      <w:lang w:val="en-US" w:eastAsia="zh-CN"/>
                    </w:rPr>
                    <w:t>收集后暂存在危废贮存库，定期委托有资质单位处置</w:t>
                  </w:r>
                </w:p>
              </w:tc>
              <w:tc>
                <w:tcPr>
                  <w:tcW w:w="459" w:type="pct"/>
                  <w:vMerge w:val="restart"/>
                  <w:tcBorders>
                    <w:tl2br w:val="nil"/>
                    <w:tr2bl w:val="nil"/>
                  </w:tcBorders>
                  <w:noWrap w:val="0"/>
                  <w:vAlign w:val="center"/>
                </w:tcPr>
                <w:p w14:paraId="45E35940">
                  <w:pPr>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w:t>
                  </w:r>
                  <w:r>
                    <w:rPr>
                      <w:rFonts w:hint="eastAsia" w:cs="Times New Roman"/>
                      <w:color w:val="auto"/>
                      <w:kern w:val="2"/>
                      <w:sz w:val="21"/>
                      <w:szCs w:val="21"/>
                      <w:highlight w:val="none"/>
                      <w:lang w:val="en-US" w:eastAsia="zh-CN" w:bidi="ar"/>
                    </w:rPr>
                    <w:t>2</w:t>
                  </w:r>
                </w:p>
              </w:tc>
            </w:tr>
            <w:tr w14:paraId="74633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5E448AB8">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611" w:type="pct"/>
                  <w:tcBorders>
                    <w:tl2br w:val="nil"/>
                    <w:tr2bl w:val="nil"/>
                  </w:tcBorders>
                  <w:noWrap w:val="0"/>
                  <w:vAlign w:val="center"/>
                </w:tcPr>
                <w:p w14:paraId="40CD160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废润滑油桶</w:t>
                  </w:r>
                </w:p>
              </w:tc>
              <w:tc>
                <w:tcPr>
                  <w:tcW w:w="397" w:type="pct"/>
                  <w:tcBorders>
                    <w:tl2br w:val="nil"/>
                    <w:tr2bl w:val="nil"/>
                  </w:tcBorders>
                  <w:noWrap w:val="0"/>
                  <w:vAlign w:val="center"/>
                </w:tcPr>
                <w:p w14:paraId="2509C23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设备维护</w:t>
                  </w:r>
                </w:p>
              </w:tc>
              <w:tc>
                <w:tcPr>
                  <w:tcW w:w="429" w:type="pct"/>
                  <w:tcBorders>
                    <w:tl2br w:val="nil"/>
                    <w:tr2bl w:val="nil"/>
                  </w:tcBorders>
                  <w:noWrap w:val="0"/>
                  <w:vAlign w:val="center"/>
                </w:tcPr>
                <w:p w14:paraId="1E6209E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56C6DF2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
                    </w:rPr>
                    <w:t>润滑</w:t>
                  </w:r>
                  <w:r>
                    <w:rPr>
                      <w:rFonts w:hint="eastAsia" w:ascii="Times New Roman" w:hAnsi="Times New Roman" w:eastAsia="宋体" w:cs="Times New Roman"/>
                      <w:color w:val="auto"/>
                      <w:kern w:val="2"/>
                      <w:sz w:val="21"/>
                      <w:szCs w:val="21"/>
                      <w:highlight w:val="none"/>
                      <w:lang w:val="en-US" w:eastAsia="zh-CN" w:bidi="ar"/>
                    </w:rPr>
                    <w:t>油、塑料等</w:t>
                  </w:r>
                </w:p>
              </w:tc>
              <w:tc>
                <w:tcPr>
                  <w:tcW w:w="927" w:type="pct"/>
                  <w:tcBorders>
                    <w:tl2br w:val="nil"/>
                    <w:tr2bl w:val="nil"/>
                  </w:tcBorders>
                  <w:noWrap w:val="0"/>
                  <w:vAlign w:val="center"/>
                </w:tcPr>
                <w:p w14:paraId="56A2F769">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bidi="ar"/>
                    </w:rPr>
                    <w:t>危险废物</w:t>
                  </w:r>
                  <w:r>
                    <w:rPr>
                      <w:rFonts w:hint="default" w:ascii="Times New Roman" w:hAnsi="Times New Roman" w:eastAsia="宋体" w:cs="Times New Roman"/>
                      <w:color w:val="auto"/>
                      <w:kern w:val="2"/>
                      <w:sz w:val="21"/>
                      <w:szCs w:val="21"/>
                      <w:highlight w:val="none"/>
                      <w:lang w:val="en-US" w:eastAsia="zh-CN" w:bidi="ar"/>
                    </w:rPr>
                    <w:t>HW08</w:t>
                  </w:r>
                </w:p>
                <w:p w14:paraId="382D42D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249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08</w:t>
                  </w:r>
                </w:p>
              </w:tc>
              <w:tc>
                <w:tcPr>
                  <w:tcW w:w="473" w:type="pct"/>
                  <w:tcBorders>
                    <w:tl2br w:val="nil"/>
                    <w:tr2bl w:val="nil"/>
                  </w:tcBorders>
                  <w:noWrap w:val="0"/>
                  <w:vAlign w:val="center"/>
                </w:tcPr>
                <w:p w14:paraId="7EEC001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continue"/>
                  <w:tcBorders>
                    <w:tl2br w:val="nil"/>
                    <w:tr2bl w:val="nil"/>
                  </w:tcBorders>
                  <w:noWrap w:val="0"/>
                  <w:vAlign w:val="center"/>
                </w:tcPr>
                <w:p w14:paraId="010BF52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459" w:type="pct"/>
                  <w:vMerge w:val="continue"/>
                  <w:tcBorders>
                    <w:tl2br w:val="nil"/>
                    <w:tr2bl w:val="nil"/>
                  </w:tcBorders>
                  <w:noWrap w:val="0"/>
                  <w:vAlign w:val="center"/>
                </w:tcPr>
                <w:p w14:paraId="7CCA38B0">
                  <w:pPr>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28D7A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0FC6193D">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611" w:type="pct"/>
                  <w:tcBorders>
                    <w:tl2br w:val="nil"/>
                    <w:tr2bl w:val="nil"/>
                  </w:tcBorders>
                  <w:noWrap w:val="0"/>
                  <w:vAlign w:val="center"/>
                </w:tcPr>
                <w:p w14:paraId="403466A3">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废油抹布及手套</w:t>
                  </w:r>
                </w:p>
              </w:tc>
              <w:tc>
                <w:tcPr>
                  <w:tcW w:w="397" w:type="pct"/>
                  <w:tcBorders>
                    <w:tl2br w:val="nil"/>
                    <w:tr2bl w:val="nil"/>
                  </w:tcBorders>
                  <w:noWrap w:val="0"/>
                  <w:vAlign w:val="center"/>
                </w:tcPr>
                <w:p w14:paraId="15C440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设备维护</w:t>
                  </w:r>
                </w:p>
              </w:tc>
              <w:tc>
                <w:tcPr>
                  <w:tcW w:w="429" w:type="pct"/>
                  <w:tcBorders>
                    <w:tl2br w:val="nil"/>
                    <w:tr2bl w:val="nil"/>
                  </w:tcBorders>
                  <w:noWrap w:val="0"/>
                  <w:vAlign w:val="center"/>
                </w:tcPr>
                <w:p w14:paraId="5A2FC0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固态</w:t>
                  </w:r>
                </w:p>
              </w:tc>
              <w:tc>
                <w:tcPr>
                  <w:tcW w:w="618" w:type="pct"/>
                  <w:tcBorders>
                    <w:tl2br w:val="nil"/>
                    <w:tr2bl w:val="nil"/>
                  </w:tcBorders>
                  <w:noWrap w:val="0"/>
                  <w:vAlign w:val="center"/>
                </w:tcPr>
                <w:p w14:paraId="105EE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rPr>
                  </w:pPr>
                  <w:r>
                    <w:rPr>
                      <w:rFonts w:hint="default" w:ascii="Times New Roman" w:hAnsi="Times New Roman" w:eastAsia="宋体" w:cs="Times New Roman"/>
                      <w:color w:val="auto"/>
                      <w:kern w:val="2"/>
                      <w:sz w:val="21"/>
                      <w:szCs w:val="21"/>
                      <w:lang w:val="en-US" w:eastAsia="zh-CN" w:bidi="ar"/>
                    </w:rPr>
                    <w:t>废油</w:t>
                  </w:r>
                  <w:r>
                    <w:rPr>
                      <w:rFonts w:hint="eastAsia" w:ascii="Times New Roman" w:hAnsi="Times New Roman" w:eastAsia="宋体" w:cs="Times New Roman"/>
                      <w:color w:val="auto"/>
                      <w:kern w:val="2"/>
                      <w:sz w:val="21"/>
                      <w:szCs w:val="21"/>
                      <w:lang w:val="en-US" w:eastAsia="zh-CN" w:bidi="ar"/>
                    </w:rPr>
                    <w:t>等</w:t>
                  </w:r>
                </w:p>
              </w:tc>
              <w:tc>
                <w:tcPr>
                  <w:tcW w:w="927" w:type="pct"/>
                  <w:tcBorders>
                    <w:tl2br w:val="nil"/>
                    <w:tr2bl w:val="nil"/>
                  </w:tcBorders>
                  <w:noWrap w:val="0"/>
                  <w:vAlign w:val="center"/>
                </w:tcPr>
                <w:p w14:paraId="21DF74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lang w:val="en-US"/>
                    </w:rPr>
                  </w:pPr>
                  <w:r>
                    <w:rPr>
                      <w:rFonts w:hint="default" w:ascii="Times New Roman" w:hAnsi="Times New Roman" w:eastAsia="宋体" w:cs="Times New Roman"/>
                      <w:color w:val="auto"/>
                      <w:kern w:val="2"/>
                      <w:sz w:val="21"/>
                      <w:szCs w:val="21"/>
                      <w:lang w:val="en-US" w:eastAsia="zh-CN" w:bidi="ar"/>
                    </w:rPr>
                    <w:t>危险废物HW49</w:t>
                  </w:r>
                </w:p>
                <w:p w14:paraId="51AB5E0D">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lang w:val="en-US" w:eastAsia="zh-CN" w:bidi="ar"/>
                    </w:rPr>
                    <w:t>900-041-49</w:t>
                  </w:r>
                </w:p>
              </w:tc>
              <w:tc>
                <w:tcPr>
                  <w:tcW w:w="473" w:type="pct"/>
                  <w:tcBorders>
                    <w:tl2br w:val="nil"/>
                    <w:tr2bl w:val="nil"/>
                  </w:tcBorders>
                  <w:noWrap w:val="0"/>
                  <w:vAlign w:val="center"/>
                </w:tcPr>
                <w:p w14:paraId="0395F63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有毒、有害</w:t>
                  </w:r>
                </w:p>
              </w:tc>
              <w:tc>
                <w:tcPr>
                  <w:tcW w:w="854" w:type="pct"/>
                  <w:vMerge w:val="continue"/>
                  <w:tcBorders>
                    <w:tl2br w:val="nil"/>
                    <w:tr2bl w:val="nil"/>
                  </w:tcBorders>
                  <w:noWrap w:val="0"/>
                  <w:vAlign w:val="center"/>
                </w:tcPr>
                <w:p w14:paraId="521C74B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rPr>
                  </w:pPr>
                </w:p>
              </w:tc>
              <w:tc>
                <w:tcPr>
                  <w:tcW w:w="459" w:type="pct"/>
                  <w:tcBorders>
                    <w:tl2br w:val="nil"/>
                    <w:tr2bl w:val="nil"/>
                  </w:tcBorders>
                  <w:noWrap w:val="0"/>
                  <w:vAlign w:val="center"/>
                </w:tcPr>
                <w:p w14:paraId="45CCF46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0.01</w:t>
                  </w:r>
                </w:p>
              </w:tc>
            </w:tr>
            <w:tr w14:paraId="39D0D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4BBA5B53">
                  <w:pPr>
                    <w:keepNext w:val="0"/>
                    <w:keepLines w:val="0"/>
                    <w:widowControl w:val="0"/>
                    <w:suppressLineNumbers w:val="0"/>
                    <w:shd w:val="clear" w:color="auto" w:fill="auto"/>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p>
              </w:tc>
              <w:tc>
                <w:tcPr>
                  <w:tcW w:w="611" w:type="pct"/>
                  <w:tcBorders>
                    <w:tl2br w:val="nil"/>
                    <w:tr2bl w:val="nil"/>
                  </w:tcBorders>
                  <w:noWrap w:val="0"/>
                  <w:vAlign w:val="center"/>
                </w:tcPr>
                <w:p w14:paraId="1F4AD266">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废活性炭</w:t>
                  </w:r>
                </w:p>
              </w:tc>
              <w:tc>
                <w:tcPr>
                  <w:tcW w:w="397" w:type="pct"/>
                  <w:tcBorders>
                    <w:tl2br w:val="nil"/>
                    <w:tr2bl w:val="nil"/>
                  </w:tcBorders>
                  <w:noWrap w:val="0"/>
                  <w:vAlign w:val="center"/>
                </w:tcPr>
                <w:p w14:paraId="10BD2549">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废气处理</w:t>
                  </w:r>
                </w:p>
              </w:tc>
              <w:tc>
                <w:tcPr>
                  <w:tcW w:w="429" w:type="pct"/>
                  <w:tcBorders>
                    <w:tl2br w:val="nil"/>
                    <w:tr2bl w:val="nil"/>
                  </w:tcBorders>
                  <w:noWrap w:val="0"/>
                  <w:vAlign w:val="center"/>
                </w:tcPr>
                <w:p w14:paraId="26CF5DD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7B35932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活性炭</w:t>
                  </w:r>
                  <w:r>
                    <w:rPr>
                      <w:rFonts w:hint="eastAsia" w:ascii="Times New Roman" w:hAnsi="Times New Roman" w:eastAsia="宋体" w:cs="Times New Roman"/>
                      <w:color w:val="auto"/>
                      <w:kern w:val="2"/>
                      <w:sz w:val="21"/>
                      <w:szCs w:val="21"/>
                      <w:highlight w:val="none"/>
                      <w:lang w:val="en-US" w:eastAsia="zh-CN" w:bidi="ar"/>
                    </w:rPr>
                    <w:t>和烃类</w:t>
                  </w:r>
                </w:p>
              </w:tc>
              <w:tc>
                <w:tcPr>
                  <w:tcW w:w="927" w:type="pct"/>
                  <w:tcBorders>
                    <w:tl2br w:val="nil"/>
                    <w:tr2bl w:val="nil"/>
                  </w:tcBorders>
                  <w:noWrap w:val="0"/>
                  <w:vAlign w:val="center"/>
                </w:tcPr>
                <w:p w14:paraId="20ABDBA5">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危险废物HW</w:t>
                  </w:r>
                  <w:r>
                    <w:rPr>
                      <w:rFonts w:hint="eastAsia" w:ascii="Times New Roman" w:hAnsi="Times New Roman" w:eastAsia="宋体" w:cs="Times New Roman"/>
                      <w:color w:val="auto"/>
                      <w:kern w:val="2"/>
                      <w:sz w:val="21"/>
                      <w:szCs w:val="21"/>
                      <w:highlight w:val="none"/>
                      <w:lang w:val="en-US" w:eastAsia="zh-CN" w:bidi="ar"/>
                    </w:rPr>
                    <w:t>49</w:t>
                  </w:r>
                </w:p>
                <w:p w14:paraId="5635EACA">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
                    </w:rPr>
                  </w:pPr>
                  <w:r>
                    <w:rPr>
                      <w:rFonts w:hint="default" w:ascii="Times New Roman" w:hAnsi="Times New Roman" w:eastAsia="宋体" w:cs="Times New Roman"/>
                      <w:color w:val="auto"/>
                      <w:kern w:val="2"/>
                      <w:sz w:val="21"/>
                      <w:szCs w:val="21"/>
                      <w:highlight w:val="none"/>
                      <w:lang w:val="en-US" w:eastAsia="zh-CN" w:bidi="ar"/>
                    </w:rPr>
                    <w:t>900-</w:t>
                  </w:r>
                  <w:r>
                    <w:rPr>
                      <w:rFonts w:hint="eastAsia" w:ascii="Times New Roman" w:hAnsi="Times New Roman" w:eastAsia="宋体" w:cs="Times New Roman"/>
                      <w:color w:val="auto"/>
                      <w:kern w:val="2"/>
                      <w:sz w:val="21"/>
                      <w:szCs w:val="21"/>
                      <w:highlight w:val="none"/>
                      <w:lang w:val="en-US" w:eastAsia="zh-CN" w:bidi="ar"/>
                    </w:rPr>
                    <w:t>039</w:t>
                  </w:r>
                  <w:r>
                    <w:rPr>
                      <w:rFonts w:hint="default" w:ascii="Times New Roman" w:hAnsi="Times New Roman" w:eastAsia="宋体" w:cs="Times New Roman"/>
                      <w:color w:val="auto"/>
                      <w:kern w:val="2"/>
                      <w:sz w:val="21"/>
                      <w:szCs w:val="21"/>
                      <w:highlight w:val="none"/>
                      <w:lang w:val="en-US" w:eastAsia="zh-CN" w:bidi="ar"/>
                    </w:rPr>
                    <w:t>-</w:t>
                  </w:r>
                  <w:r>
                    <w:rPr>
                      <w:rFonts w:hint="eastAsia" w:ascii="Times New Roman" w:hAnsi="Times New Roman" w:eastAsia="宋体" w:cs="Times New Roman"/>
                      <w:color w:val="auto"/>
                      <w:kern w:val="2"/>
                      <w:sz w:val="21"/>
                      <w:szCs w:val="21"/>
                      <w:highlight w:val="none"/>
                      <w:lang w:val="en-US" w:eastAsia="zh-CN" w:bidi="ar"/>
                    </w:rPr>
                    <w:t>49</w:t>
                  </w:r>
                </w:p>
              </w:tc>
              <w:tc>
                <w:tcPr>
                  <w:tcW w:w="473" w:type="pct"/>
                  <w:tcBorders>
                    <w:tl2br w:val="nil"/>
                    <w:tr2bl w:val="nil"/>
                  </w:tcBorders>
                  <w:noWrap w:val="0"/>
                  <w:vAlign w:val="center"/>
                </w:tcPr>
                <w:p w14:paraId="56ABC4B6">
                  <w:pPr>
                    <w:keepNext w:val="0"/>
                    <w:keepLines w:val="0"/>
                    <w:pageBreakBefore w:val="0"/>
                    <w:widowControl w:val="0"/>
                    <w:shd w:val="clear" w:color="auto" w:fill="auto"/>
                    <w:kinsoku/>
                    <w:wordWrap/>
                    <w:overflowPunct/>
                    <w:topLinePunct w:val="0"/>
                    <w:autoSpaceDE/>
                    <w:autoSpaceDN/>
                    <w:bidi w:val="0"/>
                    <w:adjustRightInd/>
                    <w:snapToGrid/>
                    <w:spacing w:line="264" w:lineRule="auto"/>
                    <w:jc w:val="center"/>
                    <w:textAlignment w:val="auto"/>
                    <w:rPr>
                      <w:rFonts w:hint="eastAsia"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有毒</w:t>
                  </w:r>
                </w:p>
              </w:tc>
              <w:tc>
                <w:tcPr>
                  <w:tcW w:w="854" w:type="pct"/>
                  <w:vMerge w:val="continue"/>
                  <w:tcBorders>
                    <w:tl2br w:val="nil"/>
                    <w:tr2bl w:val="nil"/>
                  </w:tcBorders>
                  <w:noWrap w:val="0"/>
                  <w:vAlign w:val="center"/>
                </w:tcPr>
                <w:p w14:paraId="7B90054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
                    </w:rPr>
                  </w:pPr>
                </w:p>
              </w:tc>
              <w:tc>
                <w:tcPr>
                  <w:tcW w:w="459" w:type="pct"/>
                  <w:tcBorders>
                    <w:tl2br w:val="nil"/>
                    <w:tr2bl w:val="nil"/>
                  </w:tcBorders>
                  <w:noWrap w:val="0"/>
                  <w:vAlign w:val="center"/>
                </w:tcPr>
                <w:p w14:paraId="78B25C7E">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2.888</w:t>
                  </w:r>
                </w:p>
              </w:tc>
            </w:tr>
            <w:tr w14:paraId="1D2EE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27" w:type="pct"/>
                  <w:tcBorders>
                    <w:tl2br w:val="nil"/>
                    <w:tr2bl w:val="nil"/>
                  </w:tcBorders>
                  <w:noWrap w:val="0"/>
                  <w:vAlign w:val="center"/>
                </w:tcPr>
                <w:p w14:paraId="4459795B">
                  <w:pPr>
                    <w:keepNext w:val="0"/>
                    <w:keepLines w:val="0"/>
                    <w:widowControl w:val="0"/>
                    <w:suppressLineNumbers w:val="0"/>
                    <w:shd w:val="clear" w:color="auto" w:fill="auto"/>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7</w:t>
                  </w:r>
                </w:p>
              </w:tc>
              <w:tc>
                <w:tcPr>
                  <w:tcW w:w="611" w:type="pct"/>
                  <w:tcBorders>
                    <w:tl2br w:val="nil"/>
                    <w:tr2bl w:val="nil"/>
                  </w:tcBorders>
                  <w:noWrap w:val="0"/>
                  <w:vAlign w:val="center"/>
                </w:tcPr>
                <w:p w14:paraId="2581A841">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生活垃圾</w:t>
                  </w:r>
                </w:p>
              </w:tc>
              <w:tc>
                <w:tcPr>
                  <w:tcW w:w="397" w:type="pct"/>
                  <w:tcBorders>
                    <w:tl2br w:val="nil"/>
                    <w:tr2bl w:val="nil"/>
                  </w:tcBorders>
                  <w:noWrap w:val="0"/>
                  <w:vAlign w:val="center"/>
                </w:tcPr>
                <w:p w14:paraId="116F96CF">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职工生活</w:t>
                  </w:r>
                </w:p>
              </w:tc>
              <w:tc>
                <w:tcPr>
                  <w:tcW w:w="429" w:type="pct"/>
                  <w:tcBorders>
                    <w:tl2br w:val="nil"/>
                    <w:tr2bl w:val="nil"/>
                  </w:tcBorders>
                  <w:noWrap w:val="0"/>
                  <w:vAlign w:val="center"/>
                </w:tcPr>
                <w:p w14:paraId="1AFD09B7">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固态</w:t>
                  </w:r>
                </w:p>
              </w:tc>
              <w:tc>
                <w:tcPr>
                  <w:tcW w:w="618" w:type="pct"/>
                  <w:tcBorders>
                    <w:tl2br w:val="nil"/>
                    <w:tr2bl w:val="nil"/>
                  </w:tcBorders>
                  <w:noWrap w:val="0"/>
                  <w:vAlign w:val="center"/>
                </w:tcPr>
                <w:p w14:paraId="66490F64">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
                    </w:rPr>
                    <w:t>废纸、果皮等</w:t>
                  </w:r>
                </w:p>
              </w:tc>
              <w:tc>
                <w:tcPr>
                  <w:tcW w:w="927" w:type="pct"/>
                  <w:tcBorders>
                    <w:tl2br w:val="nil"/>
                    <w:tr2bl w:val="nil"/>
                  </w:tcBorders>
                  <w:noWrap w:val="0"/>
                  <w:vAlign w:val="center"/>
                </w:tcPr>
                <w:p w14:paraId="66DB32C0">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生活垃圾</w:t>
                  </w:r>
                </w:p>
              </w:tc>
              <w:tc>
                <w:tcPr>
                  <w:tcW w:w="473" w:type="pct"/>
                  <w:tcBorders>
                    <w:tl2br w:val="nil"/>
                    <w:tr2bl w:val="nil"/>
                  </w:tcBorders>
                  <w:noWrap w:val="0"/>
                  <w:vAlign w:val="center"/>
                </w:tcPr>
                <w:p w14:paraId="1391D0D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
                    </w:rPr>
                    <w:t>/</w:t>
                  </w:r>
                </w:p>
              </w:tc>
              <w:tc>
                <w:tcPr>
                  <w:tcW w:w="854" w:type="pct"/>
                  <w:tcBorders>
                    <w:tl2br w:val="nil"/>
                    <w:tr2bl w:val="nil"/>
                  </w:tcBorders>
                  <w:noWrap w:val="0"/>
                  <w:vAlign w:val="center"/>
                </w:tcPr>
                <w:p w14:paraId="561123B2">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eastAsiaTheme="minorEastAsia"/>
                      <w:b w:val="0"/>
                      <w:bCs/>
                      <w:color w:val="auto"/>
                      <w:sz w:val="21"/>
                      <w:szCs w:val="21"/>
                      <w:highlight w:val="none"/>
                      <w:vertAlign w:val="baseline"/>
                      <w:lang w:val="en-US" w:eastAsia="zh-CN"/>
                    </w:rPr>
                    <w:t>垃圾桶收集后由环卫部门统一清运</w:t>
                  </w:r>
                </w:p>
              </w:tc>
              <w:tc>
                <w:tcPr>
                  <w:tcW w:w="459" w:type="pct"/>
                  <w:tcBorders>
                    <w:tl2br w:val="nil"/>
                    <w:tr2bl w:val="nil"/>
                  </w:tcBorders>
                  <w:noWrap w:val="0"/>
                  <w:vAlign w:val="center"/>
                </w:tcPr>
                <w:p w14:paraId="24C6B088">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0.6</w:t>
                  </w:r>
                </w:p>
              </w:tc>
            </w:tr>
          </w:tbl>
          <w:p w14:paraId="2B287281">
            <w:pPr>
              <w:keepNext w:val="0"/>
              <w:keepLines w:val="0"/>
              <w:pageBreakBefore w:val="0"/>
              <w:widowControl w:val="0"/>
              <w:kinsoku/>
              <w:wordWrap/>
              <w:overflowPunct/>
              <w:topLinePunct w:val="0"/>
              <w:autoSpaceDE/>
              <w:autoSpaceDN/>
              <w:bidi w:val="0"/>
              <w:adjustRightInd w:val="0"/>
              <w:snapToGrid w:val="0"/>
              <w:spacing w:line="520" w:lineRule="exact"/>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4.2</w:t>
            </w:r>
            <w:r>
              <w:rPr>
                <w:rFonts w:hint="default" w:ascii="Times New Roman" w:hAnsi="Times New Roman" w:cs="Times New Roman"/>
                <w:b/>
                <w:color w:val="auto"/>
                <w:sz w:val="24"/>
              </w:rPr>
              <w:t>环境保护措施</w:t>
            </w:r>
          </w:p>
          <w:p w14:paraId="740000C8">
            <w:pPr>
              <w:pStyle w:val="53"/>
              <w:keepNext w:val="0"/>
              <w:keepLines w:val="0"/>
              <w:pageBreakBefore w:val="0"/>
              <w:widowControl w:val="0"/>
              <w:kinsoku/>
              <w:wordWrap/>
              <w:overflowPunct/>
              <w:topLinePunct w:val="0"/>
              <w:autoSpaceDE/>
              <w:autoSpaceDN/>
              <w:bidi w:val="0"/>
              <w:adjustRightInd/>
              <w:snapToGrid/>
              <w:spacing w:before="120" w:line="360" w:lineRule="auto"/>
              <w:ind w:left="0" w:leftChars="0" w:right="0" w:rightChars="0" w:firstLine="480" w:firstLineChars="200"/>
              <w:textAlignment w:val="auto"/>
              <w:rPr>
                <w:rFonts w:hint="default"/>
              </w:rPr>
            </w:pPr>
            <w:r>
              <w:rPr>
                <w:rFonts w:hint="default" w:ascii="Times New Roman" w:hAnsi="Times New Roman" w:cs="Times New Roman"/>
                <w:color w:val="auto"/>
                <w:sz w:val="24"/>
                <w:szCs w:val="24"/>
              </w:rPr>
              <w:t>环评要求：对固体废物的处置应满足</w:t>
            </w:r>
            <w:r>
              <w:rPr>
                <w:rFonts w:hint="eastAsia" w:cs="Times New Roman"/>
                <w:color w:val="auto"/>
                <w:sz w:val="24"/>
                <w:szCs w:val="24"/>
                <w:lang w:eastAsia="zh-CN"/>
              </w:rPr>
              <w:t>“</w:t>
            </w:r>
            <w:r>
              <w:rPr>
                <w:rFonts w:hint="default" w:ascii="Times New Roman" w:hAnsi="Times New Roman" w:cs="Times New Roman"/>
                <w:color w:val="auto"/>
                <w:sz w:val="24"/>
                <w:szCs w:val="24"/>
              </w:rPr>
              <w:t>减量化、资源化和无害化</w:t>
            </w:r>
            <w:r>
              <w:rPr>
                <w:rFonts w:hint="eastAsia" w:cs="Times New Roman"/>
                <w:color w:val="auto"/>
                <w:sz w:val="24"/>
                <w:szCs w:val="24"/>
                <w:lang w:eastAsia="zh-CN"/>
              </w:rPr>
              <w:t>”</w:t>
            </w:r>
            <w:r>
              <w:rPr>
                <w:rFonts w:hint="default" w:ascii="Times New Roman" w:hAnsi="Times New Roman" w:cs="Times New Roman"/>
                <w:color w:val="auto"/>
                <w:sz w:val="24"/>
                <w:szCs w:val="24"/>
              </w:rPr>
              <w:t>的基本原则，处置率达100%，最大限度降低对周边环境造成影响。</w:t>
            </w:r>
          </w:p>
          <w:p w14:paraId="3E4B809F">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（1）生活垃圾：生活垃圾应按照《</w:t>
            </w:r>
            <w:r>
              <w:rPr>
                <w:rFonts w:hint="eastAsia" w:cs="Times New Roman"/>
                <w:bCs/>
                <w:color w:val="auto"/>
                <w:sz w:val="24"/>
                <w:lang w:eastAsia="zh-CN"/>
              </w:rPr>
              <w:t>西安</w:t>
            </w:r>
            <w:r>
              <w:rPr>
                <w:rFonts w:hint="default" w:ascii="Times New Roman" w:hAnsi="Times New Roman" w:cs="Times New Roman"/>
                <w:bCs/>
                <w:color w:val="auto"/>
                <w:sz w:val="24"/>
              </w:rPr>
              <w:t>市生活垃圾分类管理条例》中的相关规定，对生活垃圾进行分类收集，分类收集后由环卫部门定期清运。</w:t>
            </w:r>
          </w:p>
          <w:p w14:paraId="21C1CC5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cs="Times New Roman"/>
                <w:color w:val="auto"/>
                <w:spacing w:val="0"/>
                <w:sz w:val="24"/>
                <w:szCs w:val="24"/>
                <w:lang w:eastAsia="zh-CN"/>
              </w:rPr>
            </w:pPr>
            <w:r>
              <w:rPr>
                <w:rFonts w:hint="default" w:ascii="Times New Roman" w:hAnsi="Times New Roman" w:cs="Times New Roman"/>
                <w:bCs/>
                <w:color w:val="auto"/>
                <w:sz w:val="24"/>
              </w:rPr>
              <w:t>（2）一般固体废物：本项目一般固体废物的处置执行《一般工业固体废物贮存和填埋污染控制标准》（GB18599-2020）中相关规定。</w:t>
            </w:r>
            <w:r>
              <w:rPr>
                <w:rFonts w:hint="default" w:ascii="Times New Roman" w:hAnsi="Times New Roman" w:cs="Times New Roman"/>
                <w:bCs/>
                <w:color w:val="auto"/>
                <w:sz w:val="24"/>
                <w:highlight w:val="none"/>
                <w:lang w:eastAsia="zh-CN"/>
              </w:rPr>
              <w:t>新建一般固废间位于</w:t>
            </w:r>
            <w:r>
              <w:rPr>
                <w:rFonts w:hint="eastAsia" w:cs="Times New Roman"/>
                <w:color w:val="auto"/>
                <w:spacing w:val="0"/>
                <w:sz w:val="24"/>
                <w:szCs w:val="24"/>
                <w:highlight w:val="none"/>
                <w:lang w:val="en-US" w:eastAsia="zh-CN"/>
              </w:rPr>
              <w:t>厂区西南角</w:t>
            </w:r>
            <w:r>
              <w:rPr>
                <w:rFonts w:hint="default" w:ascii="Times New Roman" w:hAnsi="Times New Roman" w:cs="Times New Roman"/>
                <w:color w:val="auto"/>
                <w:spacing w:val="0"/>
                <w:sz w:val="24"/>
                <w:szCs w:val="24"/>
                <w:highlight w:val="none"/>
              </w:rPr>
              <w:t>，占地面积</w:t>
            </w:r>
            <w:r>
              <w:rPr>
                <w:rFonts w:hint="eastAsia" w:cs="Times New Roman"/>
                <w:color w:val="auto"/>
                <w:spacing w:val="0"/>
                <w:sz w:val="24"/>
                <w:szCs w:val="24"/>
                <w:highlight w:val="none"/>
                <w:lang w:val="en-US" w:eastAsia="zh-CN"/>
              </w:rPr>
              <w:t>3</w:t>
            </w:r>
            <w:r>
              <w:rPr>
                <w:rFonts w:hint="default" w:ascii="Times New Roman" w:hAnsi="Times New Roman" w:cs="Times New Roman"/>
                <w:color w:val="auto"/>
                <w:spacing w:val="0"/>
                <w:sz w:val="24"/>
                <w:szCs w:val="24"/>
                <w:highlight w:val="none"/>
                <w:lang w:val="en-US" w:eastAsia="zh-CN"/>
              </w:rPr>
              <w:t>0</w:t>
            </w:r>
            <w:r>
              <w:rPr>
                <w:rFonts w:hint="default" w:ascii="Times New Roman" w:hAnsi="Times New Roman" w:cs="Times New Roman"/>
                <w:color w:val="auto"/>
                <w:spacing w:val="0"/>
                <w:sz w:val="24"/>
                <w:szCs w:val="24"/>
                <w:highlight w:val="none"/>
              </w:rPr>
              <w:t>m</w:t>
            </w:r>
            <w:r>
              <w:rPr>
                <w:rFonts w:hint="default" w:ascii="Times New Roman" w:hAnsi="Times New Roman" w:cs="Times New Roman"/>
                <w:color w:val="auto"/>
                <w:spacing w:val="0"/>
                <w:sz w:val="24"/>
                <w:szCs w:val="24"/>
                <w:highlight w:val="none"/>
                <w:vertAlign w:val="superscript"/>
              </w:rPr>
              <w:t>2</w:t>
            </w:r>
            <w:r>
              <w:rPr>
                <w:rFonts w:hint="default" w:ascii="Times New Roman" w:hAnsi="Times New Roman" w:cs="Times New Roman"/>
                <w:color w:val="auto"/>
                <w:spacing w:val="0"/>
                <w:sz w:val="24"/>
                <w:szCs w:val="24"/>
                <w:highlight w:val="none"/>
              </w:rPr>
              <w:t>，</w:t>
            </w:r>
            <w:r>
              <w:rPr>
                <w:rFonts w:hint="eastAsia" w:cs="Times New Roman"/>
                <w:color w:val="auto"/>
                <w:spacing w:val="0"/>
                <w:sz w:val="24"/>
                <w:szCs w:val="24"/>
                <w:lang w:eastAsia="zh-CN"/>
              </w:rPr>
              <w:t>一般固体废物分区存放，处理周期为每季度一次。</w:t>
            </w:r>
          </w:p>
          <w:p w14:paraId="5B46354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b w:val="0"/>
                <w:bCs w:val="0"/>
                <w:color w:val="auto"/>
                <w:spacing w:val="0"/>
                <w:sz w:val="24"/>
                <w:szCs w:val="24"/>
                <w:lang w:val="en-US" w:eastAsia="zh-CN"/>
              </w:rPr>
              <w:t>管理要求：</w:t>
            </w:r>
            <w:r>
              <w:rPr>
                <w:rFonts w:hint="default" w:ascii="Times New Roman" w:hAnsi="Times New Roman" w:cs="Times New Roman"/>
                <w:color w:val="auto"/>
                <w:spacing w:val="0"/>
                <w:sz w:val="24"/>
                <w:szCs w:val="24"/>
                <w:lang w:eastAsia="zh-CN"/>
              </w:rPr>
              <w:t>①</w:t>
            </w:r>
            <w:r>
              <w:rPr>
                <w:rFonts w:hint="default" w:ascii="Times New Roman" w:hAnsi="Times New Roman" w:cs="Times New Roman"/>
                <w:color w:val="auto"/>
                <w:spacing w:val="0"/>
                <w:sz w:val="24"/>
                <w:szCs w:val="24"/>
              </w:rPr>
              <w:t>一般固体废物贮存、处置场，禁止危险废物和生活垃圾混入。</w:t>
            </w:r>
          </w:p>
          <w:p w14:paraId="44505286">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②</w:t>
            </w:r>
            <w:r>
              <w:rPr>
                <w:rFonts w:hint="default" w:ascii="Times New Roman" w:hAnsi="Times New Roman" w:cs="Times New Roman"/>
                <w:color w:val="auto"/>
                <w:spacing w:val="0"/>
                <w:sz w:val="24"/>
                <w:szCs w:val="24"/>
              </w:rPr>
              <w:t>贮存、处置场单位，应建立维修制度。</w:t>
            </w:r>
          </w:p>
          <w:p w14:paraId="45ED51C1">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③</w:t>
            </w:r>
            <w:r>
              <w:rPr>
                <w:rFonts w:hint="default" w:ascii="Times New Roman" w:hAnsi="Times New Roman" w:cs="Times New Roman"/>
                <w:color w:val="auto"/>
                <w:spacing w:val="0"/>
                <w:sz w:val="24"/>
                <w:szCs w:val="24"/>
              </w:rPr>
              <w:t>贮存、处置场单位，应建立档案制度，应将入场的一般工业固体废物的种类和数量以及转移记录等详细记录在案，长期保存，供随时查阅。</w:t>
            </w:r>
          </w:p>
          <w:p w14:paraId="592DC8D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④</w:t>
            </w:r>
            <w:r>
              <w:rPr>
                <w:rFonts w:hint="default" w:ascii="Times New Roman" w:hAnsi="Times New Roman" w:cs="Times New Roman"/>
                <w:color w:val="auto"/>
                <w:spacing w:val="0"/>
                <w:sz w:val="24"/>
                <w:szCs w:val="24"/>
              </w:rPr>
              <w:t>贮存、处置场的环境保护图形标志，应按规定进行GB15562.2检查和维修。</w:t>
            </w:r>
          </w:p>
          <w:p w14:paraId="363E5AF0">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lang w:eastAsia="zh-CN"/>
              </w:rPr>
              <w:t>⑤</w:t>
            </w:r>
            <w:r>
              <w:rPr>
                <w:rFonts w:hint="default" w:ascii="Times New Roman" w:hAnsi="Times New Roman" w:cs="Times New Roman"/>
                <w:color w:val="auto"/>
                <w:spacing w:val="0"/>
                <w:sz w:val="24"/>
                <w:szCs w:val="24"/>
              </w:rPr>
              <w:t>一般固废及时清运，避免对环境造成二次污染。</w:t>
            </w:r>
            <w:r>
              <w:rPr>
                <w:rFonts w:hint="default" w:ascii="Times New Roman" w:hAnsi="Times New Roman" w:cs="Times New Roman"/>
                <w:color w:val="auto"/>
                <w:spacing w:val="0"/>
                <w:sz w:val="24"/>
                <w:szCs w:val="24"/>
                <w:lang w:eastAsia="zh-CN"/>
              </w:rPr>
              <w:t>⑥</w:t>
            </w:r>
            <w:r>
              <w:rPr>
                <w:rFonts w:hint="default" w:ascii="Times New Roman" w:hAnsi="Times New Roman" w:cs="Times New Roman"/>
                <w:color w:val="auto"/>
                <w:spacing w:val="0"/>
                <w:sz w:val="24"/>
                <w:szCs w:val="24"/>
              </w:rPr>
              <w:t>一般固废暂存间建设应做到</w:t>
            </w:r>
            <w:r>
              <w:rPr>
                <w:rFonts w:hint="eastAsia" w:ascii="Times New Roman" w:hAnsi="Times New Roman" w:cs="Times New Roman"/>
                <w:color w:val="auto"/>
                <w:spacing w:val="0"/>
                <w:sz w:val="24"/>
                <w:szCs w:val="24"/>
                <w:lang w:eastAsia="zh-CN"/>
              </w:rPr>
              <w:t>“</w:t>
            </w:r>
            <w:r>
              <w:rPr>
                <w:rFonts w:hint="default" w:ascii="Times New Roman" w:hAnsi="Times New Roman" w:cs="Times New Roman"/>
                <w:color w:val="auto"/>
                <w:spacing w:val="0"/>
                <w:sz w:val="24"/>
                <w:szCs w:val="24"/>
              </w:rPr>
              <w:t>防雨、防渗、防漏、防风</w:t>
            </w:r>
            <w:r>
              <w:rPr>
                <w:rFonts w:hint="eastAsia" w:ascii="Times New Roman" w:hAnsi="Times New Roman" w:cs="Times New Roman"/>
                <w:color w:val="auto"/>
                <w:spacing w:val="0"/>
                <w:sz w:val="24"/>
                <w:szCs w:val="24"/>
                <w:lang w:eastAsia="zh-CN"/>
              </w:rPr>
              <w:t>”</w:t>
            </w:r>
            <w:r>
              <w:rPr>
                <w:rFonts w:hint="default" w:ascii="Times New Roman" w:hAnsi="Times New Roman" w:cs="Times New Roman"/>
                <w:color w:val="auto"/>
                <w:spacing w:val="0"/>
                <w:sz w:val="24"/>
                <w:szCs w:val="24"/>
              </w:rPr>
              <w:t>，满足《一般工业固体废物贮存和填埋污染控制标准》（GB18599-20</w:t>
            </w:r>
            <w:r>
              <w:rPr>
                <w:rFonts w:hint="default" w:ascii="Times New Roman" w:hAnsi="Times New Roman" w:cs="Times New Roman"/>
                <w:color w:val="auto"/>
                <w:spacing w:val="0"/>
                <w:sz w:val="24"/>
                <w:szCs w:val="24"/>
                <w:lang w:val="en-US" w:eastAsia="zh-CN"/>
              </w:rPr>
              <w:t>20</w:t>
            </w:r>
            <w:r>
              <w:rPr>
                <w:rFonts w:hint="default" w:ascii="Times New Roman" w:hAnsi="Times New Roman" w:cs="Times New Roman"/>
                <w:color w:val="auto"/>
                <w:spacing w:val="0"/>
                <w:sz w:val="24"/>
                <w:szCs w:val="24"/>
              </w:rPr>
              <w:t>）中规定。</w:t>
            </w:r>
          </w:p>
          <w:p w14:paraId="2FEF784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rPr>
            </w:pPr>
            <w:r>
              <w:rPr>
                <w:rFonts w:hint="default" w:ascii="Times New Roman" w:hAnsi="Times New Roman" w:cs="Times New Roman"/>
                <w:color w:val="auto"/>
                <w:spacing w:val="0"/>
                <w:sz w:val="24"/>
                <w:szCs w:val="24"/>
              </w:rPr>
              <w:t>综上，该项目产生的固体废物在严格按照相关要求处置，在加强管理的情况下固废对环境的影响较小，在环境可接受范围内。</w:t>
            </w:r>
          </w:p>
          <w:p w14:paraId="0253CAB2">
            <w:pPr>
              <w:keepNext w:val="0"/>
              <w:keepLines w:val="0"/>
              <w:pageBreakBefore w:val="0"/>
              <w:widowControl w:val="0"/>
              <w:numPr>
                <w:ilvl w:val="0"/>
                <w:numId w:val="9"/>
              </w:numPr>
              <w:kinsoku/>
              <w:wordWrap/>
              <w:overflowPunct/>
              <w:topLinePunct w:val="0"/>
              <w:autoSpaceDE/>
              <w:autoSpaceDN/>
              <w:bidi w:val="0"/>
              <w:spacing w:line="360" w:lineRule="auto"/>
              <w:ind w:left="0" w:leftChars="0" w:right="0" w:rightChars="0" w:firstLine="480" w:firstLineChars="200"/>
              <w:jc w:val="both"/>
              <w:textAlignment w:val="auto"/>
              <w:rPr>
                <w:rFonts w:hint="default" w:ascii="Times New Roman" w:hAnsi="Times New Roman" w:cs="Times New Roman"/>
                <w:color w:val="auto"/>
                <w:spacing w:val="0"/>
                <w:sz w:val="24"/>
                <w:szCs w:val="24"/>
                <w:lang w:val="en-US" w:eastAsia="zh-CN"/>
              </w:rPr>
            </w:pPr>
            <w:r>
              <w:rPr>
                <w:rFonts w:hint="default" w:ascii="Times New Roman" w:hAnsi="Times New Roman" w:cs="Times New Roman"/>
                <w:bCs/>
                <w:color w:val="auto"/>
                <w:sz w:val="24"/>
              </w:rPr>
              <w:t>危险废物：</w:t>
            </w:r>
            <w:r>
              <w:rPr>
                <w:rFonts w:hint="default" w:ascii="Times New Roman" w:hAnsi="Times New Roman" w:cs="Times New Roman"/>
                <w:color w:val="auto"/>
                <w:sz w:val="24"/>
              </w:rPr>
              <w:t>项目</w:t>
            </w:r>
            <w:r>
              <w:rPr>
                <w:rFonts w:hint="eastAsia" w:cs="Times New Roman"/>
                <w:color w:val="auto"/>
                <w:sz w:val="24"/>
                <w:lang w:eastAsia="zh-CN"/>
              </w:rPr>
              <w:t>危险废物贮存库</w:t>
            </w:r>
            <w:r>
              <w:rPr>
                <w:rFonts w:hint="default" w:ascii="Times New Roman" w:hAnsi="Times New Roman" w:cs="Times New Roman"/>
                <w:color w:val="auto"/>
                <w:sz w:val="24"/>
              </w:rPr>
              <w:t>应按照《危险废物贮存污染控制标准》（GB 18597-2023）中的要求进行建设</w:t>
            </w:r>
            <w:r>
              <w:rPr>
                <w:rFonts w:hint="default" w:ascii="Times New Roman" w:hAnsi="Times New Roman" w:cs="Times New Roman"/>
                <w:color w:val="auto"/>
                <w:sz w:val="24"/>
                <w:highlight w:val="none"/>
              </w:rPr>
              <w:t>，</w:t>
            </w:r>
            <w:r>
              <w:rPr>
                <w:rFonts w:hint="default" w:ascii="Times New Roman" w:hAnsi="Times New Roman" w:cs="Times New Roman"/>
                <w:bCs/>
                <w:color w:val="auto"/>
                <w:sz w:val="24"/>
                <w:highlight w:val="none"/>
                <w:lang w:eastAsia="zh-CN"/>
              </w:rPr>
              <w:t>新建</w:t>
            </w:r>
            <w:r>
              <w:rPr>
                <w:rFonts w:hint="eastAsia" w:cs="Times New Roman"/>
                <w:bCs/>
                <w:color w:val="auto"/>
                <w:sz w:val="24"/>
                <w:highlight w:val="none"/>
                <w:lang w:eastAsia="zh-CN"/>
              </w:rPr>
              <w:t>危险废物贮存库</w:t>
            </w:r>
            <w:r>
              <w:rPr>
                <w:rFonts w:hint="default" w:ascii="Times New Roman" w:hAnsi="Times New Roman" w:cs="Times New Roman"/>
                <w:bCs/>
                <w:color w:val="auto"/>
                <w:sz w:val="24"/>
                <w:highlight w:val="none"/>
                <w:lang w:eastAsia="zh-CN"/>
              </w:rPr>
              <w:t>位</w:t>
            </w:r>
            <w:r>
              <w:rPr>
                <w:rFonts w:hint="eastAsia" w:cs="Times New Roman"/>
                <w:bCs/>
                <w:color w:val="auto"/>
                <w:sz w:val="24"/>
                <w:highlight w:val="none"/>
                <w:lang w:eastAsia="zh-CN"/>
              </w:rPr>
              <w:t>于车间</w:t>
            </w:r>
            <w:r>
              <w:rPr>
                <w:rFonts w:hint="eastAsia" w:cs="Times New Roman"/>
                <w:bCs/>
                <w:color w:val="auto"/>
                <w:sz w:val="24"/>
                <w:highlight w:val="none"/>
                <w:lang w:val="en-US" w:eastAsia="zh-CN"/>
              </w:rPr>
              <w:t>西侧位置</w:t>
            </w:r>
            <w:r>
              <w:rPr>
                <w:rFonts w:hint="default" w:ascii="Times New Roman" w:hAnsi="Times New Roman" w:cs="Times New Roman"/>
                <w:color w:val="auto"/>
                <w:spacing w:val="0"/>
                <w:sz w:val="24"/>
                <w:szCs w:val="24"/>
                <w:highlight w:val="none"/>
              </w:rPr>
              <w:t>，占地面积</w:t>
            </w:r>
            <w:r>
              <w:rPr>
                <w:rFonts w:hint="eastAsia" w:cs="Times New Roman"/>
                <w:color w:val="auto"/>
                <w:spacing w:val="0"/>
                <w:sz w:val="24"/>
                <w:szCs w:val="24"/>
                <w:highlight w:val="none"/>
                <w:lang w:val="en-US" w:eastAsia="zh-CN"/>
              </w:rPr>
              <w:t>10</w:t>
            </w:r>
            <w:r>
              <w:rPr>
                <w:rFonts w:hint="default" w:ascii="Times New Roman" w:hAnsi="Times New Roman" w:cs="Times New Roman"/>
                <w:color w:val="auto"/>
                <w:spacing w:val="0"/>
                <w:sz w:val="24"/>
                <w:szCs w:val="24"/>
                <w:highlight w:val="none"/>
              </w:rPr>
              <w:t>m</w:t>
            </w:r>
            <w:r>
              <w:rPr>
                <w:rFonts w:hint="default" w:ascii="Times New Roman" w:hAnsi="Times New Roman" w:cs="Times New Roman"/>
                <w:color w:val="auto"/>
                <w:spacing w:val="0"/>
                <w:sz w:val="24"/>
                <w:szCs w:val="24"/>
                <w:highlight w:val="none"/>
                <w:vertAlign w:val="superscript"/>
              </w:rPr>
              <w:t>2</w:t>
            </w:r>
            <w:r>
              <w:rPr>
                <w:rFonts w:hint="default" w:ascii="Times New Roman" w:hAnsi="Times New Roman" w:cs="Times New Roman"/>
                <w:color w:val="auto"/>
                <w:spacing w:val="0"/>
                <w:sz w:val="24"/>
                <w:szCs w:val="24"/>
                <w:highlight w:val="none"/>
              </w:rPr>
              <w:t>，</w:t>
            </w:r>
            <w:r>
              <w:rPr>
                <w:rFonts w:hint="default" w:ascii="Times New Roman" w:hAnsi="Times New Roman" w:cs="Times New Roman"/>
                <w:color w:val="auto"/>
                <w:spacing w:val="0"/>
                <w:sz w:val="24"/>
                <w:szCs w:val="24"/>
                <w:highlight w:val="none"/>
                <w:lang w:eastAsia="zh-CN"/>
              </w:rPr>
              <w:t>高度</w:t>
            </w:r>
            <w:r>
              <w:rPr>
                <w:rFonts w:hint="default" w:ascii="Times New Roman" w:hAnsi="Times New Roman" w:cs="Times New Roman"/>
                <w:color w:val="auto"/>
                <w:spacing w:val="0"/>
                <w:sz w:val="24"/>
                <w:szCs w:val="24"/>
                <w:highlight w:val="none"/>
                <w:lang w:val="en-US" w:eastAsia="zh-CN"/>
              </w:rPr>
              <w:t>3m，总容积</w:t>
            </w:r>
            <w:r>
              <w:rPr>
                <w:rFonts w:hint="eastAsia" w:cs="Times New Roman"/>
                <w:color w:val="auto"/>
                <w:spacing w:val="0"/>
                <w:sz w:val="24"/>
                <w:szCs w:val="24"/>
                <w:highlight w:val="none"/>
                <w:lang w:val="en-US" w:eastAsia="zh-CN"/>
              </w:rPr>
              <w:t>30</w:t>
            </w:r>
            <w:r>
              <w:rPr>
                <w:rFonts w:hint="default" w:ascii="Times New Roman" w:hAnsi="Times New Roman" w:cs="Times New Roman"/>
                <w:color w:val="auto"/>
                <w:spacing w:val="0"/>
                <w:sz w:val="24"/>
                <w:szCs w:val="24"/>
                <w:highlight w:val="none"/>
                <w:lang w:val="en-US" w:eastAsia="zh-CN"/>
              </w:rPr>
              <w:t>m</w:t>
            </w:r>
            <w:r>
              <w:rPr>
                <w:rFonts w:hint="default" w:ascii="Times New Roman" w:hAnsi="Times New Roman" w:cs="Times New Roman"/>
                <w:color w:val="auto"/>
                <w:spacing w:val="0"/>
                <w:sz w:val="24"/>
                <w:szCs w:val="24"/>
                <w:highlight w:val="none"/>
                <w:vertAlign w:val="superscript"/>
                <w:lang w:val="en-US" w:eastAsia="zh-CN"/>
              </w:rPr>
              <w:t>3</w:t>
            </w:r>
            <w:r>
              <w:rPr>
                <w:rFonts w:hint="default" w:ascii="Times New Roman" w:hAnsi="Times New Roman" w:cs="Times New Roman"/>
                <w:color w:val="auto"/>
                <w:spacing w:val="0"/>
                <w:sz w:val="24"/>
                <w:szCs w:val="24"/>
                <w:highlight w:val="none"/>
                <w:lang w:val="en-US" w:eastAsia="zh-CN"/>
              </w:rPr>
              <w:t>，有效容积以60%计，为</w:t>
            </w:r>
            <w:r>
              <w:rPr>
                <w:rFonts w:hint="eastAsia" w:cs="Times New Roman"/>
                <w:color w:val="auto"/>
                <w:spacing w:val="0"/>
                <w:sz w:val="24"/>
                <w:szCs w:val="24"/>
                <w:highlight w:val="none"/>
                <w:lang w:val="en-US" w:eastAsia="zh-CN"/>
              </w:rPr>
              <w:t>18</w:t>
            </w:r>
            <w:r>
              <w:rPr>
                <w:rFonts w:hint="default" w:ascii="Times New Roman" w:hAnsi="Times New Roman" w:cs="Times New Roman"/>
                <w:color w:val="auto"/>
                <w:spacing w:val="0"/>
                <w:sz w:val="24"/>
                <w:szCs w:val="24"/>
                <w:highlight w:val="none"/>
                <w:lang w:val="en-US" w:eastAsia="zh-CN"/>
              </w:rPr>
              <w:t>m</w:t>
            </w:r>
            <w:r>
              <w:rPr>
                <w:rFonts w:hint="default" w:ascii="Times New Roman" w:hAnsi="Times New Roman" w:cs="Times New Roman"/>
                <w:color w:val="auto"/>
                <w:spacing w:val="0"/>
                <w:sz w:val="24"/>
                <w:szCs w:val="24"/>
                <w:highlight w:val="none"/>
                <w:vertAlign w:val="superscript"/>
                <w:lang w:val="en-US" w:eastAsia="zh-CN"/>
              </w:rPr>
              <w:t>3</w:t>
            </w:r>
            <w:r>
              <w:rPr>
                <w:rFonts w:hint="default" w:ascii="Times New Roman" w:hAnsi="Times New Roman" w:cs="Times New Roman"/>
                <w:color w:val="auto"/>
                <w:spacing w:val="0"/>
                <w:sz w:val="24"/>
                <w:szCs w:val="24"/>
                <w:highlight w:val="none"/>
                <w:lang w:val="en-US" w:eastAsia="zh-CN"/>
              </w:rPr>
              <w:t>。</w:t>
            </w:r>
            <w:r>
              <w:rPr>
                <w:rFonts w:hint="eastAsia" w:cs="Times New Roman"/>
                <w:color w:val="auto"/>
                <w:spacing w:val="0"/>
                <w:sz w:val="24"/>
                <w:szCs w:val="24"/>
                <w:highlight w:val="none"/>
                <w:lang w:val="en-US" w:eastAsia="zh-CN"/>
              </w:rPr>
              <w:t>项目危险废物分区存放，危险废物处</w:t>
            </w:r>
            <w:r>
              <w:rPr>
                <w:rFonts w:hint="eastAsia" w:cs="Times New Roman"/>
                <w:color w:val="auto"/>
                <w:spacing w:val="0"/>
                <w:sz w:val="24"/>
                <w:szCs w:val="24"/>
                <w:lang w:val="en-US" w:eastAsia="zh-CN"/>
              </w:rPr>
              <w:t>理周期为每季度处理一次，故危险废物贮存库容积可满足贮存要求。</w:t>
            </w:r>
          </w:p>
          <w:p w14:paraId="4DA22DEE">
            <w:pPr>
              <w:keepNext w:val="0"/>
              <w:keepLines w:val="0"/>
              <w:pageBreakBefore w:val="0"/>
              <w:widowControl w:val="0"/>
              <w:numPr>
                <w:ilvl w:val="0"/>
                <w:numId w:val="0"/>
              </w:numPr>
              <w:kinsoku/>
              <w:wordWrap/>
              <w:overflowPunct/>
              <w:topLinePunct w:val="0"/>
              <w:autoSpaceDE/>
              <w:autoSpaceDN/>
              <w:bidi w:val="0"/>
              <w:spacing w:line="360" w:lineRule="auto"/>
              <w:ind w:left="0" w:leftChars="0" w:right="0" w:rightChars="0" w:firstLine="482" w:firstLineChars="200"/>
              <w:jc w:val="both"/>
              <w:textAlignment w:val="auto"/>
              <w:rPr>
                <w:rFonts w:hint="default" w:ascii="Times New Roman" w:hAnsi="Times New Roman" w:cs="Times New Roman"/>
                <w:b/>
                <w:bCs/>
                <w:color w:val="auto"/>
                <w:sz w:val="24"/>
              </w:rPr>
            </w:pPr>
            <w:r>
              <w:rPr>
                <w:rFonts w:hint="eastAsia" w:cs="Times New Roman"/>
                <w:b/>
                <w:bCs/>
                <w:color w:val="auto"/>
                <w:spacing w:val="0"/>
                <w:sz w:val="24"/>
                <w:szCs w:val="24"/>
                <w:lang w:val="en-US" w:eastAsia="zh-CN"/>
              </w:rPr>
              <w:t>危险废物贮存库</w:t>
            </w:r>
            <w:r>
              <w:rPr>
                <w:rFonts w:hint="default" w:ascii="Times New Roman" w:hAnsi="Times New Roman" w:cs="Times New Roman"/>
                <w:b/>
                <w:bCs/>
                <w:color w:val="auto"/>
                <w:spacing w:val="0"/>
                <w:sz w:val="24"/>
                <w:szCs w:val="24"/>
                <w:lang w:val="en-US" w:eastAsia="zh-CN"/>
              </w:rPr>
              <w:t>的建设要求如下</w:t>
            </w:r>
            <w:r>
              <w:rPr>
                <w:rFonts w:hint="default" w:ascii="Times New Roman" w:hAnsi="Times New Roman" w:cs="Times New Roman"/>
                <w:b/>
                <w:bCs/>
                <w:color w:val="auto"/>
                <w:sz w:val="24"/>
              </w:rPr>
              <w:t>：</w:t>
            </w:r>
          </w:p>
          <w:p w14:paraId="5E6AE87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贮存设施污染控制要求：</w:t>
            </w:r>
          </w:p>
          <w:p w14:paraId="04609638">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①贮存设施或贮存分区内地面、墙面裙脚、堵截泄漏的围堰、接触危险废物的隔板和墙体等应采用坚固的材料建造，表面无裂缝；</w:t>
            </w:r>
          </w:p>
          <w:p w14:paraId="75870177">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②贮存设施地面与裙脚应采取表面防渗措施；表面防渗材料应与所接触的物料或污染物相容，可采用抗渗混凝土、高密度聚乙烯膜、钠基膨润土防水毯或其他防渗性能等效的材料。</w:t>
            </w:r>
          </w:p>
          <w:p w14:paraId="1B707B10">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③贮存的危险废物直接接触地面的，还应进行基础防渗，防渗层为至少1 m 厚黏土层（渗透系数不大于10</w:t>
            </w:r>
            <w:r>
              <w:rPr>
                <w:rFonts w:hint="default" w:ascii="Times New Roman" w:hAnsi="Times New Roman" w:cs="Times New Roman"/>
                <w:color w:val="auto"/>
                <w:sz w:val="24"/>
                <w:szCs w:val="32"/>
                <w:vertAlign w:val="superscript"/>
              </w:rPr>
              <w:t>-7</w:t>
            </w:r>
            <w:r>
              <w:rPr>
                <w:rFonts w:hint="default" w:ascii="Times New Roman" w:hAnsi="Times New Roman" w:cs="Times New Roman"/>
                <w:color w:val="auto"/>
                <w:sz w:val="24"/>
                <w:szCs w:val="32"/>
              </w:rPr>
              <w:t>cm/s），或至少2mm厚高密度聚乙烯膜等人工防渗材料（渗透系数不大于10</w:t>
            </w:r>
            <w:r>
              <w:rPr>
                <w:rFonts w:hint="default" w:ascii="Times New Roman" w:hAnsi="Times New Roman" w:cs="Times New Roman"/>
                <w:color w:val="auto"/>
                <w:sz w:val="24"/>
                <w:szCs w:val="32"/>
                <w:vertAlign w:val="superscript"/>
              </w:rPr>
              <w:t>-10</w:t>
            </w:r>
            <w:r>
              <w:rPr>
                <w:rFonts w:hint="default" w:ascii="Times New Roman" w:hAnsi="Times New Roman" w:cs="Times New Roman"/>
                <w:color w:val="auto"/>
                <w:sz w:val="24"/>
                <w:szCs w:val="32"/>
              </w:rPr>
              <w:t>cm/s），或其他防渗性能等效的材料。</w:t>
            </w:r>
          </w:p>
          <w:p w14:paraId="1B849AE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④同一贮存设施宜采用相同的防渗、防腐工艺（包括防渗、防腐结构或材料），防渗、防腐材料应覆盖所有可能与废物及其渗滤液、渗漏液等接触的构筑物表面；采用不同防渗、防腐工艺应分别建设贮存分区。</w:t>
            </w:r>
          </w:p>
          <w:p w14:paraId="6982B14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⑤贮存设施应采取技术和管理措施防止无关人员进入。</w:t>
            </w:r>
          </w:p>
          <w:p w14:paraId="51AAE4D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⑥贮存库内不同贮存分区之间应采取隔离措施。隔离措施可根据危险废物特性采用过道、隔板或隔墙等方式；</w:t>
            </w:r>
          </w:p>
          <w:p w14:paraId="6D43DFA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⑦在贮存库内或通过贮存分区方式贮存液态危险废物的，应具有液体泄漏堵截设施，堵截设施最小容积不应低于对应贮存区域最大液态废物容器容积或液态废物总储量1/10（二者取较大者）。</w:t>
            </w:r>
          </w:p>
          <w:p w14:paraId="006443E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容器和包装物的污染控制要求：</w:t>
            </w:r>
          </w:p>
          <w:p w14:paraId="1306F40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①容器和包装物材质、内衬应与盛装的危险废物相容。</w:t>
            </w:r>
          </w:p>
          <w:p w14:paraId="6AE061F8">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②针对不同类别、形态、物理化学性质的危险废物，其容器和包装物应满足相应的防渗、防漏、防腐和强度等要求。</w:t>
            </w:r>
          </w:p>
          <w:p w14:paraId="22D598E1">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③硬质容器和包装物及其支护结构堆叠码放时不应有明显变形，无破损泄漏。</w:t>
            </w:r>
          </w:p>
          <w:p w14:paraId="6743320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④柔性容器和包装物堆叠码放时应封口严密，无破损泄漏。</w:t>
            </w:r>
          </w:p>
          <w:p w14:paraId="67817BC5">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⑤使用容器盛装液态、半固态危险废物时，容器内部应留有适当的空间，以适应因温度变化等可能引发的收缩和膨胀，防止其导致容器渗漏或永久变形。</w:t>
            </w:r>
          </w:p>
          <w:p w14:paraId="695CCAF0">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⑥容器和包装物外表面应保持清洁。</w:t>
            </w:r>
          </w:p>
          <w:p w14:paraId="0A7107ED">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贮存设施运行环境管理要求：</w:t>
            </w:r>
          </w:p>
          <w:p w14:paraId="3BD61F4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①危险废物存入贮存设施前应对危险废物类别和特性与危险废物标签等危险废物识别标志的一致性进行核验，不一致的或类别、特性不明的不应存入。</w:t>
            </w:r>
          </w:p>
          <w:p w14:paraId="0B9B0A1F">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②应定期检查危险废物的贮存状况，及时清理贮存设施地面，更换破损泄漏的危险废物贮存容器和包装物，保证堆存危险废物的防雨、防风、防扬尘等设施功能完好。</w:t>
            </w:r>
          </w:p>
          <w:p w14:paraId="19589382">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③作业设备及车辆等结束作业离开贮存设施时，应对其残留的危险废物进行清理，清理的废物或清洗废水应收集处理。</w:t>
            </w:r>
          </w:p>
          <w:p w14:paraId="431C0F0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④贮存设施运行期间，应按国家有关标准和规定建立危险废物管理台账并保存。</w:t>
            </w:r>
          </w:p>
          <w:p w14:paraId="5EDB129E">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⑤贮存设施所有者或运营者应建立贮存设施环境管理制度、管理人员岗位职责制度、设施运行操作制度、人员岗位培训制度等。</w:t>
            </w:r>
          </w:p>
          <w:p w14:paraId="612784D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⑥贮存设施所有者或运营者应依据国家土壤和地下水污染防治的有关规定，结合贮存设施特点建立土壤和地下水污染隐患排查制度，并定期开展隐患排查；发现隐患应及时采取措施消除隐患，并建立档案。</w:t>
            </w:r>
          </w:p>
          <w:p w14:paraId="624F82A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eastAsia="宋体" w:cs="Times New Roman"/>
                <w:color w:val="auto"/>
                <w:sz w:val="24"/>
                <w:szCs w:val="32"/>
                <w:lang w:eastAsia="zh-CN"/>
              </w:rPr>
            </w:pPr>
            <w:r>
              <w:rPr>
                <w:rFonts w:hint="default" w:ascii="Times New Roman" w:hAnsi="Times New Roman" w:cs="Times New Roman"/>
                <w:color w:val="auto"/>
                <w:sz w:val="24"/>
                <w:szCs w:val="32"/>
              </w:rPr>
              <w:t>⑦贮存设施所有者或运营者应建立贮存设施全部档案，包括设计、施工、验收、运行、监测和环境应急等，应按国家有关档案管理的法律法规进行整理和归档</w:t>
            </w:r>
            <w:r>
              <w:rPr>
                <w:rFonts w:hint="eastAsia" w:cs="Times New Roman"/>
                <w:color w:val="auto"/>
                <w:sz w:val="24"/>
                <w:szCs w:val="32"/>
                <w:lang w:eastAsia="zh-CN"/>
              </w:rPr>
              <w:t>。</w:t>
            </w:r>
          </w:p>
          <w:p w14:paraId="7DC16A7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危险废物标识管理：</w:t>
            </w:r>
          </w:p>
          <w:p w14:paraId="74717213">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危险废物贮存设施必须按《环境保护图形标志-固体废物贮存（处置）场》（GB 15562.2-1995）、《危险废物识别标志设置技术规范》（HJ 1276-2022）中的规定，规范立标设置环保标识牌。</w:t>
            </w:r>
          </w:p>
          <w:p w14:paraId="75B7C332">
            <w:pPr>
              <w:shd w:val="clear" w:color="auto" w:fill="auto"/>
              <w:adjustRightInd w:val="0"/>
              <w:snapToGrid w:val="0"/>
              <w:spacing w:line="360" w:lineRule="auto"/>
              <w:ind w:firstLine="480" w:firstLineChars="200"/>
              <w:rPr>
                <w:rFonts w:hint="default"/>
                <w:color w:val="auto"/>
                <w:highlight w:val="none"/>
              </w:rPr>
            </w:pPr>
            <w:r>
              <w:rPr>
                <w:rFonts w:hint="default" w:ascii="Times New Roman" w:hAnsi="Times New Roman" w:cs="Times New Roman"/>
                <w:bCs/>
                <w:color w:val="auto"/>
                <w:sz w:val="24"/>
              </w:rPr>
              <w:t>综上，项目产生的固体废弃物经上述处理处置后，处置率达100</w:t>
            </w:r>
            <w:r>
              <w:rPr>
                <w:rFonts w:hint="default" w:ascii="Times New Roman" w:hAnsi="Times New Roman" w:cs="Times New Roman"/>
                <w:bCs/>
                <w:color w:val="auto"/>
                <w:sz w:val="24"/>
                <w:lang w:val="en-US" w:eastAsia="zh-CN"/>
              </w:rPr>
              <w:t>%</w:t>
            </w:r>
            <w:r>
              <w:rPr>
                <w:rFonts w:hint="default" w:ascii="Times New Roman" w:hAnsi="Times New Roman" w:cs="Times New Roman"/>
                <w:bCs/>
                <w:color w:val="auto"/>
                <w:sz w:val="24"/>
              </w:rPr>
              <w:t>，符合国家固体废弃物处理处置政策，对环境产生影响较小，处理处置措施可行</w:t>
            </w:r>
            <w:r>
              <w:rPr>
                <w:rFonts w:hint="eastAsia"/>
                <w:color w:val="auto"/>
                <w:lang w:eastAsia="zh-CN"/>
              </w:rPr>
              <w:t>。</w:t>
            </w:r>
          </w:p>
          <w:p w14:paraId="6D584BF3">
            <w:pPr>
              <w:numPr>
                <w:ilvl w:val="0"/>
                <w:numId w:val="0"/>
              </w:numPr>
              <w:adjustRightInd w:val="0"/>
              <w:snapToGrid w:val="0"/>
              <w:spacing w:line="360" w:lineRule="auto"/>
              <w:rPr>
                <w:rFonts w:hint="default" w:ascii="Times New Roman" w:hAnsi="Times New Roman" w:eastAsia="宋体" w:cs="Times New Roman"/>
                <w:b/>
                <w:bCs/>
                <w:color w:val="auto"/>
                <w:spacing w:val="-10"/>
                <w:kern w:val="2"/>
                <w:sz w:val="24"/>
                <w:szCs w:val="24"/>
                <w:highlight w:val="none"/>
                <w:lang w:val="en-US" w:eastAsia="zh-CN" w:bidi="ar-SA"/>
              </w:rPr>
            </w:pPr>
            <w:r>
              <w:rPr>
                <w:rFonts w:hint="eastAsia" w:cs="Times New Roman"/>
                <w:b/>
                <w:bCs/>
                <w:color w:val="auto"/>
                <w:spacing w:val="-10"/>
                <w:kern w:val="2"/>
                <w:sz w:val="24"/>
                <w:szCs w:val="24"/>
                <w:highlight w:val="none"/>
                <w:lang w:val="en-US" w:eastAsia="zh-CN" w:bidi="ar-SA"/>
              </w:rPr>
              <w:t>5、</w:t>
            </w:r>
            <w:r>
              <w:rPr>
                <w:rFonts w:hint="default" w:ascii="Times New Roman" w:hAnsi="Times New Roman" w:eastAsia="宋体" w:cs="Times New Roman"/>
                <w:b/>
                <w:bCs/>
                <w:color w:val="auto"/>
                <w:spacing w:val="-10"/>
                <w:kern w:val="2"/>
                <w:sz w:val="24"/>
                <w:szCs w:val="24"/>
                <w:highlight w:val="none"/>
                <w:lang w:val="en-US" w:eastAsia="zh-CN" w:bidi="ar-SA"/>
              </w:rPr>
              <w:t>地下水</w:t>
            </w:r>
            <w:r>
              <w:rPr>
                <w:rFonts w:hint="eastAsia" w:cs="Times New Roman"/>
                <w:b/>
                <w:bCs/>
                <w:color w:val="auto"/>
                <w:spacing w:val="-10"/>
                <w:kern w:val="2"/>
                <w:sz w:val="24"/>
                <w:szCs w:val="24"/>
                <w:highlight w:val="none"/>
                <w:lang w:val="en-US" w:eastAsia="zh-CN" w:bidi="ar-SA"/>
              </w:rPr>
              <w:t>、土壤</w:t>
            </w:r>
          </w:p>
          <w:p w14:paraId="3746438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5.</w:t>
            </w:r>
            <w:r>
              <w:rPr>
                <w:rFonts w:hint="default" w:ascii="Times New Roman" w:hAnsi="Times New Roman" w:cs="Times New Roman"/>
                <w:b/>
                <w:color w:val="auto"/>
                <w:sz w:val="24"/>
              </w:rPr>
              <w:t>1场地利用现状及污染途径</w:t>
            </w:r>
          </w:p>
          <w:p w14:paraId="5B8CA824">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经过现场踏勘，项目工</w:t>
            </w:r>
            <w:r>
              <w:rPr>
                <w:rFonts w:hint="default" w:ascii="Times New Roman" w:hAnsi="Times New Roman" w:eastAsia="宋体" w:cs="Times New Roman"/>
                <w:color w:val="auto"/>
                <w:sz w:val="24"/>
                <w:szCs w:val="24"/>
                <w:highlight w:val="none"/>
                <w:lang w:val="en-US" w:eastAsia="zh-CN"/>
              </w:rPr>
              <w:t>业厂房已经建成，车间内地面均已经水泥硬化。</w:t>
            </w:r>
            <w:r>
              <w:rPr>
                <w:rFonts w:hint="eastAsia" w:ascii="Times New Roman" w:hAnsi="Times New Roman" w:eastAsia="宋体" w:cs="Times New Roman"/>
                <w:color w:val="auto"/>
                <w:sz w:val="24"/>
                <w:szCs w:val="24"/>
                <w:highlight w:val="none"/>
                <w:lang w:val="en-US" w:eastAsia="zh-CN"/>
              </w:rPr>
              <w:t>环评要求</w:t>
            </w:r>
            <w:r>
              <w:rPr>
                <w:rFonts w:hint="default" w:ascii="Times New Roman" w:hAnsi="Times New Roman" w:eastAsia="宋体" w:cs="Times New Roman"/>
                <w:color w:val="auto"/>
                <w:sz w:val="24"/>
                <w:szCs w:val="24"/>
                <w:highlight w:val="none"/>
                <w:lang w:val="en-US" w:eastAsia="zh-CN"/>
              </w:rPr>
              <w:t>项目危废</w:t>
            </w:r>
            <w:r>
              <w:rPr>
                <w:rFonts w:hint="eastAsia" w:ascii="Times New Roman" w:hAnsi="Times New Roman" w:eastAsia="宋体" w:cs="Times New Roman"/>
                <w:color w:val="auto"/>
                <w:sz w:val="24"/>
                <w:szCs w:val="24"/>
                <w:highlight w:val="none"/>
                <w:lang w:val="en-US" w:eastAsia="zh-CN"/>
              </w:rPr>
              <w:t>贮存库</w:t>
            </w:r>
            <w:r>
              <w:rPr>
                <w:rFonts w:hint="default" w:ascii="Times New Roman" w:hAnsi="Times New Roman" w:eastAsia="宋体" w:cs="Times New Roman"/>
                <w:color w:val="auto"/>
                <w:sz w:val="24"/>
                <w:szCs w:val="24"/>
                <w:highlight w:val="none"/>
                <w:lang w:val="en-US" w:eastAsia="zh-CN"/>
              </w:rPr>
              <w:t>等按照相关要求采</w:t>
            </w:r>
            <w:r>
              <w:rPr>
                <w:rFonts w:hint="default" w:ascii="Times New Roman" w:hAnsi="Times New Roman" w:cs="Times New Roman"/>
                <w:bCs/>
                <w:color w:val="auto"/>
                <w:sz w:val="24"/>
              </w:rPr>
              <w:t>取相应防渗措施。项目废气污染物排放量很小，有机废气通过大气沉降进入土壤、地下水的可能性很小。</w:t>
            </w:r>
          </w:p>
          <w:p w14:paraId="671AE349">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color w:val="auto"/>
                <w:sz w:val="24"/>
              </w:rPr>
            </w:pPr>
            <w:r>
              <w:rPr>
                <w:rFonts w:hint="eastAsia" w:ascii="Times New Roman" w:hAnsi="Times New Roman" w:cs="Times New Roman"/>
                <w:b/>
                <w:color w:val="auto"/>
                <w:sz w:val="24"/>
                <w:lang w:val="en-US" w:eastAsia="zh-CN"/>
              </w:rPr>
              <w:t>5.2</w:t>
            </w:r>
            <w:r>
              <w:rPr>
                <w:rFonts w:hint="default" w:ascii="Times New Roman" w:hAnsi="Times New Roman" w:cs="Times New Roman"/>
                <w:b/>
                <w:color w:val="auto"/>
                <w:sz w:val="24"/>
              </w:rPr>
              <w:t>环境保护措施</w:t>
            </w:r>
          </w:p>
          <w:p w14:paraId="44979746">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为防止项目对土壤</w:t>
            </w:r>
            <w:r>
              <w:rPr>
                <w:rFonts w:hint="eastAsia" w:ascii="Times New Roman" w:hAnsi="Times New Roman" w:eastAsia="宋体" w:cs="Times New Roman"/>
                <w:bCs/>
                <w:color w:val="auto"/>
                <w:sz w:val="24"/>
                <w:lang w:eastAsia="zh-CN"/>
              </w:rPr>
              <w:t>、地下水</w:t>
            </w:r>
            <w:r>
              <w:rPr>
                <w:rFonts w:hint="default" w:ascii="Times New Roman" w:hAnsi="Times New Roman" w:eastAsia="宋体" w:cs="Times New Roman"/>
                <w:bCs/>
                <w:color w:val="auto"/>
                <w:sz w:val="24"/>
              </w:rPr>
              <w:t>环境</w:t>
            </w:r>
            <w:r>
              <w:rPr>
                <w:rFonts w:hint="default" w:ascii="Times New Roman" w:hAnsi="Times New Roman" w:cs="Times New Roman"/>
                <w:bCs/>
                <w:color w:val="auto"/>
                <w:sz w:val="24"/>
              </w:rPr>
              <w:t>的影响，提出以下污染控制建议：</w:t>
            </w:r>
          </w:p>
          <w:p w14:paraId="0192436B">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①做好危废储存管理，</w:t>
            </w:r>
            <w:r>
              <w:rPr>
                <w:rFonts w:hint="eastAsia" w:cs="Times New Roman"/>
                <w:bCs/>
                <w:color w:val="auto"/>
                <w:sz w:val="24"/>
                <w:lang w:eastAsia="zh-CN"/>
              </w:rPr>
              <w:t>危险废物贮存库</w:t>
            </w:r>
            <w:r>
              <w:rPr>
                <w:rFonts w:hint="default" w:ascii="Times New Roman" w:hAnsi="Times New Roman" w:cs="Times New Roman"/>
                <w:bCs/>
                <w:color w:val="auto"/>
                <w:sz w:val="24"/>
              </w:rPr>
              <w:t>的地面必须做好防渗处理，保持地面硬化完整性，防止危废渗漏到土壤，造成污染。</w:t>
            </w:r>
          </w:p>
          <w:p w14:paraId="1E846FA2">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②污染物严格按照环评要求处理处置，禁止未经处理的污染物直接排放到环境中，导致土壤环境被污染。</w:t>
            </w:r>
          </w:p>
          <w:p w14:paraId="5CCE3D7A">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bCs/>
                <w:color w:val="auto"/>
                <w:sz w:val="24"/>
              </w:rPr>
            </w:pPr>
            <w:r>
              <w:rPr>
                <w:rFonts w:hint="default" w:ascii="Times New Roman" w:hAnsi="Times New Roman" w:cs="Times New Roman"/>
                <w:bCs/>
                <w:color w:val="auto"/>
                <w:sz w:val="24"/>
              </w:rPr>
              <w:t>③严格落实本报告提出的污染防治措施，项目运营时应确保环保措施稳定正常的运行，废气达标排放，防止直接排放对地表土壤环境造成污染。</w:t>
            </w:r>
          </w:p>
          <w:p w14:paraId="5FC182E9">
            <w:pPr>
              <w:pStyle w:val="20"/>
              <w:numPr>
                <w:ilvl w:val="0"/>
                <w:numId w:val="0"/>
              </w:numPr>
              <w:shd w:val="clear" w:color="auto" w:fill="auto"/>
              <w:spacing w:beforeLines="0" w:afterLines="0" w:line="360" w:lineRule="auto"/>
              <w:ind w:leftChars="0" w:firstLine="480" w:firstLineChars="200"/>
              <w:rPr>
                <w:rFonts w:hint="eastAsia" w:ascii="Times New Roman" w:hAnsi="Times New Roman" w:cs="Times New Roman"/>
                <w:bCs/>
                <w:color w:val="auto"/>
                <w:sz w:val="24"/>
                <w:lang w:eastAsia="zh-CN"/>
              </w:rPr>
            </w:pPr>
            <w:r>
              <w:rPr>
                <w:rFonts w:hint="default" w:ascii="Times New Roman" w:hAnsi="Times New Roman" w:cs="Times New Roman"/>
                <w:bCs/>
                <w:color w:val="auto"/>
                <w:sz w:val="24"/>
              </w:rPr>
              <w:t>综上所述，建设单位需加强日常管理，做好防腐、防渗措施，确保各污染物达标排放，减轻项目运营期对土壤环境产生的影响。因此，拟建项目在采取有效的防护措施后，不会对项目所在区域土壤产生明显影响</w:t>
            </w:r>
            <w:r>
              <w:rPr>
                <w:rFonts w:hint="eastAsia" w:ascii="Times New Roman" w:hAnsi="Times New Roman" w:cs="Times New Roman"/>
                <w:bCs/>
                <w:color w:val="auto"/>
                <w:sz w:val="24"/>
                <w:lang w:eastAsia="zh-CN"/>
              </w:rPr>
              <w:t>。</w:t>
            </w:r>
          </w:p>
          <w:p w14:paraId="1F272E81">
            <w:pPr>
              <w:pStyle w:val="20"/>
              <w:numPr>
                <w:ilvl w:val="0"/>
                <w:numId w:val="0"/>
              </w:numPr>
              <w:shd w:val="clear" w:color="auto" w:fill="auto"/>
              <w:spacing w:beforeLines="0" w:afterLines="0"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lang w:val="en-US" w:eastAsia="zh-CN"/>
              </w:rPr>
              <w:t>6、</w:t>
            </w:r>
            <w:r>
              <w:rPr>
                <w:rFonts w:ascii="Times New Roman" w:hAnsi="Times New Roman"/>
                <w:b/>
                <w:bCs/>
                <w:color w:val="auto"/>
                <w:sz w:val="24"/>
                <w:szCs w:val="24"/>
                <w:highlight w:val="none"/>
              </w:rPr>
              <w:t>环境风险分析</w:t>
            </w:r>
          </w:p>
          <w:p w14:paraId="4D95A189">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cs="Times New Roman"/>
                <w:bCs/>
                <w:color w:val="auto"/>
                <w:sz w:val="24"/>
              </w:rPr>
              <w:t>根据建设项目危险物质数量和分布情况、生产工艺特点，以及</w:t>
            </w:r>
            <w:r>
              <w:rPr>
                <w:rFonts w:hint="default" w:ascii="Times New Roman" w:hAnsi="Times New Roman" w:cs="Times New Roman"/>
                <w:color w:val="auto"/>
                <w:sz w:val="24"/>
              </w:rPr>
              <w:t>参考《建设项目环境风险评价技术导则》（HJ69-2018）</w:t>
            </w:r>
            <w:r>
              <w:rPr>
                <w:rFonts w:hint="default" w:ascii="Times New Roman" w:hAnsi="Times New Roman" w:cs="Times New Roman"/>
                <w:bCs/>
                <w:color w:val="auto"/>
                <w:sz w:val="24"/>
              </w:rPr>
              <w:t>、《危险化学品名录（20</w:t>
            </w:r>
            <w:r>
              <w:rPr>
                <w:rFonts w:hint="default" w:ascii="Times New Roman" w:hAnsi="Times New Roman" w:cs="Times New Roman"/>
                <w:bCs/>
                <w:color w:val="auto"/>
                <w:sz w:val="24"/>
                <w:lang w:val="en-US" w:eastAsia="zh-CN"/>
              </w:rPr>
              <w:t>22</w:t>
            </w:r>
            <w:r>
              <w:rPr>
                <w:rFonts w:hint="default" w:ascii="Times New Roman" w:hAnsi="Times New Roman" w:cs="Times New Roman"/>
                <w:bCs/>
                <w:color w:val="auto"/>
                <w:sz w:val="24"/>
              </w:rPr>
              <w:t>版）》可知本项目运营过程中投入和产出中涉及的危险物质为：</w:t>
            </w:r>
            <w:r>
              <w:rPr>
                <w:rFonts w:hint="default" w:ascii="Times New Roman" w:hAnsi="Times New Roman" w:cs="Times New Roman"/>
                <w:bCs/>
                <w:color w:val="auto"/>
                <w:sz w:val="24"/>
                <w:lang w:eastAsia="zh-CN"/>
              </w:rPr>
              <w:t>润滑油、</w:t>
            </w:r>
            <w:r>
              <w:rPr>
                <w:rFonts w:hint="default" w:ascii="Times New Roman" w:hAnsi="Times New Roman" w:cs="Times New Roman"/>
                <w:bCs/>
                <w:color w:val="auto"/>
                <w:sz w:val="24"/>
              </w:rPr>
              <w:t>废</w:t>
            </w:r>
            <w:r>
              <w:rPr>
                <w:rFonts w:hint="default" w:ascii="Times New Roman" w:hAnsi="Times New Roman" w:cs="Times New Roman"/>
                <w:bCs/>
                <w:color w:val="auto"/>
                <w:sz w:val="24"/>
                <w:lang w:eastAsia="zh-CN"/>
              </w:rPr>
              <w:t>润滑油。</w:t>
            </w:r>
          </w:p>
          <w:p w14:paraId="66E4C89E">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color w:val="auto"/>
                <w:sz w:val="24"/>
                <w:szCs w:val="24"/>
              </w:rPr>
            </w:pPr>
            <w:r>
              <w:rPr>
                <w:rFonts w:hint="default" w:ascii="Times New Roman" w:hAnsi="Times New Roman" w:eastAsia="宋体" w:cs="Times New Roman"/>
                <w:bCs/>
                <w:color w:val="auto"/>
                <w:kern w:val="2"/>
                <w:sz w:val="24"/>
                <w:szCs w:val="24"/>
                <w:lang w:val="en-US" w:eastAsia="zh-CN" w:bidi="ar-SA"/>
              </w:rPr>
              <w:t>根据《建设项</w:t>
            </w:r>
            <w:r>
              <w:rPr>
                <w:rFonts w:hint="default" w:ascii="Times New Roman" w:hAnsi="Times New Roman" w:cs="Times New Roman"/>
                <w:snapToGrid w:val="0"/>
                <w:color w:val="auto"/>
                <w:sz w:val="24"/>
                <w:szCs w:val="24"/>
                <w:lang w:bidi="ar"/>
              </w:rPr>
              <w:t>目环境风险评价技术导则》（HJ169-2018）附录C，</w:t>
            </w:r>
            <w:r>
              <w:rPr>
                <w:rFonts w:hint="default" w:ascii="Times New Roman" w:hAnsi="Times New Roman" w:cs="Times New Roman"/>
                <w:color w:val="auto"/>
                <w:sz w:val="24"/>
                <w:szCs w:val="24"/>
                <w:lang w:bidi="ar"/>
              </w:rPr>
              <w:t>当存在多种危险物质时，则按式（1）计算物质总量与其临界量比值（Q）：</w:t>
            </w:r>
          </w:p>
          <w:p w14:paraId="6F717DAB">
            <w:pPr>
              <w:spacing w:line="360" w:lineRule="auto"/>
              <w:ind w:firstLine="480" w:firstLineChars="200"/>
              <w:jc w:val="center"/>
              <w:rPr>
                <w:color w:val="auto"/>
                <w:position w:val="-12"/>
                <w:sz w:val="24"/>
                <w:szCs w:val="20"/>
              </w:rPr>
            </w:pPr>
            <w:r>
              <w:rPr>
                <w:color w:val="auto"/>
                <w:position w:val="-30"/>
                <w:sz w:val="24"/>
                <w:szCs w:val="20"/>
                <w:lang w:bidi="ar"/>
              </w:rPr>
              <w:object>
                <v:shape id="_x0000_i1025" o:spt="75" type="#_x0000_t75" style="height:34.2pt;width:115.8pt;" o:ole="t" filled="f" o:preferrelative="t" stroked="f" coordsize="21600,21600">
                  <v:path/>
                  <v:fill on="f" focussize="0,0"/>
                  <v:stroke on="f"/>
                  <v:imagedata r:id="rId17" o:title=""/>
                  <o:lock v:ext="edit" aspectratio="t"/>
                  <w10:wrap type="none"/>
                  <w10:anchorlock/>
                </v:shape>
                <o:OLEObject Type="Embed" ProgID="Equation.3" ShapeID="_x0000_i1025" DrawAspect="Content" ObjectID="_1468075725" r:id="rId16">
                  <o:LockedField>false</o:LockedField>
                </o:OLEObject>
              </w:object>
            </w:r>
            <w:r>
              <w:rPr>
                <w:color w:val="auto"/>
                <w:position w:val="-12"/>
                <w:sz w:val="24"/>
                <w:szCs w:val="20"/>
                <w:lang w:bidi="ar"/>
              </w:rPr>
              <w:t xml:space="preserve">    （1）</w:t>
            </w:r>
          </w:p>
          <w:p w14:paraId="51B0D11C">
            <w:pPr>
              <w:spacing w:line="360" w:lineRule="auto"/>
              <w:ind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lang w:bidi="ar"/>
              </w:rPr>
              <w:t>式中：q</w:t>
            </w:r>
            <w:r>
              <w:rPr>
                <w:rFonts w:hint="default" w:ascii="Times New Roman" w:hAnsi="Times New Roman" w:cs="Times New Roman"/>
                <w:color w:val="auto"/>
                <w:sz w:val="24"/>
                <w:szCs w:val="20"/>
                <w:vertAlign w:val="subscript"/>
                <w:lang w:bidi="ar"/>
              </w:rPr>
              <w:t>1</w:t>
            </w:r>
            <w:r>
              <w:rPr>
                <w:rFonts w:hint="default" w:ascii="Times New Roman" w:hAnsi="Times New Roman" w:cs="Times New Roman"/>
                <w:color w:val="auto"/>
                <w:sz w:val="24"/>
                <w:szCs w:val="20"/>
                <w:lang w:bidi="ar"/>
              </w:rPr>
              <w:t>，q</w:t>
            </w:r>
            <w:r>
              <w:rPr>
                <w:rFonts w:hint="default" w:ascii="Times New Roman" w:hAnsi="Times New Roman" w:cs="Times New Roman"/>
                <w:color w:val="auto"/>
                <w:sz w:val="24"/>
                <w:szCs w:val="20"/>
                <w:vertAlign w:val="subscript"/>
                <w:lang w:bidi="ar"/>
              </w:rPr>
              <w:t>2</w:t>
            </w:r>
            <w:r>
              <w:rPr>
                <w:rFonts w:hint="default" w:ascii="Times New Roman" w:hAnsi="Times New Roman" w:cs="Times New Roman"/>
                <w:color w:val="auto"/>
                <w:sz w:val="24"/>
                <w:szCs w:val="20"/>
                <w:lang w:bidi="ar"/>
              </w:rPr>
              <w:t>，...，q</w:t>
            </w:r>
            <w:r>
              <w:rPr>
                <w:rFonts w:hint="default" w:ascii="Times New Roman" w:hAnsi="Times New Roman" w:cs="Times New Roman"/>
                <w:color w:val="auto"/>
                <w:sz w:val="24"/>
                <w:szCs w:val="20"/>
                <w:vertAlign w:val="subscript"/>
                <w:lang w:bidi="ar"/>
              </w:rPr>
              <w:t>n</w:t>
            </w:r>
            <w:r>
              <w:rPr>
                <w:rFonts w:hint="default" w:ascii="Times New Roman" w:hAnsi="Times New Roman" w:cs="Times New Roman"/>
                <w:color w:val="auto"/>
                <w:sz w:val="24"/>
                <w:szCs w:val="20"/>
                <w:lang w:bidi="ar"/>
              </w:rPr>
              <w:t>——每种危险物质的最大存在总量，t；</w:t>
            </w:r>
          </w:p>
          <w:p w14:paraId="328F8E76">
            <w:pPr>
              <w:spacing w:line="360" w:lineRule="auto"/>
              <w:ind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lang w:bidi="ar"/>
              </w:rPr>
              <w:t>Q</w:t>
            </w:r>
            <w:r>
              <w:rPr>
                <w:rFonts w:hint="default" w:ascii="Times New Roman" w:hAnsi="Times New Roman" w:cs="Times New Roman"/>
                <w:color w:val="auto"/>
                <w:sz w:val="24"/>
                <w:szCs w:val="20"/>
                <w:vertAlign w:val="subscript"/>
                <w:lang w:bidi="ar"/>
              </w:rPr>
              <w:t>1</w:t>
            </w:r>
            <w:r>
              <w:rPr>
                <w:rFonts w:hint="default" w:ascii="Times New Roman" w:hAnsi="Times New Roman" w:cs="Times New Roman"/>
                <w:color w:val="auto"/>
                <w:sz w:val="24"/>
                <w:szCs w:val="20"/>
                <w:lang w:bidi="ar"/>
              </w:rPr>
              <w:t>, Q</w:t>
            </w:r>
            <w:r>
              <w:rPr>
                <w:rFonts w:hint="default" w:ascii="Times New Roman" w:hAnsi="Times New Roman" w:cs="Times New Roman"/>
                <w:color w:val="auto"/>
                <w:sz w:val="24"/>
                <w:szCs w:val="20"/>
                <w:vertAlign w:val="subscript"/>
                <w:lang w:bidi="ar"/>
              </w:rPr>
              <w:t>2</w:t>
            </w:r>
            <w:r>
              <w:rPr>
                <w:rFonts w:hint="default" w:ascii="Times New Roman" w:hAnsi="Times New Roman" w:cs="Times New Roman"/>
                <w:color w:val="auto"/>
                <w:sz w:val="24"/>
                <w:szCs w:val="20"/>
                <w:lang w:bidi="ar"/>
              </w:rPr>
              <w:t>, ..., Q</w:t>
            </w:r>
            <w:r>
              <w:rPr>
                <w:rFonts w:hint="default" w:ascii="Times New Roman" w:hAnsi="Times New Roman" w:cs="Times New Roman"/>
                <w:color w:val="auto"/>
                <w:sz w:val="24"/>
                <w:szCs w:val="20"/>
                <w:vertAlign w:val="subscript"/>
                <w:lang w:bidi="ar"/>
              </w:rPr>
              <w:t>n</w:t>
            </w:r>
            <w:r>
              <w:rPr>
                <w:rFonts w:hint="default" w:ascii="Times New Roman" w:hAnsi="Times New Roman" w:cs="Times New Roman"/>
                <w:color w:val="auto"/>
                <w:sz w:val="24"/>
                <w:szCs w:val="20"/>
                <w:lang w:bidi="ar"/>
              </w:rPr>
              <w:t>——每种危险物质的临界量，t。</w:t>
            </w:r>
          </w:p>
          <w:p w14:paraId="132F2779">
            <w:pPr>
              <w:spacing w:line="360" w:lineRule="auto"/>
              <w:ind w:firstLine="480" w:firstLineChars="200"/>
              <w:rPr>
                <w:rFonts w:hint="default" w:ascii="Times New Roman" w:hAnsi="Times New Roman" w:cs="Times New Roman"/>
                <w:color w:val="auto"/>
                <w:sz w:val="24"/>
                <w:szCs w:val="20"/>
              </w:rPr>
            </w:pPr>
            <w:r>
              <w:rPr>
                <w:rFonts w:hint="default" w:ascii="Times New Roman" w:hAnsi="Times New Roman" w:cs="Times New Roman"/>
                <w:color w:val="auto"/>
                <w:sz w:val="24"/>
                <w:szCs w:val="20"/>
                <w:lang w:bidi="ar"/>
              </w:rPr>
              <w:t>当Q＜1时，该项目环境风险潜势为Ⅰ。</w:t>
            </w:r>
          </w:p>
          <w:p w14:paraId="6F0E48EE">
            <w:pPr>
              <w:spacing w:line="360" w:lineRule="auto"/>
              <w:ind w:firstLine="480" w:firstLineChars="200"/>
              <w:rPr>
                <w:color w:val="auto"/>
                <w:sz w:val="24"/>
                <w:szCs w:val="20"/>
              </w:rPr>
            </w:pPr>
            <w:r>
              <w:rPr>
                <w:rFonts w:hint="default" w:ascii="Times New Roman" w:hAnsi="Times New Roman" w:cs="Times New Roman"/>
                <w:color w:val="auto"/>
                <w:sz w:val="24"/>
                <w:szCs w:val="20"/>
                <w:lang w:bidi="ar"/>
              </w:rPr>
              <w:t>当Q≥1时，将Q值划分为：（1）1≤Q＜10；（2）10≤Q＜100；（3）Q≥100。</w:t>
            </w:r>
            <w:r>
              <w:rPr>
                <w:snapToGrid w:val="0"/>
                <w:color w:val="auto"/>
                <w:sz w:val="24"/>
                <w:szCs w:val="20"/>
                <w:lang w:bidi="ar"/>
              </w:rPr>
              <w:t>拟建项目Q值计算结果见表4-</w:t>
            </w:r>
            <w:r>
              <w:rPr>
                <w:rFonts w:hint="eastAsia"/>
                <w:snapToGrid w:val="0"/>
                <w:color w:val="auto"/>
                <w:sz w:val="24"/>
                <w:szCs w:val="20"/>
                <w:lang w:val="en-US" w:eastAsia="zh-CN" w:bidi="ar"/>
              </w:rPr>
              <w:t>14</w:t>
            </w:r>
            <w:r>
              <w:rPr>
                <w:color w:val="auto"/>
                <w:sz w:val="24"/>
                <w:szCs w:val="20"/>
                <w:lang w:bidi="ar"/>
              </w:rPr>
              <w:t>。</w:t>
            </w:r>
          </w:p>
          <w:p w14:paraId="2D055F6C">
            <w:pPr>
              <w:widowControl w:val="0"/>
              <w:shd w:val="clear" w:color="auto" w:fill="auto"/>
              <w:bidi w:val="0"/>
              <w:spacing w:line="360" w:lineRule="auto"/>
              <w:ind w:left="0" w:leftChars="0" w:firstLine="0" w:firstLineChars="0"/>
              <w:jc w:val="center"/>
              <w:rPr>
                <w:rFonts w:hint="default" w:ascii="Times New Roman" w:hAnsi="Times New Roman" w:cs="Times New Roman" w:eastAsiaTheme="majorEastAsia"/>
                <w:b/>
                <w:color w:val="auto"/>
                <w:kern w:val="2"/>
                <w:sz w:val="21"/>
                <w:szCs w:val="22"/>
                <w:highlight w:val="none"/>
                <w:lang w:val="en-US" w:eastAsia="zh-CN" w:bidi="ar-SA"/>
              </w:rPr>
            </w:pPr>
            <w:r>
              <w:rPr>
                <w:rFonts w:hint="default" w:ascii="Times New Roman" w:hAnsi="Times New Roman" w:cs="Times New Roman" w:eastAsiaTheme="majorEastAsia"/>
                <w:b/>
                <w:color w:val="auto"/>
                <w:kern w:val="2"/>
                <w:sz w:val="21"/>
                <w:szCs w:val="22"/>
                <w:highlight w:val="none"/>
                <w:lang w:val="en-US" w:eastAsia="zh-CN" w:bidi="ar-SA"/>
              </w:rPr>
              <w:t>表4-</w:t>
            </w:r>
            <w:r>
              <w:rPr>
                <w:rFonts w:hint="eastAsia" w:ascii="Times New Roman" w:hAnsi="Times New Roman" w:cs="Times New Roman" w:eastAsiaTheme="majorEastAsia"/>
                <w:b/>
                <w:color w:val="auto"/>
                <w:kern w:val="2"/>
                <w:sz w:val="21"/>
                <w:szCs w:val="22"/>
                <w:highlight w:val="none"/>
                <w:lang w:val="en-US" w:eastAsia="zh-CN" w:bidi="ar-SA"/>
              </w:rPr>
              <w:t>14</w:t>
            </w:r>
            <w:r>
              <w:rPr>
                <w:rFonts w:hint="default" w:ascii="Times New Roman" w:hAnsi="Times New Roman" w:cs="Times New Roman" w:eastAsiaTheme="majorEastAsia"/>
                <w:b/>
                <w:color w:val="auto"/>
                <w:kern w:val="2"/>
                <w:sz w:val="21"/>
                <w:szCs w:val="22"/>
                <w:highlight w:val="none"/>
                <w:lang w:val="en-US" w:eastAsia="zh-CN" w:bidi="ar-SA"/>
              </w:rPr>
              <w:t xml:space="preserve">  </w:t>
            </w:r>
            <w:r>
              <w:rPr>
                <w:rFonts w:hint="eastAsia" w:ascii="Times New Roman" w:hAnsi="Times New Roman" w:cs="Times New Roman" w:eastAsiaTheme="majorEastAsia"/>
                <w:b/>
                <w:color w:val="auto"/>
                <w:kern w:val="2"/>
                <w:sz w:val="21"/>
                <w:szCs w:val="22"/>
                <w:highlight w:val="none"/>
                <w:lang w:val="en-US" w:eastAsia="zh-CN" w:bidi="ar-SA"/>
              </w:rPr>
              <w:t>环境风险判别</w:t>
            </w:r>
            <w:r>
              <w:rPr>
                <w:rFonts w:hint="default" w:ascii="Times New Roman" w:hAnsi="Times New Roman" w:cs="Times New Roman" w:eastAsiaTheme="majorEastAsia"/>
                <w:b/>
                <w:color w:val="auto"/>
                <w:kern w:val="2"/>
                <w:sz w:val="21"/>
                <w:szCs w:val="22"/>
                <w:highlight w:val="none"/>
                <w:lang w:val="en-US" w:eastAsia="zh-CN" w:bidi="ar-SA"/>
              </w:rPr>
              <w:t>情况</w:t>
            </w:r>
          </w:p>
          <w:tbl>
            <w:tblPr>
              <w:tblStyle w:val="25"/>
              <w:tblW w:w="4996"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479"/>
              <w:gridCol w:w="884"/>
              <w:gridCol w:w="1800"/>
              <w:gridCol w:w="1116"/>
              <w:gridCol w:w="909"/>
              <w:gridCol w:w="1032"/>
            </w:tblGrid>
            <w:tr w14:paraId="4A98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0" w:type="pct"/>
                  <w:tcBorders>
                    <w:tl2br w:val="nil"/>
                    <w:tr2bl w:val="nil"/>
                  </w:tcBorders>
                  <w:noWrap w:val="0"/>
                  <w:vAlign w:val="center"/>
                </w:tcPr>
                <w:p w14:paraId="6EEA9E79">
                  <w:pPr>
                    <w:pStyle w:val="43"/>
                    <w:keepNext w:val="0"/>
                    <w:keepLines w:val="0"/>
                    <w:pageBreakBefore w:val="0"/>
                    <w:kinsoku/>
                    <w:wordWrap/>
                    <w:overflowPunct/>
                    <w:topLinePunct w:val="0"/>
                    <w:autoSpaceDE/>
                    <w:autoSpaceDN/>
                    <w:bidi w:val="0"/>
                    <w:snapToGrid w:val="0"/>
                    <w:spacing w:beforeLines="0" w:afterLines="0" w:line="360" w:lineRule="exact"/>
                    <w:ind w:left="0" w:firstLine="0" w:firstLineChars="0"/>
                    <w:textAlignment w:val="auto"/>
                    <w:rPr>
                      <w:rFonts w:ascii="Times New Roman" w:hAnsi="Times New Roman"/>
                      <w:b/>
                      <w:bCs/>
                      <w:color w:val="auto"/>
                      <w:sz w:val="21"/>
                      <w:szCs w:val="21"/>
                    </w:rPr>
                  </w:pPr>
                  <w:r>
                    <w:rPr>
                      <w:rFonts w:ascii="Times New Roman" w:hAnsi="Times New Roman"/>
                      <w:b/>
                      <w:bCs/>
                      <w:color w:val="auto"/>
                      <w:sz w:val="21"/>
                      <w:szCs w:val="21"/>
                    </w:rPr>
                    <w:t>序号</w:t>
                  </w:r>
                </w:p>
              </w:tc>
              <w:tc>
                <w:tcPr>
                  <w:tcW w:w="935" w:type="pct"/>
                  <w:tcBorders>
                    <w:tl2br w:val="nil"/>
                    <w:tr2bl w:val="nil"/>
                  </w:tcBorders>
                  <w:noWrap w:val="0"/>
                  <w:vAlign w:val="center"/>
                </w:tcPr>
                <w:p w14:paraId="68B7DBD0">
                  <w:pPr>
                    <w:pStyle w:val="43"/>
                    <w:keepNext w:val="0"/>
                    <w:keepLines w:val="0"/>
                    <w:pageBreakBefore w:val="0"/>
                    <w:kinsoku/>
                    <w:wordWrap/>
                    <w:overflowPunct/>
                    <w:topLinePunct w:val="0"/>
                    <w:autoSpaceDE/>
                    <w:autoSpaceDN/>
                    <w:bidi w:val="0"/>
                    <w:snapToGrid w:val="0"/>
                    <w:spacing w:beforeLines="0" w:afterLines="0" w:line="360" w:lineRule="exact"/>
                    <w:ind w:left="0" w:firstLine="0" w:firstLineChars="0"/>
                    <w:textAlignment w:val="auto"/>
                    <w:rPr>
                      <w:rFonts w:ascii="Times New Roman" w:hAnsi="Times New Roman"/>
                      <w:b/>
                      <w:bCs/>
                      <w:color w:val="auto"/>
                      <w:sz w:val="21"/>
                      <w:szCs w:val="21"/>
                    </w:rPr>
                  </w:pPr>
                  <w:r>
                    <w:rPr>
                      <w:rFonts w:ascii="Times New Roman" w:hAnsi="Times New Roman"/>
                      <w:b/>
                      <w:bCs/>
                      <w:color w:val="auto"/>
                      <w:sz w:val="21"/>
                      <w:szCs w:val="21"/>
                    </w:rPr>
                    <w:t>危险物质名称</w:t>
                  </w:r>
                </w:p>
              </w:tc>
              <w:tc>
                <w:tcPr>
                  <w:tcW w:w="559" w:type="pct"/>
                  <w:tcBorders>
                    <w:tl2br w:val="nil"/>
                    <w:tr2bl w:val="nil"/>
                  </w:tcBorders>
                  <w:noWrap w:val="0"/>
                  <w:vAlign w:val="center"/>
                </w:tcPr>
                <w:p w14:paraId="53FC68F1">
                  <w:pPr>
                    <w:pStyle w:val="43"/>
                    <w:keepNext w:val="0"/>
                    <w:keepLines w:val="0"/>
                    <w:pageBreakBefore w:val="0"/>
                    <w:kinsoku/>
                    <w:wordWrap/>
                    <w:overflowPunct/>
                    <w:topLinePunct w:val="0"/>
                    <w:autoSpaceDE/>
                    <w:autoSpaceDN/>
                    <w:bidi w:val="0"/>
                    <w:snapToGrid w:val="0"/>
                    <w:spacing w:beforeLines="0" w:afterLines="0" w:line="360" w:lineRule="exact"/>
                    <w:ind w:left="0" w:firstLine="0" w:firstLineChars="0"/>
                    <w:textAlignment w:val="auto"/>
                    <w:rPr>
                      <w:rFonts w:ascii="Times New Roman" w:hAnsi="Times New Roman"/>
                      <w:b/>
                      <w:bCs/>
                      <w:color w:val="auto"/>
                      <w:sz w:val="21"/>
                      <w:szCs w:val="21"/>
                    </w:rPr>
                  </w:pPr>
                  <w:r>
                    <w:rPr>
                      <w:rFonts w:ascii="Times New Roman" w:hAnsi="Times New Roman"/>
                      <w:b/>
                      <w:bCs/>
                      <w:color w:val="auto"/>
                      <w:sz w:val="21"/>
                      <w:szCs w:val="21"/>
                    </w:rPr>
                    <w:t>CAS号</w:t>
                  </w:r>
                </w:p>
              </w:tc>
              <w:tc>
                <w:tcPr>
                  <w:tcW w:w="1139" w:type="pct"/>
                  <w:tcBorders>
                    <w:tl2br w:val="nil"/>
                    <w:tr2bl w:val="nil"/>
                  </w:tcBorders>
                  <w:noWrap w:val="0"/>
                  <w:vAlign w:val="center"/>
                </w:tcPr>
                <w:p w14:paraId="24F9D0A7">
                  <w:pPr>
                    <w:keepNext w:val="0"/>
                    <w:keepLines w:val="0"/>
                    <w:pageBreakBefore w:val="0"/>
                    <w:widowControl/>
                    <w:kinsoku/>
                    <w:wordWrap/>
                    <w:overflowPunct/>
                    <w:topLinePunct w:val="0"/>
                    <w:autoSpaceDE/>
                    <w:autoSpaceDN/>
                    <w:bidi w:val="0"/>
                    <w:snapToGrid w:val="0"/>
                    <w:spacing w:line="360" w:lineRule="exact"/>
                    <w:jc w:val="center"/>
                    <w:textAlignment w:val="auto"/>
                    <w:rPr>
                      <w:rFonts w:ascii="Times New Roman" w:hAnsi="Times New Roman"/>
                      <w:b/>
                      <w:bCs/>
                      <w:color w:val="auto"/>
                      <w:kern w:val="0"/>
                      <w:sz w:val="21"/>
                      <w:szCs w:val="21"/>
                    </w:rPr>
                  </w:pPr>
                  <w:r>
                    <w:rPr>
                      <w:rFonts w:ascii="Times New Roman" w:hAnsi="Times New Roman"/>
                      <w:b/>
                      <w:bCs/>
                      <w:color w:val="auto"/>
                      <w:kern w:val="0"/>
                      <w:sz w:val="21"/>
                      <w:szCs w:val="21"/>
                    </w:rPr>
                    <w:t>储存位置</w:t>
                  </w:r>
                </w:p>
              </w:tc>
              <w:tc>
                <w:tcPr>
                  <w:tcW w:w="706" w:type="pct"/>
                  <w:tcBorders>
                    <w:tl2br w:val="nil"/>
                    <w:tr2bl w:val="nil"/>
                  </w:tcBorders>
                  <w:noWrap w:val="0"/>
                  <w:vAlign w:val="center"/>
                </w:tcPr>
                <w:p w14:paraId="0F336658">
                  <w:pPr>
                    <w:keepNext w:val="0"/>
                    <w:keepLines w:val="0"/>
                    <w:pageBreakBefore w:val="0"/>
                    <w:widowControl/>
                    <w:kinsoku/>
                    <w:wordWrap/>
                    <w:overflowPunct/>
                    <w:topLinePunct w:val="0"/>
                    <w:autoSpaceDE/>
                    <w:autoSpaceDN/>
                    <w:bidi w:val="0"/>
                    <w:snapToGrid w:val="0"/>
                    <w:spacing w:line="360" w:lineRule="exact"/>
                    <w:jc w:val="center"/>
                    <w:textAlignment w:val="auto"/>
                    <w:rPr>
                      <w:rFonts w:ascii="Times New Roman" w:hAnsi="Times New Roman"/>
                      <w:b/>
                      <w:bCs/>
                      <w:color w:val="auto"/>
                      <w:kern w:val="0"/>
                      <w:sz w:val="21"/>
                      <w:szCs w:val="21"/>
                    </w:rPr>
                  </w:pPr>
                  <w:r>
                    <w:rPr>
                      <w:rFonts w:ascii="Times New Roman" w:hAnsi="Times New Roman"/>
                      <w:b/>
                      <w:bCs/>
                      <w:color w:val="auto"/>
                      <w:kern w:val="0"/>
                      <w:sz w:val="21"/>
                      <w:szCs w:val="21"/>
                    </w:rPr>
                    <w:t>最大存在总量（t）</w:t>
                  </w:r>
                </w:p>
              </w:tc>
              <w:tc>
                <w:tcPr>
                  <w:tcW w:w="575" w:type="pct"/>
                  <w:tcBorders>
                    <w:tl2br w:val="nil"/>
                    <w:tr2bl w:val="nil"/>
                  </w:tcBorders>
                  <w:noWrap w:val="0"/>
                  <w:vAlign w:val="center"/>
                </w:tcPr>
                <w:p w14:paraId="78086EA6">
                  <w:pPr>
                    <w:keepNext w:val="0"/>
                    <w:keepLines w:val="0"/>
                    <w:pageBreakBefore w:val="0"/>
                    <w:widowControl/>
                    <w:kinsoku/>
                    <w:wordWrap/>
                    <w:overflowPunct/>
                    <w:topLinePunct w:val="0"/>
                    <w:autoSpaceDE/>
                    <w:autoSpaceDN/>
                    <w:bidi w:val="0"/>
                    <w:snapToGrid w:val="0"/>
                    <w:spacing w:line="360" w:lineRule="exact"/>
                    <w:jc w:val="center"/>
                    <w:textAlignment w:val="auto"/>
                    <w:rPr>
                      <w:rFonts w:ascii="Times New Roman" w:hAnsi="Times New Roman"/>
                      <w:b/>
                      <w:bCs/>
                      <w:color w:val="auto"/>
                      <w:kern w:val="0"/>
                      <w:sz w:val="21"/>
                      <w:szCs w:val="21"/>
                    </w:rPr>
                  </w:pPr>
                  <w:r>
                    <w:rPr>
                      <w:rFonts w:ascii="Times New Roman" w:hAnsi="Times New Roman"/>
                      <w:b/>
                      <w:bCs/>
                      <w:color w:val="auto"/>
                      <w:kern w:val="0"/>
                      <w:sz w:val="21"/>
                      <w:szCs w:val="21"/>
                    </w:rPr>
                    <w:t>临界量（t）</w:t>
                  </w:r>
                </w:p>
              </w:tc>
              <w:tc>
                <w:tcPr>
                  <w:tcW w:w="653" w:type="pct"/>
                  <w:tcBorders>
                    <w:tl2br w:val="nil"/>
                    <w:tr2bl w:val="nil"/>
                  </w:tcBorders>
                  <w:noWrap w:val="0"/>
                  <w:vAlign w:val="center"/>
                </w:tcPr>
                <w:p w14:paraId="0CA012C5">
                  <w:pPr>
                    <w:pStyle w:val="43"/>
                    <w:keepNext w:val="0"/>
                    <w:keepLines w:val="0"/>
                    <w:pageBreakBefore w:val="0"/>
                    <w:kinsoku/>
                    <w:wordWrap/>
                    <w:overflowPunct/>
                    <w:topLinePunct w:val="0"/>
                    <w:autoSpaceDE/>
                    <w:autoSpaceDN/>
                    <w:bidi w:val="0"/>
                    <w:snapToGrid w:val="0"/>
                    <w:spacing w:beforeLines="0" w:afterLines="0" w:line="360" w:lineRule="exact"/>
                    <w:ind w:left="0" w:firstLine="0" w:firstLineChars="0"/>
                    <w:textAlignment w:val="auto"/>
                    <w:rPr>
                      <w:rFonts w:ascii="Times New Roman" w:hAnsi="Times New Roman"/>
                      <w:b/>
                      <w:bCs/>
                      <w:color w:val="auto"/>
                      <w:sz w:val="21"/>
                      <w:szCs w:val="21"/>
                    </w:rPr>
                  </w:pPr>
                  <w:r>
                    <w:rPr>
                      <w:rFonts w:ascii="Times New Roman" w:hAnsi="Times New Roman"/>
                      <w:b/>
                      <w:bCs/>
                      <w:color w:val="auto"/>
                      <w:sz w:val="21"/>
                      <w:szCs w:val="21"/>
                    </w:rPr>
                    <w:t>该种危险物质Q值</w:t>
                  </w:r>
                </w:p>
              </w:tc>
            </w:tr>
            <w:tr w14:paraId="1F78F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430" w:type="pct"/>
                  <w:tcBorders>
                    <w:tl2br w:val="nil"/>
                    <w:tr2bl w:val="nil"/>
                  </w:tcBorders>
                  <w:noWrap w:val="0"/>
                  <w:vAlign w:val="center"/>
                </w:tcPr>
                <w:p w14:paraId="0249DDA9">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935" w:type="pct"/>
                  <w:tcBorders>
                    <w:tl2br w:val="nil"/>
                    <w:tr2bl w:val="nil"/>
                  </w:tcBorders>
                  <w:noWrap w:val="0"/>
                  <w:vAlign w:val="center"/>
                </w:tcPr>
                <w:p w14:paraId="745506D5">
                  <w:pPr>
                    <w:keepNext w:val="0"/>
                    <w:keepLines w:val="0"/>
                    <w:pageBreakBefore w:val="0"/>
                    <w:widowControl/>
                    <w:kinsoku/>
                    <w:wordWrap/>
                    <w:overflowPunct/>
                    <w:topLinePunct w:val="0"/>
                    <w:autoSpaceDE/>
                    <w:autoSpaceDN/>
                    <w:bidi w:val="0"/>
                    <w:snapToGrid w:val="0"/>
                    <w:spacing w:line="264" w:lineRule="auto"/>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润滑油</w:t>
                  </w:r>
                </w:p>
              </w:tc>
              <w:tc>
                <w:tcPr>
                  <w:tcW w:w="559" w:type="pct"/>
                  <w:tcBorders>
                    <w:tl2br w:val="nil"/>
                    <w:tr2bl w:val="nil"/>
                  </w:tcBorders>
                  <w:noWrap w:val="0"/>
                  <w:vAlign w:val="center"/>
                </w:tcPr>
                <w:p w14:paraId="05503114">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139" w:type="pct"/>
                  <w:tcBorders>
                    <w:tl2br w:val="nil"/>
                    <w:tr2bl w:val="nil"/>
                  </w:tcBorders>
                  <w:noWrap w:val="0"/>
                  <w:vAlign w:val="center"/>
                </w:tcPr>
                <w:p w14:paraId="7C2C35D8">
                  <w:pPr>
                    <w:keepNext w:val="0"/>
                    <w:keepLines w:val="0"/>
                    <w:pageBreakBefore w:val="0"/>
                    <w:widowControl/>
                    <w:kinsoku/>
                    <w:wordWrap/>
                    <w:overflowPunct/>
                    <w:topLinePunct w:val="0"/>
                    <w:autoSpaceDE/>
                    <w:autoSpaceDN/>
                    <w:bidi w:val="0"/>
                    <w:snapToGrid w:val="0"/>
                    <w:spacing w:line="264"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lang w:eastAsia="zh-CN"/>
                    </w:rPr>
                    <w:t>危险废物贮存库</w:t>
                  </w:r>
                </w:p>
              </w:tc>
              <w:tc>
                <w:tcPr>
                  <w:tcW w:w="706" w:type="pct"/>
                  <w:tcBorders>
                    <w:tl2br w:val="nil"/>
                    <w:tr2bl w:val="nil"/>
                  </w:tcBorders>
                  <w:noWrap w:val="0"/>
                  <w:vAlign w:val="center"/>
                </w:tcPr>
                <w:p w14:paraId="385AA02B">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575" w:type="pct"/>
                  <w:tcBorders>
                    <w:tl2br w:val="nil"/>
                    <w:tr2bl w:val="nil"/>
                  </w:tcBorders>
                  <w:noWrap w:val="0"/>
                  <w:vAlign w:val="center"/>
                </w:tcPr>
                <w:p w14:paraId="4E8CC12F">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2500</w:t>
                  </w:r>
                </w:p>
              </w:tc>
              <w:tc>
                <w:tcPr>
                  <w:tcW w:w="653" w:type="pct"/>
                  <w:tcBorders>
                    <w:tl2br w:val="nil"/>
                    <w:tr2bl w:val="nil"/>
                  </w:tcBorders>
                  <w:noWrap w:val="0"/>
                  <w:vAlign w:val="center"/>
                </w:tcPr>
                <w:p w14:paraId="4166A38A">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0.0002</w:t>
                  </w:r>
                </w:p>
              </w:tc>
            </w:tr>
            <w:tr w14:paraId="1CD6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430" w:type="pct"/>
                  <w:tcBorders>
                    <w:tl2br w:val="nil"/>
                    <w:tr2bl w:val="nil"/>
                  </w:tcBorders>
                  <w:noWrap w:val="0"/>
                  <w:vAlign w:val="center"/>
                </w:tcPr>
                <w:p w14:paraId="29DD4ECC">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color w:val="auto"/>
                      <w:sz w:val="21"/>
                      <w:szCs w:val="21"/>
                      <w:lang w:val="en-US" w:eastAsia="zh-CN"/>
                    </w:rPr>
                  </w:pPr>
                  <w:r>
                    <w:rPr>
                      <w:rFonts w:hint="eastAsia" w:ascii="Times New Roman" w:cs="Times New Roman"/>
                      <w:color w:val="auto"/>
                      <w:sz w:val="21"/>
                      <w:szCs w:val="21"/>
                      <w:lang w:val="en-US" w:eastAsia="zh-CN"/>
                    </w:rPr>
                    <w:t>2</w:t>
                  </w:r>
                </w:p>
              </w:tc>
              <w:tc>
                <w:tcPr>
                  <w:tcW w:w="935" w:type="pct"/>
                  <w:tcBorders>
                    <w:tl2br w:val="nil"/>
                    <w:tr2bl w:val="nil"/>
                  </w:tcBorders>
                  <w:noWrap w:val="0"/>
                  <w:vAlign w:val="center"/>
                </w:tcPr>
                <w:p w14:paraId="1E8538FF">
                  <w:pPr>
                    <w:keepNext w:val="0"/>
                    <w:keepLines w:val="0"/>
                    <w:pageBreakBefore w:val="0"/>
                    <w:widowControl/>
                    <w:kinsoku/>
                    <w:wordWrap/>
                    <w:overflowPunct/>
                    <w:topLinePunct w:val="0"/>
                    <w:autoSpaceDE/>
                    <w:autoSpaceDN/>
                    <w:bidi w:val="0"/>
                    <w:snapToGrid w:val="0"/>
                    <w:spacing w:line="264" w:lineRule="auto"/>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废润滑油</w:t>
                  </w:r>
                </w:p>
              </w:tc>
              <w:tc>
                <w:tcPr>
                  <w:tcW w:w="559" w:type="pct"/>
                  <w:tcBorders>
                    <w:tl2br w:val="nil"/>
                    <w:tr2bl w:val="nil"/>
                  </w:tcBorders>
                  <w:noWrap w:val="0"/>
                  <w:vAlign w:val="center"/>
                </w:tcPr>
                <w:p w14:paraId="5F2B73A9">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139" w:type="pct"/>
                  <w:tcBorders>
                    <w:tl2br w:val="nil"/>
                    <w:tr2bl w:val="nil"/>
                  </w:tcBorders>
                  <w:noWrap w:val="0"/>
                  <w:vAlign w:val="center"/>
                </w:tcPr>
                <w:p w14:paraId="174C5771">
                  <w:pPr>
                    <w:keepNext w:val="0"/>
                    <w:keepLines w:val="0"/>
                    <w:pageBreakBefore w:val="0"/>
                    <w:widowControl/>
                    <w:kinsoku/>
                    <w:wordWrap/>
                    <w:overflowPunct/>
                    <w:topLinePunct w:val="0"/>
                    <w:autoSpaceDE/>
                    <w:autoSpaceDN/>
                    <w:bidi w:val="0"/>
                    <w:snapToGrid w:val="0"/>
                    <w:spacing w:line="264" w:lineRule="auto"/>
                    <w:jc w:val="center"/>
                    <w:textAlignment w:val="auto"/>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lang w:eastAsia="zh-CN"/>
                    </w:rPr>
                    <w:t>危险废物贮存库</w:t>
                  </w:r>
                </w:p>
              </w:tc>
              <w:tc>
                <w:tcPr>
                  <w:tcW w:w="706" w:type="pct"/>
                  <w:tcBorders>
                    <w:tl2br w:val="nil"/>
                    <w:tr2bl w:val="nil"/>
                  </w:tcBorders>
                  <w:noWrap w:val="0"/>
                  <w:vAlign w:val="center"/>
                </w:tcPr>
                <w:p w14:paraId="41D6C435">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575" w:type="pct"/>
                  <w:tcBorders>
                    <w:tl2br w:val="nil"/>
                    <w:tr2bl w:val="nil"/>
                  </w:tcBorders>
                  <w:noWrap w:val="0"/>
                  <w:vAlign w:val="center"/>
                </w:tcPr>
                <w:p w14:paraId="4C3C44E4">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653" w:type="pct"/>
                  <w:tcBorders>
                    <w:tl2br w:val="nil"/>
                    <w:tr2bl w:val="nil"/>
                  </w:tcBorders>
                  <w:noWrap w:val="0"/>
                  <w:vAlign w:val="center"/>
                </w:tcPr>
                <w:p w14:paraId="4173B6D9">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0.004</w:t>
                  </w:r>
                </w:p>
              </w:tc>
            </w:tr>
            <w:tr w14:paraId="31555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4346" w:type="pct"/>
                  <w:gridSpan w:val="6"/>
                  <w:tcBorders>
                    <w:tl2br w:val="nil"/>
                    <w:tr2bl w:val="nil"/>
                  </w:tcBorders>
                  <w:noWrap w:val="0"/>
                  <w:vAlign w:val="center"/>
                </w:tcPr>
                <w:p w14:paraId="355026D4">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项目Q值∑</w:t>
                  </w:r>
                </w:p>
              </w:tc>
              <w:tc>
                <w:tcPr>
                  <w:tcW w:w="653" w:type="pct"/>
                  <w:tcBorders>
                    <w:tl2br w:val="nil"/>
                    <w:tr2bl w:val="nil"/>
                  </w:tcBorders>
                  <w:noWrap w:val="0"/>
                  <w:vAlign w:val="center"/>
                </w:tcPr>
                <w:p w14:paraId="07CEC8ED">
                  <w:pPr>
                    <w:pStyle w:val="43"/>
                    <w:keepNext w:val="0"/>
                    <w:keepLines w:val="0"/>
                    <w:pageBreakBefore w:val="0"/>
                    <w:kinsoku/>
                    <w:wordWrap/>
                    <w:overflowPunct/>
                    <w:topLinePunct w:val="0"/>
                    <w:autoSpaceDE/>
                    <w:autoSpaceDN/>
                    <w:bidi w:val="0"/>
                    <w:snapToGrid w:val="0"/>
                    <w:spacing w:beforeLines="0" w:afterLines="0" w:line="264" w:lineRule="auto"/>
                    <w:ind w:left="0" w:firstLine="0" w:firstLineChars="0"/>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rPr>
                    <w:t>0.</w:t>
                  </w:r>
                  <w:r>
                    <w:rPr>
                      <w:rFonts w:hint="default" w:ascii="Times New Roman" w:hAnsi="Times New Roman" w:cs="Times New Roman"/>
                      <w:b/>
                      <w:color w:val="auto"/>
                      <w:sz w:val="21"/>
                      <w:szCs w:val="21"/>
                      <w:lang w:val="en-US" w:eastAsia="zh-CN"/>
                    </w:rPr>
                    <w:t>0</w:t>
                  </w:r>
                  <w:r>
                    <w:rPr>
                      <w:rFonts w:hint="eastAsia" w:ascii="Times New Roman" w:hAnsi="Times New Roman" w:cs="Times New Roman"/>
                      <w:b/>
                      <w:color w:val="auto"/>
                      <w:sz w:val="21"/>
                      <w:szCs w:val="21"/>
                      <w:lang w:val="en-US" w:eastAsia="zh-CN"/>
                    </w:rPr>
                    <w:t>0</w:t>
                  </w:r>
                  <w:r>
                    <w:rPr>
                      <w:rFonts w:hint="default" w:ascii="Times New Roman" w:hAnsi="Times New Roman" w:cs="Times New Roman"/>
                      <w:b/>
                      <w:color w:val="auto"/>
                      <w:sz w:val="21"/>
                      <w:szCs w:val="21"/>
                      <w:lang w:val="en-US" w:eastAsia="zh-CN"/>
                    </w:rPr>
                    <w:t>42</w:t>
                  </w:r>
                </w:p>
              </w:tc>
            </w:tr>
          </w:tbl>
          <w:p w14:paraId="3E1B046C">
            <w:pPr>
              <w:keepNext w:val="0"/>
              <w:keepLines w:val="0"/>
              <w:pageBreakBefore w:val="0"/>
              <w:widowControl w:val="0"/>
              <w:kinsoku/>
              <w:wordWrap/>
              <w:overflowPunct/>
              <w:topLinePunct w:val="0"/>
              <w:autoSpaceDE/>
              <w:autoSpaceDN/>
              <w:bidi w:val="0"/>
              <w:adjustRightInd w:val="0"/>
              <w:snapToGrid w:val="0"/>
              <w:spacing w:before="120" w:line="360" w:lineRule="auto"/>
              <w:ind w:firstLine="480" w:firstLineChars="200"/>
              <w:textAlignment w:val="auto"/>
              <w:rPr>
                <w:rFonts w:hint="default" w:ascii="Times New Roman" w:hAnsi="Times New Roman" w:cs="Times New Roman"/>
                <w:color w:val="auto"/>
                <w:sz w:val="24"/>
                <w:szCs w:val="20"/>
              </w:rPr>
            </w:pPr>
            <w:r>
              <w:rPr>
                <w:rFonts w:hint="default" w:ascii="Times New Roman" w:hAnsi="Times New Roman" w:cs="Times New Roman"/>
                <w:color w:val="auto"/>
                <w:sz w:val="24"/>
                <w:szCs w:val="20"/>
                <w:lang w:bidi="ar"/>
              </w:rPr>
              <w:t>由上表可知，本项目涉及的危险物质最大储存量与临界量比值Q的累计之和为0.</w:t>
            </w:r>
            <w:r>
              <w:rPr>
                <w:rFonts w:hint="default" w:ascii="Times New Roman" w:hAnsi="Times New Roman" w:cs="Times New Roman"/>
                <w:color w:val="auto"/>
                <w:sz w:val="24"/>
                <w:szCs w:val="20"/>
                <w:lang w:val="en-US" w:eastAsia="zh-CN" w:bidi="ar"/>
              </w:rPr>
              <w:t>0042</w:t>
            </w:r>
            <w:r>
              <w:rPr>
                <w:rFonts w:hint="default" w:ascii="Times New Roman" w:hAnsi="Times New Roman" w:cs="Times New Roman"/>
                <w:color w:val="auto"/>
                <w:sz w:val="24"/>
                <w:szCs w:val="20"/>
                <w:lang w:bidi="ar"/>
              </w:rPr>
              <w:t>＜1，故该项目环境风险潜势为Ⅰ。</w:t>
            </w:r>
          </w:p>
          <w:p w14:paraId="3871550C">
            <w:pPr>
              <w:keepNext w:val="0"/>
              <w:keepLines w:val="0"/>
              <w:pageBreakBefore w:val="0"/>
              <w:widowControl w:val="0"/>
              <w:kinsoku/>
              <w:wordWrap/>
              <w:overflowPunct/>
              <w:topLinePunct w:val="0"/>
              <w:autoSpaceDE/>
              <w:autoSpaceDN/>
              <w:bidi w:val="0"/>
              <w:adjustRightInd w:val="0"/>
              <w:spacing w:line="360" w:lineRule="auto"/>
              <w:ind w:firstLine="480" w:firstLineChars="200"/>
              <w:textAlignment w:val="auto"/>
              <w:rPr>
                <w:rFonts w:hint="default" w:ascii="Times New Roman" w:hAnsi="Times New Roman" w:cs="Times New Roman"/>
                <w:color w:val="auto"/>
                <w:sz w:val="24"/>
                <w:szCs w:val="20"/>
              </w:rPr>
            </w:pPr>
            <w:r>
              <w:rPr>
                <w:rFonts w:hint="default" w:ascii="Times New Roman" w:hAnsi="Times New Roman" w:cs="Times New Roman"/>
                <w:color w:val="auto"/>
                <w:sz w:val="24"/>
                <w:szCs w:val="20"/>
                <w:lang w:bidi="ar"/>
              </w:rPr>
              <w:t>评价工作等级划分见表4-</w:t>
            </w:r>
            <w:r>
              <w:rPr>
                <w:rFonts w:hint="default" w:ascii="Times New Roman" w:hAnsi="Times New Roman" w:cs="Times New Roman"/>
                <w:color w:val="auto"/>
                <w:sz w:val="24"/>
                <w:szCs w:val="20"/>
                <w:lang w:val="en-US" w:eastAsia="zh-CN" w:bidi="ar"/>
              </w:rPr>
              <w:t>15</w:t>
            </w:r>
            <w:r>
              <w:rPr>
                <w:rFonts w:hint="default" w:ascii="Times New Roman" w:hAnsi="Times New Roman" w:cs="Times New Roman"/>
                <w:color w:val="auto"/>
                <w:sz w:val="24"/>
                <w:szCs w:val="20"/>
                <w:lang w:bidi="ar"/>
              </w:rPr>
              <w:t>。</w:t>
            </w:r>
          </w:p>
          <w:p w14:paraId="025BF1DF">
            <w:pPr>
              <w:widowControl w:val="0"/>
              <w:shd w:val="clear" w:color="auto" w:fill="auto"/>
              <w:bidi w:val="0"/>
              <w:spacing w:line="360" w:lineRule="auto"/>
              <w:ind w:left="0" w:leftChars="0" w:firstLine="0" w:firstLineChars="0"/>
              <w:jc w:val="center"/>
              <w:rPr>
                <w:rFonts w:hint="default" w:ascii="Times New Roman" w:hAnsi="Times New Roman" w:cs="Times New Roman" w:eastAsiaTheme="majorEastAsia"/>
                <w:b/>
                <w:color w:val="auto"/>
                <w:kern w:val="2"/>
                <w:sz w:val="21"/>
                <w:szCs w:val="22"/>
                <w:highlight w:val="none"/>
                <w:lang w:val="en-US" w:eastAsia="zh-CN" w:bidi="ar-SA"/>
              </w:rPr>
            </w:pPr>
            <w:r>
              <w:rPr>
                <w:rFonts w:hint="default" w:ascii="Times New Roman" w:hAnsi="Times New Roman" w:cs="Times New Roman" w:eastAsiaTheme="majorEastAsia"/>
                <w:b/>
                <w:color w:val="auto"/>
                <w:kern w:val="2"/>
                <w:sz w:val="21"/>
                <w:szCs w:val="22"/>
                <w:highlight w:val="none"/>
                <w:lang w:val="en-US" w:eastAsia="zh-CN" w:bidi="ar-SA"/>
              </w:rPr>
              <w:t>表4-</w:t>
            </w:r>
            <w:r>
              <w:rPr>
                <w:rFonts w:hint="eastAsia" w:ascii="Times New Roman" w:hAnsi="Times New Roman" w:cs="Times New Roman" w:eastAsiaTheme="majorEastAsia"/>
                <w:b/>
                <w:color w:val="auto"/>
                <w:kern w:val="2"/>
                <w:sz w:val="21"/>
                <w:szCs w:val="22"/>
                <w:highlight w:val="none"/>
                <w:lang w:val="en-US" w:eastAsia="zh-CN" w:bidi="ar-SA"/>
              </w:rPr>
              <w:t>15</w:t>
            </w:r>
            <w:r>
              <w:rPr>
                <w:rFonts w:hint="default" w:ascii="Times New Roman" w:hAnsi="Times New Roman" w:cs="Times New Roman" w:eastAsiaTheme="majorEastAsia"/>
                <w:b/>
                <w:color w:val="auto"/>
                <w:kern w:val="2"/>
                <w:sz w:val="21"/>
                <w:szCs w:val="22"/>
                <w:highlight w:val="none"/>
                <w:lang w:val="en-US" w:eastAsia="zh-CN" w:bidi="ar-SA"/>
              </w:rPr>
              <w:t xml:space="preserve">   评价工作等级划分</w:t>
            </w:r>
          </w:p>
          <w:tbl>
            <w:tblPr>
              <w:tblStyle w:val="25"/>
              <w:tblW w:w="4998"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638"/>
              <w:gridCol w:w="1324"/>
              <w:gridCol w:w="1641"/>
              <w:gridCol w:w="1458"/>
            </w:tblGrid>
            <w:tr w14:paraId="00B0C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166" w:type="pct"/>
                  <w:tcBorders>
                    <w:bottom w:val="single" w:color="auto" w:sz="4" w:space="0"/>
                    <w:right w:val="single" w:color="auto" w:sz="4" w:space="0"/>
                  </w:tcBorders>
                  <w:noWrap w:val="0"/>
                  <w:vAlign w:val="center"/>
                </w:tcPr>
                <w:p w14:paraId="75741CC0">
                  <w:pPr>
                    <w:spacing w:line="360" w:lineRule="exact"/>
                    <w:jc w:val="center"/>
                    <w:rPr>
                      <w:b/>
                      <w:color w:val="auto"/>
                    </w:rPr>
                  </w:pPr>
                  <w:r>
                    <w:rPr>
                      <w:b/>
                      <w:color w:val="auto"/>
                      <w:szCs w:val="20"/>
                      <w:lang w:bidi="ar"/>
                    </w:rPr>
                    <w:t>环境风险潜势</w:t>
                  </w:r>
                </w:p>
              </w:tc>
              <w:tc>
                <w:tcPr>
                  <w:tcW w:w="1036" w:type="pct"/>
                  <w:tcBorders>
                    <w:left w:val="single" w:color="auto" w:sz="4" w:space="0"/>
                    <w:bottom w:val="single" w:color="auto" w:sz="4" w:space="0"/>
                    <w:right w:val="single" w:color="auto" w:sz="4" w:space="0"/>
                  </w:tcBorders>
                  <w:noWrap w:val="0"/>
                  <w:vAlign w:val="center"/>
                </w:tcPr>
                <w:p w14:paraId="565862F8">
                  <w:pPr>
                    <w:spacing w:line="360" w:lineRule="exact"/>
                    <w:jc w:val="center"/>
                    <w:rPr>
                      <w:b/>
                      <w:color w:val="auto"/>
                    </w:rPr>
                  </w:pPr>
                  <w:r>
                    <w:rPr>
                      <w:b/>
                      <w:color w:val="auto"/>
                      <w:szCs w:val="20"/>
                      <w:lang w:bidi="ar"/>
                    </w:rPr>
                    <w:t>Ⅳ、Ⅳ</w:t>
                  </w:r>
                  <w:r>
                    <w:rPr>
                      <w:b/>
                      <w:color w:val="auto"/>
                      <w:szCs w:val="20"/>
                      <w:vertAlign w:val="superscript"/>
                      <w:lang w:bidi="ar"/>
                    </w:rPr>
                    <w:t>+</w:t>
                  </w:r>
                </w:p>
              </w:tc>
              <w:tc>
                <w:tcPr>
                  <w:tcW w:w="838" w:type="pct"/>
                  <w:tcBorders>
                    <w:left w:val="single" w:color="auto" w:sz="4" w:space="0"/>
                    <w:bottom w:val="single" w:color="auto" w:sz="4" w:space="0"/>
                    <w:right w:val="single" w:color="auto" w:sz="4" w:space="0"/>
                  </w:tcBorders>
                  <w:noWrap w:val="0"/>
                  <w:vAlign w:val="center"/>
                </w:tcPr>
                <w:p w14:paraId="0AAD66D2">
                  <w:pPr>
                    <w:spacing w:line="360" w:lineRule="exact"/>
                    <w:jc w:val="center"/>
                    <w:rPr>
                      <w:b/>
                      <w:color w:val="auto"/>
                    </w:rPr>
                  </w:pPr>
                  <w:r>
                    <w:rPr>
                      <w:b/>
                      <w:color w:val="auto"/>
                      <w:szCs w:val="20"/>
                      <w:lang w:bidi="ar"/>
                    </w:rPr>
                    <w:t>Ⅲ</w:t>
                  </w:r>
                </w:p>
              </w:tc>
              <w:tc>
                <w:tcPr>
                  <w:tcW w:w="1038" w:type="pct"/>
                  <w:tcBorders>
                    <w:left w:val="single" w:color="auto" w:sz="4" w:space="0"/>
                    <w:bottom w:val="single" w:color="auto" w:sz="4" w:space="0"/>
                    <w:right w:val="single" w:color="auto" w:sz="4" w:space="0"/>
                  </w:tcBorders>
                  <w:noWrap w:val="0"/>
                  <w:vAlign w:val="center"/>
                </w:tcPr>
                <w:p w14:paraId="18F97CCB">
                  <w:pPr>
                    <w:spacing w:line="360" w:lineRule="exact"/>
                    <w:jc w:val="center"/>
                    <w:rPr>
                      <w:b/>
                      <w:color w:val="auto"/>
                    </w:rPr>
                  </w:pPr>
                  <w:r>
                    <w:rPr>
                      <w:b/>
                      <w:color w:val="auto"/>
                      <w:szCs w:val="20"/>
                      <w:lang w:bidi="ar"/>
                    </w:rPr>
                    <w:t>Ⅱ</w:t>
                  </w:r>
                </w:p>
              </w:tc>
              <w:tc>
                <w:tcPr>
                  <w:tcW w:w="919" w:type="pct"/>
                  <w:tcBorders>
                    <w:left w:val="single" w:color="auto" w:sz="4" w:space="0"/>
                    <w:bottom w:val="single" w:color="auto" w:sz="4" w:space="0"/>
                  </w:tcBorders>
                  <w:noWrap w:val="0"/>
                  <w:vAlign w:val="center"/>
                </w:tcPr>
                <w:p w14:paraId="0BD46B9C">
                  <w:pPr>
                    <w:spacing w:line="360" w:lineRule="exact"/>
                    <w:jc w:val="center"/>
                    <w:rPr>
                      <w:b/>
                      <w:color w:val="auto"/>
                    </w:rPr>
                  </w:pPr>
                  <w:r>
                    <w:rPr>
                      <w:b/>
                      <w:color w:val="auto"/>
                      <w:szCs w:val="20"/>
                      <w:lang w:bidi="ar"/>
                    </w:rPr>
                    <w:t>Ⅰ</w:t>
                  </w:r>
                </w:p>
              </w:tc>
            </w:tr>
            <w:tr w14:paraId="0CF1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166" w:type="pct"/>
                  <w:tcBorders>
                    <w:top w:val="single" w:color="auto" w:sz="4" w:space="0"/>
                    <w:bottom w:val="single" w:color="auto" w:sz="4" w:space="0"/>
                    <w:right w:val="single" w:color="auto" w:sz="4" w:space="0"/>
                  </w:tcBorders>
                  <w:noWrap w:val="0"/>
                  <w:vAlign w:val="center"/>
                </w:tcPr>
                <w:p w14:paraId="2C2F7513">
                  <w:pPr>
                    <w:spacing w:line="360" w:lineRule="exact"/>
                    <w:jc w:val="center"/>
                    <w:rPr>
                      <w:rFonts w:hint="default" w:ascii="Times New Roman" w:hAnsi="Times New Roman" w:cs="Times New Roman"/>
                      <w:color w:val="auto"/>
                    </w:rPr>
                  </w:pPr>
                  <w:r>
                    <w:rPr>
                      <w:rFonts w:hint="default" w:ascii="Times New Roman" w:hAnsi="Times New Roman" w:cs="Times New Roman"/>
                      <w:color w:val="auto"/>
                      <w:szCs w:val="20"/>
                      <w:lang w:bidi="ar"/>
                    </w:rPr>
                    <w:t>评价工作等级</w:t>
                  </w:r>
                </w:p>
              </w:tc>
              <w:tc>
                <w:tcPr>
                  <w:tcW w:w="1036" w:type="pct"/>
                  <w:tcBorders>
                    <w:top w:val="single" w:color="auto" w:sz="4" w:space="0"/>
                    <w:left w:val="single" w:color="auto" w:sz="4" w:space="0"/>
                    <w:bottom w:val="single" w:color="auto" w:sz="4" w:space="0"/>
                    <w:right w:val="single" w:color="auto" w:sz="4" w:space="0"/>
                  </w:tcBorders>
                  <w:noWrap w:val="0"/>
                  <w:vAlign w:val="center"/>
                </w:tcPr>
                <w:p w14:paraId="5A66FF8B">
                  <w:pPr>
                    <w:spacing w:line="360" w:lineRule="exact"/>
                    <w:jc w:val="center"/>
                    <w:rPr>
                      <w:rFonts w:hint="default" w:ascii="Times New Roman" w:hAnsi="Times New Roman" w:cs="Times New Roman"/>
                      <w:color w:val="auto"/>
                    </w:rPr>
                  </w:pPr>
                  <w:r>
                    <w:rPr>
                      <w:rFonts w:hint="default" w:ascii="Times New Roman" w:hAnsi="Times New Roman" w:cs="Times New Roman"/>
                      <w:color w:val="auto"/>
                      <w:szCs w:val="20"/>
                      <w:lang w:bidi="ar"/>
                    </w:rPr>
                    <w:t>一</w:t>
                  </w:r>
                </w:p>
              </w:tc>
              <w:tc>
                <w:tcPr>
                  <w:tcW w:w="838" w:type="pct"/>
                  <w:tcBorders>
                    <w:top w:val="single" w:color="auto" w:sz="4" w:space="0"/>
                    <w:left w:val="single" w:color="auto" w:sz="4" w:space="0"/>
                    <w:bottom w:val="single" w:color="auto" w:sz="4" w:space="0"/>
                    <w:right w:val="single" w:color="auto" w:sz="4" w:space="0"/>
                  </w:tcBorders>
                  <w:noWrap w:val="0"/>
                  <w:vAlign w:val="center"/>
                </w:tcPr>
                <w:p w14:paraId="1DE8917A">
                  <w:pPr>
                    <w:spacing w:line="360" w:lineRule="exact"/>
                    <w:jc w:val="center"/>
                    <w:rPr>
                      <w:rFonts w:hint="default" w:ascii="Times New Roman" w:hAnsi="Times New Roman" w:cs="Times New Roman"/>
                      <w:color w:val="auto"/>
                    </w:rPr>
                  </w:pPr>
                  <w:r>
                    <w:rPr>
                      <w:rFonts w:hint="default" w:ascii="Times New Roman" w:hAnsi="Times New Roman" w:cs="Times New Roman"/>
                      <w:color w:val="auto"/>
                      <w:szCs w:val="20"/>
                      <w:lang w:bidi="ar"/>
                    </w:rPr>
                    <w:t>二</w:t>
                  </w:r>
                </w:p>
              </w:tc>
              <w:tc>
                <w:tcPr>
                  <w:tcW w:w="1038" w:type="pct"/>
                  <w:tcBorders>
                    <w:top w:val="single" w:color="auto" w:sz="4" w:space="0"/>
                    <w:left w:val="single" w:color="auto" w:sz="4" w:space="0"/>
                    <w:bottom w:val="single" w:color="auto" w:sz="4" w:space="0"/>
                    <w:right w:val="single" w:color="auto" w:sz="4" w:space="0"/>
                  </w:tcBorders>
                  <w:noWrap w:val="0"/>
                  <w:vAlign w:val="center"/>
                </w:tcPr>
                <w:p w14:paraId="0F0C63F0">
                  <w:pPr>
                    <w:spacing w:line="360" w:lineRule="exact"/>
                    <w:jc w:val="center"/>
                    <w:rPr>
                      <w:rFonts w:hint="default" w:ascii="Times New Roman" w:hAnsi="Times New Roman" w:cs="Times New Roman"/>
                      <w:color w:val="auto"/>
                    </w:rPr>
                  </w:pPr>
                  <w:r>
                    <w:rPr>
                      <w:rFonts w:hint="default" w:ascii="Times New Roman" w:hAnsi="Times New Roman" w:cs="Times New Roman"/>
                      <w:color w:val="auto"/>
                      <w:szCs w:val="20"/>
                      <w:lang w:bidi="ar"/>
                    </w:rPr>
                    <w:t>三</w:t>
                  </w:r>
                </w:p>
              </w:tc>
              <w:tc>
                <w:tcPr>
                  <w:tcW w:w="919" w:type="pct"/>
                  <w:tcBorders>
                    <w:top w:val="single" w:color="auto" w:sz="4" w:space="0"/>
                    <w:left w:val="single" w:color="auto" w:sz="4" w:space="0"/>
                    <w:bottom w:val="single" w:color="auto" w:sz="4" w:space="0"/>
                  </w:tcBorders>
                  <w:noWrap w:val="0"/>
                  <w:vAlign w:val="center"/>
                </w:tcPr>
                <w:p w14:paraId="082C9AFE">
                  <w:pPr>
                    <w:spacing w:line="360" w:lineRule="exact"/>
                    <w:jc w:val="center"/>
                    <w:rPr>
                      <w:rFonts w:hint="default" w:ascii="Times New Roman" w:hAnsi="Times New Roman" w:cs="Times New Roman"/>
                      <w:color w:val="auto"/>
                    </w:rPr>
                  </w:pPr>
                  <w:r>
                    <w:rPr>
                      <w:rFonts w:hint="default" w:ascii="Times New Roman" w:hAnsi="Times New Roman" w:cs="Times New Roman"/>
                      <w:color w:val="auto"/>
                      <w:szCs w:val="20"/>
                      <w:lang w:bidi="ar"/>
                    </w:rPr>
                    <w:t>简单分析</w:t>
                  </w:r>
                  <w:r>
                    <w:rPr>
                      <w:rFonts w:hint="default" w:ascii="Times New Roman" w:hAnsi="Times New Roman" w:cs="Times New Roman"/>
                      <w:color w:val="auto"/>
                      <w:szCs w:val="20"/>
                      <w:vertAlign w:val="superscript"/>
                      <w:lang w:bidi="ar"/>
                    </w:rPr>
                    <w:t>a</w:t>
                  </w:r>
                </w:p>
              </w:tc>
            </w:tr>
            <w:tr w14:paraId="530C3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5"/>
                  <w:tcBorders>
                    <w:top w:val="single" w:color="auto" w:sz="4" w:space="0"/>
                  </w:tcBorders>
                  <w:noWrap w:val="0"/>
                  <w:vAlign w:val="center"/>
                </w:tcPr>
                <w:p w14:paraId="658AFCB6">
                  <w:pPr>
                    <w:spacing w:line="360" w:lineRule="exact"/>
                    <w:rPr>
                      <w:rFonts w:hint="default" w:ascii="Times New Roman" w:hAnsi="Times New Roman" w:cs="Times New Roman"/>
                      <w:color w:val="auto"/>
                    </w:rPr>
                  </w:pPr>
                  <w:r>
                    <w:rPr>
                      <w:rFonts w:hint="default" w:ascii="Times New Roman" w:hAnsi="Times New Roman" w:cs="Times New Roman"/>
                      <w:color w:val="auto"/>
                      <w:szCs w:val="20"/>
                      <w:lang w:bidi="ar"/>
                    </w:rPr>
                    <w:t>a 是相对于详细评价工作内容而言，在描述危险物质、环境影响途径、环境危害后果、风险防范措施等方面给出定性的说明。见附录 A。</w:t>
                  </w:r>
                </w:p>
              </w:tc>
            </w:tr>
          </w:tbl>
          <w:p w14:paraId="4B519AE9">
            <w:pPr>
              <w:pStyle w:val="38"/>
              <w:keepNext w:val="0"/>
              <w:keepLines w:val="0"/>
              <w:pageBreakBefore w:val="0"/>
              <w:widowControl w:val="0"/>
              <w:kinsoku/>
              <w:wordWrap/>
              <w:overflowPunct/>
              <w:topLinePunct w:val="0"/>
              <w:autoSpaceDE/>
              <w:autoSpaceDN/>
              <w:bidi w:val="0"/>
              <w:adjustRightInd w:val="0"/>
              <w:snapToGrid/>
              <w:spacing w:before="120" w:line="360" w:lineRule="auto"/>
              <w:ind w:firstLine="420"/>
              <w:textAlignment w:val="auto"/>
              <w:rPr>
                <w:snapToGrid w:val="0"/>
                <w:color w:val="auto"/>
                <w:sz w:val="24"/>
                <w:szCs w:val="20"/>
                <w:lang w:bidi="ar"/>
              </w:rPr>
            </w:pPr>
            <w:r>
              <w:rPr>
                <w:snapToGrid w:val="0"/>
                <w:color w:val="auto"/>
                <w:sz w:val="24"/>
                <w:szCs w:val="20"/>
                <w:lang w:bidi="ar"/>
              </w:rPr>
              <w:t>本项目环境风险潜势为Ⅰ，根据上表判断，本项目环境风险评价等级为“简单分析”。</w:t>
            </w:r>
          </w:p>
          <w:p w14:paraId="1135F2F7">
            <w:pPr>
              <w:widowControl w:val="0"/>
              <w:shd w:val="clear" w:color="auto" w:fill="auto"/>
              <w:bidi w:val="0"/>
              <w:spacing w:line="360" w:lineRule="auto"/>
              <w:ind w:left="0" w:leftChars="0" w:firstLine="0" w:firstLineChars="0"/>
              <w:jc w:val="center"/>
              <w:rPr>
                <w:rFonts w:hint="default"/>
                <w:color w:val="auto"/>
                <w:lang w:val="en-US" w:eastAsia="zh-CN"/>
              </w:rPr>
            </w:pPr>
            <w:r>
              <w:rPr>
                <w:rFonts w:hint="default" w:ascii="Times New Roman" w:hAnsi="Times New Roman" w:cs="Times New Roman" w:eastAsiaTheme="majorEastAsia"/>
                <w:b/>
                <w:color w:val="auto"/>
                <w:kern w:val="2"/>
                <w:sz w:val="21"/>
                <w:szCs w:val="22"/>
                <w:highlight w:val="none"/>
                <w:lang w:val="en-US" w:eastAsia="zh-CN" w:bidi="ar-SA"/>
              </w:rPr>
              <w:t>表4-16  建设项目环境风险识别表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138"/>
              <w:gridCol w:w="1287"/>
              <w:gridCol w:w="1238"/>
              <w:gridCol w:w="1912"/>
              <w:gridCol w:w="1050"/>
              <w:gridCol w:w="631"/>
            </w:tblGrid>
            <w:tr w14:paraId="06B3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 w:type="pct"/>
                  <w:tcBorders>
                    <w:tl2br w:val="nil"/>
                    <w:tr2bl w:val="nil"/>
                  </w:tcBorders>
                  <w:noWrap w:val="0"/>
                  <w:vAlign w:val="center"/>
                </w:tcPr>
                <w:p w14:paraId="069988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序号</w:t>
                  </w:r>
                </w:p>
              </w:tc>
              <w:tc>
                <w:tcPr>
                  <w:tcW w:w="719" w:type="pct"/>
                  <w:tcBorders>
                    <w:tl2br w:val="nil"/>
                    <w:tr2bl w:val="nil"/>
                  </w:tcBorders>
                  <w:noWrap w:val="0"/>
                  <w:vAlign w:val="center"/>
                </w:tcPr>
                <w:p w14:paraId="165345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危险单元</w:t>
                  </w:r>
                </w:p>
              </w:tc>
              <w:tc>
                <w:tcPr>
                  <w:tcW w:w="814" w:type="pct"/>
                  <w:tcBorders>
                    <w:tl2br w:val="nil"/>
                    <w:tr2bl w:val="nil"/>
                  </w:tcBorders>
                  <w:noWrap w:val="0"/>
                  <w:vAlign w:val="center"/>
                </w:tcPr>
                <w:p w14:paraId="4B34EE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风险源</w:t>
                  </w:r>
                </w:p>
              </w:tc>
              <w:tc>
                <w:tcPr>
                  <w:tcW w:w="783" w:type="pct"/>
                  <w:tcBorders>
                    <w:tl2br w:val="nil"/>
                    <w:tr2bl w:val="nil"/>
                  </w:tcBorders>
                  <w:noWrap w:val="0"/>
                  <w:vAlign w:val="center"/>
                </w:tcPr>
                <w:p w14:paraId="1E9D5BD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主要危险物质</w:t>
                  </w:r>
                </w:p>
              </w:tc>
              <w:tc>
                <w:tcPr>
                  <w:tcW w:w="1209" w:type="pct"/>
                  <w:tcBorders>
                    <w:tl2br w:val="nil"/>
                    <w:tr2bl w:val="nil"/>
                  </w:tcBorders>
                  <w:noWrap w:val="0"/>
                  <w:vAlign w:val="center"/>
                </w:tcPr>
                <w:p w14:paraId="61A3C6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环境风险类型</w:t>
                  </w:r>
                </w:p>
              </w:tc>
              <w:tc>
                <w:tcPr>
                  <w:tcW w:w="664" w:type="pct"/>
                  <w:tcBorders>
                    <w:tl2br w:val="nil"/>
                    <w:tr2bl w:val="nil"/>
                  </w:tcBorders>
                  <w:noWrap w:val="0"/>
                  <w:vAlign w:val="center"/>
                </w:tcPr>
                <w:p w14:paraId="023E3C3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环境影响途径</w:t>
                  </w:r>
                </w:p>
              </w:tc>
              <w:tc>
                <w:tcPr>
                  <w:tcW w:w="399" w:type="pct"/>
                  <w:tcBorders>
                    <w:tl2br w:val="nil"/>
                    <w:tr2bl w:val="nil"/>
                  </w:tcBorders>
                  <w:noWrap w:val="0"/>
                  <w:vAlign w:val="center"/>
                </w:tcPr>
                <w:p w14:paraId="320368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备注</w:t>
                  </w:r>
                </w:p>
              </w:tc>
            </w:tr>
            <w:tr w14:paraId="3382E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 w:type="pct"/>
                  <w:tcBorders>
                    <w:tl2br w:val="nil"/>
                    <w:tr2bl w:val="nil"/>
                  </w:tcBorders>
                  <w:noWrap w:val="0"/>
                  <w:vAlign w:val="center"/>
                </w:tcPr>
                <w:p w14:paraId="796ABE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719" w:type="pct"/>
                  <w:tcBorders>
                    <w:tl2br w:val="nil"/>
                    <w:tr2bl w:val="nil"/>
                  </w:tcBorders>
                  <w:noWrap w:val="0"/>
                  <w:vAlign w:val="center"/>
                </w:tcPr>
                <w:p w14:paraId="6EC1E9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厂区</w:t>
                  </w:r>
                </w:p>
              </w:tc>
              <w:tc>
                <w:tcPr>
                  <w:tcW w:w="814" w:type="pct"/>
                  <w:tcBorders>
                    <w:tl2br w:val="nil"/>
                    <w:tr2bl w:val="nil"/>
                  </w:tcBorders>
                  <w:noWrap w:val="0"/>
                  <w:vAlign w:val="center"/>
                </w:tcPr>
                <w:p w14:paraId="74540A6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原</w:t>
                  </w:r>
                  <w:r>
                    <w:rPr>
                      <w:rFonts w:hint="eastAsia" w:cs="Times New Roman"/>
                      <w:color w:val="auto"/>
                      <w:kern w:val="0"/>
                      <w:szCs w:val="21"/>
                      <w:lang w:val="en-US" w:eastAsia="zh-CN"/>
                    </w:rPr>
                    <w:t>料堆放区</w:t>
                  </w:r>
                </w:p>
              </w:tc>
              <w:tc>
                <w:tcPr>
                  <w:tcW w:w="783" w:type="pct"/>
                  <w:tcBorders>
                    <w:tl2br w:val="nil"/>
                    <w:tr2bl w:val="nil"/>
                  </w:tcBorders>
                  <w:noWrap w:val="0"/>
                  <w:vAlign w:val="center"/>
                </w:tcPr>
                <w:p w14:paraId="52974B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kern w:val="0"/>
                      <w:szCs w:val="21"/>
                      <w:lang w:eastAsia="zh-CN"/>
                    </w:rPr>
                    <w:t>润滑油</w:t>
                  </w:r>
                </w:p>
              </w:tc>
              <w:tc>
                <w:tcPr>
                  <w:tcW w:w="1209" w:type="pct"/>
                  <w:tcBorders>
                    <w:tl2br w:val="nil"/>
                    <w:tr2bl w:val="nil"/>
                  </w:tcBorders>
                  <w:noWrap w:val="0"/>
                  <w:vAlign w:val="center"/>
                </w:tcPr>
                <w:p w14:paraId="49EA65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eastAsia" w:ascii="Times New Roman" w:hAnsi="Times New Roman" w:cs="Times New Roman"/>
                      <w:color w:val="auto"/>
                      <w:kern w:val="0"/>
                      <w:szCs w:val="21"/>
                      <w:lang w:eastAsia="zh-CN"/>
                    </w:rPr>
                    <w:t>火灾、爆炸</w:t>
                  </w:r>
                  <w:r>
                    <w:rPr>
                      <w:rFonts w:hint="default" w:ascii="Times New Roman" w:hAnsi="Times New Roman" w:cs="Times New Roman"/>
                      <w:color w:val="auto"/>
                      <w:kern w:val="0"/>
                      <w:szCs w:val="21"/>
                    </w:rPr>
                    <w:t>、渗漏</w:t>
                  </w:r>
                </w:p>
              </w:tc>
              <w:tc>
                <w:tcPr>
                  <w:tcW w:w="664" w:type="pct"/>
                  <w:tcBorders>
                    <w:tl2br w:val="nil"/>
                    <w:tr2bl w:val="nil"/>
                  </w:tcBorders>
                  <w:noWrap w:val="0"/>
                  <w:vAlign w:val="center"/>
                </w:tcPr>
                <w:p w14:paraId="2DEEA9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w:t>
                  </w:r>
                </w:p>
                <w:p w14:paraId="68DCEEC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水、土壤</w:t>
                  </w:r>
                </w:p>
              </w:tc>
              <w:tc>
                <w:tcPr>
                  <w:tcW w:w="399" w:type="pct"/>
                  <w:tcBorders>
                    <w:tl2br w:val="nil"/>
                    <w:tr2bl w:val="nil"/>
                  </w:tcBorders>
                  <w:noWrap w:val="0"/>
                  <w:vAlign w:val="center"/>
                </w:tcPr>
                <w:p w14:paraId="0C441D2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r w14:paraId="187A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 w:type="pct"/>
                  <w:tcBorders>
                    <w:tl2br w:val="nil"/>
                    <w:tr2bl w:val="nil"/>
                  </w:tcBorders>
                  <w:noWrap w:val="0"/>
                  <w:vAlign w:val="center"/>
                </w:tcPr>
                <w:p w14:paraId="463D5F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719" w:type="pct"/>
                  <w:tcBorders>
                    <w:tl2br w:val="nil"/>
                    <w:tr2bl w:val="nil"/>
                  </w:tcBorders>
                  <w:noWrap w:val="0"/>
                  <w:vAlign w:val="center"/>
                </w:tcPr>
                <w:p w14:paraId="28C42B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厂区</w:t>
                  </w:r>
                </w:p>
              </w:tc>
              <w:tc>
                <w:tcPr>
                  <w:tcW w:w="814" w:type="pct"/>
                  <w:tcBorders>
                    <w:tl2br w:val="nil"/>
                    <w:tr2bl w:val="nil"/>
                  </w:tcBorders>
                  <w:noWrap w:val="0"/>
                  <w:vAlign w:val="center"/>
                </w:tcPr>
                <w:p w14:paraId="4822D51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危废</w:t>
                  </w:r>
                  <w:r>
                    <w:rPr>
                      <w:rFonts w:hint="eastAsia" w:ascii="Times New Roman" w:hAnsi="Times New Roman" w:cs="Times New Roman"/>
                      <w:color w:val="auto"/>
                      <w:kern w:val="0"/>
                      <w:szCs w:val="21"/>
                      <w:lang w:val="en-US" w:eastAsia="zh-CN"/>
                    </w:rPr>
                    <w:t>贮存库</w:t>
                  </w:r>
                </w:p>
              </w:tc>
              <w:tc>
                <w:tcPr>
                  <w:tcW w:w="783" w:type="pct"/>
                  <w:tcBorders>
                    <w:tl2br w:val="nil"/>
                    <w:tr2bl w:val="nil"/>
                  </w:tcBorders>
                  <w:noWrap w:val="0"/>
                  <w:vAlign w:val="center"/>
                </w:tcPr>
                <w:p w14:paraId="19ABF99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lang w:val="en-US"/>
                    </w:rPr>
                  </w:pPr>
                  <w:r>
                    <w:rPr>
                      <w:rFonts w:hint="default" w:ascii="Times New Roman" w:hAnsi="Times New Roman" w:cs="Times New Roman"/>
                      <w:color w:val="auto"/>
                      <w:kern w:val="0"/>
                      <w:szCs w:val="21"/>
                    </w:rPr>
                    <w:t>废</w:t>
                  </w:r>
                  <w:r>
                    <w:rPr>
                      <w:rFonts w:hint="eastAsia" w:ascii="Times New Roman" w:hAnsi="Times New Roman" w:cs="Times New Roman"/>
                      <w:color w:val="auto"/>
                      <w:kern w:val="0"/>
                      <w:szCs w:val="21"/>
                      <w:lang w:eastAsia="zh-CN"/>
                    </w:rPr>
                    <w:t>润滑油</w:t>
                  </w:r>
                </w:p>
              </w:tc>
              <w:tc>
                <w:tcPr>
                  <w:tcW w:w="1209" w:type="pct"/>
                  <w:tcBorders>
                    <w:tl2br w:val="nil"/>
                    <w:tr2bl w:val="nil"/>
                  </w:tcBorders>
                  <w:noWrap w:val="0"/>
                  <w:vAlign w:val="center"/>
                </w:tcPr>
                <w:p w14:paraId="4BAA44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eastAsia" w:ascii="Times New Roman" w:hAnsi="Times New Roman" w:cs="Times New Roman"/>
                      <w:color w:val="auto"/>
                      <w:kern w:val="0"/>
                      <w:szCs w:val="21"/>
                      <w:lang w:eastAsia="zh-CN"/>
                    </w:rPr>
                    <w:t>火灾、爆炸</w:t>
                  </w:r>
                  <w:r>
                    <w:rPr>
                      <w:rFonts w:hint="default" w:ascii="Times New Roman" w:hAnsi="Times New Roman" w:cs="Times New Roman"/>
                      <w:color w:val="auto"/>
                      <w:kern w:val="0"/>
                      <w:szCs w:val="21"/>
                    </w:rPr>
                    <w:t>、渗漏</w:t>
                  </w:r>
                </w:p>
              </w:tc>
              <w:tc>
                <w:tcPr>
                  <w:tcW w:w="664" w:type="pct"/>
                  <w:tcBorders>
                    <w:tl2br w:val="nil"/>
                    <w:tr2bl w:val="nil"/>
                  </w:tcBorders>
                  <w:noWrap w:val="0"/>
                  <w:vAlign w:val="center"/>
                </w:tcPr>
                <w:p w14:paraId="287398A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大气、</w:t>
                  </w:r>
                </w:p>
                <w:p w14:paraId="12A75B9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水、土壤</w:t>
                  </w:r>
                </w:p>
              </w:tc>
              <w:tc>
                <w:tcPr>
                  <w:tcW w:w="399" w:type="pct"/>
                  <w:tcBorders>
                    <w:tl2br w:val="nil"/>
                    <w:tr2bl w:val="nil"/>
                  </w:tcBorders>
                  <w:noWrap w:val="0"/>
                  <w:vAlign w:val="center"/>
                </w:tcPr>
                <w:p w14:paraId="2C7837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bl>
          <w:p w14:paraId="39ADD836">
            <w:pPr>
              <w:keepNext w:val="0"/>
              <w:keepLines w:val="0"/>
              <w:pageBreakBefore w:val="0"/>
              <w:widowControl w:val="0"/>
              <w:kinsoku/>
              <w:wordWrap/>
              <w:overflowPunct/>
              <w:topLinePunct w:val="0"/>
              <w:autoSpaceDE/>
              <w:autoSpaceDN/>
              <w:bidi w:val="0"/>
              <w:adjustRightInd/>
              <w:snapToGrid/>
              <w:spacing w:before="120"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sz w:val="24"/>
                <w:szCs w:val="24"/>
              </w:rPr>
              <w:t>根据《建设项目环境风险评价技术导则》（HJ169-2018），本项目涉及的主要危险物质为</w:t>
            </w:r>
            <w:r>
              <w:rPr>
                <w:rFonts w:hint="eastAsia" w:ascii="Times New Roman" w:hAnsi="Times New Roman" w:eastAsia="宋体" w:cs="Times New Roman"/>
                <w:color w:val="auto"/>
                <w:sz w:val="24"/>
                <w:szCs w:val="24"/>
                <w:lang w:eastAsia="zh-CN"/>
              </w:rPr>
              <w:t>润滑油、</w:t>
            </w:r>
            <w:r>
              <w:rPr>
                <w:rFonts w:hint="eastAsia" w:ascii="Times New Roman" w:hAnsi="Times New Roman" w:eastAsia="宋体" w:cs="Times New Roman"/>
                <w:color w:val="auto"/>
                <w:sz w:val="24"/>
                <w:szCs w:val="24"/>
                <w:lang w:val="en-US" w:eastAsia="zh-CN"/>
              </w:rPr>
              <w:t>废润滑油</w:t>
            </w:r>
            <w:r>
              <w:rPr>
                <w:rFonts w:hint="default" w:ascii="Times New Roman" w:hAnsi="Times New Roman" w:eastAsia="宋体" w:cs="Times New Roman"/>
                <w:color w:val="auto"/>
                <w:sz w:val="24"/>
                <w:szCs w:val="24"/>
              </w:rPr>
              <w:t>，存放于</w:t>
            </w:r>
            <w:r>
              <w:rPr>
                <w:rFonts w:hint="eastAsia" w:ascii="Times New Roman" w:hAnsi="Times New Roman" w:eastAsia="宋体" w:cs="Times New Roman"/>
                <w:color w:val="auto"/>
                <w:sz w:val="24"/>
                <w:szCs w:val="24"/>
                <w:lang w:val="en-US" w:eastAsia="zh-CN"/>
              </w:rPr>
              <w:t>原</w:t>
            </w:r>
            <w:r>
              <w:rPr>
                <w:rFonts w:hint="eastAsia" w:cs="Times New Roman"/>
                <w:color w:val="auto"/>
                <w:sz w:val="24"/>
                <w:szCs w:val="24"/>
                <w:lang w:val="en-US" w:eastAsia="zh-CN"/>
              </w:rPr>
              <w:t>料堆放</w:t>
            </w:r>
            <w:r>
              <w:rPr>
                <w:rFonts w:hint="eastAsia" w:ascii="Times New Roman" w:hAnsi="Times New Roman" w:eastAsia="宋体" w:cs="Times New Roman"/>
                <w:color w:val="auto"/>
                <w:sz w:val="24"/>
                <w:szCs w:val="24"/>
                <w:lang w:val="en-US" w:eastAsia="zh-CN"/>
              </w:rPr>
              <w:t>区</w:t>
            </w:r>
            <w:r>
              <w:rPr>
                <w:rFonts w:hint="eastAsia" w:ascii="Times New Roman" w:hAnsi="Times New Roman" w:eastAsia="宋体" w:cs="Times New Roman"/>
                <w:color w:val="auto"/>
                <w:sz w:val="24"/>
                <w:szCs w:val="24"/>
                <w:lang w:eastAsia="zh-CN"/>
              </w:rPr>
              <w:t>以及</w:t>
            </w:r>
            <w:r>
              <w:rPr>
                <w:rFonts w:hint="eastAsia" w:ascii="Times New Roman" w:hAnsi="Times New Roman" w:eastAsia="宋体" w:cs="Times New Roman"/>
                <w:color w:val="auto"/>
                <w:sz w:val="24"/>
                <w:szCs w:val="24"/>
                <w:lang w:val="en-US" w:eastAsia="zh-CN"/>
              </w:rPr>
              <w:t>危废贮存库</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rPr>
              <w:t>可能存在的风险为</w:t>
            </w:r>
            <w:r>
              <w:rPr>
                <w:rFonts w:hint="eastAsia" w:ascii="Times New Roman" w:hAnsi="Times New Roman" w:eastAsia="宋体" w:cs="Times New Roman"/>
                <w:color w:val="auto"/>
                <w:sz w:val="24"/>
                <w:szCs w:val="24"/>
                <w:lang w:val="en-US" w:eastAsia="zh-CN"/>
              </w:rPr>
              <w:t>原</w:t>
            </w:r>
            <w:r>
              <w:rPr>
                <w:rFonts w:hint="eastAsia" w:cs="Times New Roman"/>
                <w:color w:val="auto"/>
                <w:sz w:val="24"/>
                <w:szCs w:val="24"/>
                <w:lang w:val="en-US" w:eastAsia="zh-CN"/>
              </w:rPr>
              <w:t>料堆放</w:t>
            </w:r>
            <w:r>
              <w:rPr>
                <w:rFonts w:hint="eastAsia" w:ascii="Times New Roman" w:hAnsi="Times New Roman" w:eastAsia="宋体" w:cs="Times New Roman"/>
                <w:color w:val="auto"/>
                <w:sz w:val="24"/>
                <w:szCs w:val="24"/>
                <w:lang w:val="en-US" w:eastAsia="zh-CN"/>
              </w:rPr>
              <w:t>区</w:t>
            </w:r>
            <w:r>
              <w:rPr>
                <w:rFonts w:hint="eastAsia" w:ascii="Times New Roman" w:hAnsi="Times New Roman" w:eastAsia="宋体" w:cs="Times New Roman"/>
                <w:color w:val="auto"/>
                <w:sz w:val="24"/>
                <w:szCs w:val="24"/>
                <w:lang w:eastAsia="zh-CN"/>
              </w:rPr>
              <w:t>以及</w:t>
            </w:r>
            <w:r>
              <w:rPr>
                <w:rFonts w:hint="eastAsia" w:ascii="Times New Roman" w:hAnsi="Times New Roman" w:eastAsia="宋体" w:cs="Times New Roman"/>
                <w:color w:val="auto"/>
                <w:sz w:val="24"/>
                <w:szCs w:val="24"/>
                <w:lang w:val="en-US" w:eastAsia="zh-CN"/>
              </w:rPr>
              <w:t>危废贮存库</w:t>
            </w:r>
            <w:r>
              <w:rPr>
                <w:rFonts w:hint="default" w:ascii="Times New Roman" w:hAnsi="Times New Roman" w:cs="Times New Roman"/>
                <w:color w:val="auto"/>
                <w:sz w:val="24"/>
              </w:rPr>
              <w:t>的</w:t>
            </w:r>
            <w:r>
              <w:rPr>
                <w:rFonts w:hint="eastAsia" w:ascii="Times New Roman" w:hAnsi="Times New Roman" w:eastAsia="宋体" w:cs="Times New Roman"/>
                <w:color w:val="auto"/>
                <w:sz w:val="24"/>
                <w:szCs w:val="24"/>
                <w:lang w:eastAsia="zh-CN"/>
              </w:rPr>
              <w:t>润滑油、</w:t>
            </w:r>
            <w:r>
              <w:rPr>
                <w:rFonts w:hint="eastAsia" w:ascii="Times New Roman" w:hAnsi="Times New Roman" w:eastAsia="宋体" w:cs="Times New Roman"/>
                <w:color w:val="auto"/>
                <w:sz w:val="24"/>
                <w:szCs w:val="24"/>
                <w:lang w:val="en-US" w:eastAsia="zh-CN"/>
              </w:rPr>
              <w:t>废润滑油</w:t>
            </w:r>
            <w:r>
              <w:rPr>
                <w:rFonts w:hint="default" w:ascii="Times New Roman" w:hAnsi="Times New Roman" w:cs="Times New Roman"/>
                <w:color w:val="auto"/>
                <w:sz w:val="24"/>
              </w:rPr>
              <w:t>发生泄漏，</w:t>
            </w:r>
            <w:r>
              <w:rPr>
                <w:rFonts w:hint="eastAsia" w:ascii="Times New Roman" w:hAnsi="Times New Roman" w:cs="Times New Roman"/>
                <w:color w:val="auto"/>
                <w:sz w:val="24"/>
                <w:lang w:eastAsia="zh-CN"/>
              </w:rPr>
              <w:t>泄漏后遇火源易发生火灾，导致空气中颗粒物，一氧化碳增加，危害人身安全，火灾后的消防废水会造成周边土壤及水环境的污染；</w:t>
            </w:r>
            <w:r>
              <w:rPr>
                <w:rFonts w:hint="eastAsia" w:ascii="Times New Roman" w:hAnsi="Times New Roman" w:eastAsia="宋体" w:cs="Times New Roman"/>
                <w:color w:val="auto"/>
                <w:sz w:val="24"/>
                <w:szCs w:val="24"/>
                <w:lang w:eastAsia="zh-CN"/>
              </w:rPr>
              <w:t>润滑油、</w:t>
            </w:r>
            <w:r>
              <w:rPr>
                <w:rFonts w:hint="eastAsia" w:ascii="Times New Roman" w:hAnsi="Times New Roman" w:eastAsia="宋体" w:cs="Times New Roman"/>
                <w:color w:val="auto"/>
                <w:sz w:val="24"/>
                <w:szCs w:val="24"/>
                <w:lang w:val="en-US" w:eastAsia="zh-CN"/>
              </w:rPr>
              <w:t>废润滑油</w:t>
            </w:r>
            <w:r>
              <w:rPr>
                <w:rFonts w:hint="default" w:ascii="Times New Roman" w:hAnsi="Times New Roman" w:cs="Times New Roman"/>
                <w:color w:val="auto"/>
                <w:sz w:val="24"/>
              </w:rPr>
              <w:t>一旦泄露</w:t>
            </w:r>
            <w:r>
              <w:rPr>
                <w:rFonts w:hint="eastAsia" w:ascii="Times New Roman" w:hAnsi="Times New Roman" w:cs="Times New Roman"/>
                <w:color w:val="auto"/>
                <w:sz w:val="24"/>
                <w:lang w:eastAsia="zh-CN"/>
              </w:rPr>
              <w:t>会造成厂房所在位置的</w:t>
            </w:r>
            <w:r>
              <w:rPr>
                <w:rFonts w:hint="default" w:ascii="Times New Roman" w:hAnsi="Times New Roman" w:cs="Times New Roman"/>
                <w:color w:val="auto"/>
                <w:sz w:val="24"/>
              </w:rPr>
              <w:t>土壤和水环境</w:t>
            </w:r>
            <w:r>
              <w:rPr>
                <w:rFonts w:hint="eastAsia" w:ascii="Times New Roman" w:hAnsi="Times New Roman" w:cs="Times New Roman"/>
                <w:color w:val="auto"/>
                <w:sz w:val="24"/>
                <w:lang w:eastAsia="zh-CN"/>
              </w:rPr>
              <w:t>的污染</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因此，</w:t>
            </w:r>
            <w:r>
              <w:rPr>
                <w:rFonts w:hint="default" w:ascii="Times New Roman" w:hAnsi="Times New Roman" w:cs="Times New Roman"/>
                <w:color w:val="auto"/>
                <w:sz w:val="24"/>
              </w:rPr>
              <w:t>本项目需重点完善</w:t>
            </w:r>
            <w:r>
              <w:rPr>
                <w:rFonts w:hint="eastAsia" w:ascii="Times New Roman" w:hAnsi="Times New Roman" w:eastAsia="宋体" w:cs="Times New Roman"/>
                <w:color w:val="auto"/>
                <w:sz w:val="24"/>
                <w:szCs w:val="24"/>
                <w:lang w:val="en-US" w:eastAsia="zh-CN"/>
              </w:rPr>
              <w:t>原辅材料区</w:t>
            </w:r>
            <w:r>
              <w:rPr>
                <w:rFonts w:hint="eastAsia" w:ascii="Times New Roman" w:hAnsi="Times New Roman" w:eastAsia="宋体" w:cs="Times New Roman"/>
                <w:color w:val="auto"/>
                <w:sz w:val="24"/>
                <w:szCs w:val="24"/>
                <w:lang w:eastAsia="zh-CN"/>
              </w:rPr>
              <w:t>以及</w:t>
            </w:r>
            <w:r>
              <w:rPr>
                <w:rFonts w:hint="eastAsia" w:ascii="Times New Roman" w:hAnsi="Times New Roman" w:eastAsia="宋体" w:cs="Times New Roman"/>
                <w:color w:val="auto"/>
                <w:sz w:val="24"/>
                <w:szCs w:val="24"/>
                <w:lang w:val="en-US" w:eastAsia="zh-CN"/>
              </w:rPr>
              <w:t>危废贮存库</w:t>
            </w:r>
            <w:r>
              <w:rPr>
                <w:rFonts w:hint="default" w:ascii="Times New Roman" w:hAnsi="Times New Roman" w:cs="Times New Roman"/>
                <w:color w:val="auto"/>
                <w:sz w:val="24"/>
              </w:rPr>
              <w:t>的防渗处理。根据《建设项目环境风险评价技术导则》（HJ169-2018）相关要求，本项目不存在重大危险源，且本项目涉及危险品性质及生产工艺简单，环境风险较小。</w:t>
            </w:r>
          </w:p>
          <w:p w14:paraId="11106215">
            <w:pPr>
              <w:shd w:val="clear" w:color="auto" w:fill="auto"/>
              <w:spacing w:line="360" w:lineRule="auto"/>
              <w:rPr>
                <w:rFonts w:hint="eastAsia" w:ascii="Times New Roman" w:hAnsi="Times New Roman" w:eastAsia="宋体" w:cs="宋体"/>
                <w:b/>
                <w:bCs/>
                <w:color w:val="auto"/>
                <w:sz w:val="24"/>
                <w:szCs w:val="22"/>
                <w:highlight w:val="none"/>
              </w:rPr>
            </w:pPr>
            <w:r>
              <w:rPr>
                <w:rFonts w:hint="eastAsia" w:ascii="Times New Roman" w:hAnsi="Times New Roman" w:eastAsia="宋体" w:cs="宋体"/>
                <w:b/>
                <w:bCs/>
                <w:color w:val="auto"/>
                <w:sz w:val="24"/>
                <w:szCs w:val="22"/>
                <w:highlight w:val="none"/>
                <w:lang w:val="en-US" w:eastAsia="zh-CN"/>
              </w:rPr>
              <w:t>7、</w:t>
            </w:r>
            <w:r>
              <w:rPr>
                <w:rFonts w:hint="eastAsia" w:ascii="Times New Roman" w:hAnsi="Times New Roman" w:eastAsia="宋体" w:cs="宋体"/>
                <w:b/>
                <w:bCs/>
                <w:color w:val="auto"/>
                <w:sz w:val="24"/>
                <w:szCs w:val="22"/>
                <w:highlight w:val="none"/>
              </w:rPr>
              <w:t>环保投资</w:t>
            </w:r>
          </w:p>
          <w:p w14:paraId="7DBF1E13">
            <w:pPr>
              <w:shd w:val="clear" w:color="auto" w:fill="auto"/>
              <w:adjustRightInd w:val="0"/>
              <w:snapToGrid w:val="0"/>
              <w:spacing w:line="360" w:lineRule="auto"/>
              <w:ind w:firstLine="480" w:firstLineChars="200"/>
              <w:rPr>
                <w:rFonts w:hint="eastAsia" w:ascii="Times New Roman" w:hAnsi="Times New Roman" w:eastAsia="宋体" w:cs="宋体"/>
                <w:color w:val="auto"/>
                <w:kern w:val="0"/>
                <w:sz w:val="24"/>
                <w:szCs w:val="20"/>
                <w:highlight w:val="none"/>
              </w:rPr>
            </w:pPr>
            <w:r>
              <w:rPr>
                <w:rFonts w:hint="eastAsia" w:ascii="Times New Roman" w:hAnsi="Times New Roman" w:eastAsia="宋体" w:cs="宋体"/>
                <w:color w:val="auto"/>
                <w:kern w:val="0"/>
                <w:sz w:val="24"/>
                <w:szCs w:val="20"/>
                <w:highlight w:val="none"/>
              </w:rPr>
              <w:t>本项目对运行期间产生的废气、噪声、固废影响采取防治措施，项目总投资</w:t>
            </w:r>
            <w:r>
              <w:rPr>
                <w:rFonts w:hint="eastAsia" w:ascii="Times New Roman" w:hAnsi="Times New Roman" w:eastAsia="宋体" w:cs="宋体"/>
                <w:color w:val="auto"/>
                <w:kern w:val="0"/>
                <w:sz w:val="24"/>
                <w:szCs w:val="20"/>
                <w:highlight w:val="none"/>
                <w:lang w:val="en-US" w:eastAsia="zh-CN"/>
              </w:rPr>
              <w:t>100</w:t>
            </w:r>
            <w:r>
              <w:rPr>
                <w:rFonts w:hint="eastAsia" w:ascii="Times New Roman" w:hAnsi="Times New Roman" w:eastAsia="宋体" w:cs="宋体"/>
                <w:color w:val="auto"/>
                <w:kern w:val="0"/>
                <w:sz w:val="24"/>
                <w:szCs w:val="20"/>
                <w:highlight w:val="none"/>
              </w:rPr>
              <w:t>万元，其中环保投资</w:t>
            </w:r>
            <w:r>
              <w:rPr>
                <w:rFonts w:hint="eastAsia" w:ascii="Times New Roman" w:hAnsi="Times New Roman" w:eastAsia="宋体" w:cs="宋体"/>
                <w:color w:val="auto"/>
                <w:kern w:val="0"/>
                <w:sz w:val="24"/>
                <w:szCs w:val="20"/>
                <w:highlight w:val="none"/>
                <w:lang w:val="en-US" w:eastAsia="zh-CN"/>
              </w:rPr>
              <w:t>10</w:t>
            </w:r>
            <w:r>
              <w:rPr>
                <w:rFonts w:hint="eastAsia" w:ascii="Times New Roman" w:hAnsi="Times New Roman" w:eastAsia="宋体" w:cs="宋体"/>
                <w:color w:val="auto"/>
                <w:kern w:val="0"/>
                <w:sz w:val="24"/>
                <w:szCs w:val="20"/>
                <w:highlight w:val="none"/>
              </w:rPr>
              <w:t>万元，环保投资占</w:t>
            </w:r>
            <w:r>
              <w:rPr>
                <w:rFonts w:hint="eastAsia" w:cs="宋体"/>
                <w:color w:val="auto"/>
                <w:kern w:val="0"/>
                <w:sz w:val="24"/>
                <w:szCs w:val="20"/>
                <w:highlight w:val="none"/>
                <w:lang w:val="en-US" w:eastAsia="zh-CN"/>
              </w:rPr>
              <w:t>10</w:t>
            </w:r>
            <w:r>
              <w:rPr>
                <w:rFonts w:hint="eastAsia" w:ascii="Times New Roman" w:hAnsi="Times New Roman" w:eastAsia="宋体" w:cs="宋体"/>
                <w:color w:val="auto"/>
                <w:kern w:val="0"/>
                <w:sz w:val="24"/>
                <w:szCs w:val="20"/>
                <w:highlight w:val="none"/>
              </w:rPr>
              <w:t>%。环保投资情况见下表。</w:t>
            </w:r>
          </w:p>
          <w:p w14:paraId="52ACE63A">
            <w:pPr>
              <w:widowControl w:val="0"/>
              <w:shd w:val="clear" w:color="auto" w:fill="auto"/>
              <w:bidi w:val="0"/>
              <w:spacing w:line="360" w:lineRule="auto"/>
              <w:ind w:left="0" w:leftChars="0" w:firstLine="0" w:firstLineChars="0"/>
              <w:jc w:val="center"/>
              <w:rPr>
                <w:rFonts w:hint="eastAsia" w:asciiTheme="majorEastAsia" w:hAnsiTheme="majorEastAsia" w:eastAsiaTheme="majorEastAsia" w:cstheme="majorEastAsia"/>
                <w:b/>
                <w:color w:val="auto"/>
                <w:kern w:val="2"/>
                <w:sz w:val="21"/>
                <w:szCs w:val="22"/>
                <w:highlight w:val="none"/>
                <w:lang w:val="en-US" w:eastAsia="zh-CN" w:bidi="ar-SA"/>
              </w:rPr>
            </w:pPr>
            <w:r>
              <w:rPr>
                <w:rFonts w:hint="eastAsia" w:asciiTheme="majorEastAsia" w:hAnsiTheme="majorEastAsia" w:eastAsiaTheme="majorEastAsia" w:cstheme="majorEastAsia"/>
                <w:b/>
                <w:color w:val="auto"/>
                <w:kern w:val="2"/>
                <w:sz w:val="21"/>
                <w:szCs w:val="22"/>
                <w:highlight w:val="none"/>
                <w:lang w:val="en-US" w:eastAsia="zh-CN" w:bidi="ar-SA"/>
              </w:rPr>
              <w:t>表4-17  环保投资明细单位：万元</w:t>
            </w:r>
          </w:p>
          <w:tbl>
            <w:tblPr>
              <w:tblStyle w:val="25"/>
              <w:tblW w:w="7918"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1"/>
              <w:gridCol w:w="578"/>
              <w:gridCol w:w="1396"/>
              <w:gridCol w:w="2681"/>
              <w:gridCol w:w="2121"/>
              <w:gridCol w:w="721"/>
            </w:tblGrid>
            <w:tr w14:paraId="016B3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999" w:type="dxa"/>
                  <w:gridSpan w:val="2"/>
                  <w:tcBorders>
                    <w:tl2br w:val="nil"/>
                    <w:tr2bl w:val="nil"/>
                  </w:tcBorders>
                  <w:noWrap w:val="0"/>
                  <w:vAlign w:val="center"/>
                </w:tcPr>
                <w:p w14:paraId="467B44CF">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项目类别</w:t>
                  </w:r>
                </w:p>
              </w:tc>
              <w:tc>
                <w:tcPr>
                  <w:tcW w:w="1396" w:type="dxa"/>
                  <w:tcBorders>
                    <w:tl2br w:val="nil"/>
                    <w:tr2bl w:val="nil"/>
                  </w:tcBorders>
                  <w:noWrap w:val="0"/>
                  <w:vAlign w:val="center"/>
                </w:tcPr>
                <w:p w14:paraId="78167539">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污染源</w:t>
                  </w:r>
                </w:p>
              </w:tc>
              <w:tc>
                <w:tcPr>
                  <w:tcW w:w="2681" w:type="dxa"/>
                  <w:tcBorders>
                    <w:tl2br w:val="nil"/>
                    <w:tr2bl w:val="nil"/>
                  </w:tcBorders>
                  <w:noWrap w:val="0"/>
                  <w:vAlign w:val="center"/>
                </w:tcPr>
                <w:p w14:paraId="61FBFC74">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baseline"/>
                    <w:rPr>
                      <w:rFonts w:ascii="Times New Roman"/>
                      <w:b/>
                      <w:bCs/>
                      <w:color w:val="auto"/>
                      <w:sz w:val="21"/>
                      <w:szCs w:val="21"/>
                      <w:highlight w:val="none"/>
                    </w:rPr>
                  </w:pPr>
                  <w:r>
                    <w:rPr>
                      <w:rFonts w:hint="eastAsia" w:ascii="Times New Roman" w:hAnsi="Times New Roman" w:eastAsia="宋体" w:cs="Times New Roman"/>
                      <w:b/>
                      <w:bCs/>
                      <w:i w:val="0"/>
                      <w:iCs w:val="0"/>
                      <w:color w:val="auto"/>
                      <w:sz w:val="21"/>
                      <w:szCs w:val="21"/>
                      <w:lang w:eastAsia="zh-CN"/>
                    </w:rPr>
                    <w:t>处理措施与设施</w:t>
                  </w:r>
                </w:p>
              </w:tc>
              <w:tc>
                <w:tcPr>
                  <w:tcW w:w="2121" w:type="dxa"/>
                  <w:tcBorders>
                    <w:tl2br w:val="nil"/>
                    <w:tr2bl w:val="nil"/>
                  </w:tcBorders>
                  <w:noWrap w:val="0"/>
                  <w:vAlign w:val="center"/>
                </w:tcPr>
                <w:p w14:paraId="0965443F">
                  <w:pPr>
                    <w:keepNext w:val="0"/>
                    <w:keepLines w:val="0"/>
                    <w:pageBreakBefore w:val="0"/>
                    <w:widowControl w:val="0"/>
                    <w:kinsoku/>
                    <w:wordWrap/>
                    <w:overflowPunct/>
                    <w:topLinePunct w:val="0"/>
                    <w:autoSpaceDE/>
                    <w:autoSpaceDN/>
                    <w:bidi w:val="0"/>
                    <w:adjustRightInd/>
                    <w:snapToGrid w:val="0"/>
                    <w:spacing w:line="360" w:lineRule="exact"/>
                    <w:ind w:left="0" w:leftChars="0" w:right="0" w:rightChars="0" w:firstLine="0" w:firstLineChars="0"/>
                    <w:jc w:val="center"/>
                    <w:textAlignment w:val="baseline"/>
                    <w:rPr>
                      <w:rFonts w:ascii="Times New Roman"/>
                      <w:b/>
                      <w:bCs/>
                      <w:color w:val="auto"/>
                      <w:sz w:val="21"/>
                      <w:szCs w:val="21"/>
                      <w:highlight w:val="none"/>
                    </w:rPr>
                  </w:pPr>
                  <w:r>
                    <w:rPr>
                      <w:rFonts w:hint="eastAsia" w:ascii="Times New Roman" w:hAnsi="Times New Roman" w:eastAsia="宋体" w:cs="Times New Roman"/>
                      <w:b/>
                      <w:bCs/>
                      <w:i w:val="0"/>
                      <w:iCs w:val="0"/>
                      <w:color w:val="auto"/>
                      <w:sz w:val="21"/>
                      <w:szCs w:val="21"/>
                      <w:lang w:eastAsia="zh-CN"/>
                    </w:rPr>
                    <w:t>数量</w:t>
                  </w:r>
                </w:p>
              </w:tc>
              <w:tc>
                <w:tcPr>
                  <w:tcW w:w="721" w:type="dxa"/>
                  <w:tcBorders>
                    <w:tl2br w:val="nil"/>
                    <w:tr2bl w:val="nil"/>
                  </w:tcBorders>
                  <w:noWrap w:val="0"/>
                  <w:vAlign w:val="center"/>
                </w:tcPr>
                <w:p w14:paraId="641D488B">
                  <w:pPr>
                    <w:shd w:val="clear" w:color="auto" w:fill="auto"/>
                    <w:jc w:val="center"/>
                    <w:rPr>
                      <w:rFonts w:ascii="Times New Roman"/>
                      <w:b/>
                      <w:bCs/>
                      <w:color w:val="auto"/>
                      <w:sz w:val="21"/>
                      <w:szCs w:val="21"/>
                      <w:highlight w:val="none"/>
                    </w:rPr>
                  </w:pPr>
                  <w:r>
                    <w:rPr>
                      <w:rFonts w:ascii="Times New Roman"/>
                      <w:b/>
                      <w:bCs/>
                      <w:color w:val="auto"/>
                      <w:sz w:val="21"/>
                      <w:szCs w:val="21"/>
                      <w:highlight w:val="none"/>
                    </w:rPr>
                    <w:t>投资</w:t>
                  </w:r>
                </w:p>
              </w:tc>
            </w:tr>
            <w:tr w14:paraId="35B804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trPr>
              <w:tc>
                <w:tcPr>
                  <w:tcW w:w="421" w:type="dxa"/>
                  <w:vMerge w:val="restart"/>
                  <w:tcBorders>
                    <w:tl2br w:val="nil"/>
                    <w:tr2bl w:val="nil"/>
                  </w:tcBorders>
                  <w:noWrap w:val="0"/>
                  <w:vAlign w:val="center"/>
                </w:tcPr>
                <w:p w14:paraId="3222A920">
                  <w:pPr>
                    <w:shd w:val="clear" w:color="auto" w:fill="auto"/>
                    <w:jc w:val="center"/>
                    <w:rPr>
                      <w:rFonts w:ascii="Times New Roman"/>
                      <w:color w:val="auto"/>
                      <w:sz w:val="21"/>
                      <w:szCs w:val="21"/>
                      <w:highlight w:val="none"/>
                    </w:rPr>
                  </w:pPr>
                  <w:r>
                    <w:rPr>
                      <w:rFonts w:hint="eastAsia" w:ascii="Times New Roman"/>
                      <w:color w:val="auto"/>
                      <w:sz w:val="21"/>
                      <w:szCs w:val="21"/>
                      <w:highlight w:val="none"/>
                    </w:rPr>
                    <w:t>运营期</w:t>
                  </w:r>
                </w:p>
              </w:tc>
              <w:tc>
                <w:tcPr>
                  <w:tcW w:w="578" w:type="dxa"/>
                  <w:tcBorders>
                    <w:tl2br w:val="nil"/>
                    <w:tr2bl w:val="nil"/>
                  </w:tcBorders>
                  <w:noWrap w:val="0"/>
                  <w:vAlign w:val="center"/>
                </w:tcPr>
                <w:p w14:paraId="609F9929">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rPr>
                    <w:t>废气</w:t>
                  </w:r>
                </w:p>
              </w:tc>
              <w:tc>
                <w:tcPr>
                  <w:tcW w:w="1396" w:type="dxa"/>
                  <w:tcBorders>
                    <w:tl2br w:val="nil"/>
                    <w:tr2bl w:val="nil"/>
                  </w:tcBorders>
                  <w:noWrap w:val="0"/>
                  <w:vAlign w:val="center"/>
                </w:tcPr>
                <w:p w14:paraId="1E888205">
                  <w:pPr>
                    <w:pStyle w:val="10"/>
                    <w:keepNext w:val="0"/>
                    <w:keepLines w:val="0"/>
                    <w:pageBreakBefore w:val="0"/>
                    <w:widowControl w:val="0"/>
                    <w:tabs>
                      <w:tab w:val="left" w:pos="3794"/>
                    </w:tabs>
                    <w:kinsoku/>
                    <w:wordWrap/>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eastAsia="宋体" w:cs="Courier New"/>
                      <w:color w:val="auto"/>
                      <w:kern w:val="2"/>
                      <w:sz w:val="21"/>
                      <w:szCs w:val="21"/>
                      <w:shd w:val="clear" w:color="auto" w:fill="FFFFFF"/>
                      <w:lang w:val="en-US" w:eastAsia="zh-CN" w:bidi="ar-SA"/>
                    </w:rPr>
                  </w:pPr>
                  <w:r>
                    <w:rPr>
                      <w:rFonts w:hint="eastAsia" w:ascii="Times New Roman" w:hAnsi="Times New Roman" w:eastAsia="宋体" w:cs="Courier New"/>
                      <w:color w:val="auto"/>
                      <w:kern w:val="2"/>
                      <w:sz w:val="21"/>
                      <w:szCs w:val="21"/>
                      <w:shd w:val="clear" w:color="auto" w:fill="FFFFFF"/>
                      <w:lang w:val="en-US" w:eastAsia="zh-CN" w:bidi="ar-SA"/>
                    </w:rPr>
                    <w:t>注塑、挤出废气</w:t>
                  </w:r>
                </w:p>
              </w:tc>
              <w:tc>
                <w:tcPr>
                  <w:tcW w:w="2681" w:type="dxa"/>
                  <w:tcBorders>
                    <w:tl2br w:val="nil"/>
                    <w:tr2bl w:val="nil"/>
                  </w:tcBorders>
                  <w:noWrap w:val="0"/>
                  <w:vAlign w:val="center"/>
                </w:tcPr>
                <w:p w14:paraId="0435ECE2">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color w:val="auto"/>
                      <w:sz w:val="21"/>
                      <w:szCs w:val="21"/>
                      <w:highlight w:val="none"/>
                      <w:lang w:val="en-US" w:eastAsia="zh-CN"/>
                    </w:rPr>
                  </w:pPr>
                  <w:r>
                    <w:rPr>
                      <w:rFonts w:hint="default" w:ascii="Times New Roman" w:hAnsi="Times New Roman" w:eastAsia="宋体" w:cs="Times New Roman"/>
                      <w:b w:val="0"/>
                      <w:bCs w:val="0"/>
                      <w:i w:val="0"/>
                      <w:iCs w:val="0"/>
                      <w:color w:val="auto"/>
                      <w:sz w:val="21"/>
                      <w:szCs w:val="21"/>
                      <w:lang w:eastAsia="zh-CN"/>
                    </w:rPr>
                    <w:t>集气罩</w:t>
                  </w:r>
                  <w:r>
                    <w:rPr>
                      <w:rFonts w:hint="eastAsia" w:cs="Times New Roman"/>
                      <w:b w:val="0"/>
                      <w:bCs w:val="0"/>
                      <w:i w:val="0"/>
                      <w:iCs w:val="0"/>
                      <w:color w:val="auto"/>
                      <w:sz w:val="21"/>
                      <w:szCs w:val="21"/>
                      <w:lang w:eastAsia="zh-CN"/>
                    </w:rPr>
                    <w:t>（</w:t>
                  </w:r>
                  <w:r>
                    <w:rPr>
                      <w:rFonts w:hint="eastAsia" w:cs="Times New Roman"/>
                      <w:b w:val="0"/>
                      <w:bCs w:val="0"/>
                      <w:i w:val="0"/>
                      <w:iCs w:val="0"/>
                      <w:color w:val="auto"/>
                      <w:sz w:val="21"/>
                      <w:szCs w:val="21"/>
                      <w:lang w:val="en-US" w:eastAsia="zh-CN"/>
                    </w:rPr>
                    <w:t>8个</w:t>
                  </w:r>
                  <w:r>
                    <w:rPr>
                      <w:rFonts w:hint="eastAsia" w:cs="Times New Roman"/>
                      <w:b w:val="0"/>
                      <w:bCs w:val="0"/>
                      <w:i w:val="0"/>
                      <w:iCs w:val="0"/>
                      <w:color w:val="auto"/>
                      <w:sz w:val="21"/>
                      <w:szCs w:val="21"/>
                      <w:lang w:eastAsia="zh-CN"/>
                    </w:rPr>
                    <w:t>）</w:t>
                  </w:r>
                  <w:r>
                    <w:rPr>
                      <w:rFonts w:hint="eastAsia" w:ascii="Times New Roman" w:hAnsi="Times New Roman" w:eastAsia="宋体" w:cs="Times New Roman"/>
                      <w:b w:val="0"/>
                      <w:bCs w:val="0"/>
                      <w:i w:val="0"/>
                      <w:iCs w:val="0"/>
                      <w:color w:val="auto"/>
                      <w:sz w:val="21"/>
                      <w:szCs w:val="21"/>
                      <w:lang w:val="en-US" w:eastAsia="zh-CN"/>
                    </w:rPr>
                    <w:t>+二级活性炭</w:t>
                  </w:r>
                  <w:r>
                    <w:rPr>
                      <w:rFonts w:hint="default" w:ascii="Times New Roman" w:hAnsi="Times New Roman" w:eastAsia="宋体" w:cs="Times New Roman"/>
                      <w:b w:val="0"/>
                      <w:bCs w:val="0"/>
                      <w:i w:val="0"/>
                      <w:iCs w:val="0"/>
                      <w:color w:val="auto"/>
                      <w:sz w:val="21"/>
                      <w:szCs w:val="21"/>
                      <w:lang w:eastAsia="zh-CN"/>
                    </w:rPr>
                    <w:t>+15m排气筒</w:t>
                  </w:r>
                  <w:r>
                    <w:rPr>
                      <w:rFonts w:hint="eastAsia" w:ascii="Times New Roman" w:hAnsi="Times New Roman" w:eastAsia="宋体" w:cs="Times New Roman"/>
                      <w:b w:val="0"/>
                      <w:bCs w:val="0"/>
                      <w:i w:val="0"/>
                      <w:iCs w:val="0"/>
                      <w:color w:val="auto"/>
                      <w:sz w:val="21"/>
                      <w:szCs w:val="21"/>
                      <w:lang w:eastAsia="zh-CN"/>
                    </w:rPr>
                    <w:t>（</w:t>
                  </w:r>
                  <w:r>
                    <w:rPr>
                      <w:rFonts w:hint="eastAsia" w:ascii="Times New Roman" w:hAnsi="Times New Roman" w:eastAsia="宋体" w:cs="Times New Roman"/>
                      <w:b w:val="0"/>
                      <w:bCs w:val="0"/>
                      <w:i w:val="0"/>
                      <w:iCs w:val="0"/>
                      <w:color w:val="auto"/>
                      <w:sz w:val="21"/>
                      <w:szCs w:val="21"/>
                      <w:lang w:val="en-US" w:eastAsia="zh-CN"/>
                    </w:rPr>
                    <w:t>DA001）</w:t>
                  </w:r>
                </w:p>
              </w:tc>
              <w:tc>
                <w:tcPr>
                  <w:tcW w:w="2121" w:type="dxa"/>
                  <w:tcBorders>
                    <w:tl2br w:val="nil"/>
                    <w:tr2bl w:val="nil"/>
                  </w:tcBorders>
                  <w:noWrap w:val="0"/>
                  <w:vAlign w:val="center"/>
                </w:tcPr>
                <w:p w14:paraId="2FC0BC0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集气罩</w:t>
                  </w:r>
                  <w:r>
                    <w:rPr>
                      <w:rFonts w:hint="eastAsia" w:cs="Times New Roman"/>
                      <w:color w:val="auto"/>
                      <w:sz w:val="21"/>
                      <w:szCs w:val="21"/>
                      <w:highlight w:val="none"/>
                      <w:lang w:val="en-US" w:eastAsia="zh-CN"/>
                    </w:rPr>
                    <w:t>8个</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b w:val="0"/>
                      <w:bCs w:val="0"/>
                      <w:i w:val="0"/>
                      <w:iCs w:val="0"/>
                      <w:color w:val="auto"/>
                      <w:sz w:val="21"/>
                      <w:szCs w:val="21"/>
                      <w:lang w:val="en-US" w:eastAsia="zh-CN"/>
                    </w:rPr>
                    <w:t>二级活性炭</w:t>
                  </w:r>
                  <w:r>
                    <w:rPr>
                      <w:rFonts w:hint="default" w:ascii="Times New Roman" w:hAnsi="Times New Roman" w:cs="Times New Roman"/>
                      <w:color w:val="auto"/>
                      <w:sz w:val="21"/>
                      <w:szCs w:val="21"/>
                      <w:lang w:val="en-US" w:eastAsia="zh-CN"/>
                    </w:rPr>
                    <w:t>1套，排气筒1根</w:t>
                  </w:r>
                </w:p>
              </w:tc>
              <w:tc>
                <w:tcPr>
                  <w:tcW w:w="721" w:type="dxa"/>
                  <w:tcBorders>
                    <w:tl2br w:val="nil"/>
                    <w:tr2bl w:val="nil"/>
                  </w:tcBorders>
                  <w:noWrap w:val="0"/>
                  <w:vAlign w:val="center"/>
                </w:tcPr>
                <w:p w14:paraId="6C2BA92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8.0</w:t>
                  </w:r>
                </w:p>
              </w:tc>
            </w:tr>
            <w:tr w14:paraId="2DAFE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4" w:hRule="atLeast"/>
              </w:trPr>
              <w:tc>
                <w:tcPr>
                  <w:tcW w:w="421" w:type="dxa"/>
                  <w:vMerge w:val="continue"/>
                  <w:tcBorders>
                    <w:tl2br w:val="nil"/>
                    <w:tr2bl w:val="nil"/>
                  </w:tcBorders>
                  <w:noWrap w:val="0"/>
                  <w:vAlign w:val="center"/>
                </w:tcPr>
                <w:p w14:paraId="137F50FA">
                  <w:pPr>
                    <w:shd w:val="clear" w:color="auto" w:fill="auto"/>
                    <w:jc w:val="center"/>
                    <w:rPr>
                      <w:rFonts w:ascii="Times New Roman"/>
                      <w:color w:val="auto"/>
                      <w:sz w:val="21"/>
                      <w:szCs w:val="21"/>
                      <w:highlight w:val="none"/>
                    </w:rPr>
                  </w:pPr>
                </w:p>
              </w:tc>
              <w:tc>
                <w:tcPr>
                  <w:tcW w:w="578" w:type="dxa"/>
                  <w:tcBorders>
                    <w:tl2br w:val="nil"/>
                    <w:tr2bl w:val="nil"/>
                  </w:tcBorders>
                  <w:noWrap w:val="0"/>
                  <w:vAlign w:val="center"/>
                </w:tcPr>
                <w:p w14:paraId="1D857D6F">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废水</w:t>
                  </w:r>
                </w:p>
              </w:tc>
              <w:tc>
                <w:tcPr>
                  <w:tcW w:w="1396" w:type="dxa"/>
                  <w:tcBorders>
                    <w:tl2br w:val="nil"/>
                    <w:tr2bl w:val="nil"/>
                  </w:tcBorders>
                  <w:noWrap w:val="0"/>
                  <w:vAlign w:val="center"/>
                </w:tcPr>
                <w:p w14:paraId="383F9D5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生活污水</w:t>
                  </w:r>
                </w:p>
              </w:tc>
              <w:tc>
                <w:tcPr>
                  <w:tcW w:w="2681" w:type="dxa"/>
                  <w:tcBorders>
                    <w:tl2br w:val="nil"/>
                    <w:tr2bl w:val="nil"/>
                  </w:tcBorders>
                  <w:noWrap w:val="0"/>
                  <w:vAlign w:val="center"/>
                </w:tcPr>
                <w:p w14:paraId="1BD2091B">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化粪池</w:t>
                  </w:r>
                </w:p>
              </w:tc>
              <w:tc>
                <w:tcPr>
                  <w:tcW w:w="2121" w:type="dxa"/>
                  <w:tcBorders>
                    <w:tl2br w:val="nil"/>
                    <w:tr2bl w:val="nil"/>
                  </w:tcBorders>
                  <w:noWrap w:val="0"/>
                  <w:vAlign w:val="center"/>
                </w:tcPr>
                <w:p w14:paraId="60564E3A">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依托</w:t>
                  </w:r>
                </w:p>
              </w:tc>
              <w:tc>
                <w:tcPr>
                  <w:tcW w:w="721" w:type="dxa"/>
                  <w:tcBorders>
                    <w:tl2br w:val="nil"/>
                    <w:tr2bl w:val="nil"/>
                  </w:tcBorders>
                  <w:noWrap w:val="0"/>
                  <w:vAlign w:val="center"/>
                </w:tcPr>
                <w:p w14:paraId="69D26E3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w:t>
                  </w:r>
                </w:p>
              </w:tc>
            </w:tr>
            <w:tr w14:paraId="216D0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rPr>
              <w:tc>
                <w:tcPr>
                  <w:tcW w:w="421" w:type="dxa"/>
                  <w:vMerge w:val="continue"/>
                  <w:tcBorders>
                    <w:tl2br w:val="nil"/>
                    <w:tr2bl w:val="nil"/>
                  </w:tcBorders>
                  <w:noWrap w:val="0"/>
                  <w:vAlign w:val="center"/>
                </w:tcPr>
                <w:p w14:paraId="75DC2F41">
                  <w:pPr>
                    <w:shd w:val="clear" w:color="auto" w:fill="auto"/>
                    <w:jc w:val="center"/>
                    <w:rPr>
                      <w:rFonts w:ascii="Times New Roman"/>
                      <w:color w:val="auto"/>
                      <w:sz w:val="21"/>
                      <w:szCs w:val="21"/>
                      <w:highlight w:val="none"/>
                    </w:rPr>
                  </w:pPr>
                </w:p>
              </w:tc>
              <w:tc>
                <w:tcPr>
                  <w:tcW w:w="578" w:type="dxa"/>
                  <w:tcBorders>
                    <w:tl2br w:val="nil"/>
                    <w:tr2bl w:val="nil"/>
                  </w:tcBorders>
                  <w:noWrap w:val="0"/>
                  <w:vAlign w:val="center"/>
                </w:tcPr>
                <w:p w14:paraId="59F8F126">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噪声</w:t>
                  </w:r>
                </w:p>
              </w:tc>
              <w:tc>
                <w:tcPr>
                  <w:tcW w:w="1396" w:type="dxa"/>
                  <w:tcBorders>
                    <w:tl2br w:val="nil"/>
                    <w:tr2bl w:val="nil"/>
                  </w:tcBorders>
                  <w:noWrap w:val="0"/>
                  <w:vAlign w:val="center"/>
                </w:tcPr>
                <w:p w14:paraId="314DDAB0">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厂区</w:t>
                  </w:r>
                </w:p>
              </w:tc>
              <w:tc>
                <w:tcPr>
                  <w:tcW w:w="2681" w:type="dxa"/>
                  <w:tcBorders>
                    <w:tl2br w:val="nil"/>
                    <w:tr2bl w:val="nil"/>
                  </w:tcBorders>
                  <w:noWrap w:val="0"/>
                  <w:vAlign w:val="center"/>
                </w:tcPr>
                <w:p w14:paraId="3968CC10">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基础减震、</w:t>
                  </w:r>
                  <w:r>
                    <w:rPr>
                      <w:rFonts w:hint="eastAsia" w:ascii="Times New Roman"/>
                      <w:color w:val="auto"/>
                      <w:sz w:val="21"/>
                      <w:szCs w:val="21"/>
                      <w:highlight w:val="none"/>
                    </w:rPr>
                    <w:t>厂房隔声</w:t>
                  </w:r>
                  <w:r>
                    <w:rPr>
                      <w:rFonts w:ascii="Times New Roman"/>
                      <w:color w:val="auto"/>
                      <w:sz w:val="21"/>
                      <w:szCs w:val="21"/>
                      <w:highlight w:val="none"/>
                    </w:rPr>
                    <w:t>等</w:t>
                  </w:r>
                </w:p>
              </w:tc>
              <w:tc>
                <w:tcPr>
                  <w:tcW w:w="2121" w:type="dxa"/>
                  <w:tcBorders>
                    <w:tl2br w:val="nil"/>
                    <w:tr2bl w:val="nil"/>
                  </w:tcBorders>
                  <w:noWrap w:val="0"/>
                  <w:vAlign w:val="center"/>
                </w:tcPr>
                <w:p w14:paraId="4339744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eastAsia="zh-CN"/>
                    </w:rPr>
                  </w:pPr>
                  <w:r>
                    <w:rPr>
                      <w:rFonts w:hint="default" w:ascii="Times New Roman" w:hAnsi="Times New Roman" w:cs="Times New Roman"/>
                      <w:color w:val="auto"/>
                      <w:sz w:val="21"/>
                      <w:szCs w:val="21"/>
                      <w:lang w:eastAsia="zh-CN"/>
                    </w:rPr>
                    <w:t>若干</w:t>
                  </w:r>
                </w:p>
              </w:tc>
              <w:tc>
                <w:tcPr>
                  <w:tcW w:w="721" w:type="dxa"/>
                  <w:tcBorders>
                    <w:tl2br w:val="nil"/>
                    <w:tr2bl w:val="nil"/>
                  </w:tcBorders>
                  <w:noWrap w:val="0"/>
                  <w:vAlign w:val="center"/>
                </w:tcPr>
                <w:p w14:paraId="6338C6EE">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0.5</w:t>
                  </w:r>
                </w:p>
              </w:tc>
            </w:tr>
            <w:tr w14:paraId="7E6F2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trPr>
              <w:tc>
                <w:tcPr>
                  <w:tcW w:w="421" w:type="dxa"/>
                  <w:vMerge w:val="continue"/>
                  <w:tcBorders>
                    <w:tl2br w:val="nil"/>
                    <w:tr2bl w:val="nil"/>
                  </w:tcBorders>
                  <w:noWrap w:val="0"/>
                  <w:vAlign w:val="center"/>
                </w:tcPr>
                <w:p w14:paraId="07790126">
                  <w:pPr>
                    <w:shd w:val="clear" w:color="auto" w:fill="auto"/>
                    <w:jc w:val="center"/>
                    <w:rPr>
                      <w:rFonts w:ascii="Times New Roman"/>
                      <w:color w:val="auto"/>
                      <w:sz w:val="21"/>
                      <w:szCs w:val="21"/>
                      <w:highlight w:val="none"/>
                    </w:rPr>
                  </w:pPr>
                </w:p>
              </w:tc>
              <w:tc>
                <w:tcPr>
                  <w:tcW w:w="578" w:type="dxa"/>
                  <w:vMerge w:val="restart"/>
                  <w:tcBorders>
                    <w:tl2br w:val="nil"/>
                    <w:tr2bl w:val="nil"/>
                  </w:tcBorders>
                  <w:noWrap w:val="0"/>
                  <w:vAlign w:val="center"/>
                </w:tcPr>
                <w:p w14:paraId="565A9FF4">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固废</w:t>
                  </w:r>
                </w:p>
              </w:tc>
              <w:tc>
                <w:tcPr>
                  <w:tcW w:w="1396" w:type="dxa"/>
                  <w:tcBorders>
                    <w:tl2br w:val="nil"/>
                    <w:tr2bl w:val="nil"/>
                  </w:tcBorders>
                  <w:noWrap w:val="0"/>
                  <w:vAlign w:val="center"/>
                </w:tcPr>
                <w:p w14:paraId="786E9183">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lang w:val="en-US" w:eastAsia="zh-CN"/>
                    </w:rPr>
                    <w:t>生活垃圾</w:t>
                  </w:r>
                </w:p>
              </w:tc>
              <w:tc>
                <w:tcPr>
                  <w:tcW w:w="2681" w:type="dxa"/>
                  <w:tcBorders>
                    <w:tl2br w:val="nil"/>
                    <w:tr2bl w:val="nil"/>
                  </w:tcBorders>
                  <w:noWrap w:val="0"/>
                  <w:vAlign w:val="center"/>
                </w:tcPr>
                <w:p w14:paraId="7151F45A">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垃圾桶</w:t>
                  </w:r>
                </w:p>
              </w:tc>
              <w:tc>
                <w:tcPr>
                  <w:tcW w:w="2121" w:type="dxa"/>
                  <w:tcBorders>
                    <w:tl2br w:val="nil"/>
                    <w:tr2bl w:val="nil"/>
                  </w:tcBorders>
                  <w:noWrap w:val="0"/>
                  <w:vAlign w:val="center"/>
                </w:tcPr>
                <w:p w14:paraId="1999663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若干</w:t>
                  </w:r>
                </w:p>
              </w:tc>
              <w:tc>
                <w:tcPr>
                  <w:tcW w:w="721" w:type="dxa"/>
                  <w:tcBorders>
                    <w:tl2br w:val="nil"/>
                    <w:tr2bl w:val="nil"/>
                  </w:tcBorders>
                  <w:noWrap w:val="0"/>
                  <w:vAlign w:val="center"/>
                </w:tcPr>
                <w:p w14:paraId="5F4996E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0.5</w:t>
                  </w:r>
                </w:p>
              </w:tc>
            </w:tr>
            <w:tr w14:paraId="17E97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8" w:hRule="atLeast"/>
              </w:trPr>
              <w:tc>
                <w:tcPr>
                  <w:tcW w:w="421" w:type="dxa"/>
                  <w:vMerge w:val="continue"/>
                  <w:tcBorders>
                    <w:tl2br w:val="nil"/>
                    <w:tr2bl w:val="nil"/>
                  </w:tcBorders>
                  <w:noWrap w:val="0"/>
                  <w:vAlign w:val="center"/>
                </w:tcPr>
                <w:p w14:paraId="2981A883">
                  <w:pPr>
                    <w:shd w:val="clear" w:color="auto" w:fill="auto"/>
                    <w:jc w:val="center"/>
                    <w:rPr>
                      <w:rFonts w:ascii="Times New Roman"/>
                      <w:color w:val="auto"/>
                      <w:sz w:val="21"/>
                      <w:szCs w:val="21"/>
                      <w:highlight w:val="none"/>
                    </w:rPr>
                  </w:pPr>
                </w:p>
              </w:tc>
              <w:tc>
                <w:tcPr>
                  <w:tcW w:w="578" w:type="dxa"/>
                  <w:vMerge w:val="continue"/>
                  <w:tcBorders>
                    <w:tl2br w:val="nil"/>
                    <w:tr2bl w:val="nil"/>
                  </w:tcBorders>
                  <w:noWrap w:val="0"/>
                  <w:vAlign w:val="center"/>
                </w:tcPr>
                <w:p w14:paraId="52F48F1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p>
              </w:tc>
              <w:tc>
                <w:tcPr>
                  <w:tcW w:w="1396" w:type="dxa"/>
                  <w:tcBorders>
                    <w:tl2br w:val="nil"/>
                    <w:tr2bl w:val="nil"/>
                  </w:tcBorders>
                  <w:noWrap w:val="0"/>
                  <w:vAlign w:val="center"/>
                </w:tcPr>
                <w:p w14:paraId="2D05330A">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一般固废</w:t>
                  </w:r>
                </w:p>
              </w:tc>
              <w:tc>
                <w:tcPr>
                  <w:tcW w:w="2681" w:type="dxa"/>
                  <w:tcBorders>
                    <w:tl2br w:val="nil"/>
                    <w:tr2bl w:val="nil"/>
                  </w:tcBorders>
                  <w:noWrap w:val="0"/>
                  <w:vAlign w:val="center"/>
                </w:tcPr>
                <w:p w14:paraId="7380BAC0">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一般固废暂存区</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0m</w:t>
                  </w:r>
                  <w:r>
                    <w:rPr>
                      <w:rFonts w:hint="default" w:ascii="Times New Roman" w:hAnsi="Times New Roman" w:cs="Times New Roman"/>
                      <w:color w:val="auto"/>
                      <w:sz w:val="21"/>
                      <w:szCs w:val="21"/>
                      <w:vertAlign w:val="superscript"/>
                      <w:lang w:val="en-US" w:eastAsia="zh-CN"/>
                    </w:rPr>
                    <w:t>2</w:t>
                  </w:r>
                </w:p>
              </w:tc>
              <w:tc>
                <w:tcPr>
                  <w:tcW w:w="2121" w:type="dxa"/>
                  <w:tcBorders>
                    <w:tl2br w:val="nil"/>
                    <w:tr2bl w:val="nil"/>
                  </w:tcBorders>
                  <w:noWrap w:val="0"/>
                  <w:vAlign w:val="center"/>
                </w:tcPr>
                <w:p w14:paraId="1BE1F203">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1处</w:t>
                  </w:r>
                </w:p>
              </w:tc>
              <w:tc>
                <w:tcPr>
                  <w:tcW w:w="721" w:type="dxa"/>
                  <w:tcBorders>
                    <w:tl2br w:val="nil"/>
                    <w:tr2bl w:val="nil"/>
                  </w:tcBorders>
                  <w:noWrap w:val="0"/>
                  <w:vAlign w:val="center"/>
                </w:tcPr>
                <w:p w14:paraId="6EEDFAE5">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color w:val="auto"/>
                      <w:sz w:val="21"/>
                      <w:szCs w:val="21"/>
                      <w:highlight w:val="none"/>
                      <w:lang w:val="en-US" w:eastAsia="zh-CN"/>
                    </w:rPr>
                  </w:pPr>
                  <w:r>
                    <w:rPr>
                      <w:rFonts w:hint="eastAsia" w:ascii="Times New Roman"/>
                      <w:color w:val="auto"/>
                      <w:sz w:val="21"/>
                      <w:szCs w:val="21"/>
                      <w:highlight w:val="none"/>
                      <w:lang w:val="en-US" w:eastAsia="zh-CN"/>
                    </w:rPr>
                    <w:t>0.</w:t>
                  </w:r>
                  <w:r>
                    <w:rPr>
                      <w:rFonts w:hint="eastAsia"/>
                      <w:color w:val="auto"/>
                      <w:sz w:val="21"/>
                      <w:szCs w:val="21"/>
                      <w:highlight w:val="none"/>
                      <w:lang w:val="en-US" w:eastAsia="zh-CN"/>
                    </w:rPr>
                    <w:t>3</w:t>
                  </w:r>
                </w:p>
              </w:tc>
            </w:tr>
            <w:tr w14:paraId="2327B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1" w:hRule="atLeast"/>
              </w:trPr>
              <w:tc>
                <w:tcPr>
                  <w:tcW w:w="421" w:type="dxa"/>
                  <w:vMerge w:val="continue"/>
                  <w:tcBorders>
                    <w:tl2br w:val="nil"/>
                    <w:tr2bl w:val="nil"/>
                  </w:tcBorders>
                  <w:noWrap w:val="0"/>
                  <w:vAlign w:val="center"/>
                </w:tcPr>
                <w:p w14:paraId="3C424A84">
                  <w:pPr>
                    <w:shd w:val="clear" w:color="auto" w:fill="auto"/>
                    <w:jc w:val="center"/>
                    <w:rPr>
                      <w:rFonts w:ascii="Times New Roman"/>
                      <w:color w:val="auto"/>
                      <w:sz w:val="21"/>
                      <w:szCs w:val="21"/>
                      <w:highlight w:val="none"/>
                    </w:rPr>
                  </w:pPr>
                </w:p>
              </w:tc>
              <w:tc>
                <w:tcPr>
                  <w:tcW w:w="578" w:type="dxa"/>
                  <w:vMerge w:val="continue"/>
                  <w:tcBorders>
                    <w:tl2br w:val="nil"/>
                    <w:tr2bl w:val="nil"/>
                  </w:tcBorders>
                  <w:noWrap w:val="0"/>
                  <w:vAlign w:val="center"/>
                </w:tcPr>
                <w:p w14:paraId="44B74332">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p>
              </w:tc>
              <w:tc>
                <w:tcPr>
                  <w:tcW w:w="1396" w:type="dxa"/>
                  <w:tcBorders>
                    <w:tl2br w:val="nil"/>
                    <w:tr2bl w:val="nil"/>
                  </w:tcBorders>
                  <w:noWrap w:val="0"/>
                  <w:vAlign w:val="center"/>
                </w:tcPr>
                <w:p w14:paraId="1FE945AE">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hint="eastAsia" w:ascii="Times New Roman"/>
                      <w:color w:val="auto"/>
                      <w:sz w:val="21"/>
                      <w:szCs w:val="21"/>
                      <w:highlight w:val="none"/>
                      <w:lang w:val="en-US" w:eastAsia="zh-CN"/>
                    </w:rPr>
                    <w:t>危险废物</w:t>
                  </w:r>
                </w:p>
              </w:tc>
              <w:tc>
                <w:tcPr>
                  <w:tcW w:w="2681" w:type="dxa"/>
                  <w:tcBorders>
                    <w:tl2br w:val="nil"/>
                    <w:tr2bl w:val="nil"/>
                  </w:tcBorders>
                  <w:noWrap w:val="0"/>
                  <w:vAlign w:val="center"/>
                </w:tcPr>
                <w:p w14:paraId="44EA7257">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eastAsia" w:ascii="Times New Roman" w:eastAsia="宋体"/>
                      <w:color w:val="auto"/>
                      <w:sz w:val="21"/>
                      <w:szCs w:val="21"/>
                      <w:highlight w:val="none"/>
                      <w:lang w:eastAsia="zh-CN"/>
                    </w:rPr>
                  </w:pPr>
                  <w:r>
                    <w:rPr>
                      <w:rFonts w:hint="eastAsia" w:cs="Times New Roman"/>
                      <w:color w:val="auto"/>
                      <w:sz w:val="21"/>
                      <w:szCs w:val="21"/>
                      <w:lang w:eastAsia="zh-CN"/>
                    </w:rPr>
                    <w:t>危险废物贮存库</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10</w:t>
                  </w:r>
                  <w:r>
                    <w:rPr>
                      <w:rFonts w:hint="default" w:ascii="Times New Roman" w:hAnsi="Times New Roman" w:cs="Times New Roman"/>
                      <w:color w:val="auto"/>
                      <w:sz w:val="21"/>
                      <w:szCs w:val="21"/>
                      <w:lang w:eastAsia="zh-CN"/>
                    </w:rPr>
                    <w:t>m</w:t>
                  </w:r>
                  <w:r>
                    <w:rPr>
                      <w:rFonts w:hint="default" w:ascii="Times New Roman" w:hAnsi="Times New Roman" w:cs="Times New Roman"/>
                      <w:color w:val="auto"/>
                      <w:sz w:val="21"/>
                      <w:szCs w:val="21"/>
                      <w:vertAlign w:val="superscript"/>
                      <w:lang w:eastAsia="zh-CN"/>
                    </w:rPr>
                    <w:t>2</w:t>
                  </w:r>
                </w:p>
              </w:tc>
              <w:tc>
                <w:tcPr>
                  <w:tcW w:w="2121" w:type="dxa"/>
                  <w:tcBorders>
                    <w:tl2br w:val="nil"/>
                    <w:tr2bl w:val="nil"/>
                  </w:tcBorders>
                  <w:noWrap w:val="0"/>
                  <w:vAlign w:val="center"/>
                </w:tcPr>
                <w:p w14:paraId="12E8CABD">
                  <w:pPr>
                    <w:keepNext w:val="0"/>
                    <w:keepLines w:val="0"/>
                    <w:pageBreakBefore w:val="0"/>
                    <w:widowControl w:val="0"/>
                    <w:kinsoku/>
                    <w:wordWrap/>
                    <w:overflowPunct/>
                    <w:topLinePunct w:val="0"/>
                    <w:autoSpaceDE/>
                    <w:autoSpaceDN/>
                    <w:bidi w:val="0"/>
                    <w:adjustRightInd/>
                    <w:snapToGrid w:val="0"/>
                    <w:spacing w:line="264" w:lineRule="auto"/>
                    <w:ind w:left="0" w:leftChars="0" w:right="0" w:rightChars="0" w:firstLine="0" w:firstLineChars="0"/>
                    <w:jc w:val="center"/>
                    <w:textAlignment w:val="auto"/>
                    <w:rPr>
                      <w:rFonts w:ascii="Times New Roman"/>
                      <w:color w:val="auto"/>
                      <w:sz w:val="21"/>
                      <w:szCs w:val="21"/>
                      <w:highlight w:val="none"/>
                    </w:rPr>
                  </w:pPr>
                  <w:r>
                    <w:rPr>
                      <w:rFonts w:hint="default" w:ascii="Times New Roman" w:hAnsi="Times New Roman" w:cs="Times New Roman"/>
                      <w:color w:val="auto"/>
                      <w:sz w:val="21"/>
                      <w:szCs w:val="21"/>
                      <w:lang w:eastAsia="zh-CN"/>
                    </w:rPr>
                    <w:t>1间</w:t>
                  </w:r>
                </w:p>
              </w:tc>
              <w:tc>
                <w:tcPr>
                  <w:tcW w:w="721" w:type="dxa"/>
                  <w:tcBorders>
                    <w:tl2br w:val="nil"/>
                    <w:tr2bl w:val="nil"/>
                  </w:tcBorders>
                  <w:noWrap w:val="0"/>
                  <w:vAlign w:val="center"/>
                </w:tcPr>
                <w:p w14:paraId="5206A70F">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0.</w:t>
                  </w:r>
                  <w:r>
                    <w:rPr>
                      <w:rFonts w:hint="eastAsia"/>
                      <w:color w:val="auto"/>
                      <w:sz w:val="21"/>
                      <w:szCs w:val="21"/>
                      <w:highlight w:val="none"/>
                      <w:lang w:val="en-US" w:eastAsia="zh-CN"/>
                    </w:rPr>
                    <w:t>7</w:t>
                  </w:r>
                </w:p>
              </w:tc>
            </w:tr>
            <w:tr w14:paraId="022E9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7197" w:type="dxa"/>
                  <w:gridSpan w:val="5"/>
                  <w:tcBorders>
                    <w:tl2br w:val="nil"/>
                    <w:tr2bl w:val="nil"/>
                  </w:tcBorders>
                  <w:noWrap w:val="0"/>
                  <w:vAlign w:val="center"/>
                </w:tcPr>
                <w:p w14:paraId="771D6BA2">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ascii="Times New Roman"/>
                      <w:color w:val="auto"/>
                      <w:sz w:val="21"/>
                      <w:szCs w:val="21"/>
                      <w:highlight w:val="none"/>
                    </w:rPr>
                  </w:pPr>
                  <w:r>
                    <w:rPr>
                      <w:rFonts w:ascii="Times New Roman"/>
                      <w:color w:val="auto"/>
                      <w:sz w:val="21"/>
                      <w:szCs w:val="21"/>
                      <w:highlight w:val="none"/>
                    </w:rPr>
                    <w:t>合计</w:t>
                  </w:r>
                </w:p>
              </w:tc>
              <w:tc>
                <w:tcPr>
                  <w:tcW w:w="721" w:type="dxa"/>
                  <w:tcBorders>
                    <w:tl2br w:val="nil"/>
                    <w:tr2bl w:val="nil"/>
                  </w:tcBorders>
                  <w:noWrap w:val="0"/>
                  <w:vAlign w:val="center"/>
                </w:tcPr>
                <w:p w14:paraId="334581AC">
                  <w:pPr>
                    <w:keepNext w:val="0"/>
                    <w:keepLines w:val="0"/>
                    <w:pageBreakBefore w:val="0"/>
                    <w:widowControl w:val="0"/>
                    <w:shd w:val="clear" w:color="auto" w:fill="auto"/>
                    <w:kinsoku/>
                    <w:wordWrap/>
                    <w:overflowPunct/>
                    <w:topLinePunct w:val="0"/>
                    <w:autoSpaceDE/>
                    <w:autoSpaceDN/>
                    <w:bidi w:val="0"/>
                    <w:spacing w:line="264" w:lineRule="auto"/>
                    <w:jc w:val="center"/>
                    <w:textAlignment w:val="auto"/>
                    <w:rPr>
                      <w:rFonts w:hint="default"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10</w:t>
                  </w:r>
                </w:p>
              </w:tc>
            </w:tr>
          </w:tbl>
          <w:p w14:paraId="4DC27FC2">
            <w:pPr>
              <w:pStyle w:val="2"/>
              <w:rPr>
                <w:rFonts w:ascii="Times New Roman" w:hAnsi="Times New Roman"/>
                <w:color w:val="auto"/>
                <w:sz w:val="21"/>
                <w:szCs w:val="21"/>
                <w:highlight w:val="none"/>
              </w:rPr>
            </w:pPr>
          </w:p>
          <w:p w14:paraId="7B26867C">
            <w:pPr>
              <w:pStyle w:val="2"/>
              <w:rPr>
                <w:rFonts w:ascii="Times New Roman" w:hAnsi="Times New Roman"/>
                <w:color w:val="auto"/>
                <w:sz w:val="21"/>
                <w:szCs w:val="21"/>
                <w:highlight w:val="none"/>
              </w:rPr>
            </w:pPr>
          </w:p>
          <w:p w14:paraId="439C90F5">
            <w:pPr>
              <w:pStyle w:val="2"/>
              <w:rPr>
                <w:rFonts w:ascii="Times New Roman" w:hAnsi="Times New Roman"/>
                <w:color w:val="auto"/>
                <w:sz w:val="21"/>
                <w:szCs w:val="21"/>
                <w:highlight w:val="none"/>
              </w:rPr>
            </w:pPr>
          </w:p>
          <w:p w14:paraId="382DE0A7">
            <w:pPr>
              <w:pStyle w:val="2"/>
              <w:rPr>
                <w:rFonts w:ascii="Times New Roman" w:hAnsi="Times New Roman"/>
                <w:color w:val="auto"/>
                <w:sz w:val="21"/>
                <w:szCs w:val="21"/>
                <w:highlight w:val="none"/>
              </w:rPr>
            </w:pPr>
          </w:p>
          <w:p w14:paraId="432BA9AD">
            <w:pPr>
              <w:pStyle w:val="2"/>
              <w:rPr>
                <w:rFonts w:ascii="Times New Roman" w:hAnsi="Times New Roman"/>
                <w:color w:val="auto"/>
                <w:sz w:val="21"/>
                <w:szCs w:val="21"/>
                <w:highlight w:val="none"/>
              </w:rPr>
            </w:pPr>
          </w:p>
          <w:p w14:paraId="6D54F508">
            <w:pPr>
              <w:pStyle w:val="2"/>
              <w:rPr>
                <w:rFonts w:ascii="Times New Roman" w:hAnsi="Times New Roman"/>
                <w:color w:val="auto"/>
                <w:sz w:val="21"/>
                <w:szCs w:val="21"/>
                <w:highlight w:val="none"/>
              </w:rPr>
            </w:pPr>
          </w:p>
          <w:p w14:paraId="0E101ACB">
            <w:pPr>
              <w:pStyle w:val="2"/>
              <w:rPr>
                <w:rFonts w:ascii="Times New Roman" w:hAnsi="Times New Roman"/>
                <w:color w:val="auto"/>
                <w:sz w:val="21"/>
                <w:szCs w:val="21"/>
                <w:highlight w:val="none"/>
              </w:rPr>
            </w:pPr>
          </w:p>
          <w:p w14:paraId="56CA9CD9">
            <w:pPr>
              <w:pStyle w:val="2"/>
              <w:rPr>
                <w:rFonts w:ascii="Times New Roman" w:hAnsi="Times New Roman"/>
                <w:color w:val="auto"/>
                <w:sz w:val="21"/>
                <w:szCs w:val="21"/>
                <w:highlight w:val="none"/>
              </w:rPr>
            </w:pPr>
          </w:p>
          <w:p w14:paraId="2E798F6B">
            <w:pPr>
              <w:pStyle w:val="2"/>
              <w:rPr>
                <w:rFonts w:ascii="Times New Roman" w:hAnsi="Times New Roman"/>
                <w:color w:val="auto"/>
                <w:sz w:val="21"/>
                <w:szCs w:val="21"/>
                <w:highlight w:val="none"/>
              </w:rPr>
            </w:pPr>
          </w:p>
          <w:p w14:paraId="5C0B26D5">
            <w:pPr>
              <w:pStyle w:val="2"/>
              <w:rPr>
                <w:rFonts w:ascii="Times New Roman" w:hAnsi="Times New Roman"/>
                <w:color w:val="auto"/>
                <w:sz w:val="21"/>
                <w:szCs w:val="21"/>
                <w:highlight w:val="none"/>
              </w:rPr>
            </w:pPr>
          </w:p>
          <w:p w14:paraId="2577A735">
            <w:pPr>
              <w:pStyle w:val="2"/>
              <w:rPr>
                <w:rFonts w:ascii="Times New Roman" w:hAnsi="Times New Roman"/>
                <w:color w:val="auto"/>
                <w:sz w:val="21"/>
                <w:szCs w:val="21"/>
                <w:highlight w:val="none"/>
              </w:rPr>
            </w:pPr>
          </w:p>
          <w:p w14:paraId="233D3106">
            <w:pPr>
              <w:pStyle w:val="2"/>
              <w:rPr>
                <w:rFonts w:ascii="Times New Roman" w:hAnsi="Times New Roman"/>
                <w:color w:val="auto"/>
                <w:sz w:val="21"/>
                <w:szCs w:val="21"/>
                <w:highlight w:val="none"/>
              </w:rPr>
            </w:pPr>
          </w:p>
        </w:tc>
      </w:tr>
    </w:tbl>
    <w:p w14:paraId="7D31541E">
      <w:pPr>
        <w:adjustRightInd w:val="0"/>
        <w:snapToGrid w:val="0"/>
        <w:spacing w:line="360" w:lineRule="auto"/>
        <w:rPr>
          <w:rFonts w:hint="eastAsia" w:ascii="宋体" w:cs="宋体"/>
          <w:b/>
          <w:color w:val="0000FF"/>
          <w:kern w:val="0"/>
          <w:sz w:val="28"/>
          <w:szCs w:val="28"/>
        </w:rPr>
        <w:sectPr>
          <w:pgSz w:w="11907" w:h="16840"/>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3E16AB92">
      <w:pPr>
        <w:pStyle w:val="22"/>
        <w:numPr>
          <w:ilvl w:val="0"/>
          <w:numId w:val="6"/>
        </w:numPr>
        <w:ind w:left="0" w:leftChars="0" w:firstLine="0" w:firstLineChars="0"/>
        <w:jc w:val="center"/>
        <w:outlineLvl w:val="0"/>
        <w:rPr>
          <w:rFonts w:hint="eastAsia" w:ascii="黑体" w:hAnsi="黑体" w:eastAsia="黑体"/>
          <w:snapToGrid w:val="0"/>
          <w:color w:val="auto"/>
          <w:sz w:val="30"/>
          <w:szCs w:val="30"/>
        </w:rPr>
      </w:pPr>
      <w:bookmarkStart w:id="15" w:name="_Hlk54167917"/>
      <w:r>
        <w:rPr>
          <w:rFonts w:hint="eastAsia" w:ascii="黑体" w:hAnsi="黑体" w:eastAsia="黑体"/>
          <w:snapToGrid w:val="0"/>
          <w:color w:val="auto"/>
          <w:sz w:val="30"/>
          <w:szCs w:val="30"/>
        </w:rPr>
        <w:t>环境保护措施监督检查清单</w:t>
      </w:r>
      <w:bookmarkEnd w:id="15"/>
    </w:p>
    <w:tbl>
      <w:tblPr>
        <w:tblStyle w:val="25"/>
        <w:tblW w:w="91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1"/>
        <w:gridCol w:w="1644"/>
        <w:gridCol w:w="1624"/>
        <w:gridCol w:w="2547"/>
        <w:gridCol w:w="2163"/>
      </w:tblGrid>
      <w:tr w14:paraId="6D6DF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2" w:hRule="atLeast"/>
          <w:jc w:val="center"/>
        </w:trPr>
        <w:tc>
          <w:tcPr>
            <w:tcW w:w="1151" w:type="dxa"/>
            <w:tcBorders>
              <w:tl2br w:val="single" w:color="auto" w:sz="4" w:space="0"/>
            </w:tcBorders>
            <w:noWrap w:val="0"/>
            <w:vAlign w:val="top"/>
          </w:tcPr>
          <w:p w14:paraId="15A12C01">
            <w:pPr>
              <w:shd w:val="clear" w:color="auto" w:fill="auto"/>
              <w:adjustRightInd w:val="0"/>
              <w:snapToGrid w:val="0"/>
              <w:ind w:firstLine="422" w:firstLineChars="200"/>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内容</w:t>
            </w:r>
          </w:p>
          <w:p w14:paraId="351A6E78">
            <w:pPr>
              <w:shd w:val="clear" w:color="auto" w:fill="auto"/>
              <w:adjustRightInd w:val="0"/>
              <w:snapToGrid w:val="0"/>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要素</w:t>
            </w:r>
          </w:p>
        </w:tc>
        <w:tc>
          <w:tcPr>
            <w:tcW w:w="1644" w:type="dxa"/>
            <w:noWrap w:val="0"/>
            <w:vAlign w:val="center"/>
          </w:tcPr>
          <w:p w14:paraId="1D404BE8">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排放口(编号、</w:t>
            </w:r>
          </w:p>
          <w:p w14:paraId="34E4C9DD">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名称)/污染源</w:t>
            </w:r>
          </w:p>
        </w:tc>
        <w:tc>
          <w:tcPr>
            <w:tcW w:w="1624" w:type="dxa"/>
            <w:noWrap w:val="0"/>
            <w:vAlign w:val="center"/>
          </w:tcPr>
          <w:p w14:paraId="334D9EAE">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污染物项目</w:t>
            </w:r>
          </w:p>
        </w:tc>
        <w:tc>
          <w:tcPr>
            <w:tcW w:w="2547" w:type="dxa"/>
            <w:noWrap w:val="0"/>
            <w:vAlign w:val="center"/>
          </w:tcPr>
          <w:p w14:paraId="1B999E5B">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环境保护措施</w:t>
            </w:r>
          </w:p>
        </w:tc>
        <w:tc>
          <w:tcPr>
            <w:tcW w:w="2163" w:type="dxa"/>
            <w:noWrap w:val="0"/>
            <w:vAlign w:val="center"/>
          </w:tcPr>
          <w:p w14:paraId="35F7963B">
            <w:pPr>
              <w:shd w:val="clear" w:color="auto" w:fill="auto"/>
              <w:adjustRightInd w:val="0"/>
              <w:snapToGrid w:val="0"/>
              <w:jc w:val="center"/>
              <w:rPr>
                <w:rFonts w:hint="eastAsia" w:asciiTheme="majorEastAsia" w:hAnsiTheme="majorEastAsia" w:eastAsiaTheme="majorEastAsia" w:cstheme="majorEastAsia"/>
                <w:b/>
                <w:bCs/>
                <w:color w:val="auto"/>
                <w:sz w:val="21"/>
                <w:szCs w:val="21"/>
                <w:highlight w:val="none"/>
              </w:rPr>
            </w:pPr>
            <w:r>
              <w:rPr>
                <w:rFonts w:hint="eastAsia" w:asciiTheme="majorEastAsia" w:hAnsiTheme="majorEastAsia" w:eastAsiaTheme="majorEastAsia" w:cstheme="majorEastAsia"/>
                <w:b/>
                <w:bCs/>
                <w:color w:val="auto"/>
                <w:sz w:val="21"/>
                <w:szCs w:val="21"/>
                <w:highlight w:val="none"/>
              </w:rPr>
              <w:t>执行标准</w:t>
            </w:r>
          </w:p>
        </w:tc>
      </w:tr>
      <w:tr w14:paraId="69C967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2" w:hRule="atLeast"/>
          <w:jc w:val="center"/>
        </w:trPr>
        <w:tc>
          <w:tcPr>
            <w:tcW w:w="1151" w:type="dxa"/>
            <w:noWrap w:val="0"/>
            <w:vAlign w:val="center"/>
          </w:tcPr>
          <w:p w14:paraId="5A9A239C">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大气环境</w:t>
            </w:r>
          </w:p>
        </w:tc>
        <w:tc>
          <w:tcPr>
            <w:tcW w:w="1644" w:type="dxa"/>
            <w:noWrap w:val="0"/>
            <w:vAlign w:val="center"/>
          </w:tcPr>
          <w:p w14:paraId="4C2E0485">
            <w:pPr>
              <w:pStyle w:val="10"/>
              <w:keepNext w:val="0"/>
              <w:keepLines w:val="0"/>
              <w:pageBreakBefore w:val="0"/>
              <w:widowControl w:val="0"/>
              <w:tabs>
                <w:tab w:val="left" w:pos="3794"/>
              </w:tabs>
              <w:kinsoku/>
              <w:overflowPunct/>
              <w:topLinePunct w:val="0"/>
              <w:autoSpaceDE/>
              <w:autoSpaceDN/>
              <w:bidi w:val="0"/>
              <w:adjustRightInd w:val="0"/>
              <w:snapToGrid w:val="0"/>
              <w:spacing w:line="264" w:lineRule="auto"/>
              <w:ind w:firstLine="0" w:firstLineChars="0"/>
              <w:jc w:val="center"/>
              <w:textAlignment w:val="auto"/>
              <w:rPr>
                <w:rFonts w:hint="default" w:ascii="Times New Roman" w:hAnsi="Times New Roman" w:cs="Times New Roman" w:eastAsiaTheme="minorEastAsia"/>
                <w:color w:val="auto"/>
                <w:kern w:val="2"/>
                <w:sz w:val="21"/>
                <w:szCs w:val="21"/>
                <w:shd w:val="clear" w:color="auto" w:fill="FFFFFF"/>
                <w:lang w:val="en-US" w:eastAsia="zh-CN" w:bidi="ar-SA"/>
              </w:rPr>
            </w:pPr>
            <w:r>
              <w:rPr>
                <w:rFonts w:hint="default" w:ascii="Times New Roman" w:hAnsi="Times New Roman" w:cs="Times New Roman" w:eastAsiaTheme="minorEastAsia"/>
                <w:color w:val="auto"/>
                <w:szCs w:val="21"/>
                <w:shd w:val="clear" w:color="auto" w:fill="FFFFFF"/>
                <w:lang w:val="en-US" w:eastAsia="zh-CN"/>
              </w:rPr>
              <w:t>注塑、挤出</w:t>
            </w:r>
            <w:r>
              <w:rPr>
                <w:rFonts w:hint="default" w:ascii="Times New Roman" w:hAnsi="Times New Roman" w:cs="Times New Roman" w:eastAsiaTheme="minorEastAsia"/>
                <w:color w:val="auto"/>
                <w:szCs w:val="21"/>
                <w:shd w:val="clear" w:color="auto" w:fill="FFFFFF"/>
                <w:lang w:eastAsia="zh-CN"/>
              </w:rPr>
              <w:t>废气</w:t>
            </w:r>
          </w:p>
        </w:tc>
        <w:tc>
          <w:tcPr>
            <w:tcW w:w="1624" w:type="dxa"/>
            <w:noWrap w:val="0"/>
            <w:vAlign w:val="center"/>
          </w:tcPr>
          <w:p w14:paraId="16E557EF">
            <w:pPr>
              <w:keepNext w:val="0"/>
              <w:keepLines w:val="0"/>
              <w:pageBreakBefore w:val="0"/>
              <w:widowControl w:val="0"/>
              <w:kinsoku/>
              <w:wordWrap/>
              <w:overflowPunct/>
              <w:topLinePunct w:val="0"/>
              <w:autoSpaceDE/>
              <w:autoSpaceDN/>
              <w:bidi w:val="0"/>
              <w:adjustRightInd/>
              <w:snapToGrid/>
              <w:spacing w:line="264" w:lineRule="auto"/>
              <w:ind w:left="0" w:leftChars="0" w:right="0" w:rightChars="0"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非甲烷总烃</w:t>
            </w:r>
          </w:p>
        </w:tc>
        <w:tc>
          <w:tcPr>
            <w:tcW w:w="2547" w:type="dxa"/>
            <w:noWrap w:val="0"/>
            <w:vAlign w:val="center"/>
          </w:tcPr>
          <w:p w14:paraId="3F1898ED">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b w:val="0"/>
                <w:bCs w:val="0"/>
                <w:i w:val="0"/>
                <w:iCs w:val="0"/>
                <w:color w:val="auto"/>
                <w:sz w:val="21"/>
                <w:szCs w:val="21"/>
                <w:lang w:eastAsia="zh-CN"/>
              </w:rPr>
              <w:t>集气罩</w:t>
            </w:r>
            <w:r>
              <w:rPr>
                <w:rFonts w:hint="default" w:ascii="Times New Roman" w:hAnsi="Times New Roman" w:cs="Times New Roman" w:eastAsiaTheme="minorEastAsia"/>
                <w:b w:val="0"/>
                <w:bCs w:val="0"/>
                <w:i w:val="0"/>
                <w:iCs w:val="0"/>
                <w:color w:val="auto"/>
                <w:sz w:val="21"/>
                <w:szCs w:val="21"/>
                <w:highlight w:val="none"/>
                <w:lang w:eastAsia="zh-CN"/>
              </w:rPr>
              <w:t>（</w:t>
            </w:r>
            <w:r>
              <w:rPr>
                <w:rFonts w:hint="default" w:ascii="Times New Roman" w:hAnsi="Times New Roman" w:cs="Times New Roman" w:eastAsiaTheme="minorEastAsia"/>
                <w:b w:val="0"/>
                <w:bCs w:val="0"/>
                <w:i w:val="0"/>
                <w:iCs w:val="0"/>
                <w:color w:val="auto"/>
                <w:sz w:val="21"/>
                <w:szCs w:val="21"/>
                <w:highlight w:val="none"/>
                <w:lang w:val="en-US" w:eastAsia="zh-CN"/>
              </w:rPr>
              <w:t>8个</w:t>
            </w:r>
            <w:r>
              <w:rPr>
                <w:rFonts w:hint="default" w:ascii="Times New Roman" w:hAnsi="Times New Roman" w:cs="Times New Roman" w:eastAsiaTheme="minorEastAsia"/>
                <w:b w:val="0"/>
                <w:bCs w:val="0"/>
                <w:i w:val="0"/>
                <w:iCs w:val="0"/>
                <w:color w:val="auto"/>
                <w:sz w:val="21"/>
                <w:szCs w:val="21"/>
                <w:highlight w:val="none"/>
                <w:lang w:eastAsia="zh-CN"/>
              </w:rPr>
              <w:t>）</w:t>
            </w:r>
            <w:r>
              <w:rPr>
                <w:rFonts w:hint="default" w:ascii="Times New Roman" w:hAnsi="Times New Roman" w:cs="Times New Roman" w:eastAsiaTheme="minorEastAsia"/>
                <w:b w:val="0"/>
                <w:bCs w:val="0"/>
                <w:i w:val="0"/>
                <w:iCs w:val="0"/>
                <w:color w:val="auto"/>
                <w:sz w:val="21"/>
                <w:szCs w:val="21"/>
                <w:lang w:eastAsia="zh-CN"/>
              </w:rPr>
              <w:t>+</w:t>
            </w:r>
            <w:r>
              <w:rPr>
                <w:rFonts w:hint="default" w:ascii="Times New Roman" w:hAnsi="Times New Roman" w:cs="Times New Roman" w:eastAsiaTheme="minorEastAsia"/>
                <w:b w:val="0"/>
                <w:bCs w:val="0"/>
                <w:i w:val="0"/>
                <w:iCs w:val="0"/>
                <w:color w:val="auto"/>
                <w:sz w:val="21"/>
                <w:szCs w:val="21"/>
                <w:lang w:val="en-US" w:eastAsia="zh-CN"/>
              </w:rPr>
              <w:t>二级活性炭</w:t>
            </w:r>
            <w:r>
              <w:rPr>
                <w:rFonts w:hint="default" w:ascii="Times New Roman" w:hAnsi="Times New Roman" w:cs="Times New Roman" w:eastAsiaTheme="minorEastAsia"/>
                <w:b w:val="0"/>
                <w:bCs w:val="0"/>
                <w:i w:val="0"/>
                <w:iCs w:val="0"/>
                <w:color w:val="auto"/>
                <w:sz w:val="21"/>
                <w:szCs w:val="21"/>
                <w:lang w:eastAsia="zh-CN"/>
              </w:rPr>
              <w:t>+15m排气筒（</w:t>
            </w:r>
            <w:r>
              <w:rPr>
                <w:rFonts w:hint="default" w:ascii="Times New Roman" w:hAnsi="Times New Roman" w:cs="Times New Roman" w:eastAsiaTheme="minorEastAsia"/>
                <w:b w:val="0"/>
                <w:bCs w:val="0"/>
                <w:i w:val="0"/>
                <w:iCs w:val="0"/>
                <w:color w:val="auto"/>
                <w:sz w:val="21"/>
                <w:szCs w:val="21"/>
                <w:lang w:val="en-US" w:eastAsia="zh-CN"/>
              </w:rPr>
              <w:t>DA001）</w:t>
            </w:r>
          </w:p>
        </w:tc>
        <w:tc>
          <w:tcPr>
            <w:tcW w:w="2163" w:type="dxa"/>
            <w:noWrap w:val="0"/>
            <w:vAlign w:val="center"/>
          </w:tcPr>
          <w:p w14:paraId="64AF2BE5">
            <w:pPr>
              <w:keepNext w:val="0"/>
              <w:keepLines w:val="0"/>
              <w:pageBreakBefore w:val="0"/>
              <w:widowControl w:val="0"/>
              <w:shd w:val="clear" w:color="auto" w:fill="auto"/>
              <w:kinsoku/>
              <w:wordWrap w:val="0"/>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b w:val="0"/>
                <w:bCs/>
                <w:color w:val="auto"/>
                <w:szCs w:val="21"/>
                <w:highlight w:val="none"/>
                <w:lang w:bidi="ar"/>
              </w:rPr>
              <w:t>《合成树脂工业污染物排放标准》（GB31572-2015</w:t>
            </w:r>
            <w:r>
              <w:rPr>
                <w:rFonts w:hint="default" w:ascii="Times New Roman" w:hAnsi="Times New Roman" w:cs="Times New Roman" w:eastAsiaTheme="minorEastAsia"/>
                <w:b w:val="0"/>
                <w:bCs/>
                <w:color w:val="auto"/>
                <w:szCs w:val="21"/>
                <w:highlight w:val="none"/>
                <w:lang w:eastAsia="zh-CN" w:bidi="ar"/>
              </w:rPr>
              <w:t>，含</w:t>
            </w:r>
            <w:r>
              <w:rPr>
                <w:rFonts w:hint="default" w:ascii="Times New Roman" w:hAnsi="Times New Roman" w:cs="Times New Roman" w:eastAsiaTheme="minorEastAsia"/>
                <w:b w:val="0"/>
                <w:bCs/>
                <w:color w:val="auto"/>
                <w:szCs w:val="21"/>
                <w:highlight w:val="none"/>
                <w:lang w:val="en-US" w:eastAsia="zh-CN" w:bidi="ar"/>
              </w:rPr>
              <w:t>2024年修改清单</w:t>
            </w:r>
            <w:r>
              <w:rPr>
                <w:rFonts w:hint="default" w:ascii="Times New Roman" w:hAnsi="Times New Roman" w:cs="Times New Roman" w:eastAsiaTheme="minorEastAsia"/>
                <w:b w:val="0"/>
                <w:bCs/>
                <w:color w:val="auto"/>
                <w:szCs w:val="21"/>
                <w:highlight w:val="none"/>
                <w:lang w:bidi="ar"/>
              </w:rPr>
              <w:t>）</w:t>
            </w:r>
            <w:r>
              <w:rPr>
                <w:rFonts w:hint="default" w:ascii="Times New Roman" w:hAnsi="Times New Roman" w:cs="Times New Roman" w:eastAsiaTheme="minorEastAsia"/>
                <w:b w:val="0"/>
                <w:bCs/>
                <w:color w:val="auto"/>
                <w:szCs w:val="21"/>
                <w:highlight w:val="none"/>
                <w:lang w:eastAsia="zh-CN" w:bidi="ar"/>
              </w:rPr>
              <w:t>表</w:t>
            </w:r>
            <w:r>
              <w:rPr>
                <w:rFonts w:hint="default" w:ascii="Times New Roman" w:hAnsi="Times New Roman" w:cs="Times New Roman" w:eastAsiaTheme="minorEastAsia"/>
                <w:b w:val="0"/>
                <w:bCs/>
                <w:color w:val="auto"/>
                <w:szCs w:val="21"/>
                <w:highlight w:val="none"/>
                <w:lang w:val="en-US" w:eastAsia="zh-CN" w:bidi="ar"/>
              </w:rPr>
              <w:t>5和表9排放限值要求</w:t>
            </w:r>
            <w:r>
              <w:rPr>
                <w:rFonts w:hint="default" w:ascii="Times New Roman" w:hAnsi="Times New Roman" w:cs="Times New Roman" w:eastAsiaTheme="minorEastAsia"/>
                <w:color w:val="auto"/>
                <w:sz w:val="21"/>
                <w:szCs w:val="21"/>
                <w:highlight w:val="none"/>
                <w:lang w:eastAsia="zh-CN"/>
              </w:rPr>
              <w:t>以及</w:t>
            </w:r>
            <w:r>
              <w:rPr>
                <w:rFonts w:hint="default" w:ascii="Times New Roman" w:hAnsi="Times New Roman" w:cs="Times New Roman" w:eastAsiaTheme="minorEastAsia"/>
                <w:color w:val="auto"/>
                <w:sz w:val="21"/>
                <w:szCs w:val="21"/>
                <w:highlight w:val="none"/>
                <w:shd w:val="clear" w:color="auto" w:fill="FFFFFF"/>
              </w:rPr>
              <w:t>《挥发性有机物无组织排放控制标准》（GB37822-2019）</w:t>
            </w:r>
            <w:r>
              <w:rPr>
                <w:rFonts w:hint="default" w:ascii="Times New Roman" w:hAnsi="Times New Roman" w:cs="Times New Roman" w:eastAsiaTheme="minorEastAsia"/>
                <w:color w:val="auto"/>
                <w:sz w:val="21"/>
                <w:szCs w:val="21"/>
                <w:highlight w:val="none"/>
                <w:shd w:val="clear" w:color="auto" w:fill="FFFFFF"/>
                <w:lang w:eastAsia="zh-CN"/>
              </w:rPr>
              <w:t>表</w:t>
            </w:r>
            <w:r>
              <w:rPr>
                <w:rFonts w:hint="default" w:ascii="Times New Roman" w:hAnsi="Times New Roman" w:cs="Times New Roman" w:eastAsiaTheme="minorEastAsia"/>
                <w:color w:val="auto"/>
                <w:sz w:val="21"/>
                <w:szCs w:val="21"/>
                <w:highlight w:val="none"/>
                <w:shd w:val="clear" w:color="auto" w:fill="FFFFFF"/>
                <w:lang w:val="en-US" w:eastAsia="zh-CN"/>
              </w:rPr>
              <w:t>A.1要求</w:t>
            </w:r>
          </w:p>
        </w:tc>
      </w:tr>
      <w:tr w14:paraId="18F42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4" w:hRule="atLeast"/>
          <w:jc w:val="center"/>
        </w:trPr>
        <w:tc>
          <w:tcPr>
            <w:tcW w:w="1151" w:type="dxa"/>
            <w:noWrap w:val="0"/>
            <w:vAlign w:val="center"/>
          </w:tcPr>
          <w:p w14:paraId="3658F6A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地表水环境</w:t>
            </w:r>
          </w:p>
        </w:tc>
        <w:tc>
          <w:tcPr>
            <w:tcW w:w="1644" w:type="dxa"/>
            <w:noWrap w:val="0"/>
            <w:vAlign w:val="center"/>
          </w:tcPr>
          <w:p w14:paraId="6156FF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生活污水</w:t>
            </w:r>
          </w:p>
        </w:tc>
        <w:tc>
          <w:tcPr>
            <w:tcW w:w="1624" w:type="dxa"/>
            <w:noWrap w:val="0"/>
            <w:vAlign w:val="center"/>
          </w:tcPr>
          <w:p w14:paraId="5900E51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b w:val="0"/>
                <w:bCs w:val="0"/>
                <w:i w:val="0"/>
                <w:iCs w:val="0"/>
                <w:color w:val="auto"/>
                <w:sz w:val="21"/>
                <w:szCs w:val="21"/>
                <w:lang w:val="en-US" w:eastAsia="zh-CN"/>
              </w:rPr>
              <w:t>pH、COD、BOD</w:t>
            </w:r>
            <w:r>
              <w:rPr>
                <w:rFonts w:hint="default" w:ascii="Times New Roman" w:hAnsi="Times New Roman" w:cs="Times New Roman" w:eastAsiaTheme="minorEastAsia"/>
                <w:b w:val="0"/>
                <w:bCs w:val="0"/>
                <w:i w:val="0"/>
                <w:iCs w:val="0"/>
                <w:color w:val="auto"/>
                <w:sz w:val="21"/>
                <w:szCs w:val="21"/>
                <w:vertAlign w:val="subscript"/>
                <w:lang w:val="en-US" w:eastAsia="zh-CN"/>
              </w:rPr>
              <w:t>5</w:t>
            </w:r>
            <w:r>
              <w:rPr>
                <w:rFonts w:hint="default" w:ascii="Times New Roman" w:hAnsi="Times New Roman" w:cs="Times New Roman" w:eastAsiaTheme="minorEastAsia"/>
                <w:b w:val="0"/>
                <w:bCs w:val="0"/>
                <w:i w:val="0"/>
                <w:iCs w:val="0"/>
                <w:color w:val="auto"/>
                <w:sz w:val="21"/>
                <w:szCs w:val="21"/>
                <w:lang w:val="en-US" w:eastAsia="zh-CN"/>
              </w:rPr>
              <w:t>、SS、氨氮</w:t>
            </w:r>
          </w:p>
        </w:tc>
        <w:tc>
          <w:tcPr>
            <w:tcW w:w="2547" w:type="dxa"/>
            <w:noWrap w:val="0"/>
            <w:vAlign w:val="center"/>
          </w:tcPr>
          <w:p w14:paraId="17C5D089">
            <w:pPr>
              <w:keepNext w:val="0"/>
              <w:keepLines w:val="0"/>
              <w:pageBreakBefore w:val="0"/>
              <w:widowControl w:val="0"/>
              <w:kinsoku/>
              <w:wordWrap/>
              <w:overflowPunct/>
              <w:topLinePunct w:val="0"/>
              <w:autoSpaceDE/>
              <w:autoSpaceDN/>
              <w:bidi w:val="0"/>
              <w:adjustRightInd w:val="0"/>
              <w:snapToGrid w:val="0"/>
              <w:spacing w:line="264" w:lineRule="auto"/>
              <w:ind w:left="-105" w:leftChars="-50" w:right="-105" w:rightChars="-50"/>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Cs w:val="21"/>
                <w:highlight w:val="none"/>
              </w:rPr>
              <w:t>化粪池</w:t>
            </w:r>
            <w:r>
              <w:rPr>
                <w:rFonts w:hint="default" w:ascii="Times New Roman" w:hAnsi="Times New Roman" w:cs="Times New Roman" w:eastAsiaTheme="minorEastAsia"/>
                <w:color w:val="auto"/>
                <w:szCs w:val="21"/>
                <w:highlight w:val="none"/>
                <w:lang w:eastAsia="zh-CN"/>
              </w:rPr>
              <w:t>收集，定期清掏</w:t>
            </w:r>
          </w:p>
        </w:tc>
        <w:tc>
          <w:tcPr>
            <w:tcW w:w="2163" w:type="dxa"/>
            <w:noWrap w:val="0"/>
            <w:vAlign w:val="center"/>
          </w:tcPr>
          <w:p w14:paraId="54C4366D">
            <w:pPr>
              <w:keepNext w:val="0"/>
              <w:keepLines w:val="0"/>
              <w:pageBreakBefore w:val="0"/>
              <w:widowControl w:val="0"/>
              <w:kinsoku/>
              <w:wordWrap/>
              <w:overflowPunct/>
              <w:topLinePunct w:val="0"/>
              <w:autoSpaceDE/>
              <w:autoSpaceDN/>
              <w:bidi w:val="0"/>
              <w:adjustRightInd w:val="0"/>
              <w:snapToGrid w:val="0"/>
              <w:spacing w:line="264" w:lineRule="auto"/>
              <w:ind w:left="-105" w:leftChars="-50" w:right="-105" w:rightChars="-50"/>
              <w:jc w:val="center"/>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rPr>
              <w:t>定期清掏肥田不外排</w:t>
            </w:r>
          </w:p>
        </w:tc>
      </w:tr>
      <w:tr w14:paraId="51D90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1151" w:type="dxa"/>
            <w:noWrap w:val="0"/>
            <w:vAlign w:val="center"/>
          </w:tcPr>
          <w:p w14:paraId="6D77FF2C">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声环境</w:t>
            </w:r>
          </w:p>
        </w:tc>
        <w:tc>
          <w:tcPr>
            <w:tcW w:w="1644" w:type="dxa"/>
            <w:noWrap w:val="0"/>
            <w:vAlign w:val="center"/>
          </w:tcPr>
          <w:p w14:paraId="1400060F">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设备噪声</w:t>
            </w:r>
          </w:p>
        </w:tc>
        <w:tc>
          <w:tcPr>
            <w:tcW w:w="1624" w:type="dxa"/>
            <w:noWrap w:val="0"/>
            <w:vAlign w:val="center"/>
          </w:tcPr>
          <w:p w14:paraId="11C537F1">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eastAsia="zh-CN"/>
              </w:rPr>
              <w:t>噪声</w:t>
            </w:r>
          </w:p>
        </w:tc>
        <w:tc>
          <w:tcPr>
            <w:tcW w:w="2547" w:type="dxa"/>
            <w:noWrap w:val="0"/>
            <w:vAlign w:val="center"/>
          </w:tcPr>
          <w:p w14:paraId="4491CFC0">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选用低噪声设备、合理布局、距离衰减等</w:t>
            </w:r>
          </w:p>
        </w:tc>
        <w:tc>
          <w:tcPr>
            <w:tcW w:w="2163" w:type="dxa"/>
            <w:noWrap w:val="0"/>
            <w:vAlign w:val="center"/>
          </w:tcPr>
          <w:p w14:paraId="4AEEA876">
            <w:pPr>
              <w:keepNext w:val="0"/>
              <w:keepLines w:val="0"/>
              <w:pageBreakBefore w:val="0"/>
              <w:widowControl w:val="0"/>
              <w:shd w:val="clear" w:color="auto" w:fill="auto"/>
              <w:kinsoku/>
              <w:wordWrap w:val="0"/>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《工业企业厂界环境噪声排放标准》（GB12348-2008）中</w:t>
            </w:r>
            <w:r>
              <w:rPr>
                <w:rFonts w:hint="default" w:ascii="Times New Roman" w:hAnsi="Times New Roman" w:cs="Times New Roman" w:eastAsiaTheme="minorEastAsia"/>
                <w:color w:val="auto"/>
                <w:sz w:val="21"/>
                <w:szCs w:val="21"/>
                <w:highlight w:val="none"/>
                <w:lang w:val="en-US" w:eastAsia="zh-CN"/>
              </w:rPr>
              <w:t>3</w:t>
            </w:r>
            <w:r>
              <w:rPr>
                <w:rFonts w:hint="default" w:ascii="Times New Roman" w:hAnsi="Times New Roman" w:cs="Times New Roman" w:eastAsiaTheme="minorEastAsia"/>
                <w:color w:val="auto"/>
                <w:sz w:val="21"/>
                <w:szCs w:val="21"/>
                <w:highlight w:val="none"/>
              </w:rPr>
              <w:t>类标准</w:t>
            </w:r>
          </w:p>
        </w:tc>
      </w:tr>
      <w:tr w14:paraId="60533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1151" w:type="dxa"/>
            <w:noWrap w:val="0"/>
            <w:vAlign w:val="center"/>
          </w:tcPr>
          <w:p w14:paraId="660C11F9">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电磁辐射</w:t>
            </w:r>
          </w:p>
        </w:tc>
        <w:tc>
          <w:tcPr>
            <w:tcW w:w="1644" w:type="dxa"/>
            <w:noWrap w:val="0"/>
            <w:vAlign w:val="center"/>
          </w:tcPr>
          <w:p w14:paraId="50320461">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w:t>
            </w:r>
          </w:p>
        </w:tc>
        <w:tc>
          <w:tcPr>
            <w:tcW w:w="1624" w:type="dxa"/>
            <w:noWrap w:val="0"/>
            <w:vAlign w:val="center"/>
          </w:tcPr>
          <w:p w14:paraId="2102F5E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w:t>
            </w:r>
          </w:p>
        </w:tc>
        <w:tc>
          <w:tcPr>
            <w:tcW w:w="2547" w:type="dxa"/>
            <w:noWrap w:val="0"/>
            <w:vAlign w:val="center"/>
          </w:tcPr>
          <w:p w14:paraId="71CD5BF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w:t>
            </w:r>
          </w:p>
        </w:tc>
        <w:tc>
          <w:tcPr>
            <w:tcW w:w="2163" w:type="dxa"/>
            <w:noWrap w:val="0"/>
            <w:vAlign w:val="center"/>
          </w:tcPr>
          <w:p w14:paraId="5106C7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w:t>
            </w:r>
          </w:p>
        </w:tc>
      </w:tr>
      <w:tr w14:paraId="15985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 w:hRule="atLeast"/>
          <w:jc w:val="center"/>
        </w:trPr>
        <w:tc>
          <w:tcPr>
            <w:tcW w:w="1151" w:type="dxa"/>
            <w:vMerge w:val="restart"/>
            <w:noWrap w:val="0"/>
            <w:vAlign w:val="center"/>
          </w:tcPr>
          <w:p w14:paraId="5B1BC6A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固体废物</w:t>
            </w:r>
          </w:p>
        </w:tc>
        <w:tc>
          <w:tcPr>
            <w:tcW w:w="1644" w:type="dxa"/>
            <w:noWrap w:val="0"/>
            <w:vAlign w:val="center"/>
          </w:tcPr>
          <w:p w14:paraId="309A2BBE">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一般固废</w:t>
            </w:r>
          </w:p>
        </w:tc>
        <w:tc>
          <w:tcPr>
            <w:tcW w:w="6334" w:type="dxa"/>
            <w:gridSpan w:val="3"/>
            <w:noWrap w:val="0"/>
            <w:vAlign w:val="center"/>
          </w:tcPr>
          <w:p w14:paraId="4367B891">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0"/>
                <w:lang w:val="en-US" w:eastAsia="zh-CN"/>
              </w:rPr>
              <w:t>废包装材料、边角料及不合格产品</w:t>
            </w:r>
            <w:r>
              <w:rPr>
                <w:rFonts w:hint="default" w:ascii="Times New Roman" w:hAnsi="Times New Roman" w:cs="Times New Roman" w:eastAsiaTheme="minorEastAsia"/>
                <w:color w:val="auto"/>
                <w:sz w:val="21"/>
                <w:szCs w:val="20"/>
              </w:rPr>
              <w:t>集中收集</w:t>
            </w:r>
            <w:r>
              <w:rPr>
                <w:rFonts w:hint="default" w:ascii="Times New Roman" w:hAnsi="Times New Roman" w:cs="Times New Roman" w:eastAsiaTheme="minorEastAsia"/>
                <w:color w:val="auto"/>
                <w:sz w:val="21"/>
                <w:szCs w:val="20"/>
                <w:lang w:val="en-US" w:eastAsia="zh-CN"/>
              </w:rPr>
              <w:t>后</w:t>
            </w:r>
            <w:r>
              <w:rPr>
                <w:rFonts w:hint="default" w:ascii="Times New Roman" w:hAnsi="Times New Roman" w:cs="Times New Roman" w:eastAsiaTheme="minorEastAsia"/>
                <w:color w:val="auto"/>
                <w:sz w:val="21"/>
                <w:szCs w:val="20"/>
              </w:rPr>
              <w:t>外售至废品回收站</w:t>
            </w:r>
            <w:r>
              <w:rPr>
                <w:rFonts w:hint="default" w:ascii="Times New Roman" w:hAnsi="Times New Roman" w:cs="Times New Roman" w:eastAsiaTheme="minorEastAsia"/>
                <w:color w:val="auto"/>
                <w:szCs w:val="21"/>
                <w:lang w:eastAsia="zh-CN"/>
              </w:rPr>
              <w:t>；</w:t>
            </w:r>
          </w:p>
        </w:tc>
      </w:tr>
      <w:tr w14:paraId="38666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2" w:hRule="atLeast"/>
          <w:jc w:val="center"/>
        </w:trPr>
        <w:tc>
          <w:tcPr>
            <w:tcW w:w="1151" w:type="dxa"/>
            <w:vMerge w:val="continue"/>
            <w:noWrap w:val="0"/>
            <w:vAlign w:val="center"/>
          </w:tcPr>
          <w:p w14:paraId="25837DC5">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color w:val="auto"/>
                <w:sz w:val="21"/>
                <w:szCs w:val="21"/>
              </w:rPr>
            </w:pPr>
          </w:p>
        </w:tc>
        <w:tc>
          <w:tcPr>
            <w:tcW w:w="1644" w:type="dxa"/>
            <w:noWrap w:val="0"/>
            <w:vAlign w:val="center"/>
          </w:tcPr>
          <w:p w14:paraId="401252F7">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危险废物</w:t>
            </w:r>
          </w:p>
        </w:tc>
        <w:tc>
          <w:tcPr>
            <w:tcW w:w="6334" w:type="dxa"/>
            <w:gridSpan w:val="3"/>
            <w:noWrap w:val="0"/>
            <w:vAlign w:val="center"/>
          </w:tcPr>
          <w:p w14:paraId="2AACF2AA">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0"/>
                <w:lang w:val="en-US" w:eastAsia="zh-CN"/>
              </w:rPr>
              <w:t>废润滑油桶、废活性炭、废油抹布及手套分类</w:t>
            </w:r>
            <w:r>
              <w:rPr>
                <w:rFonts w:hint="default" w:ascii="Times New Roman" w:hAnsi="Times New Roman" w:cs="Times New Roman" w:eastAsiaTheme="minorEastAsia"/>
                <w:color w:val="auto"/>
                <w:sz w:val="21"/>
                <w:szCs w:val="20"/>
              </w:rPr>
              <w:t>收集存放于</w:t>
            </w:r>
            <w:r>
              <w:rPr>
                <w:rFonts w:hint="default" w:ascii="Times New Roman" w:hAnsi="Times New Roman" w:cs="Times New Roman" w:eastAsiaTheme="minorEastAsia"/>
                <w:color w:val="auto"/>
                <w:sz w:val="21"/>
                <w:szCs w:val="20"/>
                <w:lang w:eastAsia="zh-CN"/>
              </w:rPr>
              <w:t>危险废物贮存库</w:t>
            </w:r>
            <w:r>
              <w:rPr>
                <w:rFonts w:hint="default" w:ascii="Times New Roman" w:hAnsi="Times New Roman" w:cs="Times New Roman" w:eastAsiaTheme="minorEastAsia"/>
                <w:color w:val="auto"/>
                <w:sz w:val="21"/>
                <w:szCs w:val="20"/>
              </w:rPr>
              <w:t>，</w:t>
            </w:r>
            <w:r>
              <w:rPr>
                <w:rFonts w:hint="eastAsia" w:cs="Times New Roman" w:eastAsiaTheme="minorEastAsia"/>
                <w:color w:val="auto"/>
                <w:sz w:val="21"/>
                <w:szCs w:val="20"/>
                <w:lang w:eastAsia="zh-CN"/>
              </w:rPr>
              <w:t>定期</w:t>
            </w:r>
            <w:r>
              <w:rPr>
                <w:rFonts w:hint="default" w:ascii="Times New Roman" w:hAnsi="Times New Roman" w:cs="Times New Roman" w:eastAsiaTheme="minorEastAsia"/>
                <w:color w:val="auto"/>
                <w:sz w:val="21"/>
                <w:szCs w:val="20"/>
              </w:rPr>
              <w:t>交由有资质单位统一收集处理</w:t>
            </w:r>
          </w:p>
        </w:tc>
      </w:tr>
      <w:tr w14:paraId="467C1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5" w:hRule="atLeast"/>
          <w:jc w:val="center"/>
        </w:trPr>
        <w:tc>
          <w:tcPr>
            <w:tcW w:w="1151" w:type="dxa"/>
            <w:vMerge w:val="continue"/>
            <w:noWrap w:val="0"/>
            <w:vAlign w:val="center"/>
          </w:tcPr>
          <w:p w14:paraId="4202E0CB">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lang w:eastAsia="zh-CN"/>
              </w:rPr>
            </w:pPr>
          </w:p>
        </w:tc>
        <w:tc>
          <w:tcPr>
            <w:tcW w:w="1644" w:type="dxa"/>
            <w:noWrap w:val="0"/>
            <w:vAlign w:val="center"/>
          </w:tcPr>
          <w:p w14:paraId="3A44B066">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lang w:val="en-US" w:eastAsia="zh-CN"/>
              </w:rPr>
              <w:t>生活垃圾</w:t>
            </w:r>
          </w:p>
        </w:tc>
        <w:tc>
          <w:tcPr>
            <w:tcW w:w="6334" w:type="dxa"/>
            <w:gridSpan w:val="3"/>
            <w:noWrap w:val="0"/>
            <w:vAlign w:val="center"/>
          </w:tcPr>
          <w:p w14:paraId="20671295">
            <w:pPr>
              <w:keepNext w:val="0"/>
              <w:keepLines w:val="0"/>
              <w:pageBreakBefore w:val="0"/>
              <w:widowControl w:val="0"/>
              <w:suppressLineNumbers w:val="0"/>
              <w:kinsoku/>
              <w:overflowPunct/>
              <w:topLinePunct w:val="0"/>
              <w:autoSpaceDE/>
              <w:autoSpaceDN/>
              <w:bidi w:val="0"/>
              <w:spacing w:before="0" w:beforeAutospacing="0" w:after="0" w:afterAutospacing="0" w:line="264" w:lineRule="auto"/>
              <w:ind w:left="0" w:leftChars="0" w:right="0" w:rightChars="0"/>
              <w:jc w:val="left"/>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0"/>
              </w:rPr>
              <w:t>设置垃圾桶，分类收集后定期交由环卫部门统一清运</w:t>
            </w:r>
          </w:p>
        </w:tc>
      </w:tr>
      <w:tr w14:paraId="4401B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9" w:hRule="atLeast"/>
          <w:jc w:val="center"/>
        </w:trPr>
        <w:tc>
          <w:tcPr>
            <w:tcW w:w="1151" w:type="dxa"/>
            <w:noWrap w:val="0"/>
            <w:vAlign w:val="center"/>
          </w:tcPr>
          <w:p w14:paraId="6DF14D7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土壤及地下水污染防治措施</w:t>
            </w:r>
          </w:p>
        </w:tc>
        <w:tc>
          <w:tcPr>
            <w:tcW w:w="7978" w:type="dxa"/>
            <w:gridSpan w:val="4"/>
            <w:noWrap w:val="0"/>
            <w:vAlign w:val="center"/>
          </w:tcPr>
          <w:p w14:paraId="22FD6C4A">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1、做好危废储存管理，危险废物贮存库的地面必须做好防渗处理，保持地面硬化完整性，防止危废渗漏到土壤，污染环境。</w:t>
            </w:r>
          </w:p>
          <w:p w14:paraId="40453687">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2、污染物严格按照环评要求处置，禁止未经处理的污染物直接排放到环境中，造成土壤环境污染。</w:t>
            </w:r>
          </w:p>
          <w:p w14:paraId="70BF1324">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lang w:val="en-US" w:eastAsia="zh-CN"/>
              </w:rPr>
              <w:t>3、严格落实本报告提出的污染防治措施，项目运营时应确保环保措施稳定正常的运行，废气达标排放，防止直接排放沉降后对地表土壤环境造成污染。</w:t>
            </w:r>
          </w:p>
        </w:tc>
      </w:tr>
      <w:tr w14:paraId="015DB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0" w:hRule="atLeast"/>
          <w:jc w:val="center"/>
        </w:trPr>
        <w:tc>
          <w:tcPr>
            <w:tcW w:w="1151" w:type="dxa"/>
            <w:noWrap w:val="0"/>
            <w:vAlign w:val="center"/>
          </w:tcPr>
          <w:p w14:paraId="201E0A62">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环境风险</w:t>
            </w:r>
          </w:p>
          <w:p w14:paraId="3CD6F10F">
            <w:pPr>
              <w:keepNext w:val="0"/>
              <w:keepLines w:val="0"/>
              <w:pageBreakBefore w:val="0"/>
              <w:widowControl w:val="0"/>
              <w:shd w:val="clear" w:color="auto" w:fill="auto"/>
              <w:kinsoku/>
              <w:overflowPunct/>
              <w:topLinePunct w:val="0"/>
              <w:autoSpaceDE/>
              <w:autoSpaceDN/>
              <w:bidi w:val="0"/>
              <w:adjustRightInd w:val="0"/>
              <w:snapToGrid w:val="0"/>
              <w:spacing w:line="264" w:lineRule="auto"/>
              <w:jc w:val="center"/>
              <w:textAlignment w:val="auto"/>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防范措施</w:t>
            </w:r>
          </w:p>
        </w:tc>
        <w:tc>
          <w:tcPr>
            <w:tcW w:w="7978" w:type="dxa"/>
            <w:gridSpan w:val="4"/>
            <w:noWrap w:val="0"/>
            <w:vAlign w:val="center"/>
          </w:tcPr>
          <w:p w14:paraId="0B078BAF">
            <w:pPr>
              <w:keepNext w:val="0"/>
              <w:keepLines w:val="0"/>
              <w:pageBreakBefore w:val="0"/>
              <w:widowControl w:val="0"/>
              <w:shd w:val="clear" w:color="auto" w:fill="auto"/>
              <w:kinsoku/>
              <w:wordWrap/>
              <w:overflowPunct/>
              <w:topLinePunct w:val="0"/>
              <w:autoSpaceDE/>
              <w:autoSpaceDN/>
              <w:bidi w:val="0"/>
              <w:adjustRightInd w:val="0"/>
              <w:snapToGrid w:val="0"/>
              <w:spacing w:line="264" w:lineRule="auto"/>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lang w:eastAsia="zh-CN"/>
              </w:rPr>
              <w:t>①加强设备的维修、保养，杜绝由于设备劳损、折旧带来的事故隐患；②加强职工的安全教育，提高安全防范意识；③加强</w:t>
            </w:r>
            <w:r>
              <w:rPr>
                <w:rFonts w:hint="default" w:ascii="Times New Roman" w:hAnsi="Times New Roman" w:eastAsia="宋体" w:cs="Times New Roman"/>
                <w:color w:val="auto"/>
                <w:sz w:val="21"/>
                <w:szCs w:val="21"/>
                <w:lang w:val="en-US" w:eastAsia="zh-CN"/>
              </w:rPr>
              <w:t>危险废物贮存库</w:t>
            </w:r>
            <w:r>
              <w:rPr>
                <w:rFonts w:hint="default" w:ascii="Times New Roman" w:hAnsi="Times New Roman" w:eastAsia="宋体" w:cs="Times New Roman"/>
                <w:color w:val="auto"/>
                <w:sz w:val="21"/>
                <w:szCs w:val="21"/>
                <w:lang w:eastAsia="zh-CN"/>
              </w:rPr>
              <w:t>管理，</w:t>
            </w:r>
            <w:r>
              <w:rPr>
                <w:rFonts w:hint="default" w:ascii="Times New Roman" w:hAnsi="Times New Roman" w:eastAsia="宋体" w:cs="Times New Roman"/>
                <w:color w:val="auto"/>
                <w:sz w:val="21"/>
                <w:szCs w:val="21"/>
                <w:lang w:val="en-US" w:eastAsia="zh-CN"/>
              </w:rPr>
              <w:t>危险废物贮存库</w:t>
            </w:r>
            <w:r>
              <w:rPr>
                <w:rFonts w:hint="default" w:ascii="Times New Roman" w:hAnsi="Times New Roman" w:eastAsia="宋体" w:cs="Times New Roman"/>
                <w:color w:val="auto"/>
                <w:sz w:val="21"/>
                <w:szCs w:val="21"/>
                <w:lang w:eastAsia="zh-CN"/>
              </w:rPr>
              <w:t>进行防渗处理；④生产车间、</w:t>
            </w:r>
            <w:r>
              <w:rPr>
                <w:rFonts w:hint="default" w:ascii="Times New Roman" w:hAnsi="Times New Roman" w:eastAsia="宋体" w:cs="Times New Roman"/>
                <w:color w:val="auto"/>
                <w:sz w:val="21"/>
                <w:szCs w:val="21"/>
                <w:lang w:val="en-US" w:eastAsia="zh-CN"/>
              </w:rPr>
              <w:t>危险废物贮存库</w:t>
            </w:r>
            <w:r>
              <w:rPr>
                <w:rFonts w:hint="default" w:ascii="Times New Roman" w:hAnsi="Times New Roman" w:eastAsia="宋体" w:cs="Times New Roman"/>
                <w:color w:val="auto"/>
                <w:sz w:val="21"/>
                <w:szCs w:val="21"/>
                <w:lang w:eastAsia="zh-CN"/>
              </w:rPr>
              <w:t>所在区配置消防器材及灭火器材</w:t>
            </w:r>
            <w:r>
              <w:rPr>
                <w:rFonts w:hint="default" w:ascii="Times New Roman" w:hAnsi="Times New Roman" w:eastAsia="宋体" w:cs="Times New Roman"/>
                <w:color w:val="auto"/>
                <w:sz w:val="21"/>
                <w:szCs w:val="21"/>
                <w:highlight w:val="none"/>
                <w:lang w:eastAsia="zh-CN"/>
              </w:rPr>
              <w:t>。</w:t>
            </w:r>
          </w:p>
        </w:tc>
      </w:tr>
      <w:tr w14:paraId="3CC02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40" w:hRule="atLeast"/>
          <w:jc w:val="center"/>
        </w:trPr>
        <w:tc>
          <w:tcPr>
            <w:tcW w:w="1151" w:type="dxa"/>
            <w:noWrap w:val="0"/>
            <w:vAlign w:val="center"/>
          </w:tcPr>
          <w:p w14:paraId="635C2309">
            <w:pPr>
              <w:shd w:val="clear" w:color="auto" w:fill="auto"/>
              <w:adjustRightInd w:val="0"/>
              <w:snapToGrid w:val="0"/>
              <w:jc w:val="center"/>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其他环境</w:t>
            </w:r>
          </w:p>
          <w:p w14:paraId="1873187E">
            <w:pPr>
              <w:shd w:val="clear" w:color="auto" w:fill="auto"/>
              <w:adjustRightInd w:val="0"/>
              <w:snapToGrid w:val="0"/>
              <w:jc w:val="center"/>
              <w:rPr>
                <w:rFonts w:hint="eastAsia" w:ascii="Times New Roman" w:hAnsi="Times New Roman" w:eastAsia="宋体" w:cs="宋体"/>
                <w:color w:val="auto"/>
                <w:spacing w:val="-8"/>
                <w:sz w:val="21"/>
                <w:szCs w:val="21"/>
                <w:highlight w:val="none"/>
              </w:rPr>
            </w:pPr>
            <w:r>
              <w:rPr>
                <w:rFonts w:hint="eastAsia" w:ascii="Times New Roman" w:hAnsi="Times New Roman" w:eastAsia="宋体" w:cs="宋体"/>
                <w:color w:val="auto"/>
                <w:spacing w:val="-8"/>
                <w:sz w:val="21"/>
                <w:szCs w:val="21"/>
                <w:highlight w:val="none"/>
              </w:rPr>
              <w:t>管理要求</w:t>
            </w:r>
          </w:p>
        </w:tc>
        <w:tc>
          <w:tcPr>
            <w:tcW w:w="7978" w:type="dxa"/>
            <w:gridSpan w:val="4"/>
            <w:noWrap w:val="0"/>
            <w:vAlign w:val="center"/>
          </w:tcPr>
          <w:p w14:paraId="2A5F303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一、环境管理</w:t>
            </w:r>
          </w:p>
          <w:p w14:paraId="60E86F0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建设单位应贯彻执行国家有关法律、法规和政策；建立健全企业的环境管理制度，并实施检查和监督；编制本公司环保规划和年度发展规划，并组织实施；执行建设项目的“三同时”制度；监督环保设计工程措施及运行管理；配合有关环保部门搞好环境监测与年度统计工作，建立监控档案；搞好本企业环保知识普及教育、宣传工作及相关人员的专业技能培训。</w:t>
            </w:r>
          </w:p>
          <w:p w14:paraId="5204F43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2、三同时竣工验收</w:t>
            </w:r>
          </w:p>
          <w:p w14:paraId="53735E5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三同时”是我国环境管理中的一项重要制度，《中华人民共和国环境保护法》把这一原则规定为法律制度。因此，建设单位必须予以高度重视，建设项目中的防治污染的设施必须与主体工程同时设计、同时施工、同时投产。</w:t>
            </w:r>
          </w:p>
          <w:p w14:paraId="2845EF3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建设项目竣工验收流程：环评编制→取得环评批复文件（或者完成登记表备案）→申请排污许可证→编制突发环境事件应急预案→试运行→开展竣工验收→完成自主验收→正式投产运行。</w:t>
            </w:r>
          </w:p>
          <w:p w14:paraId="3C33A1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3、建立自行监测制度，根据环评要求开展自行监测，具体的监测计划如下表所示。</w:t>
            </w:r>
          </w:p>
          <w:p w14:paraId="072F8D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cs="Times New Roman" w:eastAsiaTheme="majorEastAsia"/>
                <w:b/>
                <w:bCs/>
                <w:color w:val="auto"/>
                <w:lang w:val="en-US" w:eastAsia="zh-CN"/>
              </w:rPr>
            </w:pPr>
            <w:r>
              <w:rPr>
                <w:rFonts w:hint="default" w:ascii="Times New Roman" w:hAnsi="Times New Roman" w:cs="Times New Roman" w:eastAsiaTheme="majorEastAsia"/>
                <w:b/>
                <w:bCs/>
                <w:color w:val="auto"/>
                <w:lang w:val="en-US" w:eastAsia="zh-CN"/>
              </w:rPr>
              <w:t>表5-1    企业自行监测计划表</w:t>
            </w:r>
          </w:p>
          <w:tbl>
            <w:tblPr>
              <w:tblStyle w:val="25"/>
              <w:tblW w:w="76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944"/>
              <w:gridCol w:w="1266"/>
              <w:gridCol w:w="1301"/>
              <w:gridCol w:w="926"/>
              <w:gridCol w:w="2424"/>
            </w:tblGrid>
            <w:tr w14:paraId="04CEE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tblHeader/>
                <w:jc w:val="center"/>
              </w:trPr>
              <w:tc>
                <w:tcPr>
                  <w:tcW w:w="1143" w:type="pct"/>
                  <w:gridSpan w:val="2"/>
                  <w:noWrap w:val="0"/>
                  <w:vAlign w:val="center"/>
                </w:tcPr>
                <w:p w14:paraId="207238AE">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lang w:eastAsia="zh-CN"/>
                    </w:rPr>
                    <w:t>类别</w:t>
                  </w:r>
                </w:p>
              </w:tc>
              <w:tc>
                <w:tcPr>
                  <w:tcW w:w="825" w:type="pct"/>
                  <w:noWrap w:val="0"/>
                  <w:vAlign w:val="center"/>
                </w:tcPr>
                <w:p w14:paraId="027AC799">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监测项目</w:t>
                  </w:r>
                </w:p>
              </w:tc>
              <w:tc>
                <w:tcPr>
                  <w:tcW w:w="847" w:type="pct"/>
                  <w:noWrap w:val="0"/>
                  <w:vAlign w:val="center"/>
                </w:tcPr>
                <w:p w14:paraId="02E34B0D">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cs="Times New Roman"/>
                      <w:b/>
                      <w:bCs w:val="0"/>
                      <w:color w:val="auto"/>
                      <w:sz w:val="21"/>
                      <w:szCs w:val="21"/>
                      <w:highlight w:val="none"/>
                      <w:lang w:val="en-US" w:eastAsia="zh-CN"/>
                    </w:rPr>
                  </w:pPr>
                  <w:r>
                    <w:rPr>
                      <w:rFonts w:hint="default" w:ascii="Times New Roman" w:hAnsi="Times New Roman" w:cs="Times New Roman"/>
                      <w:b/>
                      <w:bCs w:val="0"/>
                      <w:color w:val="auto"/>
                      <w:sz w:val="21"/>
                      <w:szCs w:val="21"/>
                      <w:highlight w:val="none"/>
                      <w:lang w:val="en-US" w:eastAsia="zh-CN"/>
                    </w:rPr>
                    <w:t>监测点位</w:t>
                  </w:r>
                </w:p>
              </w:tc>
              <w:tc>
                <w:tcPr>
                  <w:tcW w:w="603" w:type="pct"/>
                  <w:noWrap w:val="0"/>
                  <w:vAlign w:val="center"/>
                </w:tcPr>
                <w:p w14:paraId="41EDEBDA">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
                      <w:bCs w:val="0"/>
                      <w:color w:val="auto"/>
                      <w:sz w:val="21"/>
                      <w:szCs w:val="21"/>
                      <w:highlight w:val="none"/>
                      <w:lang w:val="en-US" w:eastAsia="zh-CN"/>
                    </w:rPr>
                  </w:pPr>
                  <w:r>
                    <w:rPr>
                      <w:rFonts w:hint="default" w:ascii="Times New Roman" w:hAnsi="Times New Roman" w:cs="Times New Roman"/>
                      <w:b/>
                      <w:bCs w:val="0"/>
                      <w:color w:val="auto"/>
                      <w:sz w:val="21"/>
                      <w:szCs w:val="21"/>
                      <w:highlight w:val="none"/>
                      <w:lang w:val="en-US" w:eastAsia="zh-CN"/>
                    </w:rPr>
                    <w:t>监测频率</w:t>
                  </w:r>
                </w:p>
              </w:tc>
              <w:tc>
                <w:tcPr>
                  <w:tcW w:w="1579" w:type="pct"/>
                  <w:noWrap w:val="0"/>
                  <w:vAlign w:val="center"/>
                </w:tcPr>
                <w:p w14:paraId="79151DFB">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执行标准</w:t>
                  </w:r>
                </w:p>
              </w:tc>
            </w:tr>
            <w:tr w14:paraId="7FBBF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2" w:hRule="atLeast"/>
                <w:tblHeader/>
                <w:jc w:val="center"/>
              </w:trPr>
              <w:tc>
                <w:tcPr>
                  <w:tcW w:w="527" w:type="pct"/>
                  <w:vMerge w:val="restart"/>
                  <w:noWrap w:val="0"/>
                  <w:vAlign w:val="center"/>
                </w:tcPr>
                <w:p w14:paraId="47F67E81">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废气</w:t>
                  </w:r>
                </w:p>
              </w:tc>
              <w:tc>
                <w:tcPr>
                  <w:tcW w:w="615" w:type="pct"/>
                  <w:noWrap w:val="0"/>
                  <w:vAlign w:val="center"/>
                </w:tcPr>
                <w:p w14:paraId="03EB8745">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有组织废气DA001</w:t>
                  </w:r>
                </w:p>
              </w:tc>
              <w:tc>
                <w:tcPr>
                  <w:tcW w:w="825" w:type="pct"/>
                  <w:vMerge w:val="restart"/>
                  <w:noWrap w:val="0"/>
                  <w:vAlign w:val="center"/>
                </w:tcPr>
                <w:p w14:paraId="15ECA38B">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非甲烷总烃</w:t>
                  </w:r>
                </w:p>
                <w:p w14:paraId="69CD85B4">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bCs/>
                      <w:color w:val="auto"/>
                      <w:szCs w:val="21"/>
                      <w:highlight w:val="none"/>
                      <w:lang w:eastAsia="zh-CN"/>
                    </w:rPr>
                  </w:pPr>
                </w:p>
              </w:tc>
              <w:tc>
                <w:tcPr>
                  <w:tcW w:w="847" w:type="pct"/>
                  <w:noWrap w:val="0"/>
                  <w:vAlign w:val="center"/>
                </w:tcPr>
                <w:p w14:paraId="4BC46703">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废气处理设施出口</w:t>
                  </w:r>
                </w:p>
              </w:tc>
              <w:tc>
                <w:tcPr>
                  <w:tcW w:w="603" w:type="pct"/>
                  <w:vMerge w:val="restart"/>
                  <w:noWrap w:val="0"/>
                  <w:vAlign w:val="center"/>
                </w:tcPr>
                <w:p w14:paraId="0993C46C">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1次/年</w:t>
                  </w:r>
                </w:p>
                <w:p w14:paraId="06E53BE0">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p>
              </w:tc>
              <w:tc>
                <w:tcPr>
                  <w:tcW w:w="1579" w:type="pct"/>
                  <w:vMerge w:val="restart"/>
                  <w:noWrap w:val="0"/>
                  <w:vAlign w:val="center"/>
                </w:tcPr>
                <w:p w14:paraId="08E614F8">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《合成树脂工业污染物排放标准》（GB31572-2015</w:t>
                  </w:r>
                  <w:r>
                    <w:rPr>
                      <w:rFonts w:hint="default" w:ascii="Times New Roman" w:hAnsi="Times New Roman" w:cs="Times New Roman"/>
                      <w:bCs/>
                      <w:color w:val="auto"/>
                      <w:szCs w:val="21"/>
                      <w:highlight w:val="none"/>
                      <w:lang w:eastAsia="zh-CN"/>
                    </w:rPr>
                    <w:t>，含</w:t>
                  </w:r>
                  <w:r>
                    <w:rPr>
                      <w:rFonts w:hint="default" w:ascii="Times New Roman" w:hAnsi="Times New Roman" w:cs="Times New Roman"/>
                      <w:bCs/>
                      <w:color w:val="auto"/>
                      <w:szCs w:val="21"/>
                      <w:highlight w:val="none"/>
                      <w:lang w:val="en-US" w:eastAsia="zh-CN"/>
                    </w:rPr>
                    <w:t>2024年修改清单</w:t>
                  </w:r>
                  <w:r>
                    <w:rPr>
                      <w:rFonts w:hint="default" w:ascii="Times New Roman" w:hAnsi="Times New Roman" w:cs="Times New Roman"/>
                      <w:bCs/>
                      <w:color w:val="auto"/>
                      <w:szCs w:val="21"/>
                      <w:highlight w:val="none"/>
                    </w:rPr>
                    <w:t>）</w:t>
                  </w:r>
                </w:p>
              </w:tc>
            </w:tr>
            <w:tr w14:paraId="62920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tblHeader/>
                <w:jc w:val="center"/>
              </w:trPr>
              <w:tc>
                <w:tcPr>
                  <w:tcW w:w="527" w:type="pct"/>
                  <w:vMerge w:val="continue"/>
                  <w:noWrap w:val="0"/>
                  <w:vAlign w:val="center"/>
                </w:tcPr>
                <w:p w14:paraId="2B2A5F97">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p>
              </w:tc>
              <w:tc>
                <w:tcPr>
                  <w:tcW w:w="615" w:type="pct"/>
                  <w:vMerge w:val="restart"/>
                  <w:noWrap w:val="0"/>
                  <w:vAlign w:val="center"/>
                </w:tcPr>
                <w:p w14:paraId="2D0F0901">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无组织废气</w:t>
                  </w:r>
                </w:p>
              </w:tc>
              <w:tc>
                <w:tcPr>
                  <w:tcW w:w="825" w:type="pct"/>
                  <w:vMerge w:val="continue"/>
                  <w:noWrap w:val="0"/>
                  <w:vAlign w:val="center"/>
                </w:tcPr>
                <w:p w14:paraId="008B1BC9">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bCs/>
                      <w:color w:val="auto"/>
                      <w:szCs w:val="21"/>
                      <w:highlight w:val="none"/>
                      <w:lang w:eastAsia="zh-CN"/>
                    </w:rPr>
                  </w:pPr>
                </w:p>
              </w:tc>
              <w:tc>
                <w:tcPr>
                  <w:tcW w:w="847" w:type="pct"/>
                  <w:noWrap w:val="0"/>
                  <w:vAlign w:val="center"/>
                </w:tcPr>
                <w:p w14:paraId="63101E51">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厂界</w:t>
                  </w:r>
                </w:p>
              </w:tc>
              <w:tc>
                <w:tcPr>
                  <w:tcW w:w="603" w:type="pct"/>
                  <w:vMerge w:val="continue"/>
                  <w:noWrap w:val="0"/>
                  <w:vAlign w:val="center"/>
                </w:tcPr>
                <w:p w14:paraId="3F6884E3">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p>
              </w:tc>
              <w:tc>
                <w:tcPr>
                  <w:tcW w:w="1579" w:type="pct"/>
                  <w:vMerge w:val="continue"/>
                  <w:noWrap w:val="0"/>
                  <w:vAlign w:val="center"/>
                </w:tcPr>
                <w:p w14:paraId="2675729A">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p>
              </w:tc>
            </w:tr>
            <w:tr w14:paraId="07BD0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9" w:hRule="atLeast"/>
                <w:tblHeader/>
                <w:jc w:val="center"/>
              </w:trPr>
              <w:tc>
                <w:tcPr>
                  <w:tcW w:w="527" w:type="pct"/>
                  <w:vMerge w:val="continue"/>
                  <w:noWrap w:val="0"/>
                  <w:vAlign w:val="center"/>
                </w:tcPr>
                <w:p w14:paraId="49F4A05B">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p>
              </w:tc>
              <w:tc>
                <w:tcPr>
                  <w:tcW w:w="615" w:type="pct"/>
                  <w:vMerge w:val="continue"/>
                  <w:noWrap w:val="0"/>
                  <w:vAlign w:val="center"/>
                </w:tcPr>
                <w:p w14:paraId="52C719D5">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p>
              </w:tc>
              <w:tc>
                <w:tcPr>
                  <w:tcW w:w="825" w:type="pct"/>
                  <w:vMerge w:val="continue"/>
                  <w:noWrap w:val="0"/>
                  <w:vAlign w:val="center"/>
                </w:tcPr>
                <w:p w14:paraId="1336BE82">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bCs/>
                      <w:color w:val="auto"/>
                      <w:szCs w:val="21"/>
                      <w:highlight w:val="none"/>
                      <w:lang w:eastAsia="zh-CN"/>
                    </w:rPr>
                  </w:pPr>
                </w:p>
              </w:tc>
              <w:tc>
                <w:tcPr>
                  <w:tcW w:w="847" w:type="pct"/>
                  <w:noWrap w:val="0"/>
                  <w:vAlign w:val="center"/>
                </w:tcPr>
                <w:p w14:paraId="2CEE3A88">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厂区内</w:t>
                  </w:r>
                </w:p>
              </w:tc>
              <w:tc>
                <w:tcPr>
                  <w:tcW w:w="603" w:type="pct"/>
                  <w:vMerge w:val="continue"/>
                  <w:noWrap w:val="0"/>
                  <w:vAlign w:val="center"/>
                </w:tcPr>
                <w:p w14:paraId="6AA8A25E">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p>
              </w:tc>
              <w:tc>
                <w:tcPr>
                  <w:tcW w:w="1579" w:type="pct"/>
                  <w:noWrap w:val="0"/>
                  <w:vAlign w:val="center"/>
                </w:tcPr>
                <w:p w14:paraId="745113B6">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《挥发性有机物无组织排放控制标准》（GB 37822-2019）</w:t>
                  </w:r>
                </w:p>
              </w:tc>
            </w:tr>
            <w:tr w14:paraId="65CEA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9" w:hRule="atLeast"/>
                <w:tblHeader/>
                <w:jc w:val="center"/>
              </w:trPr>
              <w:tc>
                <w:tcPr>
                  <w:tcW w:w="527" w:type="pct"/>
                  <w:vMerge w:val="restart"/>
                  <w:noWrap w:val="0"/>
                  <w:vAlign w:val="center"/>
                </w:tcPr>
                <w:p w14:paraId="539432C8">
                  <w:pPr>
                    <w:keepLines w:val="0"/>
                    <w:pageBreakBefore w:val="0"/>
                    <w:kinsoku/>
                    <w:overflowPunct/>
                    <w:topLinePunct w:val="0"/>
                    <w:bidi w:val="0"/>
                    <w:adjustRightInd/>
                    <w:snapToGrid/>
                    <w:spacing w:line="240" w:lineRule="auto"/>
                    <w:ind w:left="0" w:leftChars="0"/>
                    <w:jc w:val="center"/>
                    <w:rPr>
                      <w:rFonts w:hint="default" w:ascii="Times New Roman" w:hAnsi="Times New Roman" w:eastAsia="宋体" w:cs="Times New Roman"/>
                      <w:bCs/>
                      <w:color w:val="auto"/>
                      <w:szCs w:val="21"/>
                      <w:highlight w:val="none"/>
                      <w:lang w:eastAsia="zh-CN"/>
                    </w:rPr>
                  </w:pPr>
                  <w:r>
                    <w:rPr>
                      <w:rFonts w:hint="default" w:ascii="Times New Roman" w:hAnsi="Times New Roman" w:cs="Times New Roman"/>
                      <w:bCs/>
                      <w:color w:val="auto"/>
                      <w:szCs w:val="21"/>
                      <w:highlight w:val="none"/>
                      <w:lang w:eastAsia="zh-CN"/>
                    </w:rPr>
                    <w:t>噪声</w:t>
                  </w:r>
                </w:p>
              </w:tc>
              <w:tc>
                <w:tcPr>
                  <w:tcW w:w="615" w:type="pct"/>
                  <w:vMerge w:val="restart"/>
                  <w:noWrap w:val="0"/>
                  <w:vAlign w:val="center"/>
                </w:tcPr>
                <w:p w14:paraId="64340D29">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 w:val="21"/>
                      <w:szCs w:val="21"/>
                      <w:highlight w:val="none"/>
                    </w:rPr>
                    <w:t>厂界</w:t>
                  </w:r>
                </w:p>
              </w:tc>
              <w:tc>
                <w:tcPr>
                  <w:tcW w:w="825" w:type="pct"/>
                  <w:vMerge w:val="restart"/>
                  <w:noWrap w:val="0"/>
                  <w:vAlign w:val="center"/>
                </w:tcPr>
                <w:p w14:paraId="5AADCEF6">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等效连续A声级</w:t>
                  </w:r>
                </w:p>
              </w:tc>
              <w:tc>
                <w:tcPr>
                  <w:tcW w:w="847" w:type="pct"/>
                  <w:noWrap w:val="0"/>
                  <w:vAlign w:val="center"/>
                </w:tcPr>
                <w:p w14:paraId="2A144D1A">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厂界东侧</w:t>
                  </w:r>
                </w:p>
              </w:tc>
              <w:tc>
                <w:tcPr>
                  <w:tcW w:w="603" w:type="pct"/>
                  <w:vMerge w:val="restart"/>
                  <w:noWrap w:val="0"/>
                  <w:vAlign w:val="center"/>
                </w:tcPr>
                <w:p w14:paraId="47B7FF42">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1次/季</w:t>
                  </w:r>
                </w:p>
              </w:tc>
              <w:tc>
                <w:tcPr>
                  <w:tcW w:w="1579" w:type="pct"/>
                  <w:vMerge w:val="restart"/>
                  <w:noWrap w:val="0"/>
                  <w:vAlign w:val="center"/>
                </w:tcPr>
                <w:p w14:paraId="6F88243C">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《工业企业厂界环境噪声排放标准》（GB12348-2008）</w:t>
                  </w:r>
                </w:p>
                <w:p w14:paraId="6D0ECE59">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r>
            <w:tr w14:paraId="73585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blHeader/>
                <w:jc w:val="center"/>
              </w:trPr>
              <w:tc>
                <w:tcPr>
                  <w:tcW w:w="527" w:type="pct"/>
                  <w:vMerge w:val="continue"/>
                  <w:noWrap w:val="0"/>
                  <w:vAlign w:val="center"/>
                </w:tcPr>
                <w:p w14:paraId="430B487E">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lang w:eastAsia="zh-CN"/>
                    </w:rPr>
                  </w:pPr>
                </w:p>
              </w:tc>
              <w:tc>
                <w:tcPr>
                  <w:tcW w:w="615" w:type="pct"/>
                  <w:vMerge w:val="continue"/>
                  <w:noWrap w:val="0"/>
                  <w:vAlign w:val="center"/>
                </w:tcPr>
                <w:p w14:paraId="7F6FF889">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2A246013">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p>
              </w:tc>
              <w:tc>
                <w:tcPr>
                  <w:tcW w:w="847" w:type="pct"/>
                  <w:noWrap w:val="0"/>
                  <w:vAlign w:val="center"/>
                </w:tcPr>
                <w:p w14:paraId="68348C4D">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厂界南侧</w:t>
                  </w:r>
                </w:p>
              </w:tc>
              <w:tc>
                <w:tcPr>
                  <w:tcW w:w="603" w:type="pct"/>
                  <w:vMerge w:val="continue"/>
                  <w:noWrap w:val="0"/>
                  <w:vAlign w:val="center"/>
                </w:tcPr>
                <w:p w14:paraId="3B773A52">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color w:val="auto"/>
                      <w:sz w:val="21"/>
                      <w:szCs w:val="21"/>
                      <w:highlight w:val="none"/>
                    </w:rPr>
                  </w:pPr>
                </w:p>
              </w:tc>
              <w:tc>
                <w:tcPr>
                  <w:tcW w:w="1579" w:type="pct"/>
                  <w:vMerge w:val="continue"/>
                  <w:noWrap w:val="0"/>
                  <w:vAlign w:val="center"/>
                </w:tcPr>
                <w:p w14:paraId="30ACA015">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r>
            <w:tr w14:paraId="7B7BB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tblHeader/>
                <w:jc w:val="center"/>
              </w:trPr>
              <w:tc>
                <w:tcPr>
                  <w:tcW w:w="527" w:type="pct"/>
                  <w:vMerge w:val="continue"/>
                  <w:noWrap w:val="0"/>
                  <w:vAlign w:val="center"/>
                </w:tcPr>
                <w:p w14:paraId="633BC640">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lang w:eastAsia="zh-CN"/>
                    </w:rPr>
                  </w:pPr>
                </w:p>
              </w:tc>
              <w:tc>
                <w:tcPr>
                  <w:tcW w:w="615" w:type="pct"/>
                  <w:vMerge w:val="continue"/>
                  <w:noWrap w:val="0"/>
                  <w:vAlign w:val="center"/>
                </w:tcPr>
                <w:p w14:paraId="05542F32">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607EFD0D">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p>
              </w:tc>
              <w:tc>
                <w:tcPr>
                  <w:tcW w:w="847" w:type="pct"/>
                  <w:noWrap w:val="0"/>
                  <w:vAlign w:val="center"/>
                </w:tcPr>
                <w:p w14:paraId="07944A81">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w:t>
                  </w:r>
                  <w:r>
                    <w:rPr>
                      <w:rFonts w:hint="eastAsia" w:cs="Times New Roman"/>
                      <w:bCs/>
                      <w:color w:val="auto"/>
                      <w:sz w:val="21"/>
                      <w:szCs w:val="21"/>
                      <w:highlight w:val="none"/>
                      <w:lang w:val="en-US" w:eastAsia="zh-CN"/>
                    </w:rPr>
                    <w:t>西</w:t>
                  </w:r>
                  <w:r>
                    <w:rPr>
                      <w:rFonts w:hint="default" w:ascii="Times New Roman" w:hAnsi="Times New Roman" w:eastAsia="宋体" w:cs="Times New Roman"/>
                      <w:bCs/>
                      <w:color w:val="auto"/>
                      <w:sz w:val="21"/>
                      <w:szCs w:val="21"/>
                      <w:highlight w:val="none"/>
                      <w:lang w:val="en-US" w:eastAsia="zh-CN"/>
                    </w:rPr>
                    <w:t>侧</w:t>
                  </w:r>
                </w:p>
              </w:tc>
              <w:tc>
                <w:tcPr>
                  <w:tcW w:w="603" w:type="pct"/>
                  <w:vMerge w:val="continue"/>
                  <w:noWrap w:val="0"/>
                  <w:vAlign w:val="center"/>
                </w:tcPr>
                <w:p w14:paraId="42A0AB8F">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color w:val="auto"/>
                      <w:sz w:val="21"/>
                      <w:szCs w:val="21"/>
                      <w:highlight w:val="none"/>
                    </w:rPr>
                  </w:pPr>
                </w:p>
              </w:tc>
              <w:tc>
                <w:tcPr>
                  <w:tcW w:w="1579" w:type="pct"/>
                  <w:vMerge w:val="continue"/>
                  <w:noWrap w:val="0"/>
                  <w:vAlign w:val="center"/>
                </w:tcPr>
                <w:p w14:paraId="328C96EA">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r>
            <w:tr w14:paraId="74ED2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blHeader/>
                <w:jc w:val="center"/>
              </w:trPr>
              <w:tc>
                <w:tcPr>
                  <w:tcW w:w="527" w:type="pct"/>
                  <w:vMerge w:val="continue"/>
                  <w:noWrap w:val="0"/>
                  <w:vAlign w:val="center"/>
                </w:tcPr>
                <w:p w14:paraId="3AC44DEC">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bCs/>
                      <w:color w:val="auto"/>
                      <w:szCs w:val="21"/>
                      <w:highlight w:val="none"/>
                      <w:lang w:eastAsia="zh-CN"/>
                    </w:rPr>
                  </w:pPr>
                </w:p>
              </w:tc>
              <w:tc>
                <w:tcPr>
                  <w:tcW w:w="615" w:type="pct"/>
                  <w:vMerge w:val="continue"/>
                  <w:noWrap w:val="0"/>
                  <w:vAlign w:val="center"/>
                </w:tcPr>
                <w:p w14:paraId="01DC1970">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25" w:type="pct"/>
                  <w:vMerge w:val="continue"/>
                  <w:noWrap w:val="0"/>
                  <w:vAlign w:val="center"/>
                </w:tcPr>
                <w:p w14:paraId="2851D258">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c>
                <w:tcPr>
                  <w:tcW w:w="847" w:type="pct"/>
                  <w:noWrap w:val="0"/>
                  <w:vAlign w:val="center"/>
                </w:tcPr>
                <w:p w14:paraId="0BD54A45">
                  <w:pPr>
                    <w:pStyle w:val="16"/>
                    <w:keepLines w:val="0"/>
                    <w:pageBreakBefore w:val="0"/>
                    <w:pBdr>
                      <w:bottom w:val="none" w:color="auto" w:sz="0" w:space="0"/>
                    </w:pBdr>
                    <w:tabs>
                      <w:tab w:val="left" w:pos="420"/>
                    </w:tabs>
                    <w:kinsoku/>
                    <w:overflowPunct/>
                    <w:topLinePunct w:val="0"/>
                    <w:bidi w:val="0"/>
                    <w:adjustRightInd/>
                    <w:snapToGrid/>
                    <w:spacing w:line="240" w:lineRule="auto"/>
                    <w:ind w:left="0" w:leftChars="0"/>
                    <w:rPr>
                      <w:rFonts w:hint="default" w:ascii="Times New Roman" w:hAnsi="Times New Roman"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厂界</w:t>
                  </w:r>
                  <w:r>
                    <w:rPr>
                      <w:rFonts w:hint="eastAsia" w:cs="Times New Roman"/>
                      <w:bCs/>
                      <w:color w:val="auto"/>
                      <w:sz w:val="21"/>
                      <w:szCs w:val="21"/>
                      <w:highlight w:val="none"/>
                      <w:lang w:val="en-US" w:eastAsia="zh-CN"/>
                    </w:rPr>
                    <w:t>北</w:t>
                  </w:r>
                  <w:r>
                    <w:rPr>
                      <w:rFonts w:hint="default" w:ascii="Times New Roman" w:hAnsi="Times New Roman" w:eastAsia="宋体" w:cs="Times New Roman"/>
                      <w:bCs/>
                      <w:color w:val="auto"/>
                      <w:sz w:val="21"/>
                      <w:szCs w:val="21"/>
                      <w:highlight w:val="none"/>
                      <w:lang w:val="en-US" w:eastAsia="zh-CN"/>
                    </w:rPr>
                    <w:t>侧</w:t>
                  </w:r>
                </w:p>
              </w:tc>
              <w:tc>
                <w:tcPr>
                  <w:tcW w:w="603" w:type="pct"/>
                  <w:vMerge w:val="continue"/>
                  <w:noWrap w:val="0"/>
                  <w:vAlign w:val="center"/>
                </w:tcPr>
                <w:p w14:paraId="32749A6E">
                  <w:pPr>
                    <w:pStyle w:val="16"/>
                    <w:keepLines w:val="0"/>
                    <w:pageBreakBefore w:val="0"/>
                    <w:pBdr>
                      <w:bottom w:val="none" w:color="auto" w:sz="0" w:space="0"/>
                    </w:pBdr>
                    <w:tabs>
                      <w:tab w:val="clear" w:pos="4153"/>
                      <w:tab w:val="clear" w:pos="8306"/>
                    </w:tabs>
                    <w:kinsoku/>
                    <w:overflowPunct/>
                    <w:topLinePunct w:val="0"/>
                    <w:bidi w:val="0"/>
                    <w:adjustRightInd/>
                    <w:snapToGrid/>
                    <w:spacing w:line="240" w:lineRule="auto"/>
                    <w:ind w:left="0" w:leftChars="0"/>
                    <w:rPr>
                      <w:rFonts w:hint="default" w:ascii="Times New Roman" w:hAnsi="Times New Roman" w:cs="Times New Roman"/>
                      <w:color w:val="auto"/>
                      <w:sz w:val="21"/>
                      <w:szCs w:val="21"/>
                      <w:highlight w:val="none"/>
                    </w:rPr>
                  </w:pPr>
                </w:p>
              </w:tc>
              <w:tc>
                <w:tcPr>
                  <w:tcW w:w="1579" w:type="pct"/>
                  <w:vMerge w:val="continue"/>
                  <w:noWrap w:val="0"/>
                  <w:vAlign w:val="center"/>
                </w:tcPr>
                <w:p w14:paraId="37C7D056">
                  <w:pPr>
                    <w:keepLines w:val="0"/>
                    <w:pageBreakBefore w:val="0"/>
                    <w:kinsoku/>
                    <w:overflowPunct/>
                    <w:topLinePunct w:val="0"/>
                    <w:bidi w:val="0"/>
                    <w:adjustRightInd/>
                    <w:snapToGrid/>
                    <w:spacing w:line="240" w:lineRule="auto"/>
                    <w:ind w:left="0" w:leftChars="0"/>
                    <w:jc w:val="center"/>
                    <w:rPr>
                      <w:rFonts w:hint="default" w:ascii="Times New Roman" w:hAnsi="Times New Roman" w:cs="Times New Roman"/>
                      <w:color w:val="auto"/>
                      <w:sz w:val="21"/>
                      <w:szCs w:val="21"/>
                      <w:highlight w:val="none"/>
                    </w:rPr>
                  </w:pPr>
                </w:p>
              </w:tc>
            </w:tr>
          </w:tbl>
          <w:p w14:paraId="580F07EE">
            <w:pPr>
              <w:keepNext w:val="0"/>
              <w:keepLines w:val="0"/>
              <w:pageBreakBefore w:val="0"/>
              <w:widowControl w:val="0"/>
              <w:numPr>
                <w:ilvl w:val="0"/>
                <w:numId w:val="0"/>
              </w:numPr>
              <w:kinsoku/>
              <w:wordWrap/>
              <w:overflowPunct/>
              <w:topLinePunct w:val="0"/>
              <w:autoSpaceDE/>
              <w:autoSpaceDN/>
              <w:bidi w:val="0"/>
              <w:adjustRightInd/>
              <w:snapToGrid/>
              <w:spacing w:before="120" w:line="360" w:lineRule="auto"/>
              <w:ind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4、排污口规范化管理</w:t>
            </w:r>
          </w:p>
          <w:p w14:paraId="0E5310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（1）排污口管理</w:t>
            </w:r>
          </w:p>
          <w:p w14:paraId="426F61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建设单位应在各个排污口处树立标志牌。生态环境主管部门和建设单位可分别按以下内容建立排污口管理的专门档案：排污口性质和编号，位置，排放主要污染物种类、数量、浓度，排放去向，达标情况，治理设施运行情况及整改意见。</w:t>
            </w:r>
          </w:p>
          <w:p w14:paraId="5E69C6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（2）环境保护图形标志</w:t>
            </w:r>
          </w:p>
          <w:p w14:paraId="14C66E8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在废气排放口、废水排放口、固体废物贮存处置场、噪声产生点应设置环境保护图形标志，图形符号分为提示图形和警告图形符号两种，分别按《环境保护图形标志-排放口》（GB15562.1-1995）和《危险废物识别标志设置技术规范》（HJ 1276-2022）执行。</w:t>
            </w:r>
          </w:p>
          <w:p w14:paraId="507F777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5、对固废进行分类收集，有回收利用价值的全部回收利用，无利用价值的集中存放进行处理；危废严格执行转移联单制度，合法处置。</w:t>
            </w:r>
          </w:p>
          <w:p w14:paraId="2C20509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6、项目建成后，建设单位需按照《突发环境事件应急预案管理办法》（环境保护部令34号），2015.06.05；《企业突发环境事件风险分级方法》（HJ941-2018）编制环境风险应急预案。应急预案的主要内容包括预案适用范围、环境事件分类与分级、组织机构和职责、监控和预警、应急和预警、应急响应、应急保障、善后处理、预案管理和演练等内容。须认真落实企业环境应急预案，并对环境风险应急预案进行备案。</w:t>
            </w:r>
          </w:p>
          <w:p w14:paraId="5406E7E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7、加强职工操作培训，提高职工技术水平和环保意识，建立全厂设备维护、维修制度，注意正确的操作规程，避免因操作失误造成的环境影响。</w:t>
            </w:r>
          </w:p>
          <w:p w14:paraId="32067DE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8、建立完善的环保台账，对日常环保设施运行情况进行记录、管理。</w:t>
            </w:r>
          </w:p>
          <w:p w14:paraId="108465E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9、根据《企业事业单位环境信息公开办法》（环保部令第31号）的规定，并</w:t>
            </w:r>
            <w:r>
              <w:rPr>
                <w:rFonts w:hint="default" w:ascii="Times New Roman" w:hAnsi="Times New Roman" w:eastAsia="宋体" w:cs="Times New Roman"/>
                <w:color w:val="auto"/>
                <w:kern w:val="0"/>
                <w:sz w:val="24"/>
                <w:szCs w:val="24"/>
                <w:highlight w:val="none"/>
                <w:lang w:val="en-US" w:eastAsia="zh-CN" w:bidi="ar-SA"/>
              </w:rPr>
              <w:t>结合西咸新区生态环境局（泾河）工作部的</w:t>
            </w:r>
            <w:r>
              <w:rPr>
                <w:rFonts w:hint="default" w:ascii="Times New Roman" w:hAnsi="Times New Roman" w:eastAsia="宋体" w:cs="Times New Roman"/>
                <w:color w:val="auto"/>
                <w:kern w:val="0"/>
                <w:sz w:val="24"/>
                <w:szCs w:val="24"/>
                <w:lang w:val="en-US" w:eastAsia="zh-CN" w:bidi="ar-SA"/>
              </w:rPr>
              <w:t>要求，应及时、如实地公开其环境信息，应当在单位内部建立环境信息公开制度，设专人负责环境信息公开的日常工作。</w:t>
            </w:r>
          </w:p>
          <w:p w14:paraId="1DAFBE7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7FE0E21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3B7518CC">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color w:val="auto"/>
                <w:kern w:val="0"/>
                <w:sz w:val="24"/>
                <w:szCs w:val="24"/>
                <w:lang w:val="en-US" w:eastAsia="zh-CN" w:bidi="ar-SA"/>
              </w:rPr>
            </w:pPr>
          </w:p>
          <w:p w14:paraId="699C1D14">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default" w:ascii="Times New Roman" w:hAnsi="Times New Roman" w:eastAsia="宋体" w:cs="Times New Roman"/>
                <w:color w:val="auto"/>
                <w:kern w:val="0"/>
                <w:sz w:val="24"/>
                <w:szCs w:val="24"/>
                <w:lang w:val="en-US" w:eastAsia="zh-CN" w:bidi="ar-SA"/>
              </w:rPr>
            </w:pPr>
          </w:p>
          <w:p w14:paraId="1F1129B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07B90E6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66A96DE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4E7D3C4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049FD8E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0C2C41E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69ABCB2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2CAF38C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30DA4A3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1E93856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1DBE087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45F8751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66F86EB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1046E11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4C1FC1CA">
            <w:pPr>
              <w:pStyle w:val="2"/>
              <w:rPr>
                <w:rFonts w:hint="default" w:ascii="Times New Roman" w:hAnsi="Times New Roman" w:eastAsia="宋体" w:cs="Times New Roman"/>
                <w:color w:val="auto"/>
                <w:kern w:val="0"/>
                <w:sz w:val="24"/>
                <w:szCs w:val="24"/>
                <w:lang w:val="en-US" w:eastAsia="zh-CN" w:bidi="ar-SA"/>
              </w:rPr>
            </w:pPr>
          </w:p>
          <w:p w14:paraId="610F6BC7">
            <w:pPr>
              <w:pStyle w:val="2"/>
              <w:rPr>
                <w:rFonts w:hint="default" w:ascii="Times New Roman" w:hAnsi="Times New Roman" w:eastAsia="宋体" w:cs="Times New Roman"/>
                <w:color w:val="auto"/>
                <w:kern w:val="0"/>
                <w:sz w:val="24"/>
                <w:szCs w:val="24"/>
                <w:lang w:val="en-US" w:eastAsia="zh-CN" w:bidi="ar-SA"/>
              </w:rPr>
            </w:pPr>
          </w:p>
          <w:p w14:paraId="0BB8B3B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35F075CC">
            <w:pPr>
              <w:pStyle w:val="2"/>
              <w:rPr>
                <w:rFonts w:hint="default"/>
                <w:lang w:val="en-US" w:eastAsia="zh-CN"/>
              </w:rPr>
            </w:pPr>
          </w:p>
          <w:p w14:paraId="78DF67F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45AE04D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06AEE67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768628F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3477A49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p w14:paraId="13F5EEA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kern w:val="0"/>
                <w:sz w:val="24"/>
                <w:szCs w:val="24"/>
                <w:lang w:val="en-US" w:eastAsia="zh-CN" w:bidi="ar-SA"/>
              </w:rPr>
            </w:pPr>
          </w:p>
        </w:tc>
      </w:tr>
    </w:tbl>
    <w:p w14:paraId="1445575E">
      <w:pPr>
        <w:pStyle w:val="22"/>
        <w:jc w:val="center"/>
        <w:outlineLvl w:val="0"/>
        <w:rPr>
          <w:rFonts w:ascii="黑体" w:hAnsi="黑体" w:eastAsia="黑体"/>
          <w:snapToGrid w:val="0"/>
          <w:color w:val="auto"/>
          <w:sz w:val="30"/>
          <w:szCs w:val="30"/>
        </w:rPr>
      </w:pPr>
      <w:r>
        <w:rPr>
          <w:snapToGrid w:val="0"/>
          <w:color w:val="0000FF"/>
        </w:rPr>
        <w:br w:type="page"/>
      </w:r>
      <w:r>
        <w:rPr>
          <w:rFonts w:hint="eastAsia" w:ascii="黑体" w:hAnsi="黑体" w:eastAsia="黑体"/>
          <w:snapToGrid w:val="0"/>
          <w:color w:val="auto"/>
          <w:sz w:val="30"/>
          <w:szCs w:val="30"/>
        </w:rPr>
        <w:t>六、结论</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65"/>
      </w:tblGrid>
      <w:tr w14:paraId="054B9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3E32F57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color w:val="auto"/>
                <w:sz w:val="24"/>
                <w:szCs w:val="22"/>
                <w:highlight w:val="none"/>
                <w:lang w:val="en-US" w:eastAsia="zh-CN"/>
              </w:rPr>
            </w:pPr>
            <w:r>
              <w:rPr>
                <w:rFonts w:hint="eastAsia"/>
                <w:color w:val="auto"/>
                <w:sz w:val="24"/>
                <w:szCs w:val="22"/>
                <w:highlight w:val="none"/>
                <w:lang w:val="en-US" w:eastAsia="zh-CN"/>
              </w:rPr>
              <w:t>陕西聚鑫弘科技有限公司的“电力护套管建设项目”符合国家相关产业政策规划要求，项目选址亦符合西咸新区泾河新城相关规划要求。项目实施过程中采取的污染防治措施可行，能够满足达标排放和总量控制的要求，对环境影响较小。只要严格遵循报告表中提出的各项污染防治措施，从环境保护角度分析，该项目建设环境影响可行。</w:t>
            </w:r>
          </w:p>
          <w:p w14:paraId="27FCE5C2">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color w:val="0000FF"/>
                <w:sz w:val="24"/>
                <w:szCs w:val="22"/>
                <w:highlight w:val="none"/>
                <w:lang w:val="en-US" w:eastAsia="zh-CN"/>
              </w:rPr>
            </w:pPr>
          </w:p>
          <w:p w14:paraId="6C023B31">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sz w:val="24"/>
                <w:szCs w:val="22"/>
                <w:lang w:val="en-US" w:eastAsia="zh-CN"/>
              </w:rPr>
            </w:pPr>
          </w:p>
          <w:p w14:paraId="06E718A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sz w:val="24"/>
                <w:szCs w:val="22"/>
                <w:lang w:val="en-US" w:eastAsia="zh-CN"/>
              </w:rPr>
            </w:pPr>
          </w:p>
          <w:p w14:paraId="7FDF67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sz w:val="24"/>
                <w:szCs w:val="22"/>
                <w:lang w:val="en-US" w:eastAsia="zh-CN"/>
              </w:rPr>
            </w:pPr>
          </w:p>
          <w:p w14:paraId="6E2A2AB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sz w:val="24"/>
                <w:szCs w:val="22"/>
                <w:lang w:val="en-US" w:eastAsia="zh-CN"/>
              </w:rPr>
            </w:pPr>
          </w:p>
          <w:p w14:paraId="17A2B25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sz w:val="24"/>
                <w:szCs w:val="22"/>
                <w:lang w:val="en-US" w:eastAsia="zh-CN"/>
              </w:rPr>
            </w:pPr>
          </w:p>
        </w:tc>
      </w:tr>
    </w:tbl>
    <w:p w14:paraId="58D681E1">
      <w:pPr>
        <w:ind w:firstLine="209"/>
        <w:rPr>
          <w:rFonts w:ascii="宋体"/>
          <w:color w:val="0000FF"/>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CEBA1FD">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74A6C0D1">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eastAsia"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5"/>
        <w:gridCol w:w="648"/>
        <w:gridCol w:w="1067"/>
        <w:gridCol w:w="1616"/>
        <w:gridCol w:w="1276"/>
        <w:gridCol w:w="1701"/>
        <w:gridCol w:w="1559"/>
        <w:gridCol w:w="1370"/>
        <w:gridCol w:w="1581"/>
        <w:gridCol w:w="1595"/>
      </w:tblGrid>
      <w:tr w14:paraId="25E15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jc w:val="center"/>
        </w:trPr>
        <w:tc>
          <w:tcPr>
            <w:tcW w:w="1375" w:type="dxa"/>
            <w:tcBorders>
              <w:tl2br w:val="single" w:color="auto" w:sz="4" w:space="0"/>
            </w:tcBorders>
            <w:noWrap w:val="0"/>
            <w:tcMar>
              <w:left w:w="28" w:type="dxa"/>
              <w:right w:w="28" w:type="dxa"/>
            </w:tcMar>
            <w:vAlign w:val="center"/>
          </w:tcPr>
          <w:p w14:paraId="69F4E941">
            <w:pPr>
              <w:pStyle w:val="43"/>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项目</w:t>
            </w:r>
          </w:p>
          <w:p w14:paraId="6DE5F6DC">
            <w:pPr>
              <w:pStyle w:val="43"/>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分类</w:t>
            </w:r>
          </w:p>
        </w:tc>
        <w:tc>
          <w:tcPr>
            <w:tcW w:w="1715" w:type="dxa"/>
            <w:gridSpan w:val="2"/>
            <w:noWrap w:val="0"/>
            <w:tcMar>
              <w:left w:w="28" w:type="dxa"/>
              <w:right w:w="28" w:type="dxa"/>
            </w:tcMar>
            <w:vAlign w:val="center"/>
          </w:tcPr>
          <w:p w14:paraId="36B13A80">
            <w:pPr>
              <w:pStyle w:val="43"/>
              <w:shd w:val="clear" w:color="auto" w:fill="auto"/>
              <w:spacing w:beforeLines="0" w:afterLines="0" w:line="240" w:lineRule="auto"/>
              <w:jc w:val="center"/>
              <w:rPr>
                <w:rFonts w:hint="eastAsia" w:ascii="Times New Roman" w:hAnsi="Times New Roman" w:eastAsia="黑体" w:cs="宋体"/>
                <w:snapToGrid w:val="0"/>
                <w:color w:val="auto"/>
                <w:spacing w:val="-6"/>
                <w:kern w:val="21"/>
                <w:szCs w:val="21"/>
                <w:highlight w:val="none"/>
              </w:rPr>
            </w:pPr>
            <w:r>
              <w:rPr>
                <w:rFonts w:hint="eastAsia" w:ascii="Times New Roman" w:hAnsi="Times New Roman" w:eastAsia="黑体" w:cs="宋体"/>
                <w:snapToGrid w:val="0"/>
                <w:color w:val="auto"/>
                <w:spacing w:val="-6"/>
                <w:kern w:val="21"/>
                <w:szCs w:val="21"/>
                <w:highlight w:val="none"/>
              </w:rPr>
              <w:t>污染物名称</w:t>
            </w:r>
          </w:p>
        </w:tc>
        <w:tc>
          <w:tcPr>
            <w:tcW w:w="1616" w:type="dxa"/>
            <w:noWrap w:val="0"/>
            <w:tcMar>
              <w:left w:w="28" w:type="dxa"/>
              <w:right w:w="28" w:type="dxa"/>
            </w:tcMar>
            <w:vAlign w:val="center"/>
          </w:tcPr>
          <w:p w14:paraId="67BECDD1">
            <w:pPr>
              <w:pStyle w:val="43"/>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现有工程</w:t>
            </w:r>
          </w:p>
          <w:p w14:paraId="402E4A39">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1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①</w:t>
            </w:r>
            <w:r>
              <w:rPr>
                <w:rFonts w:ascii="Times New Roman" w:hAnsi="Times New Roman" w:eastAsia="黑体"/>
                <w:snapToGrid w:val="0"/>
                <w:color w:val="auto"/>
                <w:spacing w:val="-6"/>
                <w:kern w:val="21"/>
                <w:szCs w:val="21"/>
                <w:highlight w:val="none"/>
              </w:rPr>
              <w:fldChar w:fldCharType="end"/>
            </w:r>
          </w:p>
        </w:tc>
        <w:tc>
          <w:tcPr>
            <w:tcW w:w="1276" w:type="dxa"/>
            <w:noWrap w:val="0"/>
            <w:tcMar>
              <w:left w:w="28" w:type="dxa"/>
              <w:right w:w="28" w:type="dxa"/>
            </w:tcMar>
            <w:vAlign w:val="center"/>
          </w:tcPr>
          <w:p w14:paraId="10885CEA">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现有工程</w:t>
            </w:r>
          </w:p>
          <w:p w14:paraId="1A278D1C">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许可排放量</w:t>
            </w:r>
          </w:p>
          <w:p w14:paraId="3B65FDA3">
            <w:pPr>
              <w:pStyle w:val="43"/>
              <w:shd w:val="clear" w:color="auto" w:fill="auto"/>
              <w:spacing w:beforeLines="0" w:afterLines="0"/>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2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snapToGrid w:val="0"/>
                <w:color w:val="auto"/>
                <w:spacing w:val="-6"/>
                <w:kern w:val="21"/>
                <w:szCs w:val="21"/>
                <w:highlight w:val="none"/>
              </w:rPr>
              <w:t>②</w:t>
            </w:r>
            <w:r>
              <w:rPr>
                <w:rFonts w:ascii="Times New Roman" w:hAnsi="Times New Roman" w:eastAsia="黑体"/>
                <w:snapToGrid w:val="0"/>
                <w:color w:val="auto"/>
                <w:spacing w:val="-6"/>
                <w:kern w:val="21"/>
                <w:szCs w:val="21"/>
                <w:highlight w:val="none"/>
              </w:rPr>
              <w:fldChar w:fldCharType="end"/>
            </w:r>
          </w:p>
        </w:tc>
        <w:tc>
          <w:tcPr>
            <w:tcW w:w="1701" w:type="dxa"/>
            <w:noWrap w:val="0"/>
            <w:tcMar>
              <w:left w:w="28" w:type="dxa"/>
              <w:right w:w="28" w:type="dxa"/>
            </w:tcMar>
            <w:vAlign w:val="center"/>
          </w:tcPr>
          <w:p w14:paraId="7E226649">
            <w:pPr>
              <w:pStyle w:val="43"/>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在建工程</w:t>
            </w:r>
          </w:p>
          <w:p w14:paraId="6FD94CFE">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3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③</w:t>
            </w:r>
            <w:r>
              <w:rPr>
                <w:rFonts w:ascii="Times New Roman" w:hAnsi="Times New Roman" w:eastAsia="黑体"/>
                <w:snapToGrid w:val="0"/>
                <w:color w:val="auto"/>
                <w:spacing w:val="-6"/>
                <w:kern w:val="21"/>
                <w:szCs w:val="21"/>
                <w:highlight w:val="none"/>
              </w:rPr>
              <w:fldChar w:fldCharType="end"/>
            </w:r>
          </w:p>
        </w:tc>
        <w:tc>
          <w:tcPr>
            <w:tcW w:w="1559" w:type="dxa"/>
            <w:noWrap w:val="0"/>
            <w:tcMar>
              <w:left w:w="28" w:type="dxa"/>
              <w:right w:w="28" w:type="dxa"/>
            </w:tcMar>
            <w:vAlign w:val="center"/>
          </w:tcPr>
          <w:p w14:paraId="04E3375D">
            <w:pPr>
              <w:pStyle w:val="43"/>
              <w:shd w:val="clear" w:color="auto" w:fill="auto"/>
              <w:spacing w:beforeLines="0" w:afterLines="0" w:line="240" w:lineRule="auto"/>
              <w:jc w:val="center"/>
              <w:rPr>
                <w:rFonts w:hint="eastAsia"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本项目</w:t>
            </w:r>
          </w:p>
          <w:p w14:paraId="4B860681">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排放量（固</w:t>
            </w:r>
            <w:r>
              <w:rPr>
                <w:rFonts w:hint="eastAsia" w:ascii="Times New Roman" w:hAnsi="Times New Roman" w:eastAsia="黑体"/>
                <w:snapToGrid w:val="0"/>
                <w:color w:val="auto"/>
                <w:spacing w:val="-6"/>
                <w:kern w:val="21"/>
                <w:szCs w:val="21"/>
                <w:highlight w:val="none"/>
              </w:rPr>
              <w:t>体</w:t>
            </w:r>
            <w:r>
              <w:rPr>
                <w:rFonts w:ascii="Times New Roman" w:hAnsi="Times New Roman" w:eastAsia="黑体"/>
                <w:snapToGrid w:val="0"/>
                <w:color w:val="auto"/>
                <w:spacing w:val="-6"/>
                <w:kern w:val="21"/>
                <w:szCs w:val="21"/>
                <w:highlight w:val="none"/>
              </w:rPr>
              <w:t>废</w:t>
            </w:r>
            <w:r>
              <w:rPr>
                <w:rFonts w:hint="eastAsia" w:ascii="Times New Roman" w:hAnsi="Times New Roman" w:eastAsia="黑体"/>
                <w:snapToGrid w:val="0"/>
                <w:color w:val="auto"/>
                <w:spacing w:val="-6"/>
                <w:kern w:val="21"/>
                <w:szCs w:val="21"/>
                <w:highlight w:val="none"/>
              </w:rPr>
              <w:t>物</w:t>
            </w:r>
            <w:r>
              <w:rPr>
                <w:rFonts w:ascii="Times New Roman" w:hAnsi="Times New Roman" w:eastAsia="黑体"/>
                <w:snapToGrid w:val="0"/>
                <w:color w:val="auto"/>
                <w:spacing w:val="-6"/>
                <w:kern w:val="21"/>
                <w:szCs w:val="21"/>
                <w:highlight w:val="none"/>
              </w:rPr>
              <w:t>产生量）</w:t>
            </w: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4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④</w:t>
            </w:r>
            <w:r>
              <w:rPr>
                <w:rFonts w:ascii="Times New Roman" w:hAnsi="Times New Roman" w:eastAsia="黑体"/>
                <w:snapToGrid w:val="0"/>
                <w:color w:val="auto"/>
                <w:spacing w:val="-6"/>
                <w:kern w:val="21"/>
                <w:szCs w:val="21"/>
                <w:highlight w:val="none"/>
              </w:rPr>
              <w:fldChar w:fldCharType="end"/>
            </w:r>
          </w:p>
        </w:tc>
        <w:tc>
          <w:tcPr>
            <w:tcW w:w="1370" w:type="dxa"/>
            <w:noWrap w:val="0"/>
            <w:tcMar>
              <w:left w:w="28" w:type="dxa"/>
              <w:right w:w="28" w:type="dxa"/>
            </w:tcMar>
            <w:vAlign w:val="center"/>
          </w:tcPr>
          <w:p w14:paraId="4630BB96">
            <w:pPr>
              <w:pStyle w:val="43"/>
              <w:shd w:val="clear" w:color="auto" w:fill="auto"/>
              <w:spacing w:beforeLines="0" w:afterLines="0" w:line="240" w:lineRule="auto"/>
              <w:jc w:val="center"/>
              <w:rPr>
                <w:rFonts w:hint="eastAsia"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以新带老削减量</w:t>
            </w:r>
          </w:p>
          <w:p w14:paraId="2DDC570E">
            <w:pPr>
              <w:pStyle w:val="43"/>
              <w:shd w:val="clear" w:color="auto" w:fill="auto"/>
              <w:spacing w:beforeLines="0" w:afterLines="0" w:line="240" w:lineRule="auto"/>
              <w:jc w:val="center"/>
              <w:rPr>
                <w:rFonts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（新建项目不填）</w:t>
            </w:r>
            <w:r>
              <w:rPr>
                <w:rFonts w:ascii="Times New Roman" w:hAnsi="Times New Roman" w:eastAsia="黑体"/>
                <w:snapToGrid w:val="0"/>
                <w:color w:val="auto"/>
                <w:spacing w:val="-16"/>
                <w:kern w:val="21"/>
                <w:szCs w:val="21"/>
                <w:highlight w:val="none"/>
              </w:rPr>
              <w:fldChar w:fldCharType="begin"/>
            </w:r>
            <w:r>
              <w:rPr>
                <w:rFonts w:ascii="Times New Roman" w:hAnsi="Times New Roman" w:eastAsia="黑体"/>
                <w:snapToGrid w:val="0"/>
                <w:color w:val="auto"/>
                <w:spacing w:val="-16"/>
                <w:kern w:val="21"/>
                <w:szCs w:val="21"/>
                <w:highlight w:val="none"/>
              </w:rPr>
              <w:instrText xml:space="preserve"> = 5 \* GB3 \* MERGEFORMAT </w:instrText>
            </w:r>
            <w:r>
              <w:rPr>
                <w:rFonts w:ascii="Times New Roman" w:hAnsi="Times New Roman" w:eastAsia="黑体"/>
                <w:snapToGrid w:val="0"/>
                <w:color w:val="auto"/>
                <w:spacing w:val="-16"/>
                <w:kern w:val="21"/>
                <w:szCs w:val="21"/>
                <w:highlight w:val="none"/>
              </w:rPr>
              <w:fldChar w:fldCharType="separate"/>
            </w:r>
            <w:r>
              <w:rPr>
                <w:rFonts w:hint="eastAsia" w:ascii="Times New Roman" w:hAnsi="Times New Roman" w:eastAsia="黑体" w:cs="宋体"/>
                <w:color w:val="auto"/>
                <w:kern w:val="2"/>
                <w:szCs w:val="21"/>
                <w:highlight w:val="none"/>
              </w:rPr>
              <w:t>⑤</w:t>
            </w:r>
            <w:r>
              <w:rPr>
                <w:rFonts w:ascii="Times New Roman" w:hAnsi="Times New Roman" w:eastAsia="黑体"/>
                <w:snapToGrid w:val="0"/>
                <w:color w:val="auto"/>
                <w:spacing w:val="-16"/>
                <w:kern w:val="21"/>
                <w:szCs w:val="21"/>
                <w:highlight w:val="none"/>
              </w:rPr>
              <w:fldChar w:fldCharType="end"/>
            </w:r>
          </w:p>
        </w:tc>
        <w:tc>
          <w:tcPr>
            <w:tcW w:w="1581" w:type="dxa"/>
            <w:noWrap w:val="0"/>
            <w:tcMar>
              <w:left w:w="28" w:type="dxa"/>
              <w:right w:w="28" w:type="dxa"/>
            </w:tcMar>
            <w:vAlign w:val="center"/>
          </w:tcPr>
          <w:p w14:paraId="10A2A83D">
            <w:pPr>
              <w:pStyle w:val="43"/>
              <w:shd w:val="clear" w:color="auto" w:fill="auto"/>
              <w:spacing w:beforeLines="0" w:afterLines="0" w:line="240" w:lineRule="auto"/>
              <w:jc w:val="center"/>
              <w:rPr>
                <w:rFonts w:hint="eastAsia" w:ascii="Times New Roman" w:hAnsi="Times New Roman" w:eastAsia="黑体"/>
                <w:snapToGrid w:val="0"/>
                <w:color w:val="auto"/>
                <w:spacing w:val="-16"/>
                <w:kern w:val="21"/>
                <w:szCs w:val="21"/>
                <w:highlight w:val="none"/>
              </w:rPr>
            </w:pPr>
            <w:r>
              <w:rPr>
                <w:rFonts w:ascii="Times New Roman" w:hAnsi="Times New Roman" w:eastAsia="黑体"/>
                <w:snapToGrid w:val="0"/>
                <w:color w:val="auto"/>
                <w:spacing w:val="-16"/>
                <w:kern w:val="21"/>
                <w:szCs w:val="21"/>
                <w:highlight w:val="none"/>
              </w:rPr>
              <w:t>本项目建成后</w:t>
            </w:r>
          </w:p>
          <w:p w14:paraId="32DE0F12">
            <w:pPr>
              <w:pStyle w:val="43"/>
              <w:shd w:val="clear" w:color="auto" w:fill="auto"/>
              <w:spacing w:beforeLines="0" w:afterLines="0" w:line="240" w:lineRule="auto"/>
              <w:jc w:val="center"/>
              <w:rPr>
                <w:rFonts w:ascii="Times New Roman" w:hAnsi="Times New Roman" w:eastAsia="黑体"/>
                <w:snapToGrid w:val="0"/>
                <w:color w:val="auto"/>
                <w:spacing w:val="-16"/>
                <w:kern w:val="21"/>
                <w:szCs w:val="21"/>
                <w:highlight w:val="none"/>
              </w:rPr>
            </w:pPr>
            <w:r>
              <w:rPr>
                <w:rFonts w:hint="eastAsia" w:ascii="Times New Roman" w:hAnsi="Times New Roman" w:eastAsia="黑体"/>
                <w:snapToGrid w:val="0"/>
                <w:color w:val="auto"/>
                <w:spacing w:val="-16"/>
                <w:kern w:val="21"/>
                <w:szCs w:val="21"/>
                <w:highlight w:val="none"/>
              </w:rPr>
              <w:t>全厂</w:t>
            </w:r>
            <w:r>
              <w:rPr>
                <w:rFonts w:ascii="Times New Roman" w:hAnsi="Times New Roman" w:eastAsia="黑体"/>
                <w:snapToGrid w:val="0"/>
                <w:color w:val="auto"/>
                <w:spacing w:val="-16"/>
                <w:kern w:val="21"/>
                <w:szCs w:val="21"/>
                <w:highlight w:val="none"/>
              </w:rPr>
              <w:t>排放量（固</w:t>
            </w:r>
            <w:r>
              <w:rPr>
                <w:rFonts w:hint="eastAsia" w:ascii="Times New Roman" w:hAnsi="Times New Roman" w:eastAsia="黑体"/>
                <w:snapToGrid w:val="0"/>
                <w:color w:val="auto"/>
                <w:spacing w:val="-16"/>
                <w:kern w:val="21"/>
                <w:szCs w:val="21"/>
                <w:highlight w:val="none"/>
              </w:rPr>
              <w:t>体</w:t>
            </w:r>
            <w:r>
              <w:rPr>
                <w:rFonts w:ascii="Times New Roman" w:hAnsi="Times New Roman" w:eastAsia="黑体"/>
                <w:snapToGrid w:val="0"/>
                <w:color w:val="auto"/>
                <w:spacing w:val="-16"/>
                <w:kern w:val="21"/>
                <w:szCs w:val="21"/>
                <w:highlight w:val="none"/>
              </w:rPr>
              <w:t>废</w:t>
            </w:r>
            <w:r>
              <w:rPr>
                <w:rFonts w:hint="eastAsia" w:ascii="Times New Roman" w:hAnsi="Times New Roman" w:eastAsia="黑体"/>
                <w:snapToGrid w:val="0"/>
                <w:color w:val="auto"/>
                <w:spacing w:val="-16"/>
                <w:kern w:val="21"/>
                <w:szCs w:val="21"/>
                <w:highlight w:val="none"/>
              </w:rPr>
              <w:t>物</w:t>
            </w:r>
            <w:r>
              <w:rPr>
                <w:rFonts w:ascii="Times New Roman" w:hAnsi="Times New Roman" w:eastAsia="黑体"/>
                <w:snapToGrid w:val="0"/>
                <w:color w:val="auto"/>
                <w:spacing w:val="-16"/>
                <w:kern w:val="21"/>
                <w:szCs w:val="21"/>
                <w:highlight w:val="none"/>
              </w:rPr>
              <w:t>产生量）</w:t>
            </w:r>
            <w:r>
              <w:rPr>
                <w:rFonts w:ascii="Times New Roman" w:hAnsi="Times New Roman" w:eastAsia="黑体"/>
                <w:snapToGrid w:val="0"/>
                <w:color w:val="auto"/>
                <w:spacing w:val="-16"/>
                <w:kern w:val="21"/>
                <w:szCs w:val="21"/>
                <w:highlight w:val="none"/>
              </w:rPr>
              <w:fldChar w:fldCharType="begin"/>
            </w:r>
            <w:r>
              <w:rPr>
                <w:rFonts w:ascii="Times New Roman" w:hAnsi="Times New Roman" w:eastAsia="黑体"/>
                <w:snapToGrid w:val="0"/>
                <w:color w:val="auto"/>
                <w:spacing w:val="-16"/>
                <w:kern w:val="21"/>
                <w:szCs w:val="21"/>
                <w:highlight w:val="none"/>
              </w:rPr>
              <w:instrText xml:space="preserve"> = 6 \* GB3 \* MERGEFORMAT </w:instrText>
            </w:r>
            <w:r>
              <w:rPr>
                <w:rFonts w:ascii="Times New Roman" w:hAnsi="Times New Roman" w:eastAsia="黑体"/>
                <w:snapToGrid w:val="0"/>
                <w:color w:val="auto"/>
                <w:spacing w:val="-16"/>
                <w:kern w:val="21"/>
                <w:szCs w:val="21"/>
                <w:highlight w:val="none"/>
              </w:rPr>
              <w:fldChar w:fldCharType="separate"/>
            </w:r>
            <w:r>
              <w:rPr>
                <w:rFonts w:hint="eastAsia" w:ascii="Times New Roman" w:hAnsi="Times New Roman" w:eastAsia="黑体" w:cs="宋体"/>
                <w:color w:val="auto"/>
                <w:kern w:val="2"/>
                <w:szCs w:val="21"/>
                <w:highlight w:val="none"/>
              </w:rPr>
              <w:t>⑥</w:t>
            </w:r>
            <w:r>
              <w:rPr>
                <w:rFonts w:ascii="Times New Roman" w:hAnsi="Times New Roman" w:eastAsia="黑体"/>
                <w:snapToGrid w:val="0"/>
                <w:color w:val="auto"/>
                <w:spacing w:val="-16"/>
                <w:kern w:val="21"/>
                <w:szCs w:val="21"/>
                <w:highlight w:val="none"/>
              </w:rPr>
              <w:fldChar w:fldCharType="end"/>
            </w:r>
          </w:p>
        </w:tc>
        <w:tc>
          <w:tcPr>
            <w:tcW w:w="1595" w:type="dxa"/>
            <w:noWrap w:val="0"/>
            <w:tcMar>
              <w:left w:w="28" w:type="dxa"/>
              <w:right w:w="28" w:type="dxa"/>
            </w:tcMar>
            <w:vAlign w:val="center"/>
          </w:tcPr>
          <w:p w14:paraId="4A3EFE0A">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t>变化量</w:t>
            </w:r>
          </w:p>
          <w:p w14:paraId="72921243">
            <w:pPr>
              <w:pStyle w:val="43"/>
              <w:shd w:val="clear" w:color="auto" w:fill="auto"/>
              <w:spacing w:beforeLines="0" w:afterLines="0" w:line="240" w:lineRule="auto"/>
              <w:jc w:val="center"/>
              <w:rPr>
                <w:rFonts w:ascii="Times New Roman" w:hAnsi="Times New Roman" w:eastAsia="黑体"/>
                <w:snapToGrid w:val="0"/>
                <w:color w:val="auto"/>
                <w:spacing w:val="-6"/>
                <w:kern w:val="21"/>
                <w:szCs w:val="21"/>
                <w:highlight w:val="none"/>
              </w:rPr>
            </w:pPr>
            <w:r>
              <w:rPr>
                <w:rFonts w:ascii="Times New Roman" w:hAnsi="Times New Roman" w:eastAsia="黑体"/>
                <w:snapToGrid w:val="0"/>
                <w:color w:val="auto"/>
                <w:spacing w:val="-6"/>
                <w:kern w:val="21"/>
                <w:szCs w:val="21"/>
                <w:highlight w:val="none"/>
              </w:rPr>
              <w:fldChar w:fldCharType="begin"/>
            </w:r>
            <w:r>
              <w:rPr>
                <w:rFonts w:ascii="Times New Roman" w:hAnsi="Times New Roman" w:eastAsia="黑体"/>
                <w:snapToGrid w:val="0"/>
                <w:color w:val="auto"/>
                <w:spacing w:val="-6"/>
                <w:kern w:val="21"/>
                <w:szCs w:val="21"/>
                <w:highlight w:val="none"/>
              </w:rPr>
              <w:instrText xml:space="preserve"> = 7 \* GB3 \* MERGEFORMAT </w:instrText>
            </w:r>
            <w:r>
              <w:rPr>
                <w:rFonts w:ascii="Times New Roman" w:hAnsi="Times New Roman" w:eastAsia="黑体"/>
                <w:snapToGrid w:val="0"/>
                <w:color w:val="auto"/>
                <w:spacing w:val="-6"/>
                <w:kern w:val="21"/>
                <w:szCs w:val="21"/>
                <w:highlight w:val="none"/>
              </w:rPr>
              <w:fldChar w:fldCharType="separate"/>
            </w:r>
            <w:r>
              <w:rPr>
                <w:rFonts w:hint="eastAsia" w:ascii="Times New Roman" w:hAnsi="Times New Roman" w:eastAsia="黑体" w:cs="宋体"/>
                <w:color w:val="auto"/>
                <w:kern w:val="2"/>
                <w:szCs w:val="21"/>
                <w:highlight w:val="none"/>
              </w:rPr>
              <w:t>⑦</w:t>
            </w:r>
            <w:r>
              <w:rPr>
                <w:rFonts w:ascii="Times New Roman" w:hAnsi="Times New Roman" w:eastAsia="黑体"/>
                <w:snapToGrid w:val="0"/>
                <w:color w:val="auto"/>
                <w:spacing w:val="-6"/>
                <w:kern w:val="21"/>
                <w:szCs w:val="21"/>
                <w:highlight w:val="none"/>
              </w:rPr>
              <w:fldChar w:fldCharType="end"/>
            </w:r>
          </w:p>
        </w:tc>
      </w:tr>
      <w:tr w14:paraId="5AC79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atLeast"/>
          <w:jc w:val="center"/>
        </w:trPr>
        <w:tc>
          <w:tcPr>
            <w:tcW w:w="1375" w:type="dxa"/>
            <w:noWrap w:val="0"/>
            <w:vAlign w:val="center"/>
          </w:tcPr>
          <w:p w14:paraId="1B7101C8">
            <w:pPr>
              <w:pStyle w:val="43"/>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废气</w:t>
            </w:r>
          </w:p>
        </w:tc>
        <w:tc>
          <w:tcPr>
            <w:tcW w:w="1715" w:type="dxa"/>
            <w:gridSpan w:val="2"/>
            <w:noWrap w:val="0"/>
            <w:vAlign w:val="center"/>
          </w:tcPr>
          <w:p w14:paraId="5E2FD7A2">
            <w:pPr>
              <w:pStyle w:val="43"/>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eastAsia="zh-CN"/>
              </w:rPr>
            </w:pPr>
            <w:r>
              <w:rPr>
                <w:rFonts w:hint="eastAsia" w:ascii="Times New Roman" w:hAnsi="Times New Roman" w:cs="宋体"/>
                <w:snapToGrid w:val="0"/>
                <w:color w:val="auto"/>
                <w:kern w:val="21"/>
                <w:szCs w:val="21"/>
                <w:highlight w:val="none"/>
                <w:lang w:eastAsia="zh-CN"/>
              </w:rPr>
              <w:t>非甲烷总烃</w:t>
            </w:r>
          </w:p>
        </w:tc>
        <w:tc>
          <w:tcPr>
            <w:tcW w:w="1616" w:type="dxa"/>
            <w:noWrap w:val="0"/>
            <w:vAlign w:val="center"/>
          </w:tcPr>
          <w:p w14:paraId="5F2B2C13">
            <w:pPr>
              <w:pStyle w:val="43"/>
              <w:shd w:val="clear" w:color="auto" w:fill="auto"/>
              <w:spacing w:beforeLines="0" w:afterLines="0" w:line="240" w:lineRule="auto"/>
              <w:ind w:left="420" w:leftChars="0" w:hanging="420" w:hangingChars="200"/>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276" w:type="dxa"/>
            <w:noWrap w:val="0"/>
            <w:vAlign w:val="center"/>
          </w:tcPr>
          <w:p w14:paraId="1F26F827">
            <w:pPr>
              <w:pStyle w:val="43"/>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4670AA0">
            <w:pPr>
              <w:pStyle w:val="43"/>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1A44E5B">
            <w:pPr>
              <w:pStyle w:val="43"/>
              <w:shd w:val="clear" w:color="auto" w:fill="auto"/>
              <w:spacing w:beforeLines="0" w:afterLines="0" w:line="240" w:lineRule="auto"/>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cs="宋体"/>
                <w:color w:val="auto"/>
                <w:sz w:val="21"/>
                <w:szCs w:val="21"/>
                <w:highlight w:val="none"/>
                <w:lang w:val="en-US" w:eastAsia="zh-CN"/>
              </w:rPr>
              <w:t>2.112</w:t>
            </w:r>
            <w:r>
              <w:rPr>
                <w:rFonts w:hint="eastAsia" w:ascii="Times New Roman" w:hAnsi="Times New Roman" w:eastAsia="宋体" w:cs="宋体"/>
                <w:color w:val="auto"/>
                <w:sz w:val="21"/>
                <w:szCs w:val="21"/>
                <w:highlight w:val="none"/>
                <w:lang w:val="en-US" w:eastAsia="zh-CN"/>
              </w:rPr>
              <w:t>t/a</w:t>
            </w:r>
          </w:p>
        </w:tc>
        <w:tc>
          <w:tcPr>
            <w:tcW w:w="1370" w:type="dxa"/>
            <w:noWrap w:val="0"/>
            <w:vAlign w:val="center"/>
          </w:tcPr>
          <w:p w14:paraId="0F814F9B">
            <w:pPr>
              <w:pStyle w:val="43"/>
              <w:shd w:val="clear" w:color="auto" w:fill="auto"/>
              <w:spacing w:beforeLines="0" w:afterLines="0" w:line="240" w:lineRule="auto"/>
              <w:ind w:left="420" w:leftChars="0" w:hanging="420" w:hangingChars="200"/>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7A9FAD3D">
            <w:pPr>
              <w:pStyle w:val="43"/>
              <w:shd w:val="clear" w:color="auto" w:fill="auto"/>
              <w:spacing w:beforeLines="0" w:afterLines="0" w:line="240" w:lineRule="auto"/>
              <w:ind w:left="420" w:leftChars="0" w:hanging="420" w:hangingChars="200"/>
              <w:jc w:val="center"/>
              <w:rPr>
                <w:rFonts w:hint="default" w:ascii="Times New Roman" w:hAnsi="Times New Roman" w:eastAsia="等线" w:cs="宋体"/>
                <w:snapToGrid w:val="0"/>
                <w:color w:val="auto"/>
                <w:kern w:val="21"/>
                <w:sz w:val="21"/>
                <w:szCs w:val="21"/>
                <w:highlight w:val="none"/>
                <w:lang w:val="en-US" w:eastAsia="zh-CN" w:bidi="ar-SA"/>
              </w:rPr>
            </w:pPr>
            <w:r>
              <w:rPr>
                <w:rFonts w:hint="eastAsia" w:ascii="Times New Roman" w:cs="宋体"/>
                <w:color w:val="auto"/>
                <w:sz w:val="21"/>
                <w:szCs w:val="21"/>
                <w:highlight w:val="none"/>
                <w:lang w:val="en-US" w:eastAsia="zh-CN"/>
              </w:rPr>
              <w:t>2.112</w:t>
            </w:r>
            <w:r>
              <w:rPr>
                <w:rFonts w:hint="eastAsia" w:ascii="Times New Roman" w:hAnsi="Times New Roman" w:eastAsia="宋体" w:cs="宋体"/>
                <w:color w:val="auto"/>
                <w:sz w:val="21"/>
                <w:szCs w:val="21"/>
                <w:highlight w:val="none"/>
                <w:lang w:val="en-US" w:eastAsia="zh-CN"/>
              </w:rPr>
              <w:t>t/a</w:t>
            </w:r>
          </w:p>
        </w:tc>
        <w:tc>
          <w:tcPr>
            <w:tcW w:w="1595" w:type="dxa"/>
            <w:noWrap w:val="0"/>
            <w:vAlign w:val="center"/>
          </w:tcPr>
          <w:p w14:paraId="347979D9">
            <w:pPr>
              <w:shd w:val="clear" w:color="auto" w:fill="auto"/>
              <w:spacing w:beforeLines="0" w:afterLines="0" w:line="240" w:lineRule="auto"/>
              <w:ind w:left="420" w:leftChars="0" w:hanging="420" w:hangingChars="200"/>
              <w:jc w:val="center"/>
              <w:rPr>
                <w:rFonts w:hint="eastAsia" w:ascii="Times New Roman" w:hAnsi="Times New Roman" w:eastAsia="宋体"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4A9E3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375" w:type="dxa"/>
            <w:vMerge w:val="restart"/>
            <w:noWrap w:val="0"/>
            <w:vAlign w:val="center"/>
          </w:tcPr>
          <w:p w14:paraId="33E3AA95">
            <w:pPr>
              <w:pStyle w:val="43"/>
              <w:shd w:val="clear" w:color="auto" w:fill="auto"/>
              <w:spacing w:beforeLines="0" w:afterLines="0" w:line="240" w:lineRule="auto"/>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废水</w:t>
            </w:r>
          </w:p>
        </w:tc>
        <w:tc>
          <w:tcPr>
            <w:tcW w:w="648" w:type="dxa"/>
            <w:vMerge w:val="restart"/>
            <w:noWrap w:val="0"/>
            <w:vAlign w:val="center"/>
          </w:tcPr>
          <w:p w14:paraId="0C0C102D">
            <w:pPr>
              <w:pStyle w:val="43"/>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生活污水</w:t>
            </w:r>
          </w:p>
        </w:tc>
        <w:tc>
          <w:tcPr>
            <w:tcW w:w="1067" w:type="dxa"/>
            <w:noWrap w:val="0"/>
            <w:vAlign w:val="center"/>
          </w:tcPr>
          <w:p w14:paraId="2E0B15FA">
            <w:pPr>
              <w:pStyle w:val="43"/>
              <w:keepNext w:val="0"/>
              <w:keepLines w:val="0"/>
              <w:suppressLineNumbers w:val="0"/>
              <w:spacing w:before="0" w:beforeLines="0" w:beforeAutospacing="0" w:after="0" w:afterLines="0" w:afterAutospacing="0" w:line="240" w:lineRule="auto"/>
              <w:ind w:left="420" w:leftChars="0" w:right="0" w:rightChars="0" w:hanging="420" w:hangingChars="200"/>
              <w:rPr>
                <w:rFonts w:hint="default" w:ascii="Times New Roman" w:cs="Times New Roman"/>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pH</w:t>
            </w:r>
            <w:r>
              <w:rPr>
                <w:rFonts w:hint="eastAsia" w:ascii="Times New Roman" w:hAnsi="Times New Roman" w:eastAsia="宋体" w:cs="Times New Roman"/>
                <w:color w:val="auto"/>
                <w:kern w:val="2"/>
                <w:sz w:val="21"/>
                <w:szCs w:val="21"/>
                <w:highlight w:val="none"/>
                <w:lang w:val="en-US" w:eastAsia="zh-CN" w:bidi="ar"/>
              </w:rPr>
              <w:t>（无量纲）</w:t>
            </w:r>
          </w:p>
        </w:tc>
        <w:tc>
          <w:tcPr>
            <w:tcW w:w="1616" w:type="dxa"/>
            <w:noWrap w:val="0"/>
            <w:vAlign w:val="center"/>
          </w:tcPr>
          <w:p w14:paraId="05C8EE3B">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276" w:type="dxa"/>
            <w:noWrap w:val="0"/>
            <w:vAlign w:val="center"/>
          </w:tcPr>
          <w:p w14:paraId="5192E364">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5894DF4D">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A4C27B8">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w:t>
            </w:r>
          </w:p>
        </w:tc>
        <w:tc>
          <w:tcPr>
            <w:tcW w:w="1370" w:type="dxa"/>
            <w:noWrap w:val="0"/>
            <w:vAlign w:val="center"/>
          </w:tcPr>
          <w:p w14:paraId="1794C289">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773BFFC">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w:t>
            </w:r>
          </w:p>
        </w:tc>
        <w:tc>
          <w:tcPr>
            <w:tcW w:w="1595" w:type="dxa"/>
            <w:noWrap w:val="0"/>
            <w:vAlign w:val="center"/>
          </w:tcPr>
          <w:p w14:paraId="49889FF8">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79895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jc w:val="center"/>
        </w:trPr>
        <w:tc>
          <w:tcPr>
            <w:tcW w:w="1375" w:type="dxa"/>
            <w:vMerge w:val="continue"/>
            <w:noWrap w:val="0"/>
            <w:vAlign w:val="center"/>
          </w:tcPr>
          <w:p w14:paraId="07880666">
            <w:pPr>
              <w:pStyle w:val="43"/>
              <w:shd w:val="clear" w:color="auto" w:fill="auto"/>
              <w:spacing w:beforeLines="0" w:afterLines="0" w:line="240" w:lineRule="auto"/>
              <w:jc w:val="center"/>
              <w:rPr>
                <w:rFonts w:hint="default"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37E24AD7">
            <w:pPr>
              <w:pStyle w:val="43"/>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240" w:lineRule="auto"/>
              <w:ind w:left="0" w:firstLine="0" w:firstLineChars="0"/>
              <w:jc w:val="center"/>
              <w:textAlignment w:val="auto"/>
              <w:rPr>
                <w:rFonts w:hint="default" w:ascii="Times New Roman" w:hAnsi="Times New Roman" w:cs="宋体"/>
                <w:snapToGrid w:val="0"/>
                <w:color w:val="auto"/>
                <w:kern w:val="21"/>
                <w:szCs w:val="21"/>
                <w:highlight w:val="none"/>
                <w:lang w:val="en-US" w:eastAsia="zh-CN"/>
              </w:rPr>
            </w:pPr>
          </w:p>
        </w:tc>
        <w:tc>
          <w:tcPr>
            <w:tcW w:w="1067" w:type="dxa"/>
            <w:noWrap w:val="0"/>
            <w:vAlign w:val="center"/>
          </w:tcPr>
          <w:p w14:paraId="1A4F5323">
            <w:pPr>
              <w:pStyle w:val="43"/>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COD</w:t>
            </w:r>
          </w:p>
        </w:tc>
        <w:tc>
          <w:tcPr>
            <w:tcW w:w="1616" w:type="dxa"/>
            <w:noWrap w:val="0"/>
            <w:vAlign w:val="center"/>
          </w:tcPr>
          <w:p w14:paraId="3EB9E50C">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63AB0943">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5A74DF7F">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23B70C0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5E02961C">
            <w:pPr>
              <w:shd w:val="clear" w:color="auto" w:fill="auto"/>
              <w:spacing w:beforeLines="0" w:afterLines="0" w:line="240" w:lineRule="auto"/>
              <w:ind w:left="420" w:leftChars="0" w:hanging="420" w:hangingChars="200"/>
              <w:jc w:val="center"/>
              <w:rPr>
                <w:rFonts w:hint="default"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snapToGrid w:val="0"/>
                <w:color w:val="auto"/>
                <w:kern w:val="21"/>
                <w:szCs w:val="21"/>
                <w:highlight w:val="none"/>
                <w:lang w:val="en-US" w:eastAsia="zh-CN"/>
              </w:rPr>
              <w:t>/</w:t>
            </w:r>
          </w:p>
        </w:tc>
        <w:tc>
          <w:tcPr>
            <w:tcW w:w="1581" w:type="dxa"/>
            <w:noWrap w:val="0"/>
            <w:vAlign w:val="center"/>
          </w:tcPr>
          <w:p w14:paraId="2E0D83F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4CE558F5">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54584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375" w:type="dxa"/>
            <w:vMerge w:val="continue"/>
            <w:noWrap w:val="0"/>
            <w:vAlign w:val="center"/>
          </w:tcPr>
          <w:p w14:paraId="4537D225">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26114874">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2957B44E">
            <w:pPr>
              <w:pStyle w:val="43"/>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BOD</w:t>
            </w:r>
            <w:r>
              <w:rPr>
                <w:rFonts w:hint="eastAsia" w:ascii="Times New Roman" w:cs="Times New Roman"/>
                <w:snapToGrid w:val="0"/>
                <w:color w:val="auto"/>
                <w:kern w:val="21"/>
                <w:szCs w:val="21"/>
                <w:highlight w:val="none"/>
                <w:vertAlign w:val="subscript"/>
                <w:lang w:val="en-US" w:eastAsia="zh-CN"/>
              </w:rPr>
              <w:t>5</w:t>
            </w:r>
          </w:p>
        </w:tc>
        <w:tc>
          <w:tcPr>
            <w:tcW w:w="1616" w:type="dxa"/>
            <w:noWrap w:val="0"/>
            <w:vAlign w:val="center"/>
          </w:tcPr>
          <w:p w14:paraId="321C150C">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BC49458">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60D6AB02">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A15992E">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0BCD1E7A">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3D7C7655">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43D4F772">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5E3FC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1375" w:type="dxa"/>
            <w:vMerge w:val="continue"/>
            <w:noWrap w:val="0"/>
            <w:vAlign w:val="center"/>
          </w:tcPr>
          <w:p w14:paraId="06E16F01">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736FF1D2">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53CAE5D4">
            <w:pPr>
              <w:pStyle w:val="43"/>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SS</w:t>
            </w:r>
          </w:p>
        </w:tc>
        <w:tc>
          <w:tcPr>
            <w:tcW w:w="1616" w:type="dxa"/>
            <w:noWrap w:val="0"/>
            <w:vAlign w:val="center"/>
          </w:tcPr>
          <w:p w14:paraId="5ECFAF0B">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2DA661A">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0B52A10A">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BB30904">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568A3CAB">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6ACB217C">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1EC72000">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6146E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1375" w:type="dxa"/>
            <w:vMerge w:val="continue"/>
            <w:noWrap w:val="0"/>
            <w:vAlign w:val="center"/>
          </w:tcPr>
          <w:p w14:paraId="2EC4D875">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648" w:type="dxa"/>
            <w:vMerge w:val="continue"/>
            <w:noWrap w:val="0"/>
            <w:vAlign w:val="center"/>
          </w:tcPr>
          <w:p w14:paraId="401F3BAC">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p>
        </w:tc>
        <w:tc>
          <w:tcPr>
            <w:tcW w:w="1067" w:type="dxa"/>
            <w:noWrap w:val="0"/>
            <w:vAlign w:val="center"/>
          </w:tcPr>
          <w:p w14:paraId="57C56D24">
            <w:pPr>
              <w:pStyle w:val="43"/>
              <w:keepNext w:val="0"/>
              <w:keepLines w:val="0"/>
              <w:suppressLineNumbers w:val="0"/>
              <w:spacing w:before="0" w:beforeLines="0" w:beforeAutospacing="0" w:after="0" w:afterLines="0" w:afterAutospacing="0" w:line="240" w:lineRule="auto"/>
              <w:ind w:left="420" w:leftChars="0" w:right="0" w:rightChars="0" w:hanging="420" w:hangingChars="200"/>
              <w:rPr>
                <w:rFonts w:hint="eastAsia" w:ascii="Times New Roman" w:hAnsi="Times New Roman" w:cs="宋体"/>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氨氮</w:t>
            </w:r>
          </w:p>
        </w:tc>
        <w:tc>
          <w:tcPr>
            <w:tcW w:w="1616" w:type="dxa"/>
            <w:noWrap w:val="0"/>
            <w:vAlign w:val="center"/>
          </w:tcPr>
          <w:p w14:paraId="2E2104B8">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5D18A1F">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68B233CE">
            <w:pPr>
              <w:shd w:val="clear" w:color="auto" w:fill="auto"/>
              <w:spacing w:beforeLines="0" w:afterLines="0" w:line="240" w:lineRule="auto"/>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7472F80">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370" w:type="dxa"/>
            <w:noWrap w:val="0"/>
            <w:vAlign w:val="center"/>
          </w:tcPr>
          <w:p w14:paraId="4D05DDA5">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0D8B9032">
            <w:pPr>
              <w:keepNext w:val="0"/>
              <w:keepLines w:val="0"/>
              <w:widowControl w:val="0"/>
              <w:suppressLineNumbers w:val="0"/>
              <w:spacing w:before="0" w:beforeAutospacing="0" w:after="0" w:afterAutospacing="0" w:line="360" w:lineRule="exact"/>
              <w:ind w:left="0" w:leftChars="0" w:right="0" w:right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95" w:type="dxa"/>
            <w:noWrap w:val="0"/>
            <w:vAlign w:val="center"/>
          </w:tcPr>
          <w:p w14:paraId="1C18F25B">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25855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jc w:val="center"/>
        </w:trPr>
        <w:tc>
          <w:tcPr>
            <w:tcW w:w="1375" w:type="dxa"/>
            <w:vMerge w:val="restart"/>
            <w:noWrap w:val="0"/>
            <w:vAlign w:val="center"/>
          </w:tcPr>
          <w:p w14:paraId="2E3E5475">
            <w:pPr>
              <w:pStyle w:val="43"/>
              <w:shd w:val="clear" w:color="auto" w:fill="auto"/>
              <w:spacing w:beforeLines="0" w:afterLines="0" w:line="240" w:lineRule="auto"/>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一般工业</w:t>
            </w:r>
          </w:p>
          <w:p w14:paraId="5F037260">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固体废物</w:t>
            </w:r>
          </w:p>
        </w:tc>
        <w:tc>
          <w:tcPr>
            <w:tcW w:w="1715" w:type="dxa"/>
            <w:gridSpan w:val="2"/>
            <w:noWrap w:val="0"/>
            <w:vAlign w:val="center"/>
          </w:tcPr>
          <w:p w14:paraId="30078AB7">
            <w:pPr>
              <w:keepNext w:val="0"/>
              <w:keepLines w:val="0"/>
              <w:widowControl w:val="0"/>
              <w:suppressLineNumbers w:val="0"/>
              <w:shd w:val="clear" w:color="auto" w:fill="auto"/>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废包装材料</w:t>
            </w:r>
          </w:p>
        </w:tc>
        <w:tc>
          <w:tcPr>
            <w:tcW w:w="1616" w:type="dxa"/>
            <w:noWrap w:val="0"/>
            <w:vAlign w:val="center"/>
          </w:tcPr>
          <w:p w14:paraId="2C0F8432">
            <w:pPr>
              <w:pStyle w:val="43"/>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136F1B23">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25C311B1">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1BE4C740">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0.5</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391A24F4">
            <w:pPr>
              <w:pStyle w:val="62"/>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6A829D0">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
              </w:rPr>
              <w:t>0.5</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738AB844">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58EF3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1375" w:type="dxa"/>
            <w:vMerge w:val="continue"/>
            <w:noWrap w:val="0"/>
            <w:vAlign w:val="center"/>
          </w:tcPr>
          <w:p w14:paraId="5BCF1B33">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7DA2CB2A">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边角料</w:t>
            </w:r>
            <w:r>
              <w:rPr>
                <w:rFonts w:hint="eastAsia" w:ascii="Times New Roman" w:hAnsi="Times New Roman" w:eastAsia="宋体" w:cs="Times New Roman"/>
                <w:color w:val="auto"/>
                <w:kern w:val="2"/>
                <w:sz w:val="21"/>
                <w:szCs w:val="21"/>
                <w:highlight w:val="none"/>
                <w:lang w:val="en-US" w:eastAsia="zh-CN"/>
              </w:rPr>
              <w:t>及不合格产品</w:t>
            </w:r>
          </w:p>
        </w:tc>
        <w:tc>
          <w:tcPr>
            <w:tcW w:w="1616" w:type="dxa"/>
            <w:noWrap w:val="0"/>
            <w:vAlign w:val="center"/>
          </w:tcPr>
          <w:p w14:paraId="462E0E6D">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724B7E57">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278E26E6">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5C800923">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21F01EC8">
            <w:pPr>
              <w:shd w:val="clear" w:color="auto" w:fill="auto"/>
              <w:spacing w:line="240" w:lineRule="auto"/>
              <w:ind w:firstLine="0" w:firstLineChars="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CDA10AB">
            <w:pPr>
              <w:keepNext w:val="0"/>
              <w:keepLines w:val="0"/>
              <w:widowControl w:val="0"/>
              <w:suppressLineNumbers w:val="0"/>
              <w:shd w:val="clear" w:color="auto" w:fill="auto"/>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60</w:t>
            </w: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531649F7">
            <w:pPr>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r>
      <w:tr w14:paraId="01668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2" w:hRule="atLeast"/>
          <w:jc w:val="center"/>
        </w:trPr>
        <w:tc>
          <w:tcPr>
            <w:tcW w:w="1375" w:type="dxa"/>
            <w:noWrap w:val="0"/>
            <w:vAlign w:val="center"/>
          </w:tcPr>
          <w:p w14:paraId="2118993C">
            <w:pPr>
              <w:pStyle w:val="43"/>
              <w:shd w:val="clear" w:color="auto" w:fill="auto"/>
              <w:spacing w:beforeLines="0" w:afterLines="0" w:line="240" w:lineRule="auto"/>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eastAsia="宋体" w:cs="宋体"/>
                <w:b w:val="0"/>
                <w:color w:val="auto"/>
                <w:kern w:val="2"/>
                <w:sz w:val="21"/>
                <w:szCs w:val="21"/>
                <w:highlight w:val="none"/>
                <w:lang w:val="en-US" w:eastAsia="zh-CN" w:bidi="ar-SA"/>
              </w:rPr>
              <w:t>生活垃圾</w:t>
            </w:r>
          </w:p>
        </w:tc>
        <w:tc>
          <w:tcPr>
            <w:tcW w:w="1715" w:type="dxa"/>
            <w:gridSpan w:val="2"/>
            <w:noWrap w:val="0"/>
            <w:vAlign w:val="center"/>
          </w:tcPr>
          <w:p w14:paraId="77CE5985">
            <w:pPr>
              <w:pStyle w:val="62"/>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生活垃圾</w:t>
            </w:r>
          </w:p>
        </w:tc>
        <w:tc>
          <w:tcPr>
            <w:tcW w:w="1616" w:type="dxa"/>
            <w:noWrap w:val="0"/>
            <w:vAlign w:val="center"/>
          </w:tcPr>
          <w:p w14:paraId="3456584C">
            <w:pPr>
              <w:pStyle w:val="62"/>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25FA409A">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1FCABDB1">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003725EE">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0.6t/a</w:t>
            </w:r>
          </w:p>
        </w:tc>
        <w:tc>
          <w:tcPr>
            <w:tcW w:w="1370" w:type="dxa"/>
            <w:noWrap w:val="0"/>
            <w:vAlign w:val="center"/>
          </w:tcPr>
          <w:p w14:paraId="53FAF12F">
            <w:pPr>
              <w:pStyle w:val="62"/>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1B730EC2">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0.6t/a</w:t>
            </w:r>
          </w:p>
        </w:tc>
        <w:tc>
          <w:tcPr>
            <w:tcW w:w="1595" w:type="dxa"/>
            <w:noWrap w:val="0"/>
            <w:vAlign w:val="center"/>
          </w:tcPr>
          <w:p w14:paraId="4972E50A">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2E85C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375" w:type="dxa"/>
            <w:vMerge w:val="restart"/>
            <w:noWrap w:val="0"/>
            <w:vAlign w:val="center"/>
          </w:tcPr>
          <w:p w14:paraId="7C081A3B">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rPr>
              <w:t>危险废物</w:t>
            </w:r>
          </w:p>
        </w:tc>
        <w:tc>
          <w:tcPr>
            <w:tcW w:w="1715" w:type="dxa"/>
            <w:gridSpan w:val="2"/>
            <w:noWrap w:val="0"/>
            <w:vAlign w:val="center"/>
          </w:tcPr>
          <w:p w14:paraId="738CA3DE">
            <w:pPr>
              <w:pStyle w:val="62"/>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废润滑油桶</w:t>
            </w:r>
          </w:p>
        </w:tc>
        <w:tc>
          <w:tcPr>
            <w:tcW w:w="1616" w:type="dxa"/>
            <w:noWrap w:val="0"/>
            <w:vAlign w:val="center"/>
          </w:tcPr>
          <w:p w14:paraId="7F1B35D5">
            <w:pPr>
              <w:pStyle w:val="62"/>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06916E68">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009DF1BD">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65C56AE2">
            <w:pPr>
              <w:pStyle w:val="62"/>
              <w:numPr>
                <w:ilvl w:val="0"/>
                <w:numId w:val="0"/>
              </w:numPr>
              <w:shd w:val="clear" w:color="auto" w:fill="auto"/>
              <w:spacing w:line="240" w:lineRule="auto"/>
              <w:jc w:val="center"/>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w:t>
            </w:r>
            <w:r>
              <w:rPr>
                <w:rFonts w:hint="eastAsia" w:cs="宋体"/>
                <w:color w:val="auto"/>
                <w:sz w:val="21"/>
                <w:szCs w:val="21"/>
                <w:highlight w:val="none"/>
                <w:lang w:val="en-US" w:eastAsia="zh-CN"/>
              </w:rPr>
              <w:t>2</w:t>
            </w:r>
            <w:r>
              <w:rPr>
                <w:rFonts w:hint="eastAsia" w:ascii="Times New Roman" w:hAnsi="Times New Roman" w:eastAsia="宋体" w:cs="宋体"/>
                <w:color w:val="auto"/>
                <w:sz w:val="21"/>
                <w:szCs w:val="21"/>
                <w:highlight w:val="none"/>
                <w:lang w:val="en-US" w:eastAsia="zh-CN"/>
              </w:rPr>
              <w:t>t/a</w:t>
            </w:r>
          </w:p>
        </w:tc>
        <w:tc>
          <w:tcPr>
            <w:tcW w:w="1370" w:type="dxa"/>
            <w:noWrap w:val="0"/>
            <w:vAlign w:val="center"/>
          </w:tcPr>
          <w:p w14:paraId="5803BD75">
            <w:pPr>
              <w:pStyle w:val="62"/>
              <w:shd w:val="clear" w:color="auto" w:fill="auto"/>
              <w:spacing w:line="240" w:lineRule="auto"/>
              <w:ind w:firstLine="0" w:firstLineChars="0"/>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0212B6B9">
            <w:pPr>
              <w:pStyle w:val="62"/>
              <w:numPr>
                <w:ilvl w:val="0"/>
                <w:numId w:val="0"/>
              </w:numPr>
              <w:shd w:val="clear" w:color="auto" w:fill="auto"/>
              <w:spacing w:line="240" w:lineRule="auto"/>
              <w:ind w:left="0" w:leftChars="0" w:firstLine="0" w:firstLineChars="0"/>
              <w:jc w:val="center"/>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w:t>
            </w:r>
            <w:r>
              <w:rPr>
                <w:rFonts w:hint="eastAsia" w:cs="宋体"/>
                <w:color w:val="auto"/>
                <w:sz w:val="21"/>
                <w:szCs w:val="21"/>
                <w:highlight w:val="none"/>
                <w:lang w:val="en-US" w:eastAsia="zh-CN"/>
              </w:rPr>
              <w:t>2</w:t>
            </w:r>
            <w:r>
              <w:rPr>
                <w:rFonts w:hint="eastAsia" w:ascii="Times New Roman" w:hAnsi="Times New Roman" w:eastAsia="宋体" w:cs="宋体"/>
                <w:color w:val="auto"/>
                <w:sz w:val="21"/>
                <w:szCs w:val="21"/>
                <w:highlight w:val="none"/>
                <w:lang w:val="en-US" w:eastAsia="zh-CN"/>
              </w:rPr>
              <w:t>t/a</w:t>
            </w:r>
          </w:p>
        </w:tc>
        <w:tc>
          <w:tcPr>
            <w:tcW w:w="1595" w:type="dxa"/>
            <w:noWrap w:val="0"/>
            <w:vAlign w:val="center"/>
          </w:tcPr>
          <w:p w14:paraId="208ED767">
            <w:pPr>
              <w:pStyle w:val="43"/>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033300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1375" w:type="dxa"/>
            <w:vMerge w:val="continue"/>
            <w:noWrap w:val="0"/>
            <w:vAlign w:val="center"/>
          </w:tcPr>
          <w:p w14:paraId="4BBEF198">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677CD885">
            <w:pPr>
              <w:pStyle w:val="62"/>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废油抹布及手套</w:t>
            </w:r>
          </w:p>
        </w:tc>
        <w:tc>
          <w:tcPr>
            <w:tcW w:w="1616" w:type="dxa"/>
            <w:noWrap w:val="0"/>
            <w:vAlign w:val="center"/>
          </w:tcPr>
          <w:p w14:paraId="2C4A3A15">
            <w:pPr>
              <w:shd w:val="clear" w:color="auto" w:fill="auto"/>
              <w:spacing w:line="240" w:lineRule="auto"/>
              <w:ind w:firstLine="0" w:firstLineChars="0"/>
              <w:jc w:val="center"/>
              <w:rPr>
                <w:rFonts w:hint="eastAsia" w:ascii="Times New Roman" w:hAnsi="Times New Roman" w:eastAsia="宋体"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13475CAA">
            <w:pPr>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EFC463A">
            <w:pPr>
              <w:shd w:val="clear" w:color="auto" w:fill="auto"/>
              <w:spacing w:beforeLines="0" w:afterLines="0" w:line="240" w:lineRule="auto"/>
              <w:ind w:left="420" w:leftChars="0" w:hanging="420" w:hangingChars="200"/>
              <w:jc w:val="center"/>
              <w:rPr>
                <w:rFonts w:ascii="Times New Roman" w:hAnsi="Times New Roman" w:cs="宋体"/>
                <w:snapToGrid w:val="0"/>
                <w:color w:val="auto"/>
                <w:kern w:val="21"/>
                <w:szCs w:val="21"/>
                <w:highlight w:val="none"/>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2B302EEE">
            <w:pPr>
              <w:pStyle w:val="62"/>
              <w:shd w:val="clear" w:color="auto" w:fill="auto"/>
              <w:spacing w:line="240" w:lineRule="auto"/>
              <w:ind w:firstLine="0" w:firstLineChars="0"/>
              <w:rPr>
                <w:rFonts w:hint="default"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0.01</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572B173B">
            <w:pPr>
              <w:shd w:val="clear" w:color="auto" w:fill="auto"/>
              <w:spacing w:line="240" w:lineRule="auto"/>
              <w:ind w:firstLine="0" w:firstLineChars="0"/>
              <w:jc w:val="center"/>
              <w:rPr>
                <w:rFonts w:hint="default" w:ascii="Times New Roman" w:hAnsi="Times New Roman" w:cs="宋体"/>
                <w:snapToGrid w:val="0"/>
                <w:color w:val="auto"/>
                <w:kern w:val="21"/>
                <w:szCs w:val="21"/>
                <w:highlight w:val="none"/>
                <w:lang w:val="en-US" w:eastAsia="zh-CN"/>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2529B948">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0.01</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1526994E">
            <w:pPr>
              <w:shd w:val="clear" w:color="auto" w:fill="auto"/>
              <w:spacing w:beforeLines="0" w:afterLines="0" w:line="240" w:lineRule="auto"/>
              <w:ind w:left="420" w:leftChars="0" w:hanging="420" w:hangingChars="200"/>
              <w:jc w:val="center"/>
              <w:rPr>
                <w:rFonts w:hint="default"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r w14:paraId="73771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1375" w:type="dxa"/>
            <w:vMerge w:val="continue"/>
            <w:noWrap w:val="0"/>
            <w:vAlign w:val="center"/>
          </w:tcPr>
          <w:p w14:paraId="66A2DFC2">
            <w:pPr>
              <w:pStyle w:val="43"/>
              <w:shd w:val="clear" w:color="auto" w:fill="auto"/>
              <w:spacing w:beforeLines="0" w:afterLines="0" w:line="240" w:lineRule="auto"/>
              <w:jc w:val="center"/>
              <w:rPr>
                <w:rFonts w:hint="eastAsia" w:ascii="Times New Roman" w:hAnsi="Times New Roman" w:cs="宋体"/>
                <w:snapToGrid w:val="0"/>
                <w:color w:val="auto"/>
                <w:kern w:val="21"/>
                <w:szCs w:val="21"/>
                <w:highlight w:val="none"/>
              </w:rPr>
            </w:pPr>
          </w:p>
        </w:tc>
        <w:tc>
          <w:tcPr>
            <w:tcW w:w="1715" w:type="dxa"/>
            <w:gridSpan w:val="2"/>
            <w:noWrap w:val="0"/>
            <w:vAlign w:val="center"/>
          </w:tcPr>
          <w:p w14:paraId="2C088330">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ascii="Times New Roman" w:hAnsi="Times New Roman" w:eastAsia="宋体" w:cs="宋体"/>
                <w:b w:val="0"/>
                <w:color w:val="auto"/>
                <w:kern w:val="2"/>
                <w:sz w:val="21"/>
                <w:szCs w:val="21"/>
                <w:highlight w:val="none"/>
                <w:lang w:val="en-US" w:eastAsia="zh-CN" w:bidi="ar-SA"/>
              </w:rPr>
              <w:t>废活性炭</w:t>
            </w:r>
          </w:p>
        </w:tc>
        <w:tc>
          <w:tcPr>
            <w:tcW w:w="1616" w:type="dxa"/>
            <w:noWrap w:val="0"/>
            <w:vAlign w:val="center"/>
          </w:tcPr>
          <w:p w14:paraId="08B7394B">
            <w:pPr>
              <w:pStyle w:val="62"/>
              <w:shd w:val="clear" w:color="auto" w:fill="auto"/>
              <w:spacing w:line="240" w:lineRule="auto"/>
              <w:ind w:firstLine="0" w:firstLineChars="0"/>
              <w:rPr>
                <w:rFonts w:hint="eastAsia" w:ascii="Times New Roman" w:hAnsi="Times New Roman" w:eastAsia="宋体" w:cs="宋体"/>
                <w:b w:val="0"/>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276" w:type="dxa"/>
            <w:noWrap w:val="0"/>
            <w:vAlign w:val="center"/>
          </w:tcPr>
          <w:p w14:paraId="6BB26B88">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701" w:type="dxa"/>
            <w:noWrap w:val="0"/>
            <w:vAlign w:val="center"/>
          </w:tcPr>
          <w:p w14:paraId="765EE693">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59" w:type="dxa"/>
            <w:noWrap w:val="0"/>
            <w:vAlign w:val="center"/>
          </w:tcPr>
          <w:p w14:paraId="5A0506FC">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cs="宋体"/>
                <w:snapToGrid w:val="0"/>
                <w:color w:val="auto"/>
                <w:kern w:val="21"/>
                <w:szCs w:val="21"/>
                <w:highlight w:val="none"/>
                <w:lang w:val="en-US" w:eastAsia="zh-CN"/>
              </w:rPr>
              <w:t>2.888</w:t>
            </w:r>
            <w:r>
              <w:rPr>
                <w:rFonts w:hint="eastAsia" w:ascii="Times New Roman" w:hAnsi="Times New Roman" w:cs="宋体"/>
                <w:snapToGrid w:val="0"/>
                <w:color w:val="auto"/>
                <w:kern w:val="21"/>
                <w:szCs w:val="21"/>
                <w:highlight w:val="none"/>
                <w:lang w:val="en-US" w:eastAsia="zh-CN"/>
              </w:rPr>
              <w:t>t/a</w:t>
            </w:r>
          </w:p>
        </w:tc>
        <w:tc>
          <w:tcPr>
            <w:tcW w:w="1370" w:type="dxa"/>
            <w:noWrap w:val="0"/>
            <w:vAlign w:val="center"/>
          </w:tcPr>
          <w:p w14:paraId="483CDF99">
            <w:pPr>
              <w:pStyle w:val="62"/>
              <w:shd w:val="clear" w:color="auto" w:fill="auto"/>
              <w:spacing w:line="240" w:lineRule="auto"/>
              <w:ind w:firstLine="0" w:firstLineChars="0"/>
              <w:rPr>
                <w:rFonts w:hint="eastAsia" w:ascii="Times New Roman" w:hAnsi="Times New Roman" w:cs="宋体"/>
                <w:b w:val="0"/>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c>
          <w:tcPr>
            <w:tcW w:w="1581" w:type="dxa"/>
            <w:noWrap w:val="0"/>
            <w:vAlign w:val="center"/>
          </w:tcPr>
          <w:p w14:paraId="269B4028">
            <w:pPr>
              <w:pStyle w:val="62"/>
              <w:shd w:val="clear" w:color="auto" w:fill="auto"/>
              <w:spacing w:line="240" w:lineRule="auto"/>
              <w:ind w:firstLine="0" w:firstLineChars="0"/>
              <w:rPr>
                <w:rFonts w:hint="eastAsia" w:ascii="Times New Roman" w:hAnsi="Times New Roman" w:eastAsia="宋体" w:cs="宋体"/>
                <w:b w:val="0"/>
                <w:color w:val="auto"/>
                <w:kern w:val="2"/>
                <w:sz w:val="21"/>
                <w:szCs w:val="21"/>
                <w:highlight w:val="none"/>
                <w:lang w:val="en-US" w:eastAsia="zh-CN" w:bidi="ar-SA"/>
              </w:rPr>
            </w:pPr>
            <w:r>
              <w:rPr>
                <w:rFonts w:hint="eastAsia" w:cs="宋体"/>
                <w:snapToGrid w:val="0"/>
                <w:color w:val="auto"/>
                <w:kern w:val="21"/>
                <w:szCs w:val="21"/>
                <w:highlight w:val="none"/>
                <w:lang w:val="en-US" w:eastAsia="zh-CN"/>
              </w:rPr>
              <w:t>2.888</w:t>
            </w:r>
            <w:r>
              <w:rPr>
                <w:rFonts w:hint="eastAsia" w:ascii="Times New Roman" w:hAnsi="Times New Roman" w:cs="宋体"/>
                <w:snapToGrid w:val="0"/>
                <w:color w:val="auto"/>
                <w:kern w:val="21"/>
                <w:szCs w:val="21"/>
                <w:highlight w:val="none"/>
                <w:lang w:val="en-US" w:eastAsia="zh-CN"/>
              </w:rPr>
              <w:t>t/a</w:t>
            </w:r>
          </w:p>
        </w:tc>
        <w:tc>
          <w:tcPr>
            <w:tcW w:w="1595" w:type="dxa"/>
            <w:noWrap w:val="0"/>
            <w:vAlign w:val="center"/>
          </w:tcPr>
          <w:p w14:paraId="3D246BC4">
            <w:pPr>
              <w:pStyle w:val="43"/>
              <w:shd w:val="clear" w:color="auto" w:fill="auto"/>
              <w:spacing w:beforeLines="0" w:afterLines="0" w:line="240" w:lineRule="auto"/>
              <w:ind w:left="420" w:leftChars="0" w:hanging="420" w:hangingChars="200"/>
              <w:jc w:val="center"/>
              <w:rPr>
                <w:rFonts w:hint="eastAsia" w:ascii="Times New Roman" w:hAnsi="Times New Roman" w:cs="宋体"/>
                <w:snapToGrid w:val="0"/>
                <w:color w:val="auto"/>
                <w:kern w:val="21"/>
                <w:sz w:val="21"/>
                <w:szCs w:val="21"/>
                <w:highlight w:val="none"/>
                <w:lang w:val="en-US" w:eastAsia="zh-CN" w:bidi="ar-SA"/>
              </w:rPr>
            </w:pPr>
            <w:r>
              <w:rPr>
                <w:rFonts w:hint="eastAsia" w:ascii="Times New Roman" w:hAnsi="Times New Roman" w:cs="宋体"/>
                <w:snapToGrid w:val="0"/>
                <w:color w:val="auto"/>
                <w:kern w:val="21"/>
                <w:szCs w:val="21"/>
                <w:highlight w:val="none"/>
                <w:lang w:val="en-US" w:eastAsia="zh-CN"/>
              </w:rPr>
              <w:t>/</w:t>
            </w:r>
          </w:p>
        </w:tc>
      </w:tr>
    </w:tbl>
    <w:p w14:paraId="29AA0460">
      <w:pPr>
        <w:pStyle w:val="43"/>
        <w:spacing w:before="192" w:beforeLines="80" w:after="24"/>
        <w:ind w:left="0" w:leftChars="0" w:firstLine="0" w:firstLineChars="0"/>
        <w:jc w:val="left"/>
        <w:rPr>
          <w:rFonts w:ascii="宋体" w:hAnsi="宋体" w:eastAsia="黑体"/>
          <w:color w:val="0000FF"/>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p w14:paraId="2E2E69E9"/>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Gloucester MT Extra Condensed">
    <w:altName w:val="MT Extra"/>
    <w:panose1 w:val="02030808020601010101"/>
    <w:charset w:val="00"/>
    <w:family w:val="roman"/>
    <w:pitch w:val="default"/>
    <w:sig w:usb0="00000000" w:usb1="00000000" w:usb2="00000000" w:usb3="00000000" w:csb0="20000001" w:csb1="00000000"/>
  </w:font>
  <w:font w:name="MT Extra">
    <w:panose1 w:val="05050102010205020202"/>
    <w:charset w:val="00"/>
    <w:family w:val="auto"/>
    <w:pitch w:val="default"/>
    <w:sig w:usb0="8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Cambria Math">
    <w:panose1 w:val="02040503050406030204"/>
    <w:charset w:val="00"/>
    <w:family w:val="auto"/>
    <w:pitch w:val="default"/>
    <w:sig w:usb0="E00002FF" w:usb1="420024FF" w:usb2="00000000"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29C52">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F358F">
    <w:pPr>
      <w:pStyle w:val="15"/>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5C216">
    <w:pPr>
      <w:pStyle w:val="15"/>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4830DA">
                          <w:pPr>
                            <w:pStyle w:val="15"/>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26</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684830DA">
                    <w:pPr>
                      <w:pStyle w:val="15"/>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26</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7BFFF">
    <w:pPr>
      <w:pStyle w:val="15"/>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2C04C1">
                          <w:pPr>
                            <w:pStyle w:val="15"/>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34</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52C04C1">
                    <w:pPr>
                      <w:pStyle w:val="15"/>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34</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E29B9B"/>
    <w:multiLevelType w:val="singleLevel"/>
    <w:tmpl w:val="A4E29B9B"/>
    <w:lvl w:ilvl="0" w:tentative="0">
      <w:start w:val="1"/>
      <w:numFmt w:val="decimal"/>
      <w:suff w:val="nothing"/>
      <w:lvlText w:val="（%1）"/>
      <w:lvlJc w:val="left"/>
    </w:lvl>
  </w:abstractNum>
  <w:abstractNum w:abstractNumId="1">
    <w:nsid w:val="B9E0AF81"/>
    <w:multiLevelType w:val="singleLevel"/>
    <w:tmpl w:val="B9E0AF81"/>
    <w:lvl w:ilvl="0" w:tentative="0">
      <w:start w:val="1"/>
      <w:numFmt w:val="chineseCounting"/>
      <w:suff w:val="nothing"/>
      <w:lvlText w:val="%1、"/>
      <w:lvlJc w:val="left"/>
      <w:rPr>
        <w:rFonts w:hint="eastAsia"/>
      </w:rPr>
    </w:lvl>
  </w:abstractNum>
  <w:abstractNum w:abstractNumId="2">
    <w:nsid w:val="F4F65819"/>
    <w:multiLevelType w:val="singleLevel"/>
    <w:tmpl w:val="F4F65819"/>
    <w:lvl w:ilvl="0" w:tentative="0">
      <w:start w:val="5"/>
      <w:numFmt w:val="chineseCounting"/>
      <w:suff w:val="nothing"/>
      <w:lvlText w:val="%1、"/>
      <w:lvlJc w:val="left"/>
      <w:rPr>
        <w:rFonts w:hint="eastAsia"/>
      </w:rPr>
    </w:lvl>
  </w:abstractNum>
  <w:abstractNum w:abstractNumId="3">
    <w:nsid w:val="079C2FEF"/>
    <w:multiLevelType w:val="singleLevel"/>
    <w:tmpl w:val="079C2FEF"/>
    <w:lvl w:ilvl="0" w:tentative="0">
      <w:start w:val="1"/>
      <w:numFmt w:val="decimal"/>
      <w:suff w:val="nothing"/>
      <w:lvlText w:val="%1、"/>
      <w:lvlJc w:val="left"/>
      <w:rPr>
        <w:rFonts w:hint="default"/>
        <w:b/>
        <w:bCs/>
      </w:rPr>
    </w:lvl>
  </w:abstractNum>
  <w:abstractNum w:abstractNumId="4">
    <w:nsid w:val="23CEF501"/>
    <w:multiLevelType w:val="singleLevel"/>
    <w:tmpl w:val="23CEF501"/>
    <w:lvl w:ilvl="0" w:tentative="0">
      <w:start w:val="1"/>
      <w:numFmt w:val="decimal"/>
      <w:suff w:val="nothing"/>
      <w:lvlText w:val="%1、"/>
      <w:lvlJc w:val="left"/>
    </w:lvl>
  </w:abstractNum>
  <w:abstractNum w:abstractNumId="5">
    <w:nsid w:val="3A41C0C6"/>
    <w:multiLevelType w:val="singleLevel"/>
    <w:tmpl w:val="3A41C0C6"/>
    <w:lvl w:ilvl="0" w:tentative="0">
      <w:start w:val="3"/>
      <w:numFmt w:val="chineseCounting"/>
      <w:suff w:val="nothing"/>
      <w:lvlText w:val="%1、"/>
      <w:lvlJc w:val="left"/>
      <w:rPr>
        <w:rFonts w:hint="eastAsia" w:ascii="Times New Roman" w:hAnsi="Times New Roman" w:cs="Times New Roman"/>
      </w:rPr>
    </w:lvl>
  </w:abstractNum>
  <w:abstractNum w:abstractNumId="6">
    <w:nsid w:val="426F425D"/>
    <w:multiLevelType w:val="singleLevel"/>
    <w:tmpl w:val="426F425D"/>
    <w:lvl w:ilvl="0" w:tentative="0">
      <w:start w:val="1"/>
      <w:numFmt w:val="bullet"/>
      <w:pStyle w:val="11"/>
      <w:lvlText w:val=""/>
      <w:lvlJc w:val="left"/>
      <w:pPr>
        <w:tabs>
          <w:tab w:val="left" w:pos="2040"/>
        </w:tabs>
        <w:ind w:left="2040" w:hanging="360"/>
      </w:pPr>
      <w:rPr>
        <w:rFonts w:hint="default" w:ascii="Wingdings" w:hAnsi="Wingdings"/>
      </w:rPr>
    </w:lvl>
  </w:abstractNum>
  <w:abstractNum w:abstractNumId="7">
    <w:nsid w:val="56B66E83"/>
    <w:multiLevelType w:val="singleLevel"/>
    <w:tmpl w:val="56B66E83"/>
    <w:lvl w:ilvl="0" w:tentative="0">
      <w:start w:val="6"/>
      <w:numFmt w:val="chineseCounting"/>
      <w:suff w:val="nothing"/>
      <w:lvlText w:val="%1、"/>
      <w:lvlJc w:val="left"/>
      <w:rPr>
        <w:rFonts w:hint="eastAsia"/>
      </w:rPr>
    </w:lvl>
  </w:abstractNum>
  <w:abstractNum w:abstractNumId="8">
    <w:nsid w:val="75706017"/>
    <w:multiLevelType w:val="singleLevel"/>
    <w:tmpl w:val="75706017"/>
    <w:lvl w:ilvl="0" w:tentative="0">
      <w:start w:val="3"/>
      <w:numFmt w:val="decimal"/>
      <w:suff w:val="nothing"/>
      <w:lvlText w:val="（%1）"/>
      <w:lvlJc w:val="left"/>
    </w:lvl>
  </w:abstractNum>
  <w:num w:numId="1">
    <w:abstractNumId w:val="6"/>
  </w:num>
  <w:num w:numId="2">
    <w:abstractNumId w:val="4"/>
  </w:num>
  <w:num w:numId="3">
    <w:abstractNumId w:val="2"/>
  </w:num>
  <w:num w:numId="4">
    <w:abstractNumId w:val="7"/>
  </w:num>
  <w:num w:numId="5">
    <w:abstractNumId w:val="0"/>
  </w:num>
  <w:num w:numId="6">
    <w:abstractNumId w:val="5"/>
  </w:num>
  <w:num w:numId="7">
    <w:abstractNumId w:val="1"/>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70622"/>
    <w:rsid w:val="00AE6C41"/>
    <w:rsid w:val="00B90C36"/>
    <w:rsid w:val="00D01278"/>
    <w:rsid w:val="00EE2AB0"/>
    <w:rsid w:val="01F01F01"/>
    <w:rsid w:val="024B2818"/>
    <w:rsid w:val="026E5C33"/>
    <w:rsid w:val="0271137E"/>
    <w:rsid w:val="027C2390"/>
    <w:rsid w:val="027F0E00"/>
    <w:rsid w:val="02A14498"/>
    <w:rsid w:val="03462792"/>
    <w:rsid w:val="034F0E57"/>
    <w:rsid w:val="040A1E45"/>
    <w:rsid w:val="044523AA"/>
    <w:rsid w:val="04577FC5"/>
    <w:rsid w:val="04711BEF"/>
    <w:rsid w:val="04C96CE6"/>
    <w:rsid w:val="05463D32"/>
    <w:rsid w:val="060A3A52"/>
    <w:rsid w:val="06905621"/>
    <w:rsid w:val="069E3769"/>
    <w:rsid w:val="08B802EB"/>
    <w:rsid w:val="08DD2784"/>
    <w:rsid w:val="0A567028"/>
    <w:rsid w:val="0A8F5768"/>
    <w:rsid w:val="0B5B5938"/>
    <w:rsid w:val="0BDB744F"/>
    <w:rsid w:val="0BEA1A1B"/>
    <w:rsid w:val="0C0E5CE2"/>
    <w:rsid w:val="0C615EFC"/>
    <w:rsid w:val="0CCB50D5"/>
    <w:rsid w:val="0D033A28"/>
    <w:rsid w:val="0D2E34C8"/>
    <w:rsid w:val="0D3A63F7"/>
    <w:rsid w:val="0DBD4932"/>
    <w:rsid w:val="0E8873CF"/>
    <w:rsid w:val="0F3162F8"/>
    <w:rsid w:val="101051ED"/>
    <w:rsid w:val="10251AC8"/>
    <w:rsid w:val="10B10E2F"/>
    <w:rsid w:val="10B353ED"/>
    <w:rsid w:val="10C66F7B"/>
    <w:rsid w:val="10D73A9C"/>
    <w:rsid w:val="11252F1A"/>
    <w:rsid w:val="12BF037E"/>
    <w:rsid w:val="13963C5C"/>
    <w:rsid w:val="13D4346D"/>
    <w:rsid w:val="148069F4"/>
    <w:rsid w:val="15F72E61"/>
    <w:rsid w:val="15FA47E2"/>
    <w:rsid w:val="160D0296"/>
    <w:rsid w:val="16937764"/>
    <w:rsid w:val="176B530C"/>
    <w:rsid w:val="178C6A30"/>
    <w:rsid w:val="17D01877"/>
    <w:rsid w:val="17F61B9F"/>
    <w:rsid w:val="180B23B7"/>
    <w:rsid w:val="19B25E32"/>
    <w:rsid w:val="1AA5244E"/>
    <w:rsid w:val="1AD37BF6"/>
    <w:rsid w:val="1AD51DB2"/>
    <w:rsid w:val="1BC21D75"/>
    <w:rsid w:val="1CC93433"/>
    <w:rsid w:val="1D7A1D89"/>
    <w:rsid w:val="1D7B3C97"/>
    <w:rsid w:val="1D9215F7"/>
    <w:rsid w:val="1FA94D17"/>
    <w:rsid w:val="1FD35646"/>
    <w:rsid w:val="207B64BA"/>
    <w:rsid w:val="212136FE"/>
    <w:rsid w:val="21304119"/>
    <w:rsid w:val="215314C6"/>
    <w:rsid w:val="229526DC"/>
    <w:rsid w:val="22D24D9C"/>
    <w:rsid w:val="23D20CE0"/>
    <w:rsid w:val="24FF28BB"/>
    <w:rsid w:val="252C32B6"/>
    <w:rsid w:val="254018ED"/>
    <w:rsid w:val="259C0C5C"/>
    <w:rsid w:val="25E11CAE"/>
    <w:rsid w:val="26481EBC"/>
    <w:rsid w:val="26881B2A"/>
    <w:rsid w:val="26FC7E22"/>
    <w:rsid w:val="27532138"/>
    <w:rsid w:val="2758774E"/>
    <w:rsid w:val="276F7EC0"/>
    <w:rsid w:val="2874333E"/>
    <w:rsid w:val="28A634B8"/>
    <w:rsid w:val="28E04230"/>
    <w:rsid w:val="2A4700BD"/>
    <w:rsid w:val="2A4C2E6E"/>
    <w:rsid w:val="2B132B93"/>
    <w:rsid w:val="2B1D67DB"/>
    <w:rsid w:val="2B2A1401"/>
    <w:rsid w:val="2C1B7211"/>
    <w:rsid w:val="2C666BA1"/>
    <w:rsid w:val="2DD5358D"/>
    <w:rsid w:val="2ECB7580"/>
    <w:rsid w:val="2F31741F"/>
    <w:rsid w:val="2FC775E3"/>
    <w:rsid w:val="2FCC0A00"/>
    <w:rsid w:val="302C73AD"/>
    <w:rsid w:val="30752113"/>
    <w:rsid w:val="31550B61"/>
    <w:rsid w:val="31E90EF8"/>
    <w:rsid w:val="32005C69"/>
    <w:rsid w:val="32B7562B"/>
    <w:rsid w:val="33085425"/>
    <w:rsid w:val="34836D5A"/>
    <w:rsid w:val="35254998"/>
    <w:rsid w:val="35A61FCC"/>
    <w:rsid w:val="366E1E81"/>
    <w:rsid w:val="36F74101"/>
    <w:rsid w:val="370C7B1B"/>
    <w:rsid w:val="376F44BB"/>
    <w:rsid w:val="38623A31"/>
    <w:rsid w:val="39050DB8"/>
    <w:rsid w:val="39203DC4"/>
    <w:rsid w:val="39352F70"/>
    <w:rsid w:val="393D2C48"/>
    <w:rsid w:val="399D5494"/>
    <w:rsid w:val="3A0F0224"/>
    <w:rsid w:val="3AE35129"/>
    <w:rsid w:val="3C110D20"/>
    <w:rsid w:val="3C1F4887"/>
    <w:rsid w:val="3C4A30C0"/>
    <w:rsid w:val="3C6027B0"/>
    <w:rsid w:val="3C7A50CD"/>
    <w:rsid w:val="3D5941A8"/>
    <w:rsid w:val="3DE92C54"/>
    <w:rsid w:val="4047594B"/>
    <w:rsid w:val="404F0827"/>
    <w:rsid w:val="40562A19"/>
    <w:rsid w:val="40AC3F0F"/>
    <w:rsid w:val="40C55867"/>
    <w:rsid w:val="41030F94"/>
    <w:rsid w:val="423E7375"/>
    <w:rsid w:val="4243339D"/>
    <w:rsid w:val="42943B65"/>
    <w:rsid w:val="42A67B0A"/>
    <w:rsid w:val="44115ECB"/>
    <w:rsid w:val="45EF7078"/>
    <w:rsid w:val="4643602A"/>
    <w:rsid w:val="480916A9"/>
    <w:rsid w:val="489F020B"/>
    <w:rsid w:val="490B64B5"/>
    <w:rsid w:val="49C03781"/>
    <w:rsid w:val="4B436814"/>
    <w:rsid w:val="4BE140DC"/>
    <w:rsid w:val="4C03470D"/>
    <w:rsid w:val="4C520360"/>
    <w:rsid w:val="4C7E0947"/>
    <w:rsid w:val="4CC472C3"/>
    <w:rsid w:val="4D946F09"/>
    <w:rsid w:val="4DB35064"/>
    <w:rsid w:val="4EE266E4"/>
    <w:rsid w:val="4F562DF5"/>
    <w:rsid w:val="4F612870"/>
    <w:rsid w:val="4F61599F"/>
    <w:rsid w:val="4F941A5F"/>
    <w:rsid w:val="50062DD9"/>
    <w:rsid w:val="50F57014"/>
    <w:rsid w:val="523718E5"/>
    <w:rsid w:val="532F1291"/>
    <w:rsid w:val="5443602E"/>
    <w:rsid w:val="55345504"/>
    <w:rsid w:val="559A36FF"/>
    <w:rsid w:val="55C82F4A"/>
    <w:rsid w:val="55E473A1"/>
    <w:rsid w:val="565B5870"/>
    <w:rsid w:val="568D7E8C"/>
    <w:rsid w:val="56E147BB"/>
    <w:rsid w:val="579F6C8E"/>
    <w:rsid w:val="584C6D8E"/>
    <w:rsid w:val="58B77E24"/>
    <w:rsid w:val="58EC0CBF"/>
    <w:rsid w:val="5907315A"/>
    <w:rsid w:val="59561490"/>
    <w:rsid w:val="59EA1BD8"/>
    <w:rsid w:val="59FD5EB2"/>
    <w:rsid w:val="5A133DDD"/>
    <w:rsid w:val="5AE91E90"/>
    <w:rsid w:val="5B7A58B0"/>
    <w:rsid w:val="5C3F3482"/>
    <w:rsid w:val="5CE609FA"/>
    <w:rsid w:val="5D012E47"/>
    <w:rsid w:val="5D0773AA"/>
    <w:rsid w:val="5D312BF8"/>
    <w:rsid w:val="5DE05296"/>
    <w:rsid w:val="5E411084"/>
    <w:rsid w:val="5E465C91"/>
    <w:rsid w:val="5E4966C3"/>
    <w:rsid w:val="5F0773B5"/>
    <w:rsid w:val="5F4A29C5"/>
    <w:rsid w:val="5F5A47A5"/>
    <w:rsid w:val="5F6E32E5"/>
    <w:rsid w:val="5F830324"/>
    <w:rsid w:val="5FF64EAD"/>
    <w:rsid w:val="601E189B"/>
    <w:rsid w:val="60C70EC5"/>
    <w:rsid w:val="61224FF9"/>
    <w:rsid w:val="61697765"/>
    <w:rsid w:val="616F46CF"/>
    <w:rsid w:val="61A00737"/>
    <w:rsid w:val="61E61A15"/>
    <w:rsid w:val="625C605A"/>
    <w:rsid w:val="630A0CF4"/>
    <w:rsid w:val="634503B4"/>
    <w:rsid w:val="634A1561"/>
    <w:rsid w:val="64023D8D"/>
    <w:rsid w:val="640861D6"/>
    <w:rsid w:val="640C2DE5"/>
    <w:rsid w:val="64F04D32"/>
    <w:rsid w:val="64FA2A94"/>
    <w:rsid w:val="651D083A"/>
    <w:rsid w:val="661A022D"/>
    <w:rsid w:val="661A07ED"/>
    <w:rsid w:val="662E59FA"/>
    <w:rsid w:val="66734C05"/>
    <w:rsid w:val="66770622"/>
    <w:rsid w:val="6779459B"/>
    <w:rsid w:val="6787315C"/>
    <w:rsid w:val="684C376D"/>
    <w:rsid w:val="685A43CD"/>
    <w:rsid w:val="68E54B38"/>
    <w:rsid w:val="6910780F"/>
    <w:rsid w:val="69B86B81"/>
    <w:rsid w:val="6A32554A"/>
    <w:rsid w:val="6A631C22"/>
    <w:rsid w:val="6A850A74"/>
    <w:rsid w:val="6AA63742"/>
    <w:rsid w:val="6B3629A6"/>
    <w:rsid w:val="6B6732D4"/>
    <w:rsid w:val="6C107C57"/>
    <w:rsid w:val="6C307F64"/>
    <w:rsid w:val="6C9E75F9"/>
    <w:rsid w:val="6D050DAB"/>
    <w:rsid w:val="6D435965"/>
    <w:rsid w:val="6D6868F1"/>
    <w:rsid w:val="6D903CEB"/>
    <w:rsid w:val="6DAC7866"/>
    <w:rsid w:val="6E11700F"/>
    <w:rsid w:val="6EA57BF2"/>
    <w:rsid w:val="6EAD0FF1"/>
    <w:rsid w:val="6EAD2492"/>
    <w:rsid w:val="6F2851CB"/>
    <w:rsid w:val="6F670F4C"/>
    <w:rsid w:val="6F7B3AFE"/>
    <w:rsid w:val="6F944745"/>
    <w:rsid w:val="6FD23FEB"/>
    <w:rsid w:val="6FFB1E2E"/>
    <w:rsid w:val="701F1C46"/>
    <w:rsid w:val="70751A2F"/>
    <w:rsid w:val="711E0C09"/>
    <w:rsid w:val="727D6182"/>
    <w:rsid w:val="72C651DC"/>
    <w:rsid w:val="740578E3"/>
    <w:rsid w:val="7480313C"/>
    <w:rsid w:val="74A8775B"/>
    <w:rsid w:val="751B27F9"/>
    <w:rsid w:val="75596C40"/>
    <w:rsid w:val="759D1CBC"/>
    <w:rsid w:val="77055BF8"/>
    <w:rsid w:val="78AF5935"/>
    <w:rsid w:val="78CF6711"/>
    <w:rsid w:val="791C1DAC"/>
    <w:rsid w:val="7AA0709B"/>
    <w:rsid w:val="7B3300CF"/>
    <w:rsid w:val="7B575B1E"/>
    <w:rsid w:val="7B8A11BD"/>
    <w:rsid w:val="7C20202D"/>
    <w:rsid w:val="7C3010E1"/>
    <w:rsid w:val="7C654E8A"/>
    <w:rsid w:val="7CBA640E"/>
    <w:rsid w:val="7CF545AC"/>
    <w:rsid w:val="7D18680D"/>
    <w:rsid w:val="7D2B7EDD"/>
    <w:rsid w:val="7D936BA1"/>
    <w:rsid w:val="7DFF3D0F"/>
    <w:rsid w:val="7F485F59"/>
    <w:rsid w:val="7F8248B5"/>
    <w:rsid w:val="7F8C0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9"/>
    <w:pPr>
      <w:keepNext/>
      <w:keepLines/>
      <w:spacing w:before="120" w:beforeLines="0" w:after="120" w:afterLines="0" w:line="360" w:lineRule="auto"/>
      <w:outlineLvl w:val="1"/>
    </w:pPr>
    <w:rPr>
      <w:rFonts w:ascii="Arial" w:hAnsi="Arial" w:eastAsia="黑体"/>
      <w:b/>
      <w:bCs/>
      <w:sz w:val="28"/>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6">
    <w:name w:val="Note Heading"/>
    <w:basedOn w:val="1"/>
    <w:next w:val="1"/>
    <w:qFormat/>
    <w:uiPriority w:val="0"/>
    <w:pPr>
      <w:spacing w:beforeLines="50" w:afterLines="50"/>
      <w:jc w:val="center"/>
    </w:pPr>
    <w:rPr>
      <w:rFonts w:eastAsia="黑体"/>
      <w:sz w:val="24"/>
    </w:rPr>
  </w:style>
  <w:style w:type="paragraph" w:styleId="7">
    <w:name w:val="Normal Indent"/>
    <w:basedOn w:val="1"/>
    <w:next w:val="1"/>
    <w:qFormat/>
    <w:uiPriority w:val="0"/>
    <w:pPr>
      <w:ind w:firstLine="420" w:firstLineChars="200"/>
    </w:pPr>
    <w:rPr>
      <w:szCs w:val="24"/>
    </w:rPr>
  </w:style>
  <w:style w:type="paragraph" w:styleId="8">
    <w:name w:val="annotation text"/>
    <w:basedOn w:val="1"/>
    <w:qFormat/>
    <w:uiPriority w:val="0"/>
    <w:pPr>
      <w:jc w:val="left"/>
    </w:pPr>
  </w:style>
  <w:style w:type="paragraph" w:styleId="9">
    <w:name w:val="Body Text Indent"/>
    <w:basedOn w:val="1"/>
    <w:next w:val="2"/>
    <w:qFormat/>
    <w:uiPriority w:val="0"/>
    <w:pPr>
      <w:spacing w:after="120"/>
      <w:ind w:left="420" w:leftChars="200"/>
    </w:pPr>
    <w:rPr>
      <w:kern w:val="0"/>
      <w:sz w:val="24"/>
      <w:szCs w:val="20"/>
    </w:rPr>
  </w:style>
  <w:style w:type="paragraph" w:styleId="10">
    <w:name w:val="Plain Text"/>
    <w:basedOn w:val="1"/>
    <w:qFormat/>
    <w:uiPriority w:val="0"/>
    <w:rPr>
      <w:rFonts w:hAnsi="Courier New" w:cs="Courier New"/>
    </w:rPr>
  </w:style>
  <w:style w:type="paragraph" w:styleId="11">
    <w:name w:val="List Bullet 5"/>
    <w:basedOn w:val="1"/>
    <w:qFormat/>
    <w:uiPriority w:val="0"/>
    <w:pPr>
      <w:numPr>
        <w:ilvl w:val="0"/>
        <w:numId w:val="1"/>
      </w:numPr>
    </w:pPr>
  </w:style>
  <w:style w:type="paragraph" w:styleId="12">
    <w:name w:val="toc 8"/>
    <w:basedOn w:val="1"/>
    <w:next w:val="1"/>
    <w:qFormat/>
    <w:uiPriority w:val="0"/>
    <w:pPr>
      <w:ind w:left="1470"/>
      <w:jc w:val="left"/>
    </w:pPr>
    <w:rPr>
      <w:sz w:val="18"/>
      <w:szCs w:val="18"/>
    </w:rPr>
  </w:style>
  <w:style w:type="paragraph" w:styleId="13">
    <w:name w:val="Body Text Indent 2"/>
    <w:basedOn w:val="1"/>
    <w:next w:val="14"/>
    <w:qFormat/>
    <w:uiPriority w:val="0"/>
    <w:pPr>
      <w:spacing w:after="120" w:line="480" w:lineRule="auto"/>
      <w:ind w:left="420" w:leftChars="200"/>
    </w:pPr>
  </w:style>
  <w:style w:type="paragraph" w:customStyle="1" w:styleId="14">
    <w:name w:val=" Char"/>
    <w:basedOn w:val="1"/>
    <w:qFormat/>
    <w:uiPriority w:val="0"/>
    <w:rPr>
      <w:rFonts w:ascii="Times New Roman" w:hAnsi="Times New Roman"/>
      <w:szCs w:val="24"/>
    </w:rPr>
  </w:style>
  <w:style w:type="paragraph" w:styleId="15">
    <w:name w:val="footer"/>
    <w:basedOn w:val="1"/>
    <w:qFormat/>
    <w:uiPriority w:val="99"/>
    <w:pPr>
      <w:tabs>
        <w:tab w:val="center" w:pos="4153"/>
        <w:tab w:val="right" w:pos="8306"/>
      </w:tabs>
      <w:snapToGrid w:val="0"/>
      <w:jc w:val="left"/>
    </w:pPr>
    <w:rPr>
      <w:kern w:val="0"/>
      <w:sz w:val="18"/>
      <w:szCs w:val="20"/>
    </w:rPr>
  </w:style>
  <w:style w:type="paragraph" w:styleId="16">
    <w:name w:val="header"/>
    <w:basedOn w:val="1"/>
    <w:next w:val="1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7">
    <w:name w:val="样式5"/>
    <w:basedOn w:val="18"/>
    <w:qFormat/>
    <w:uiPriority w:val="0"/>
    <w:pPr>
      <w:tabs>
        <w:tab w:val="left" w:pos="2045"/>
      </w:tabs>
      <w:snapToGrid w:val="0"/>
      <w:spacing w:line="360" w:lineRule="auto"/>
      <w:ind w:firstLine="510"/>
    </w:pPr>
    <w:rPr>
      <w:rFonts w:ascii="Times New Roman" w:hAnsi="Times New Roman" w:eastAsia="宋体" w:cs="Cambria"/>
      <w:kern w:val="2"/>
      <w:sz w:val="24"/>
    </w:rPr>
  </w:style>
  <w:style w:type="paragraph" w:customStyle="1" w:styleId="18">
    <w:name w:val="正文1"/>
    <w:basedOn w:val="1"/>
    <w:next w:val="1"/>
    <w:qFormat/>
    <w:uiPriority w:val="0"/>
    <w:pPr>
      <w:keepNext w:val="0"/>
      <w:keepLines w:val="0"/>
      <w:widowControl w:val="0"/>
      <w:suppressLineNumbers w:val="0"/>
      <w:adjustRightInd w:val="0"/>
      <w:spacing w:before="0" w:beforeAutospacing="0" w:after="0" w:afterAutospacing="0" w:line="315" w:lineRule="atLeast"/>
      <w:ind w:left="0" w:right="0"/>
      <w:jc w:val="both"/>
    </w:pPr>
    <w:rPr>
      <w:rFonts w:hint="eastAsia" w:ascii="宋体" w:hAnsi="Times New Roman" w:eastAsia="宋体" w:cs="Times New Roman"/>
      <w:kern w:val="0"/>
      <w:sz w:val="24"/>
      <w:szCs w:val="22"/>
      <w:lang w:val="en-US" w:eastAsia="zh-CN" w:bidi="ar"/>
    </w:rPr>
  </w:style>
  <w:style w:type="paragraph" w:styleId="19">
    <w:name w:val="List"/>
    <w:basedOn w:val="1"/>
    <w:qFormat/>
    <w:uiPriority w:val="0"/>
    <w:pPr>
      <w:ind w:left="200" w:hanging="200" w:hangingChars="200"/>
    </w:pPr>
  </w:style>
  <w:style w:type="paragraph" w:styleId="20">
    <w:name w:val="table of figures"/>
    <w:basedOn w:val="1"/>
    <w:next w:val="1"/>
    <w:qFormat/>
    <w:uiPriority w:val="0"/>
    <w:pPr>
      <w:ind w:leftChars="200" w:hanging="200" w:hangingChars="200"/>
    </w:pPr>
    <w:rPr>
      <w:rFonts w:ascii="Calibri" w:hAnsi="Calibri"/>
    </w:rPr>
  </w:style>
  <w:style w:type="paragraph" w:styleId="21">
    <w:name w:val="Body Text 2"/>
    <w:basedOn w:val="1"/>
    <w:qFormat/>
    <w:uiPriority w:val="0"/>
    <w:pPr>
      <w:spacing w:after="120" w:line="480" w:lineRule="auto"/>
    </w:pPr>
  </w:style>
  <w:style w:type="paragraph" w:styleId="22">
    <w:name w:val="Normal (Web)"/>
    <w:basedOn w:val="1"/>
    <w:next w:val="12"/>
    <w:qFormat/>
    <w:uiPriority w:val="0"/>
    <w:pPr>
      <w:widowControl/>
      <w:spacing w:before="100" w:beforeAutospacing="1" w:after="100" w:afterAutospacing="1"/>
      <w:jc w:val="left"/>
    </w:pPr>
    <w:rPr>
      <w:rFonts w:ascii="宋体" w:hAnsi="宋体"/>
      <w:kern w:val="0"/>
      <w:sz w:val="24"/>
      <w:szCs w:val="20"/>
    </w:rPr>
  </w:style>
  <w:style w:type="paragraph" w:styleId="23">
    <w:name w:val="Body Text First Indent"/>
    <w:basedOn w:val="2"/>
    <w:next w:val="20"/>
    <w:qFormat/>
    <w:uiPriority w:val="0"/>
    <w:pPr>
      <w:widowControl w:val="0"/>
      <w:spacing w:after="120" w:line="240" w:lineRule="auto"/>
      <w:ind w:firstLine="420" w:firstLineChars="100"/>
      <w:jc w:val="both"/>
    </w:pPr>
    <w:rPr>
      <w:rFonts w:ascii="Calibri" w:hAnsi="Calibri" w:eastAsia="宋体" w:cs="Times New Roman"/>
      <w:spacing w:val="0"/>
      <w:kern w:val="2"/>
      <w:sz w:val="21"/>
      <w:szCs w:val="24"/>
      <w:lang w:val="en-US" w:eastAsia="zh-CN" w:bidi="ar-SA"/>
    </w:rPr>
  </w:style>
  <w:style w:type="paragraph" w:styleId="24">
    <w:name w:val="Body Text First Indent 2"/>
    <w:basedOn w:val="9"/>
    <w:next w:val="23"/>
    <w:qFormat/>
    <w:uiPriority w:val="0"/>
    <w:pPr>
      <w:keepNext w:val="0"/>
      <w:keepLines w:val="0"/>
      <w:widowControl w:val="0"/>
      <w:suppressLineNumbers w:val="0"/>
      <w:spacing w:before="0" w:beforeAutospacing="0" w:after="120" w:afterAutospacing="0"/>
      <w:ind w:left="420" w:leftChars="200" w:right="0" w:firstLine="420" w:firstLineChars="200"/>
      <w:jc w:val="both"/>
    </w:pPr>
    <w:rPr>
      <w:kern w:val="2"/>
      <w:sz w:val="21"/>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qFormat/>
    <w:uiPriority w:val="0"/>
  </w:style>
  <w:style w:type="paragraph" w:customStyle="1" w:styleId="30">
    <w:name w:val="正文-ls"/>
    <w:basedOn w:val="1"/>
    <w:qFormat/>
    <w:uiPriority w:val="0"/>
    <w:rPr>
      <w:rFonts w:hAnsi="宋体"/>
    </w:rPr>
  </w:style>
  <w:style w:type="paragraph" w:customStyle="1" w:styleId="31">
    <w:name w:val="Default"/>
    <w:basedOn w:val="32"/>
    <w:next w:val="1"/>
    <w:qFormat/>
    <w:uiPriority w:val="0"/>
    <w:pPr>
      <w:widowControl w:val="0"/>
      <w:autoSpaceDE w:val="0"/>
      <w:autoSpaceDN w:val="0"/>
      <w:adjustRightInd w:val="0"/>
    </w:pPr>
    <w:rPr>
      <w:color w:val="000000"/>
      <w:sz w:val="24"/>
      <w:szCs w:val="24"/>
      <w:lang w:val="en-US" w:eastAsia="zh-CN" w:bidi="ar-SA"/>
    </w:rPr>
  </w:style>
  <w:style w:type="paragraph" w:customStyle="1" w:styleId="32">
    <w:name w:val="纯文本1"/>
    <w:basedOn w:val="1"/>
    <w:qFormat/>
    <w:uiPriority w:val="99"/>
    <w:pPr>
      <w:autoSpaceDE w:val="0"/>
      <w:autoSpaceDN w:val="0"/>
      <w:adjustRightInd w:val="0"/>
      <w:textAlignment w:val="baseline"/>
    </w:pPr>
    <w:rPr>
      <w:rFonts w:ascii="宋体"/>
      <w:szCs w:val="20"/>
    </w:rPr>
  </w:style>
  <w:style w:type="paragraph" w:customStyle="1" w:styleId="33">
    <w:name w:val="文本"/>
    <w:basedOn w:val="1"/>
    <w:next w:val="1"/>
    <w:qFormat/>
    <w:uiPriority w:val="0"/>
    <w:pPr>
      <w:spacing w:line="360" w:lineRule="auto"/>
      <w:ind w:firstLine="200" w:firstLineChars="200"/>
    </w:pPr>
    <w:rPr>
      <w:rFonts w:ascii="宋体" w:hAnsi="宋体"/>
      <w:sz w:val="28"/>
      <w:szCs w:val="28"/>
    </w:rPr>
  </w:style>
  <w:style w:type="paragraph" w:customStyle="1" w:styleId="34">
    <w:name w:val="表标题"/>
    <w:basedOn w:val="1"/>
    <w:qFormat/>
    <w:uiPriority w:val="0"/>
    <w:pPr>
      <w:widowControl/>
      <w:snapToGrid w:val="0"/>
      <w:spacing w:before="120" w:afterLines="50" w:line="240" w:lineRule="auto"/>
      <w:ind w:firstLine="482" w:firstLineChars="0"/>
      <w:jc w:val="center"/>
    </w:pPr>
    <w:rPr>
      <w:rFonts w:ascii="黑体" w:hAnsi="Gloucester MT Extra Condensed" w:eastAsia="黑体"/>
      <w:bCs/>
      <w:szCs w:val="21"/>
    </w:rPr>
  </w:style>
  <w:style w:type="paragraph" w:customStyle="1" w:styleId="35">
    <w:name w:val="图表标题"/>
    <w:basedOn w:val="13"/>
    <w:qFormat/>
    <w:uiPriority w:val="0"/>
    <w:pPr>
      <w:spacing w:beforeLines="50" w:after="0" w:line="240" w:lineRule="auto"/>
      <w:ind w:left="0" w:leftChars="0" w:firstLine="200" w:firstLineChars="200"/>
      <w:jc w:val="center"/>
    </w:pPr>
    <w:rPr>
      <w:rFonts w:ascii="宋体" w:hAnsi="宋体" w:eastAsia="黑体"/>
      <w:kern w:val="0"/>
      <w:sz w:val="24"/>
      <w:szCs w:val="22"/>
    </w:rPr>
  </w:style>
  <w:style w:type="paragraph" w:customStyle="1" w:styleId="36">
    <w:name w:val="Table Paragraph"/>
    <w:basedOn w:val="1"/>
    <w:semiHidden/>
    <w:qFormat/>
    <w:uiPriority w:val="99"/>
    <w:pPr>
      <w:widowControl/>
      <w:jc w:val="left"/>
    </w:pPr>
    <w:rPr>
      <w:rFonts w:ascii="Calibri" w:hAnsi="Calibri" w:cs="宋体"/>
      <w:kern w:val="0"/>
      <w:sz w:val="22"/>
      <w:szCs w:val="22"/>
    </w:rPr>
  </w:style>
  <w:style w:type="paragraph" w:customStyle="1" w:styleId="37">
    <w:name w:val="表内字"/>
    <w:qFormat/>
    <w:uiPriority w:val="0"/>
    <w:pPr>
      <w:widowControl w:val="0"/>
      <w:snapToGrid w:val="0"/>
      <w:jc w:val="center"/>
    </w:pPr>
    <w:rPr>
      <w:rFonts w:ascii="Calibri" w:hAnsi="Calibri" w:eastAsia="Calibri" w:cs="Times New Roman"/>
      <w:color w:val="000000"/>
      <w:kern w:val="2"/>
      <w:sz w:val="21"/>
      <w:szCs w:val="28"/>
      <w:lang w:val="en-US" w:eastAsia="zh-CN" w:bidi="ar-SA"/>
    </w:rPr>
  </w:style>
  <w:style w:type="paragraph" w:customStyle="1" w:styleId="38">
    <w:name w:val="*正文"/>
    <w:basedOn w:val="1"/>
    <w:qFormat/>
    <w:uiPriority w:val="0"/>
    <w:pPr>
      <w:adjustRightInd w:val="0"/>
      <w:spacing w:line="360" w:lineRule="auto"/>
      <w:ind w:firstLine="200" w:firstLineChars="200"/>
    </w:pPr>
    <w:rPr>
      <w:kern w:val="0"/>
      <w:sz w:val="24"/>
      <w:szCs w:val="20"/>
    </w:rPr>
  </w:style>
  <w:style w:type="paragraph" w:customStyle="1" w:styleId="39">
    <w:name w:val="4正文"/>
    <w:basedOn w:val="1"/>
    <w:qFormat/>
    <w:uiPriority w:val="0"/>
    <w:pPr>
      <w:keepNext w:val="0"/>
      <w:keepLines w:val="0"/>
      <w:widowControl w:val="0"/>
      <w:suppressLineNumbers w:val="0"/>
      <w:spacing w:before="0" w:beforeAutospacing="0" w:after="0" w:afterAutospacing="0" w:line="360" w:lineRule="auto"/>
      <w:ind w:left="0" w:right="0" w:firstLine="200" w:firstLineChars="200"/>
      <w:jc w:val="left"/>
    </w:pPr>
    <w:rPr>
      <w:rFonts w:hint="default" w:ascii="Times New Roman" w:hAnsi="Times New Roman" w:cs="Times New Roman"/>
      <w:kern w:val="0"/>
      <w:sz w:val="24"/>
      <w:szCs w:val="24"/>
      <w:lang w:val="en-US" w:eastAsia="zh-CN" w:bidi="ar"/>
    </w:rPr>
  </w:style>
  <w:style w:type="paragraph" w:customStyle="1" w:styleId="40">
    <w:name w:val="样式 样式 样式 小四 左 首行缩进:  2 字符 + 首行缩进:  2 字符 Char + 右  0 字符1"/>
    <w:basedOn w:val="1"/>
    <w:qFormat/>
    <w:uiPriority w:val="0"/>
    <w:pPr>
      <w:keepNext w:val="0"/>
      <w:keepLines w:val="0"/>
      <w:widowControl w:val="0"/>
      <w:suppressLineNumbers w:val="0"/>
      <w:adjustRightInd w:val="0"/>
      <w:spacing w:before="0" w:beforeAutospacing="0" w:after="0" w:afterAutospacing="0" w:line="360" w:lineRule="auto"/>
      <w:ind w:left="0" w:right="0" w:firstLine="200" w:firstLineChars="200"/>
      <w:jc w:val="left"/>
    </w:pPr>
    <w:rPr>
      <w:rFonts w:hint="default" w:ascii="Times New Roman" w:hAnsi="Times New Roman" w:eastAsia="宋体" w:cs="宋体"/>
      <w:kern w:val="2"/>
      <w:sz w:val="24"/>
      <w:szCs w:val="20"/>
      <w:lang w:val="en-US" w:eastAsia="zh-CN" w:bidi="ar"/>
    </w:rPr>
  </w:style>
  <w:style w:type="paragraph" w:customStyle="1" w:styleId="41">
    <w:name w:val="【正文】"/>
    <w:basedOn w:val="1"/>
    <w:qFormat/>
    <w:uiPriority w:val="0"/>
    <w:pPr>
      <w:adjustRightInd w:val="0"/>
      <w:snapToGrid w:val="0"/>
    </w:pPr>
  </w:style>
  <w:style w:type="paragraph" w:customStyle="1" w:styleId="42">
    <w:name w:val="表格内容"/>
    <w:qFormat/>
    <w:uiPriority w:val="0"/>
    <w:pPr>
      <w:adjustRightInd w:val="0"/>
      <w:snapToGrid w:val="0"/>
      <w:spacing w:line="240" w:lineRule="atLeast"/>
      <w:jc w:val="center"/>
    </w:pPr>
    <w:rPr>
      <w:rFonts w:ascii="Times New Roman" w:hAnsi="Times New Roman" w:eastAsia="宋体" w:cs="宋体"/>
      <w:bCs/>
      <w:sz w:val="21"/>
      <w:szCs w:val="21"/>
      <w:lang w:val="en-US" w:eastAsia="zh-CN" w:bidi="ar-SA"/>
    </w:rPr>
  </w:style>
  <w:style w:type="paragraph" w:customStyle="1" w:styleId="43">
    <w:name w:val="表格"/>
    <w:basedOn w:val="19"/>
    <w:qFormat/>
    <w:uiPriority w:val="0"/>
    <w:pPr>
      <w:adjustRightInd w:val="0"/>
      <w:snapToGrid w:val="0"/>
      <w:spacing w:beforeLines="10" w:afterLines="10" w:line="259" w:lineRule="auto"/>
      <w:jc w:val="center"/>
    </w:pPr>
    <w:rPr>
      <w:rFonts w:ascii="宋体"/>
      <w:kern w:val="0"/>
      <w:szCs w:val="20"/>
    </w:rPr>
  </w:style>
  <w:style w:type="paragraph" w:customStyle="1" w:styleId="44">
    <w:name w:val="表格正文"/>
    <w:basedOn w:val="1"/>
    <w:next w:val="1"/>
    <w:qFormat/>
    <w:uiPriority w:val="0"/>
    <w:rPr>
      <w:sz w:val="21"/>
    </w:rPr>
  </w:style>
  <w:style w:type="paragraph" w:customStyle="1" w:styleId="45">
    <w:name w:val="表"/>
    <w:basedOn w:val="1"/>
    <w:qFormat/>
    <w:uiPriority w:val="0"/>
    <w:pPr>
      <w:jc w:val="center"/>
    </w:pPr>
    <w:rPr>
      <w:spacing w:val="2"/>
    </w:rPr>
  </w:style>
  <w:style w:type="paragraph" w:customStyle="1" w:styleId="46">
    <w:name w:val="表格内容自定"/>
    <w:basedOn w:val="1"/>
    <w:qFormat/>
    <w:uiPriority w:val="0"/>
    <w:pPr>
      <w:spacing w:line="280" w:lineRule="exact"/>
      <w:jc w:val="center"/>
    </w:pPr>
    <w:rPr>
      <w:kern w:val="0"/>
      <w:sz w:val="18"/>
      <w:szCs w:val="20"/>
    </w:rPr>
  </w:style>
  <w:style w:type="paragraph" w:customStyle="1" w:styleId="47">
    <w:name w:val="表格内文字格式"/>
    <w:basedOn w:val="1"/>
    <w:next w:val="1"/>
    <w:qFormat/>
    <w:uiPriority w:val="0"/>
    <w:pPr>
      <w:adjustRightInd w:val="0"/>
      <w:snapToGrid w:val="0"/>
      <w:jc w:val="left"/>
    </w:pPr>
    <w:rPr>
      <w:szCs w:val="21"/>
    </w:rPr>
  </w:style>
  <w:style w:type="paragraph" w:customStyle="1" w:styleId="48">
    <w:name w:val="表头样式"/>
    <w:basedOn w:val="1"/>
    <w:next w:val="1"/>
    <w:qFormat/>
    <w:uiPriority w:val="0"/>
    <w:pPr>
      <w:autoSpaceDE w:val="0"/>
      <w:autoSpaceDN w:val="0"/>
      <w:jc w:val="left"/>
    </w:pPr>
    <w:rPr>
      <w:rFonts w:cs="宋体"/>
      <w:b/>
      <w:bCs/>
      <w:kern w:val="0"/>
      <w:szCs w:val="21"/>
      <w:lang w:val="zh-CN" w:bidi="zh-CN"/>
    </w:rPr>
  </w:style>
  <w:style w:type="paragraph" w:customStyle="1" w:styleId="49">
    <w:name w:val="表格内容-Jin"/>
    <w:basedOn w:val="1"/>
    <w:qFormat/>
    <w:uiPriority w:val="0"/>
    <w:pPr>
      <w:jc w:val="center"/>
    </w:pPr>
    <w:rPr>
      <w:rFonts w:ascii="Times New Roman" w:hAnsi="Times New Roman" w:eastAsia="宋体" w:cs="Times New Roman"/>
      <w:color w:val="auto"/>
    </w:rPr>
  </w:style>
  <w:style w:type="paragraph" w:customStyle="1" w:styleId="50">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51">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
    <w:name w:val="内标题（2）"/>
    <w:basedOn w:val="1"/>
    <w:qFormat/>
    <w:uiPriority w:val="0"/>
    <w:pPr>
      <w:spacing w:line="360" w:lineRule="auto"/>
      <w:ind w:firstLine="480" w:firstLineChars="200"/>
      <w:jc w:val="left"/>
    </w:pPr>
    <w:rPr>
      <w:rFonts w:hint="eastAsia" w:ascii="Times New Roman" w:hAnsi="Times New Roman" w:eastAsia="宋体" w:cs="Times New Roman"/>
      <w:b/>
      <w:bCs/>
      <w:color w:val="auto"/>
      <w:sz w:val="24"/>
    </w:rPr>
  </w:style>
  <w:style w:type="paragraph" w:customStyle="1" w:styleId="53">
    <w:name w:val="0正文表内"/>
    <w:basedOn w:val="1"/>
    <w:next w:val="1"/>
    <w:qFormat/>
    <w:uiPriority w:val="0"/>
    <w:pPr>
      <w:spacing w:line="360" w:lineRule="exact"/>
      <w:jc w:val="left"/>
    </w:pPr>
    <w:rPr>
      <w:szCs w:val="22"/>
    </w:rPr>
  </w:style>
  <w:style w:type="paragraph" w:customStyle="1" w:styleId="54">
    <w:name w:val="正文-Jin"/>
    <w:basedOn w:val="1"/>
    <w:qFormat/>
    <w:uiPriority w:val="0"/>
    <w:pPr>
      <w:spacing w:line="360" w:lineRule="auto"/>
      <w:ind w:firstLine="480" w:firstLineChars="200"/>
      <w:jc w:val="left"/>
    </w:pPr>
    <w:rPr>
      <w:kern w:val="0"/>
      <w:sz w:val="24"/>
      <w:szCs w:val="20"/>
    </w:rPr>
  </w:style>
  <w:style w:type="paragraph" w:customStyle="1" w:styleId="55">
    <w:name w:val="表标题-Jin"/>
    <w:basedOn w:val="1"/>
    <w:qFormat/>
    <w:uiPriority w:val="0"/>
    <w:pPr>
      <w:adjustRightInd w:val="0"/>
      <w:snapToGrid w:val="0"/>
      <w:spacing w:before="50" w:beforeLines="50"/>
      <w:jc w:val="center"/>
    </w:pPr>
    <w:rPr>
      <w:rFonts w:ascii="Times New Roman" w:hAnsi="Times New Roman" w:eastAsia="宋体" w:cs="Times New Roman"/>
      <w:b/>
      <w:bCs/>
      <w:color w:val="auto"/>
      <w:kern w:val="0"/>
      <w:szCs w:val="21"/>
      <w:lang w:eastAsia="zh-TW"/>
    </w:rPr>
  </w:style>
  <w:style w:type="paragraph" w:customStyle="1" w:styleId="56">
    <w:name w:val="图-Jin"/>
    <w:basedOn w:val="1"/>
    <w:qFormat/>
    <w:uiPriority w:val="0"/>
    <w:pPr>
      <w:jc w:val="center"/>
    </w:pPr>
    <w:rPr>
      <w:rFonts w:ascii="Times New Roman" w:hAnsi="Times New Roman" w:eastAsia="宋体" w:cs="Times New Roman"/>
      <w:color w:val="auto"/>
      <w:sz w:val="24"/>
    </w:rPr>
  </w:style>
  <w:style w:type="paragraph" w:customStyle="1" w:styleId="57">
    <w:name w:val="图标题-Jin"/>
    <w:basedOn w:val="1"/>
    <w:qFormat/>
    <w:uiPriority w:val="0"/>
    <w:pPr>
      <w:spacing w:after="50" w:afterLines="50"/>
      <w:jc w:val="center"/>
    </w:pPr>
    <w:rPr>
      <w:rFonts w:ascii="Times New Roman" w:hAnsi="Times New Roman" w:eastAsia="宋体" w:cs="Times New Roman"/>
      <w:b/>
      <w:bCs/>
      <w:color w:val="auto"/>
      <w:szCs w:val="21"/>
    </w:rPr>
  </w:style>
  <w:style w:type="paragraph" w:customStyle="1" w:styleId="58">
    <w:name w:val="表格文字"/>
    <w:basedOn w:val="10"/>
    <w:qFormat/>
    <w:uiPriority w:val="0"/>
    <w:pPr>
      <w:spacing w:line="560" w:lineRule="exact"/>
      <w:jc w:val="center"/>
    </w:pPr>
  </w:style>
  <w:style w:type="paragraph" w:styleId="59">
    <w:name w:val="List Paragraph"/>
    <w:basedOn w:val="1"/>
    <w:qFormat/>
    <w:uiPriority w:val="1"/>
    <w:pPr>
      <w:ind w:left="1321" w:hanging="602"/>
    </w:pPr>
    <w:rPr>
      <w:rFonts w:ascii="宋体" w:hAnsi="宋体" w:eastAsia="宋体" w:cs="宋体"/>
      <w:lang w:val="zh-CN" w:eastAsia="zh-CN" w:bidi="zh-CN"/>
    </w:rPr>
  </w:style>
  <w:style w:type="paragraph" w:customStyle="1" w:styleId="60">
    <w:name w:val="1_正文"/>
    <w:basedOn w:val="1"/>
    <w:qFormat/>
    <w:uiPriority w:val="0"/>
    <w:pPr>
      <w:adjustRightInd w:val="0"/>
      <w:snapToGrid w:val="0"/>
      <w:spacing w:line="360" w:lineRule="auto"/>
      <w:ind w:firstLine="480" w:firstLineChars="200"/>
    </w:pPr>
    <w:rPr>
      <w:color w:val="000000"/>
      <w:sz w:val="24"/>
    </w:rPr>
  </w:style>
  <w:style w:type="paragraph" w:customStyle="1" w:styleId="61">
    <w:name w:val="正本文字0705"/>
    <w:basedOn w:val="1"/>
    <w:qFormat/>
    <w:uiPriority w:val="0"/>
    <w:pPr>
      <w:adjustRightInd w:val="0"/>
      <w:snapToGrid w:val="0"/>
      <w:spacing w:line="360" w:lineRule="auto"/>
      <w:ind w:firstLine="200" w:firstLineChars="200"/>
    </w:pPr>
    <w:rPr>
      <w:rFonts w:cs="宋体"/>
      <w:color w:val="000000"/>
      <w:kern w:val="18"/>
      <w:sz w:val="24"/>
    </w:rPr>
  </w:style>
  <w:style w:type="paragraph" w:customStyle="1" w:styleId="62">
    <w:name w:val="无间隔表格内"/>
    <w:basedOn w:val="63"/>
    <w:qFormat/>
    <w:uiPriority w:val="0"/>
    <w:rPr>
      <w:b w:val="0"/>
      <w:sz w:val="21"/>
    </w:rPr>
  </w:style>
  <w:style w:type="paragraph" w:customStyle="1" w:styleId="63">
    <w:name w:val="表   头"/>
    <w:basedOn w:val="1"/>
    <w:qFormat/>
    <w:uiPriority w:val="0"/>
    <w:pPr>
      <w:snapToGrid w:val="0"/>
      <w:spacing w:line="240" w:lineRule="auto"/>
      <w:ind w:firstLine="0" w:firstLineChars="0"/>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9.wmf"/><Relationship Id="rId16" Type="http://schemas.openxmlformats.org/officeDocument/2006/relationships/oleObject" Target="embeddings/oleObject1.bin"/><Relationship Id="rId15" Type="http://schemas.openxmlformats.org/officeDocument/2006/relationships/image" Target="media/image8.wmf"/><Relationship Id="rId14" Type="http://schemas.openxmlformats.org/officeDocument/2006/relationships/image" Target="media/image7.wmf"/><Relationship Id="rId13" Type="http://schemas.openxmlformats.org/officeDocument/2006/relationships/image" Target="media/image6.wmf"/><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343</Words>
  <Characters>399</Characters>
  <Lines>0</Lines>
  <Paragraphs>0</Paragraphs>
  <TotalTime>175</TotalTime>
  <ScaleCrop>false</ScaleCrop>
  <LinksUpToDate>false</LinksUpToDate>
  <CharactersWithSpaces>476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2025-06-10T02:06:00Z</dcterms:created>
  <dc:creator>J.</dc:creator>
  <cp:lastModifiedBy>J.</cp:lastModifiedBy>
  <cp:lastPrinted>2025-06-26T07:49:00Z</cp:lastPrinted>
  <dcterms:modified xsi:type="dcterms:W3CDTF">2025-08-05T09:40:43Z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BEC36821A855425990FD041A387DBC9E_13</vt:lpwstr>
  </property>
  <property fmtid="{D5CDD505-2E9C-101B-9397-08002B2CF9AE}" pid="4" name="KSOTemplateDocerSaveRecord">
    <vt:lpwstr>eyJoZGlkIjoiZWU0MmI5NjI3YTY1NmI2ZjU3ZTM2YWM3YmMwODE1YjQiLCJ1c2VySWQiOiIxNjE2NjM0NTI1In0=</vt:lpwstr>
  </property>
</Properties>
</file>