
<file path=[Content_Types].xml><?xml version="1.0" encoding="utf-8"?>
<Types xmlns="http://schemas.openxmlformats.org/package/2006/content-types">
  <Default Extension="xml" ContentType="application/xml"/>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95FC1">
      <w:pPr>
        <w:rPr>
          <w:rFonts w:hint="default" w:ascii="Times New Roman" w:hAnsi="Times New Roman" w:eastAsia="仿宋_GB2312" w:cs="Times New Roman"/>
          <w:color w:val="auto"/>
          <w:sz w:val="36"/>
          <w:szCs w:val="36"/>
        </w:rPr>
      </w:pPr>
    </w:p>
    <w:p w14:paraId="7D6C8FA8">
      <w:pPr>
        <w:rPr>
          <w:rFonts w:hint="default" w:ascii="Times New Roman" w:hAnsi="Times New Roman" w:eastAsia="仿宋_GB2312" w:cs="Times New Roman"/>
          <w:color w:val="auto"/>
          <w:sz w:val="36"/>
          <w:szCs w:val="36"/>
        </w:rPr>
      </w:pPr>
    </w:p>
    <w:p w14:paraId="0AF7C27E">
      <w:pPr>
        <w:rPr>
          <w:rFonts w:hint="default" w:ascii="Times New Roman" w:hAnsi="Times New Roman" w:eastAsia="仿宋_GB2312" w:cs="Times New Roman"/>
          <w:color w:val="auto"/>
          <w:sz w:val="36"/>
          <w:szCs w:val="36"/>
        </w:rPr>
      </w:pPr>
    </w:p>
    <w:p w14:paraId="350B43AA">
      <w:pPr>
        <w:rPr>
          <w:rFonts w:hint="default" w:ascii="Times New Roman" w:hAnsi="Times New Roman" w:eastAsia="仿宋_GB2312" w:cs="Times New Roman"/>
          <w:color w:val="auto"/>
          <w:sz w:val="36"/>
          <w:szCs w:val="36"/>
        </w:rPr>
      </w:pPr>
    </w:p>
    <w:p w14:paraId="27006068">
      <w:pPr>
        <w:rPr>
          <w:rFonts w:hint="default" w:ascii="Times New Roman" w:hAnsi="Times New Roman" w:eastAsia="仿宋_GB2312" w:cs="Times New Roman"/>
          <w:color w:val="auto"/>
          <w:sz w:val="36"/>
          <w:szCs w:val="36"/>
        </w:rPr>
      </w:pPr>
    </w:p>
    <w:p w14:paraId="21F9855A">
      <w:pPr>
        <w:adjustRightInd w:val="0"/>
        <w:snapToGrid w:val="0"/>
        <w:jc w:val="center"/>
        <w:outlineLvl w:val="0"/>
        <w:rPr>
          <w:rFonts w:hint="default" w:ascii="Times New Roman" w:hAnsi="Times New Roman" w:eastAsia="方正小标宋_GBK" w:cs="Times New Roman"/>
          <w:bCs/>
          <w:color w:val="auto"/>
          <w:sz w:val="72"/>
          <w:szCs w:val="72"/>
        </w:rPr>
      </w:pPr>
      <w:r>
        <w:rPr>
          <w:rFonts w:hint="eastAsia" w:ascii="微软雅黑" w:hAnsi="微软雅黑" w:eastAsia="微软雅黑" w:cs="微软雅黑"/>
          <w:bCs/>
          <w:color w:val="auto"/>
          <w:sz w:val="72"/>
          <w:szCs w:val="72"/>
        </w:rPr>
        <w:t>建设项目环境影响报告表</w:t>
      </w:r>
    </w:p>
    <w:p w14:paraId="750DE9FB">
      <w:pPr>
        <w:adjustRightInd w:val="0"/>
        <w:snapToGrid w:val="0"/>
        <w:spacing w:before="192" w:beforeLines="80"/>
        <w:jc w:val="center"/>
        <w:rPr>
          <w:rFonts w:hint="default" w:ascii="Times New Roman" w:hAnsi="Times New Roman" w:eastAsia="楷体_GB2312" w:cs="Times New Roman"/>
          <w:bCs/>
          <w:color w:val="auto"/>
          <w:sz w:val="48"/>
          <w:szCs w:val="48"/>
        </w:rPr>
      </w:pPr>
      <w:r>
        <w:rPr>
          <w:rFonts w:hint="default" w:ascii="Times New Roman" w:hAnsi="Times New Roman" w:eastAsia="楷体_GB2312" w:cs="Times New Roman"/>
          <w:bCs/>
          <w:color w:val="auto"/>
          <w:sz w:val="48"/>
          <w:szCs w:val="48"/>
        </w:rPr>
        <w:t>（污染影响类）</w:t>
      </w:r>
    </w:p>
    <w:p w14:paraId="5CB2D0D3">
      <w:pPr>
        <w:adjustRightInd w:val="0"/>
        <w:snapToGrid w:val="0"/>
        <w:spacing w:line="288" w:lineRule="auto"/>
        <w:jc w:val="center"/>
        <w:outlineLvl w:val="9"/>
        <w:rPr>
          <w:rFonts w:hint="default" w:ascii="Times New Roman" w:hAnsi="Times New Roman" w:eastAsia="华文仿宋" w:cs="Times New Roman"/>
          <w:color w:val="auto"/>
          <w:kern w:val="44"/>
          <w:sz w:val="44"/>
          <w:szCs w:val="44"/>
        </w:rPr>
      </w:pPr>
    </w:p>
    <w:p w14:paraId="667C050B">
      <w:pPr>
        <w:jc w:val="center"/>
        <w:rPr>
          <w:rFonts w:hint="default" w:ascii="Times New Roman" w:hAnsi="Times New Roman" w:eastAsia="仿宋" w:cs="Times New Roman"/>
          <w:color w:val="auto"/>
          <w:sz w:val="52"/>
          <w:szCs w:val="52"/>
        </w:rPr>
      </w:pPr>
    </w:p>
    <w:p w14:paraId="781BCF4F">
      <w:pPr>
        <w:ind w:firstLine="1040"/>
        <w:rPr>
          <w:rFonts w:hint="default" w:ascii="Times New Roman" w:hAnsi="Times New Roman" w:eastAsia="仿宋" w:cs="Times New Roman"/>
          <w:color w:val="auto"/>
          <w:sz w:val="44"/>
          <w:szCs w:val="44"/>
        </w:rPr>
      </w:pPr>
    </w:p>
    <w:p w14:paraId="5C08D6B9">
      <w:pPr>
        <w:ind w:firstLine="1040"/>
        <w:rPr>
          <w:rFonts w:hint="default" w:ascii="Times New Roman" w:hAnsi="Times New Roman" w:eastAsia="仿宋" w:cs="Times New Roman"/>
          <w:color w:val="auto"/>
          <w:sz w:val="44"/>
          <w:szCs w:val="44"/>
        </w:rPr>
      </w:pPr>
    </w:p>
    <w:p w14:paraId="26BF9721">
      <w:pPr>
        <w:ind w:firstLine="1040"/>
        <w:rPr>
          <w:rFonts w:hint="default" w:ascii="Times New Roman" w:hAnsi="Times New Roman" w:eastAsia="仿宋" w:cs="Times New Roman"/>
          <w:color w:val="auto"/>
          <w:sz w:val="44"/>
          <w:szCs w:val="44"/>
        </w:rPr>
      </w:pPr>
    </w:p>
    <w:p w14:paraId="743A1901">
      <w:pPr>
        <w:ind w:firstLine="1040"/>
        <w:rPr>
          <w:rFonts w:hint="default" w:ascii="Times New Roman" w:hAnsi="Times New Roman" w:eastAsia="仿宋" w:cs="Times New Roman"/>
          <w:color w:val="auto"/>
          <w:sz w:val="44"/>
          <w:szCs w:val="44"/>
        </w:rPr>
      </w:pPr>
    </w:p>
    <w:p w14:paraId="3D6C1A38">
      <w:pPr>
        <w:ind w:firstLine="1040"/>
        <w:rPr>
          <w:rFonts w:hint="default" w:ascii="Times New Roman" w:hAnsi="Times New Roman" w:eastAsia="仿宋" w:cs="Times New Roman"/>
          <w:color w:val="auto"/>
          <w:sz w:val="44"/>
          <w:szCs w:val="44"/>
        </w:rPr>
      </w:pPr>
    </w:p>
    <w:tbl>
      <w:tblPr>
        <w:tblStyle w:val="25"/>
        <w:tblW w:w="87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0"/>
        <w:gridCol w:w="5944"/>
      </w:tblGrid>
      <w:tr w14:paraId="4FB1C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840" w:type="dxa"/>
            <w:vAlign w:val="center"/>
          </w:tcPr>
          <w:p w14:paraId="23B72AC7">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仿宋_GB2312" w:cs="Times New Roman"/>
                <w:color w:val="auto"/>
                <w:sz w:val="32"/>
                <w:szCs w:val="32"/>
                <w:u w:val="none"/>
                <w:vertAlign w:val="baseline"/>
                <w:lang w:val="en-US" w:eastAsia="zh-CN"/>
              </w:rPr>
            </w:pPr>
            <w:r>
              <w:rPr>
                <w:rFonts w:eastAsia="仿宋_GB2312"/>
                <w:color w:val="auto"/>
                <w:sz w:val="32"/>
                <w:szCs w:val="32"/>
                <w:u w:val="none"/>
              </w:rPr>
              <w:t>项</w:t>
            </w:r>
            <w:r>
              <w:rPr>
                <w:rFonts w:hint="eastAsia" w:eastAsia="仿宋_GB2312"/>
                <w:color w:val="auto"/>
                <w:sz w:val="32"/>
                <w:szCs w:val="32"/>
                <w:u w:val="none"/>
                <w:lang w:val="en-US" w:eastAsia="zh-CN"/>
              </w:rPr>
              <w:t xml:space="preserve">   </w:t>
            </w:r>
            <w:r>
              <w:rPr>
                <w:rFonts w:eastAsia="仿宋_GB2312"/>
                <w:color w:val="auto"/>
                <w:sz w:val="32"/>
                <w:szCs w:val="32"/>
                <w:u w:val="none"/>
              </w:rPr>
              <w:t>目</w:t>
            </w:r>
            <w:r>
              <w:rPr>
                <w:rFonts w:hint="eastAsia" w:eastAsia="仿宋_GB2312"/>
                <w:color w:val="auto"/>
                <w:sz w:val="32"/>
                <w:szCs w:val="32"/>
                <w:u w:val="none"/>
                <w:lang w:val="en-US" w:eastAsia="zh-CN"/>
              </w:rPr>
              <w:t xml:space="preserve">  </w:t>
            </w:r>
            <w:r>
              <w:rPr>
                <w:rFonts w:eastAsia="仿宋_GB2312"/>
                <w:color w:val="auto"/>
                <w:sz w:val="32"/>
                <w:szCs w:val="32"/>
                <w:u w:val="none"/>
              </w:rPr>
              <w:t>名</w:t>
            </w:r>
            <w:r>
              <w:rPr>
                <w:rFonts w:hint="eastAsia" w:eastAsia="仿宋_GB2312"/>
                <w:color w:val="auto"/>
                <w:sz w:val="32"/>
                <w:szCs w:val="32"/>
                <w:u w:val="none"/>
                <w:lang w:val="en-US" w:eastAsia="zh-CN"/>
              </w:rPr>
              <w:t xml:space="preserve">  </w:t>
            </w:r>
            <w:r>
              <w:rPr>
                <w:rFonts w:eastAsia="仿宋_GB2312"/>
                <w:color w:val="auto"/>
                <w:sz w:val="32"/>
                <w:szCs w:val="32"/>
                <w:u w:val="none"/>
              </w:rPr>
              <w:t>称：</w:t>
            </w:r>
          </w:p>
        </w:tc>
        <w:tc>
          <w:tcPr>
            <w:tcW w:w="5944" w:type="dxa"/>
            <w:tcBorders>
              <w:bottom w:val="single" w:color="auto" w:sz="4" w:space="0"/>
            </w:tcBorders>
            <w:vAlign w:val="center"/>
          </w:tcPr>
          <w:p w14:paraId="765F272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仿宋_GB2312" w:cs="Times New Roman"/>
                <w:color w:val="auto"/>
                <w:sz w:val="32"/>
                <w:szCs w:val="32"/>
                <w:u w:val="none"/>
                <w:vertAlign w:val="baseline"/>
                <w:lang w:val="en-US" w:eastAsia="zh-CN"/>
              </w:rPr>
            </w:pPr>
            <w:r>
              <w:rPr>
                <w:rFonts w:hint="eastAsia" w:ascii="仿宋" w:hAnsi="仿宋" w:eastAsia="仿宋" w:cs="仿宋"/>
                <w:color w:val="auto"/>
                <w:sz w:val="32"/>
                <w:szCs w:val="32"/>
                <w:u w:val="none"/>
                <w:vertAlign w:val="baseline"/>
                <w:lang w:val="en-US" w:eastAsia="zh-CN"/>
              </w:rPr>
              <w:t>新隆钛金属钛材加工迁建项目</w:t>
            </w:r>
          </w:p>
        </w:tc>
      </w:tr>
      <w:tr w14:paraId="3935B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840" w:type="dxa"/>
            <w:vAlign w:val="center"/>
          </w:tcPr>
          <w:p w14:paraId="1AFD9051">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仿宋_GB2312" w:cs="Times New Roman"/>
                <w:color w:val="auto"/>
                <w:sz w:val="32"/>
                <w:szCs w:val="32"/>
                <w:u w:val="none"/>
                <w:vertAlign w:val="baseline"/>
                <w:lang w:val="en-US" w:eastAsia="zh-CN"/>
              </w:rPr>
            </w:pPr>
            <w:r>
              <w:rPr>
                <w:rFonts w:eastAsia="仿宋_GB2312"/>
                <w:color w:val="auto"/>
                <w:sz w:val="32"/>
                <w:szCs w:val="32"/>
                <w:u w:val="none"/>
              </w:rPr>
              <w:t>建设单位（盖章）：</w:t>
            </w:r>
          </w:p>
        </w:tc>
        <w:tc>
          <w:tcPr>
            <w:tcW w:w="5944" w:type="dxa"/>
            <w:tcBorders>
              <w:top w:val="single" w:color="auto" w:sz="4" w:space="0"/>
              <w:bottom w:val="single" w:color="auto" w:sz="4" w:space="0"/>
            </w:tcBorders>
            <w:vAlign w:val="center"/>
          </w:tcPr>
          <w:p w14:paraId="0C1B0B6F">
            <w:pPr>
              <w:keepNext w:val="0"/>
              <w:keepLines w:val="0"/>
              <w:pageBreakBefore w:val="0"/>
              <w:widowControl w:val="0"/>
              <w:kinsoku/>
              <w:wordWrap/>
              <w:overflowPunct/>
              <w:topLinePunct w:val="0"/>
              <w:autoSpaceDE/>
              <w:autoSpaceDN/>
              <w:bidi w:val="0"/>
              <w:adjustRightInd w:val="0"/>
              <w:snapToGrid w:val="0"/>
              <w:spacing w:line="240" w:lineRule="auto"/>
              <w:ind w:left="1800" w:hanging="1600" w:hangingChars="500"/>
              <w:jc w:val="center"/>
              <w:textAlignment w:val="auto"/>
              <w:rPr>
                <w:rFonts w:hint="default" w:ascii="Times New Roman" w:hAnsi="Times New Roman" w:eastAsia="仿宋_GB2312" w:cs="Times New Roman"/>
                <w:color w:val="auto"/>
                <w:sz w:val="32"/>
                <w:szCs w:val="32"/>
                <w:u w:val="none"/>
                <w:vertAlign w:val="baseline"/>
                <w:lang w:val="en-US" w:eastAsia="zh-CN"/>
              </w:rPr>
            </w:pPr>
            <w:r>
              <w:rPr>
                <w:rFonts w:hint="default" w:ascii="Times New Roman" w:hAnsi="Times New Roman" w:eastAsia="仿宋_GB2312" w:cs="Times New Roman"/>
                <w:color w:val="auto"/>
                <w:sz w:val="32"/>
                <w:szCs w:val="32"/>
                <w:u w:val="none"/>
                <w:vertAlign w:val="baseline"/>
                <w:lang w:val="en-US" w:eastAsia="zh-CN"/>
              </w:rPr>
              <w:t>陕西新隆钛金属材料有限公司</w:t>
            </w:r>
          </w:p>
        </w:tc>
      </w:tr>
      <w:tr w14:paraId="02B93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840" w:type="dxa"/>
            <w:vAlign w:val="center"/>
          </w:tcPr>
          <w:p w14:paraId="29B76AD3">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仿宋_GB2312" w:cs="Times New Roman"/>
                <w:color w:val="auto"/>
                <w:sz w:val="32"/>
                <w:szCs w:val="32"/>
                <w:u w:val="none"/>
                <w:vertAlign w:val="baseline"/>
                <w:lang w:val="en-US" w:eastAsia="zh-CN"/>
              </w:rPr>
            </w:pPr>
            <w:r>
              <w:rPr>
                <w:rFonts w:eastAsia="仿宋_GB2312"/>
                <w:color w:val="auto"/>
                <w:sz w:val="32"/>
                <w:szCs w:val="32"/>
                <w:u w:val="none"/>
              </w:rPr>
              <w:t>编</w:t>
            </w:r>
            <w:r>
              <w:rPr>
                <w:rFonts w:hint="eastAsia" w:eastAsia="仿宋_GB2312"/>
                <w:color w:val="auto"/>
                <w:sz w:val="32"/>
                <w:szCs w:val="32"/>
                <w:u w:val="none"/>
                <w:lang w:val="en-US" w:eastAsia="zh-CN"/>
              </w:rPr>
              <w:t xml:space="preserve">   </w:t>
            </w:r>
            <w:r>
              <w:rPr>
                <w:rFonts w:eastAsia="仿宋_GB2312"/>
                <w:color w:val="auto"/>
                <w:sz w:val="32"/>
                <w:szCs w:val="32"/>
                <w:u w:val="none"/>
              </w:rPr>
              <w:t>制</w:t>
            </w:r>
            <w:r>
              <w:rPr>
                <w:rFonts w:hint="eastAsia" w:eastAsia="仿宋_GB2312"/>
                <w:color w:val="auto"/>
                <w:sz w:val="32"/>
                <w:szCs w:val="32"/>
                <w:u w:val="none"/>
                <w:lang w:val="en-US" w:eastAsia="zh-CN"/>
              </w:rPr>
              <w:t xml:space="preserve">  </w:t>
            </w:r>
            <w:r>
              <w:rPr>
                <w:rFonts w:eastAsia="仿宋_GB2312"/>
                <w:color w:val="auto"/>
                <w:sz w:val="32"/>
                <w:szCs w:val="32"/>
                <w:u w:val="none"/>
              </w:rPr>
              <w:t>日</w:t>
            </w:r>
            <w:r>
              <w:rPr>
                <w:rFonts w:hint="eastAsia" w:eastAsia="仿宋_GB2312"/>
                <w:color w:val="auto"/>
                <w:sz w:val="32"/>
                <w:szCs w:val="32"/>
                <w:u w:val="none"/>
                <w:lang w:val="en-US" w:eastAsia="zh-CN"/>
              </w:rPr>
              <w:t xml:space="preserve">  </w:t>
            </w:r>
            <w:r>
              <w:rPr>
                <w:rFonts w:eastAsia="仿宋_GB2312"/>
                <w:color w:val="auto"/>
                <w:sz w:val="32"/>
                <w:szCs w:val="32"/>
                <w:u w:val="none"/>
              </w:rPr>
              <w:t>期：</w:t>
            </w:r>
          </w:p>
        </w:tc>
        <w:tc>
          <w:tcPr>
            <w:tcW w:w="5944" w:type="dxa"/>
            <w:tcBorders>
              <w:top w:val="single" w:color="auto" w:sz="4" w:space="0"/>
              <w:bottom w:val="single" w:color="auto" w:sz="4" w:space="0"/>
            </w:tcBorders>
            <w:vAlign w:val="center"/>
          </w:tcPr>
          <w:p w14:paraId="1935826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auto"/>
                <w:sz w:val="32"/>
                <w:szCs w:val="32"/>
                <w:u w:val="none"/>
                <w:vertAlign w:val="baseline"/>
                <w:lang w:val="en-US" w:eastAsia="zh-CN"/>
              </w:rPr>
            </w:pPr>
            <w:r>
              <w:rPr>
                <w:rFonts w:eastAsia="仿宋_GB2312"/>
                <w:color w:val="auto"/>
                <w:sz w:val="32"/>
                <w:szCs w:val="32"/>
                <w:u w:val="none"/>
              </w:rPr>
              <w:t>202</w:t>
            </w:r>
            <w:r>
              <w:rPr>
                <w:rFonts w:hint="eastAsia" w:eastAsia="仿宋_GB2312"/>
                <w:color w:val="auto"/>
                <w:sz w:val="32"/>
                <w:szCs w:val="32"/>
                <w:u w:val="none"/>
                <w:lang w:val="en-US" w:eastAsia="zh-CN"/>
              </w:rPr>
              <w:t>5</w:t>
            </w:r>
            <w:r>
              <w:rPr>
                <w:rFonts w:eastAsia="仿宋_GB2312"/>
                <w:color w:val="auto"/>
                <w:sz w:val="32"/>
                <w:szCs w:val="32"/>
                <w:u w:val="none"/>
              </w:rPr>
              <w:t>年</w:t>
            </w:r>
            <w:r>
              <w:rPr>
                <w:rFonts w:hint="eastAsia" w:eastAsia="仿宋_GB2312"/>
                <w:color w:val="auto"/>
                <w:sz w:val="32"/>
                <w:szCs w:val="32"/>
                <w:u w:val="none"/>
                <w:lang w:val="en-US" w:eastAsia="zh-CN"/>
              </w:rPr>
              <w:t>6</w:t>
            </w:r>
            <w:r>
              <w:rPr>
                <w:rFonts w:eastAsia="仿宋_GB2312"/>
                <w:color w:val="auto"/>
                <w:sz w:val="32"/>
                <w:szCs w:val="32"/>
                <w:u w:val="none"/>
              </w:rPr>
              <w:t>月</w:t>
            </w:r>
          </w:p>
        </w:tc>
      </w:tr>
    </w:tbl>
    <w:p w14:paraId="60BC01F3">
      <w:pPr>
        <w:adjustRightInd w:val="0"/>
        <w:snapToGrid w:val="0"/>
        <w:spacing w:line="288" w:lineRule="auto"/>
        <w:ind w:firstLine="1040"/>
        <w:rPr>
          <w:rFonts w:hint="default" w:ascii="Times New Roman" w:hAnsi="Times New Roman" w:eastAsia="仿宋_GB2312" w:cs="Times New Roman"/>
          <w:color w:val="auto"/>
          <w:sz w:val="36"/>
          <w:szCs w:val="36"/>
          <w:u w:val="single"/>
        </w:rPr>
      </w:pPr>
      <w:bookmarkStart w:id="0" w:name="_Hlk57884087"/>
    </w:p>
    <w:p w14:paraId="7EF5F1E8">
      <w:pPr>
        <w:adjustRightInd w:val="0"/>
        <w:snapToGrid w:val="0"/>
        <w:spacing w:line="288" w:lineRule="auto"/>
        <w:ind w:firstLine="1040"/>
        <w:rPr>
          <w:rFonts w:hint="default" w:ascii="Times New Roman" w:hAnsi="Times New Roman" w:eastAsia="仿宋_GB2312" w:cs="Times New Roman"/>
          <w:color w:val="auto"/>
          <w:sz w:val="36"/>
          <w:szCs w:val="36"/>
        </w:rPr>
      </w:pPr>
    </w:p>
    <w:p w14:paraId="13F62E2E">
      <w:pPr>
        <w:adjustRightInd w:val="0"/>
        <w:snapToGrid w:val="0"/>
        <w:spacing w:line="288" w:lineRule="auto"/>
        <w:ind w:firstLine="1040"/>
        <w:rPr>
          <w:rFonts w:hint="default" w:ascii="Times New Roman" w:hAnsi="Times New Roman" w:eastAsia="仿宋_GB2312" w:cs="Times New Roman"/>
          <w:color w:val="auto"/>
          <w:sz w:val="36"/>
          <w:szCs w:val="36"/>
        </w:rPr>
      </w:pPr>
    </w:p>
    <w:p w14:paraId="78D17067">
      <w:pPr>
        <w:adjustRightInd w:val="0"/>
        <w:snapToGrid w:val="0"/>
        <w:spacing w:line="288" w:lineRule="auto"/>
        <w:ind w:firstLine="1040"/>
        <w:rPr>
          <w:rFonts w:hint="default" w:ascii="Times New Roman" w:hAnsi="Times New Roman" w:eastAsia="仿宋_GB2312" w:cs="Times New Roman"/>
          <w:color w:val="auto"/>
          <w:sz w:val="36"/>
          <w:szCs w:val="36"/>
        </w:rPr>
      </w:pPr>
    </w:p>
    <w:p w14:paraId="2230F02F">
      <w:pPr>
        <w:adjustRightInd w:val="0"/>
        <w:snapToGrid w:val="0"/>
        <w:spacing w:line="288" w:lineRule="auto"/>
        <w:ind w:firstLine="1040"/>
        <w:rPr>
          <w:rFonts w:hint="default" w:ascii="Times New Roman" w:hAnsi="Times New Roman" w:eastAsia="仿宋_GB2312" w:cs="Times New Roman"/>
          <w:color w:val="auto"/>
          <w:sz w:val="36"/>
          <w:szCs w:val="36"/>
        </w:rPr>
      </w:pPr>
    </w:p>
    <w:bookmarkEnd w:id="0"/>
    <w:p w14:paraId="7CE01DF7">
      <w:pPr>
        <w:adjustRightInd w:val="0"/>
        <w:snapToGrid w:val="0"/>
        <w:spacing w:line="288" w:lineRule="auto"/>
        <w:jc w:val="center"/>
        <w:rPr>
          <w:rFonts w:hint="default" w:ascii="Times New Roman" w:hAnsi="Times New Roman" w:eastAsia="楷体_GB2312" w:cs="Times New Roman"/>
          <w:color w:val="auto"/>
          <w:sz w:val="36"/>
          <w:szCs w:val="36"/>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r>
        <w:rPr>
          <w:rFonts w:hint="default" w:ascii="Times New Roman" w:hAnsi="Times New Roman" w:eastAsia="楷体_GB2312" w:cs="Times New Roman"/>
          <w:color w:val="auto"/>
          <w:sz w:val="36"/>
          <w:szCs w:val="36"/>
        </w:rPr>
        <w:t>中华人民共和国生态环境部制</w:t>
      </w:r>
    </w:p>
    <w:p w14:paraId="61E339A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outlineLvl w:val="0"/>
        <w:rPr>
          <w:rFonts w:eastAsia="黑体"/>
          <w:snapToGrid w:val="0"/>
          <w:color w:val="auto"/>
          <w:kern w:val="0"/>
          <w:sz w:val="30"/>
          <w:szCs w:val="30"/>
        </w:rPr>
      </w:pPr>
      <w:r>
        <w:rPr>
          <w:rFonts w:eastAsia="黑体"/>
          <w:snapToGrid w:val="0"/>
          <w:color w:val="auto"/>
          <w:kern w:val="0"/>
          <w:sz w:val="30"/>
          <w:szCs w:val="30"/>
        </w:rPr>
        <w:t>一、建设项目基本情况</w:t>
      </w:r>
    </w:p>
    <w:tbl>
      <w:tblPr>
        <w:tblStyle w:val="24"/>
        <w:tblW w:w="85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98"/>
        <w:gridCol w:w="1109"/>
        <w:gridCol w:w="1990"/>
        <w:gridCol w:w="1842"/>
        <w:gridCol w:w="2798"/>
      </w:tblGrid>
      <w:tr w14:paraId="166DE1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10" w:hRule="atLeast"/>
          <w:jc w:val="center"/>
        </w:trPr>
        <w:tc>
          <w:tcPr>
            <w:tcW w:w="1907" w:type="dxa"/>
            <w:gridSpan w:val="2"/>
            <w:tcMar>
              <w:top w:w="16" w:type="dxa"/>
              <w:left w:w="16" w:type="dxa"/>
              <w:right w:w="16" w:type="dxa"/>
            </w:tcMar>
            <w:vAlign w:val="center"/>
          </w:tcPr>
          <w:p w14:paraId="098C8349">
            <w:pPr>
              <w:adjustRightInd w:val="0"/>
              <w:snapToGrid w:val="0"/>
              <w:jc w:val="center"/>
              <w:rPr>
                <w:color w:val="auto"/>
                <w:sz w:val="24"/>
              </w:rPr>
            </w:pPr>
            <w:r>
              <w:rPr>
                <w:color w:val="auto"/>
                <w:sz w:val="24"/>
              </w:rPr>
              <w:t>建设项目名称</w:t>
            </w:r>
          </w:p>
        </w:tc>
        <w:tc>
          <w:tcPr>
            <w:tcW w:w="6630" w:type="dxa"/>
            <w:gridSpan w:val="3"/>
            <w:vAlign w:val="center"/>
          </w:tcPr>
          <w:p w14:paraId="29017DD7">
            <w:pPr>
              <w:spacing w:line="360" w:lineRule="exact"/>
              <w:jc w:val="center"/>
              <w:rPr>
                <w:rFonts w:hint="eastAsia" w:eastAsia="宋体"/>
                <w:color w:val="auto"/>
                <w:sz w:val="24"/>
                <w:lang w:eastAsia="zh-CN"/>
              </w:rPr>
            </w:pPr>
            <w:r>
              <w:rPr>
                <w:rFonts w:hint="eastAsia" w:ascii="Times New Roman" w:hAnsi="Times New Roman" w:eastAsia="宋体" w:cs="Times New Roman"/>
                <w:color w:val="auto"/>
                <w:sz w:val="24"/>
                <w:lang w:val="en-US" w:eastAsia="zh-CN"/>
              </w:rPr>
              <w:t>新隆钛金属钛材加工迁建项目</w:t>
            </w:r>
          </w:p>
        </w:tc>
      </w:tr>
      <w:tr w14:paraId="3245E2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711E0FDD">
            <w:pPr>
              <w:adjustRightInd w:val="0"/>
              <w:snapToGrid w:val="0"/>
              <w:jc w:val="center"/>
              <w:rPr>
                <w:color w:val="auto"/>
                <w:sz w:val="24"/>
              </w:rPr>
            </w:pPr>
            <w:r>
              <w:rPr>
                <w:color w:val="auto"/>
                <w:sz w:val="24"/>
              </w:rPr>
              <w:t>项目代码</w:t>
            </w:r>
          </w:p>
        </w:tc>
        <w:tc>
          <w:tcPr>
            <w:tcW w:w="6630" w:type="dxa"/>
            <w:gridSpan w:val="3"/>
            <w:vAlign w:val="center"/>
          </w:tcPr>
          <w:p w14:paraId="3BFA5882">
            <w:pPr>
              <w:spacing w:line="360" w:lineRule="exact"/>
              <w:jc w:val="center"/>
              <w:rPr>
                <w:rFonts w:hint="eastAsia" w:eastAsia="宋体"/>
                <w:color w:val="auto"/>
                <w:sz w:val="24"/>
                <w:lang w:eastAsia="zh-CN"/>
              </w:rPr>
            </w:pPr>
            <w:r>
              <w:rPr>
                <w:rFonts w:hint="default" w:ascii="Times New Roman" w:hAnsi="Times New Roman" w:eastAsia="宋体" w:cs="Times New Roman"/>
                <w:color w:val="auto"/>
                <w:sz w:val="24"/>
                <w:lang w:val="en-US" w:eastAsia="zh-CN"/>
              </w:rPr>
              <w:t>2506-611206-04-01-401063</w:t>
            </w:r>
          </w:p>
        </w:tc>
      </w:tr>
      <w:tr w14:paraId="5A0D3C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3BA5A474">
            <w:pPr>
              <w:adjustRightInd w:val="0"/>
              <w:snapToGrid w:val="0"/>
              <w:jc w:val="center"/>
              <w:rPr>
                <w:color w:val="auto"/>
                <w:sz w:val="24"/>
              </w:rPr>
            </w:pPr>
            <w:r>
              <w:rPr>
                <w:color w:val="auto"/>
                <w:sz w:val="24"/>
              </w:rPr>
              <w:t>建设单位联系人</w:t>
            </w:r>
          </w:p>
        </w:tc>
        <w:tc>
          <w:tcPr>
            <w:tcW w:w="1990" w:type="dxa"/>
            <w:vAlign w:val="center"/>
          </w:tcPr>
          <w:p w14:paraId="1DA4CFDB">
            <w:pPr>
              <w:spacing w:line="360" w:lineRule="exact"/>
              <w:jc w:val="center"/>
              <w:rPr>
                <w:color w:val="auto"/>
                <w:sz w:val="24"/>
              </w:rPr>
            </w:pPr>
            <w:r>
              <w:rPr>
                <w:rFonts w:hint="eastAsia"/>
                <w:color w:val="auto"/>
                <w:sz w:val="24"/>
                <w:lang w:val="en-US" w:eastAsia="zh-CN"/>
              </w:rPr>
              <w:t>吴晓龙</w:t>
            </w:r>
          </w:p>
        </w:tc>
        <w:tc>
          <w:tcPr>
            <w:tcW w:w="1842" w:type="dxa"/>
            <w:vAlign w:val="center"/>
          </w:tcPr>
          <w:p w14:paraId="46B235FA">
            <w:pPr>
              <w:spacing w:line="360" w:lineRule="exact"/>
              <w:jc w:val="center"/>
              <w:rPr>
                <w:color w:val="auto"/>
                <w:sz w:val="24"/>
              </w:rPr>
            </w:pPr>
            <w:r>
              <w:rPr>
                <w:color w:val="auto"/>
                <w:sz w:val="24"/>
              </w:rPr>
              <w:t>联系电话</w:t>
            </w:r>
          </w:p>
        </w:tc>
        <w:tc>
          <w:tcPr>
            <w:tcW w:w="2798" w:type="dxa"/>
            <w:vAlign w:val="center"/>
          </w:tcPr>
          <w:p w14:paraId="34E171E1">
            <w:pPr>
              <w:spacing w:line="360" w:lineRule="exact"/>
              <w:jc w:val="center"/>
              <w:rPr>
                <w:color w:val="auto"/>
                <w:sz w:val="24"/>
              </w:rPr>
            </w:pPr>
            <w:r>
              <w:rPr>
                <w:rFonts w:hint="default"/>
                <w:color w:val="auto"/>
                <w:sz w:val="24"/>
                <w:lang w:val="en-US" w:eastAsia="zh-CN"/>
              </w:rPr>
              <w:t>13108290072</w:t>
            </w:r>
          </w:p>
        </w:tc>
      </w:tr>
      <w:tr w14:paraId="307099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54BD7E42">
            <w:pPr>
              <w:adjustRightInd w:val="0"/>
              <w:snapToGrid w:val="0"/>
              <w:jc w:val="center"/>
              <w:rPr>
                <w:color w:val="auto"/>
                <w:sz w:val="24"/>
              </w:rPr>
            </w:pPr>
            <w:r>
              <w:rPr>
                <w:color w:val="auto"/>
                <w:sz w:val="24"/>
              </w:rPr>
              <w:t>建设地点</w:t>
            </w:r>
          </w:p>
        </w:tc>
        <w:tc>
          <w:tcPr>
            <w:tcW w:w="6630" w:type="dxa"/>
            <w:gridSpan w:val="3"/>
            <w:vAlign w:val="center"/>
          </w:tcPr>
          <w:p w14:paraId="02CAA35D">
            <w:pPr>
              <w:adjustRightInd w:val="0"/>
              <w:snapToGrid w:val="0"/>
              <w:jc w:val="center"/>
              <w:rPr>
                <w:rFonts w:hint="eastAsia" w:eastAsia="宋体"/>
                <w:color w:val="auto"/>
                <w:sz w:val="24"/>
                <w:lang w:eastAsia="zh-CN"/>
              </w:rPr>
            </w:pPr>
            <w:r>
              <w:rPr>
                <w:rFonts w:hint="eastAsia"/>
                <w:color w:val="auto"/>
                <w:sz w:val="24"/>
                <w:highlight w:val="none"/>
                <w:lang w:val="en-US" w:eastAsia="zh-CN"/>
              </w:rPr>
              <w:t>陕西省西咸新区泾河新城永乐镇原点东一路永丰村委会南侧</w:t>
            </w:r>
          </w:p>
        </w:tc>
      </w:tr>
      <w:tr w14:paraId="181E0B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1557B483">
            <w:pPr>
              <w:adjustRightInd w:val="0"/>
              <w:snapToGrid w:val="0"/>
              <w:jc w:val="center"/>
              <w:rPr>
                <w:color w:val="auto"/>
                <w:sz w:val="24"/>
              </w:rPr>
            </w:pPr>
            <w:r>
              <w:rPr>
                <w:color w:val="auto"/>
                <w:sz w:val="24"/>
              </w:rPr>
              <w:t>地理坐标</w:t>
            </w:r>
          </w:p>
        </w:tc>
        <w:tc>
          <w:tcPr>
            <w:tcW w:w="6630" w:type="dxa"/>
            <w:gridSpan w:val="3"/>
            <w:vAlign w:val="center"/>
          </w:tcPr>
          <w:p w14:paraId="11617E42">
            <w:pPr>
              <w:jc w:val="center"/>
              <w:rPr>
                <w:color w:val="auto"/>
                <w:sz w:val="24"/>
              </w:rPr>
            </w:pPr>
            <w:r>
              <w:rPr>
                <w:color w:val="auto"/>
                <w:sz w:val="24"/>
              </w:rPr>
              <w:t>（E</w:t>
            </w:r>
            <w:r>
              <w:rPr>
                <w:color w:val="auto"/>
                <w:sz w:val="24"/>
                <w:u w:val="single"/>
              </w:rPr>
              <w:t>10</w:t>
            </w:r>
            <w:r>
              <w:rPr>
                <w:rFonts w:hint="eastAsia"/>
                <w:color w:val="auto"/>
                <w:sz w:val="24"/>
                <w:u w:val="single"/>
                <w:lang w:val="en-US" w:eastAsia="zh-CN"/>
              </w:rPr>
              <w:t>8</w:t>
            </w:r>
            <w:r>
              <w:rPr>
                <w:color w:val="auto"/>
                <w:sz w:val="24"/>
              </w:rPr>
              <w:t>度</w:t>
            </w:r>
            <w:r>
              <w:rPr>
                <w:rFonts w:hint="eastAsia"/>
                <w:color w:val="auto"/>
                <w:sz w:val="24"/>
                <w:u w:val="single"/>
                <w:lang w:val="en-US" w:eastAsia="zh-CN"/>
              </w:rPr>
              <w:t>56</w:t>
            </w:r>
            <w:r>
              <w:rPr>
                <w:color w:val="auto"/>
                <w:sz w:val="24"/>
              </w:rPr>
              <w:t>分</w:t>
            </w:r>
            <w:r>
              <w:rPr>
                <w:rFonts w:hint="eastAsia"/>
                <w:color w:val="auto"/>
                <w:sz w:val="24"/>
                <w:u w:val="single"/>
                <w:lang w:val="en-US" w:eastAsia="zh-CN"/>
              </w:rPr>
              <w:t>29.182</w:t>
            </w:r>
            <w:r>
              <w:rPr>
                <w:color w:val="auto"/>
                <w:sz w:val="24"/>
              </w:rPr>
              <w:t>秒，N</w:t>
            </w:r>
            <w:r>
              <w:rPr>
                <w:color w:val="auto"/>
                <w:sz w:val="24"/>
                <w:u w:val="single"/>
              </w:rPr>
              <w:t>34</w:t>
            </w:r>
            <w:r>
              <w:rPr>
                <w:color w:val="auto"/>
                <w:sz w:val="24"/>
              </w:rPr>
              <w:t>度</w:t>
            </w:r>
            <w:r>
              <w:rPr>
                <w:rFonts w:hint="eastAsia"/>
                <w:color w:val="auto"/>
                <w:sz w:val="24"/>
                <w:u w:val="single"/>
                <w:lang w:val="en-US" w:eastAsia="zh-CN"/>
              </w:rPr>
              <w:t>31</w:t>
            </w:r>
            <w:r>
              <w:rPr>
                <w:color w:val="auto"/>
                <w:sz w:val="24"/>
              </w:rPr>
              <w:t>分</w:t>
            </w:r>
            <w:r>
              <w:rPr>
                <w:rFonts w:hint="eastAsia"/>
                <w:color w:val="auto"/>
                <w:sz w:val="24"/>
                <w:u w:val="single"/>
                <w:lang w:val="en-US" w:eastAsia="zh-CN"/>
              </w:rPr>
              <w:t>26.241</w:t>
            </w:r>
            <w:r>
              <w:rPr>
                <w:color w:val="auto"/>
                <w:sz w:val="24"/>
              </w:rPr>
              <w:t>秒）</w:t>
            </w:r>
          </w:p>
        </w:tc>
      </w:tr>
      <w:tr w14:paraId="75D97D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3D488E39">
            <w:pPr>
              <w:widowControl/>
              <w:jc w:val="center"/>
              <w:rPr>
                <w:bCs/>
                <w:color w:val="auto"/>
                <w:sz w:val="24"/>
              </w:rPr>
            </w:pPr>
            <w:r>
              <w:rPr>
                <w:bCs/>
                <w:color w:val="auto"/>
                <w:sz w:val="24"/>
              </w:rPr>
              <w:t>国民经济</w:t>
            </w:r>
          </w:p>
          <w:p w14:paraId="513A9B9F">
            <w:pPr>
              <w:widowControl/>
              <w:jc w:val="center"/>
              <w:rPr>
                <w:bCs/>
                <w:color w:val="auto"/>
                <w:sz w:val="24"/>
              </w:rPr>
            </w:pPr>
            <w:r>
              <w:rPr>
                <w:bCs/>
                <w:color w:val="auto"/>
                <w:sz w:val="24"/>
              </w:rPr>
              <w:t>行业类别</w:t>
            </w:r>
          </w:p>
        </w:tc>
        <w:tc>
          <w:tcPr>
            <w:tcW w:w="1990" w:type="dxa"/>
            <w:vAlign w:val="center"/>
          </w:tcPr>
          <w:p w14:paraId="5EB3CB6C">
            <w:pPr>
              <w:adjustRightInd w:val="0"/>
              <w:snapToGrid w:val="0"/>
              <w:jc w:val="center"/>
              <w:rPr>
                <w:rFonts w:hint="default" w:eastAsia="宋体"/>
                <w:bCs/>
                <w:color w:val="auto"/>
                <w:sz w:val="24"/>
                <w:lang w:val="en-US" w:eastAsia="zh-CN"/>
              </w:rPr>
            </w:pPr>
            <w:r>
              <w:rPr>
                <w:rFonts w:hint="default" w:eastAsia="宋体"/>
                <w:bCs/>
                <w:color w:val="auto"/>
                <w:sz w:val="24"/>
                <w:lang w:val="en-US" w:eastAsia="zh-CN"/>
              </w:rPr>
              <w:t>C3360 金属表面处理及热处理加工</w:t>
            </w:r>
          </w:p>
        </w:tc>
        <w:tc>
          <w:tcPr>
            <w:tcW w:w="1842" w:type="dxa"/>
            <w:vAlign w:val="center"/>
          </w:tcPr>
          <w:p w14:paraId="42076167">
            <w:pPr>
              <w:adjustRightInd w:val="0"/>
              <w:snapToGrid w:val="0"/>
              <w:jc w:val="center"/>
              <w:rPr>
                <w:color w:val="auto"/>
                <w:sz w:val="24"/>
              </w:rPr>
            </w:pPr>
            <w:r>
              <w:rPr>
                <w:color w:val="auto"/>
                <w:sz w:val="24"/>
              </w:rPr>
              <w:t>建设项目</w:t>
            </w:r>
          </w:p>
          <w:p w14:paraId="714C1F80">
            <w:pPr>
              <w:adjustRightInd w:val="0"/>
              <w:snapToGrid w:val="0"/>
              <w:jc w:val="center"/>
              <w:rPr>
                <w:bCs/>
                <w:color w:val="auto"/>
                <w:sz w:val="24"/>
                <w:lang w:val="en-GB"/>
              </w:rPr>
            </w:pPr>
            <w:r>
              <w:rPr>
                <w:color w:val="auto"/>
                <w:sz w:val="24"/>
              </w:rPr>
              <w:t>行业类别</w:t>
            </w:r>
          </w:p>
        </w:tc>
        <w:tc>
          <w:tcPr>
            <w:tcW w:w="2798" w:type="dxa"/>
            <w:vAlign w:val="center"/>
          </w:tcPr>
          <w:p w14:paraId="4A714C1A">
            <w:pPr>
              <w:pStyle w:val="23"/>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rPr>
                <w:rFonts w:hint="default" w:eastAsia="宋体"/>
                <w:color w:val="auto"/>
                <w:sz w:val="24"/>
                <w:lang w:val="en-US" w:eastAsia="zh-CN"/>
              </w:rPr>
            </w:pPr>
            <w:r>
              <w:rPr>
                <w:rFonts w:hint="default" w:eastAsia="宋体"/>
                <w:color w:val="auto"/>
                <w:sz w:val="24"/>
                <w:lang w:val="en-US" w:eastAsia="zh-CN"/>
              </w:rPr>
              <w:t>67、金属表面处理及热处理加工</w:t>
            </w:r>
          </w:p>
        </w:tc>
      </w:tr>
      <w:tr w14:paraId="6E1AEB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28D64FB2">
            <w:pPr>
              <w:adjustRightInd w:val="0"/>
              <w:snapToGrid w:val="0"/>
              <w:jc w:val="center"/>
              <w:rPr>
                <w:color w:val="auto"/>
                <w:sz w:val="24"/>
              </w:rPr>
            </w:pPr>
            <w:r>
              <w:rPr>
                <w:color w:val="auto"/>
                <w:sz w:val="24"/>
              </w:rPr>
              <w:t>建设性质</w:t>
            </w:r>
          </w:p>
        </w:tc>
        <w:tc>
          <w:tcPr>
            <w:tcW w:w="1990" w:type="dxa"/>
            <w:vAlign w:val="center"/>
          </w:tcPr>
          <w:p w14:paraId="1E856A79">
            <w:pPr>
              <w:jc w:val="left"/>
              <w:rPr>
                <w:rFonts w:hint="eastAsia" w:eastAsia="宋体"/>
                <w:color w:val="auto"/>
                <w:sz w:val="24"/>
                <w:lang w:eastAsia="zh-CN"/>
              </w:rPr>
            </w:pPr>
            <w:r>
              <w:rPr>
                <w:rFonts w:hint="eastAsia"/>
                <w:color w:val="auto"/>
                <w:sz w:val="24"/>
                <w:lang w:eastAsia="zh-CN"/>
              </w:rPr>
              <w:t>☑</w:t>
            </w:r>
            <w:r>
              <w:rPr>
                <w:color w:val="auto"/>
                <w:sz w:val="24"/>
              </w:rPr>
              <w:t>新建</w:t>
            </w:r>
            <w:r>
              <w:rPr>
                <w:rFonts w:hint="eastAsia"/>
                <w:color w:val="auto"/>
                <w:sz w:val="24"/>
                <w:lang w:eastAsia="zh-CN"/>
              </w:rPr>
              <w:t>（</w:t>
            </w:r>
            <w:r>
              <w:rPr>
                <w:rFonts w:hint="eastAsia"/>
                <w:color w:val="auto"/>
                <w:sz w:val="24"/>
                <w:lang w:val="en-US" w:eastAsia="zh-CN"/>
              </w:rPr>
              <w:t>迁建</w:t>
            </w:r>
            <w:r>
              <w:rPr>
                <w:rFonts w:hint="eastAsia"/>
                <w:color w:val="auto"/>
                <w:sz w:val="24"/>
                <w:lang w:eastAsia="zh-CN"/>
              </w:rPr>
              <w:t>）</w:t>
            </w:r>
          </w:p>
          <w:p w14:paraId="0B4F52F1">
            <w:pPr>
              <w:jc w:val="left"/>
              <w:rPr>
                <w:color w:val="auto"/>
                <w:sz w:val="24"/>
              </w:rPr>
            </w:pPr>
            <w:r>
              <w:rPr>
                <w:rFonts w:hint="eastAsia"/>
                <w:color w:val="auto"/>
                <w:sz w:val="24"/>
                <w:lang w:eastAsia="zh-CN"/>
              </w:rPr>
              <w:t>□</w:t>
            </w:r>
            <w:r>
              <w:rPr>
                <w:color w:val="auto"/>
                <w:sz w:val="24"/>
              </w:rPr>
              <w:t>改建</w:t>
            </w:r>
          </w:p>
          <w:p w14:paraId="7D795DD9">
            <w:pPr>
              <w:jc w:val="left"/>
              <w:rPr>
                <w:color w:val="auto"/>
                <w:sz w:val="24"/>
              </w:rPr>
            </w:pPr>
            <w:r>
              <w:rPr>
                <w:rFonts w:hint="eastAsia"/>
                <w:color w:val="auto"/>
                <w:sz w:val="24"/>
                <w:lang w:eastAsia="zh-CN"/>
              </w:rPr>
              <w:t>□</w:t>
            </w:r>
            <w:r>
              <w:rPr>
                <w:color w:val="auto"/>
                <w:sz w:val="24"/>
              </w:rPr>
              <w:t>扩建</w:t>
            </w:r>
          </w:p>
          <w:p w14:paraId="035958AA">
            <w:pPr>
              <w:jc w:val="left"/>
              <w:rPr>
                <w:color w:val="auto"/>
                <w:sz w:val="24"/>
              </w:rPr>
            </w:pPr>
            <w:r>
              <w:rPr>
                <w:rFonts w:hint="eastAsia"/>
                <w:color w:val="auto"/>
                <w:sz w:val="24"/>
                <w:lang w:eastAsia="zh-CN"/>
              </w:rPr>
              <w:t>□</w:t>
            </w:r>
            <w:r>
              <w:rPr>
                <w:color w:val="auto"/>
                <w:sz w:val="24"/>
              </w:rPr>
              <w:t>技术改造</w:t>
            </w:r>
          </w:p>
        </w:tc>
        <w:tc>
          <w:tcPr>
            <w:tcW w:w="1842" w:type="dxa"/>
            <w:vAlign w:val="center"/>
          </w:tcPr>
          <w:p w14:paraId="30CE1506">
            <w:pPr>
              <w:adjustRightInd w:val="0"/>
              <w:snapToGrid w:val="0"/>
              <w:jc w:val="center"/>
              <w:rPr>
                <w:color w:val="auto"/>
                <w:sz w:val="24"/>
              </w:rPr>
            </w:pPr>
            <w:r>
              <w:rPr>
                <w:color w:val="auto"/>
                <w:sz w:val="24"/>
              </w:rPr>
              <w:t>建设项目</w:t>
            </w:r>
          </w:p>
          <w:p w14:paraId="0319295D">
            <w:pPr>
              <w:adjustRightInd w:val="0"/>
              <w:snapToGrid w:val="0"/>
              <w:jc w:val="center"/>
              <w:rPr>
                <w:color w:val="auto"/>
                <w:sz w:val="24"/>
              </w:rPr>
            </w:pPr>
            <w:r>
              <w:rPr>
                <w:color w:val="auto"/>
                <w:sz w:val="24"/>
              </w:rPr>
              <w:t>申报情形</w:t>
            </w:r>
          </w:p>
        </w:tc>
        <w:tc>
          <w:tcPr>
            <w:tcW w:w="2798" w:type="dxa"/>
            <w:vAlign w:val="center"/>
          </w:tcPr>
          <w:p w14:paraId="135D5055">
            <w:pPr>
              <w:jc w:val="left"/>
              <w:rPr>
                <w:color w:val="auto"/>
                <w:sz w:val="24"/>
              </w:rPr>
            </w:pPr>
            <w:r>
              <w:rPr>
                <w:color w:val="auto"/>
                <w:sz w:val="24"/>
              </w:rPr>
              <w:t>☑首次申报项目</w:t>
            </w:r>
          </w:p>
          <w:p w14:paraId="0183B1DE">
            <w:pPr>
              <w:jc w:val="left"/>
              <w:rPr>
                <w:color w:val="auto"/>
                <w:sz w:val="24"/>
              </w:rPr>
            </w:pPr>
            <w:r>
              <w:rPr>
                <w:color w:val="auto"/>
                <w:sz w:val="24"/>
              </w:rPr>
              <w:t>□不予批准后再次申报项目</w:t>
            </w:r>
          </w:p>
          <w:p w14:paraId="1D9A3A86">
            <w:pPr>
              <w:jc w:val="left"/>
              <w:rPr>
                <w:color w:val="auto"/>
                <w:sz w:val="24"/>
              </w:rPr>
            </w:pPr>
            <w:r>
              <w:rPr>
                <w:color w:val="auto"/>
                <w:sz w:val="24"/>
              </w:rPr>
              <w:t>□超五年重新审核项目</w:t>
            </w:r>
          </w:p>
          <w:p w14:paraId="400C7B28">
            <w:pPr>
              <w:jc w:val="left"/>
              <w:rPr>
                <w:color w:val="auto"/>
                <w:sz w:val="24"/>
              </w:rPr>
            </w:pPr>
            <w:r>
              <w:rPr>
                <w:color w:val="auto"/>
                <w:sz w:val="24"/>
              </w:rPr>
              <w:t>□重大变动重新报批项目</w:t>
            </w:r>
          </w:p>
        </w:tc>
      </w:tr>
      <w:tr w14:paraId="30EC75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51E14DB9">
            <w:pPr>
              <w:adjustRightInd w:val="0"/>
              <w:snapToGrid w:val="0"/>
              <w:jc w:val="center"/>
              <w:rPr>
                <w:color w:val="auto"/>
                <w:sz w:val="24"/>
                <w:highlight w:val="none"/>
              </w:rPr>
            </w:pPr>
            <w:r>
              <w:rPr>
                <w:color w:val="auto"/>
                <w:sz w:val="24"/>
                <w:highlight w:val="none"/>
              </w:rPr>
              <w:t>项目审批（核准/备案）部门（选填）</w:t>
            </w:r>
          </w:p>
        </w:tc>
        <w:tc>
          <w:tcPr>
            <w:tcW w:w="1990" w:type="dxa"/>
            <w:vAlign w:val="center"/>
          </w:tcPr>
          <w:p w14:paraId="133103B5">
            <w:pPr>
              <w:adjustRightInd w:val="0"/>
              <w:snapToGrid w:val="0"/>
              <w:jc w:val="center"/>
              <w:rPr>
                <w:color w:val="auto"/>
                <w:sz w:val="24"/>
                <w:highlight w:val="none"/>
              </w:rPr>
            </w:pPr>
            <w:r>
              <w:rPr>
                <w:color w:val="auto"/>
                <w:sz w:val="24"/>
                <w:highlight w:val="none"/>
                <w:lang w:val="en-US" w:eastAsia="zh-CN"/>
              </w:rPr>
              <w:t>陕西省西咸新区泾河新城</w:t>
            </w:r>
            <w:r>
              <w:rPr>
                <w:rFonts w:hint="eastAsia"/>
                <w:color w:val="auto"/>
                <w:sz w:val="24"/>
                <w:highlight w:val="none"/>
                <w:lang w:val="en-US" w:eastAsia="zh-CN"/>
              </w:rPr>
              <w:t>管理委员会</w:t>
            </w:r>
          </w:p>
        </w:tc>
        <w:tc>
          <w:tcPr>
            <w:tcW w:w="1842" w:type="dxa"/>
            <w:vAlign w:val="center"/>
          </w:tcPr>
          <w:p w14:paraId="2254BACA">
            <w:pPr>
              <w:adjustRightInd w:val="0"/>
              <w:snapToGrid w:val="0"/>
              <w:jc w:val="center"/>
              <w:rPr>
                <w:color w:val="auto"/>
                <w:sz w:val="24"/>
                <w:highlight w:val="none"/>
              </w:rPr>
            </w:pPr>
            <w:r>
              <w:rPr>
                <w:color w:val="auto"/>
                <w:sz w:val="24"/>
                <w:highlight w:val="none"/>
              </w:rPr>
              <w:t>项目审批（核准/</w:t>
            </w:r>
          </w:p>
          <w:p w14:paraId="3EA9344D">
            <w:pPr>
              <w:adjustRightInd w:val="0"/>
              <w:snapToGrid w:val="0"/>
              <w:jc w:val="center"/>
              <w:rPr>
                <w:color w:val="auto"/>
                <w:sz w:val="24"/>
                <w:highlight w:val="none"/>
              </w:rPr>
            </w:pPr>
            <w:r>
              <w:rPr>
                <w:color w:val="auto"/>
                <w:sz w:val="24"/>
                <w:highlight w:val="none"/>
              </w:rPr>
              <w:t>备案）文号（选填）</w:t>
            </w:r>
          </w:p>
        </w:tc>
        <w:tc>
          <w:tcPr>
            <w:tcW w:w="2798" w:type="dxa"/>
            <w:vAlign w:val="center"/>
          </w:tcPr>
          <w:p w14:paraId="3F305376">
            <w:pPr>
              <w:adjustRightInd w:val="0"/>
              <w:snapToGrid w:val="0"/>
              <w:jc w:val="center"/>
              <w:rPr>
                <w:color w:val="auto"/>
                <w:sz w:val="24"/>
                <w:highlight w:val="none"/>
              </w:rPr>
            </w:pPr>
            <w:r>
              <w:rPr>
                <w:rFonts w:hint="eastAsia"/>
                <w:color w:val="auto"/>
                <w:sz w:val="24"/>
                <w:highlight w:val="none"/>
              </w:rPr>
              <w:t>/</w:t>
            </w:r>
          </w:p>
        </w:tc>
      </w:tr>
      <w:tr w14:paraId="0FA4DD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683B407A">
            <w:pPr>
              <w:adjustRightInd w:val="0"/>
              <w:snapToGrid w:val="0"/>
              <w:jc w:val="center"/>
              <w:rPr>
                <w:color w:val="auto"/>
                <w:sz w:val="24"/>
                <w:highlight w:val="none"/>
              </w:rPr>
            </w:pPr>
            <w:r>
              <w:rPr>
                <w:color w:val="auto"/>
                <w:sz w:val="24"/>
                <w:highlight w:val="none"/>
              </w:rPr>
              <w:t>总投资（万元）</w:t>
            </w:r>
          </w:p>
        </w:tc>
        <w:tc>
          <w:tcPr>
            <w:tcW w:w="1990" w:type="dxa"/>
            <w:vAlign w:val="center"/>
          </w:tcPr>
          <w:p w14:paraId="1FE8FAB5">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200</w:t>
            </w:r>
          </w:p>
        </w:tc>
        <w:tc>
          <w:tcPr>
            <w:tcW w:w="1842" w:type="dxa"/>
            <w:tcMar>
              <w:top w:w="16" w:type="dxa"/>
              <w:left w:w="16" w:type="dxa"/>
              <w:right w:w="16" w:type="dxa"/>
            </w:tcMar>
            <w:vAlign w:val="center"/>
          </w:tcPr>
          <w:p w14:paraId="3EC5C3EA">
            <w:pPr>
              <w:adjustRightInd w:val="0"/>
              <w:snapToGrid w:val="0"/>
              <w:jc w:val="center"/>
              <w:rPr>
                <w:color w:val="auto"/>
                <w:sz w:val="24"/>
                <w:highlight w:val="none"/>
              </w:rPr>
            </w:pPr>
            <w:r>
              <w:rPr>
                <w:color w:val="auto"/>
                <w:sz w:val="24"/>
                <w:highlight w:val="none"/>
              </w:rPr>
              <w:t>环保投资（万元）</w:t>
            </w:r>
          </w:p>
        </w:tc>
        <w:tc>
          <w:tcPr>
            <w:tcW w:w="2798" w:type="dxa"/>
            <w:vAlign w:val="center"/>
          </w:tcPr>
          <w:p w14:paraId="2B228B71">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60.2</w:t>
            </w:r>
          </w:p>
        </w:tc>
      </w:tr>
      <w:tr w14:paraId="2FFE47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7B277E25">
            <w:pPr>
              <w:adjustRightInd w:val="0"/>
              <w:snapToGrid w:val="0"/>
              <w:jc w:val="center"/>
              <w:rPr>
                <w:color w:val="auto"/>
                <w:sz w:val="24"/>
                <w:highlight w:val="none"/>
              </w:rPr>
            </w:pPr>
            <w:r>
              <w:rPr>
                <w:color w:val="auto"/>
                <w:sz w:val="24"/>
                <w:highlight w:val="none"/>
              </w:rPr>
              <w:t>环保投资占比（%）</w:t>
            </w:r>
          </w:p>
        </w:tc>
        <w:tc>
          <w:tcPr>
            <w:tcW w:w="1990" w:type="dxa"/>
            <w:vAlign w:val="center"/>
          </w:tcPr>
          <w:p w14:paraId="78B170F4">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30.1%</w:t>
            </w:r>
          </w:p>
        </w:tc>
        <w:tc>
          <w:tcPr>
            <w:tcW w:w="1842" w:type="dxa"/>
            <w:tcMar>
              <w:top w:w="16" w:type="dxa"/>
              <w:left w:w="16" w:type="dxa"/>
              <w:right w:w="16" w:type="dxa"/>
            </w:tcMar>
            <w:vAlign w:val="center"/>
          </w:tcPr>
          <w:p w14:paraId="7EA5D631">
            <w:pPr>
              <w:adjustRightInd w:val="0"/>
              <w:snapToGrid w:val="0"/>
              <w:jc w:val="center"/>
              <w:rPr>
                <w:color w:val="auto"/>
                <w:sz w:val="24"/>
                <w:highlight w:val="none"/>
              </w:rPr>
            </w:pPr>
            <w:r>
              <w:rPr>
                <w:color w:val="auto"/>
                <w:sz w:val="24"/>
                <w:highlight w:val="none"/>
              </w:rPr>
              <w:t>施工工期</w:t>
            </w:r>
          </w:p>
        </w:tc>
        <w:tc>
          <w:tcPr>
            <w:tcW w:w="2798" w:type="dxa"/>
            <w:vAlign w:val="center"/>
          </w:tcPr>
          <w:p w14:paraId="22A07060">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1个月</w:t>
            </w:r>
          </w:p>
        </w:tc>
      </w:tr>
      <w:tr w14:paraId="5E2CC4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907" w:type="dxa"/>
            <w:gridSpan w:val="2"/>
            <w:tcMar>
              <w:top w:w="16" w:type="dxa"/>
              <w:left w:w="16" w:type="dxa"/>
              <w:right w:w="16" w:type="dxa"/>
            </w:tcMar>
            <w:vAlign w:val="center"/>
          </w:tcPr>
          <w:p w14:paraId="5CDA6476">
            <w:pPr>
              <w:adjustRightInd w:val="0"/>
              <w:snapToGrid w:val="0"/>
              <w:jc w:val="center"/>
              <w:rPr>
                <w:color w:val="auto"/>
                <w:sz w:val="24"/>
              </w:rPr>
            </w:pPr>
            <w:r>
              <w:rPr>
                <w:color w:val="auto"/>
                <w:sz w:val="24"/>
              </w:rPr>
              <w:t>是否开工建设</w:t>
            </w:r>
          </w:p>
        </w:tc>
        <w:tc>
          <w:tcPr>
            <w:tcW w:w="1990" w:type="dxa"/>
            <w:vAlign w:val="center"/>
          </w:tcPr>
          <w:p w14:paraId="2F01D319">
            <w:pPr>
              <w:adjustRightInd w:val="0"/>
              <w:snapToGrid w:val="0"/>
              <w:rPr>
                <w:color w:val="auto"/>
                <w:sz w:val="24"/>
              </w:rPr>
            </w:pPr>
            <w:r>
              <w:rPr>
                <w:rFonts w:hint="eastAsia"/>
                <w:color w:val="auto"/>
                <w:sz w:val="24"/>
                <w:lang w:eastAsia="zh-CN"/>
              </w:rPr>
              <w:t>☑</w:t>
            </w:r>
            <w:r>
              <w:rPr>
                <w:color w:val="auto"/>
                <w:sz w:val="24"/>
              </w:rPr>
              <w:t>否</w:t>
            </w:r>
          </w:p>
          <w:p w14:paraId="3A3F66F1">
            <w:pPr>
              <w:adjustRightInd w:val="0"/>
              <w:snapToGrid w:val="0"/>
              <w:rPr>
                <w:rFonts w:hint="default"/>
                <w:color w:val="auto"/>
                <w:sz w:val="24"/>
                <w:u w:val="single"/>
                <w:lang w:val="en-US"/>
              </w:rPr>
            </w:pPr>
            <w:r>
              <w:rPr>
                <w:rFonts w:hint="eastAsia"/>
                <w:color w:val="auto"/>
                <w:sz w:val="24"/>
                <w:lang w:eastAsia="zh-CN"/>
              </w:rPr>
              <w:t>□</w:t>
            </w:r>
            <w:r>
              <w:rPr>
                <w:color w:val="auto"/>
                <w:sz w:val="24"/>
              </w:rPr>
              <w:t>是：</w:t>
            </w:r>
            <w:r>
              <w:rPr>
                <w:rFonts w:hint="eastAsia"/>
                <w:color w:val="auto"/>
                <w:sz w:val="24"/>
                <w:u w:val="single"/>
                <w:lang w:val="en-US" w:eastAsia="zh-CN"/>
              </w:rPr>
              <w:t xml:space="preserve">     </w:t>
            </w:r>
          </w:p>
        </w:tc>
        <w:tc>
          <w:tcPr>
            <w:tcW w:w="1842" w:type="dxa"/>
            <w:tcMar>
              <w:top w:w="16" w:type="dxa"/>
              <w:left w:w="16" w:type="dxa"/>
              <w:right w:w="16" w:type="dxa"/>
            </w:tcMar>
            <w:vAlign w:val="center"/>
          </w:tcPr>
          <w:p w14:paraId="6438F4E8">
            <w:pPr>
              <w:adjustRightInd w:val="0"/>
              <w:snapToGrid w:val="0"/>
              <w:jc w:val="center"/>
              <w:rPr>
                <w:color w:val="auto"/>
                <w:sz w:val="24"/>
              </w:rPr>
            </w:pPr>
            <w:r>
              <w:rPr>
                <w:color w:val="auto"/>
                <w:spacing w:val="-6"/>
                <w:sz w:val="24"/>
              </w:rPr>
              <w:t>用地面积（m</w:t>
            </w:r>
            <w:r>
              <w:rPr>
                <w:color w:val="auto"/>
                <w:spacing w:val="-6"/>
                <w:sz w:val="24"/>
                <w:vertAlign w:val="superscript"/>
              </w:rPr>
              <w:t>2</w:t>
            </w:r>
            <w:r>
              <w:rPr>
                <w:color w:val="auto"/>
                <w:spacing w:val="-6"/>
                <w:sz w:val="24"/>
              </w:rPr>
              <w:t>）</w:t>
            </w:r>
          </w:p>
        </w:tc>
        <w:tc>
          <w:tcPr>
            <w:tcW w:w="2798" w:type="dxa"/>
            <w:vAlign w:val="center"/>
          </w:tcPr>
          <w:p w14:paraId="37476B3A">
            <w:pPr>
              <w:adjustRightInd w:val="0"/>
              <w:snapToGrid w:val="0"/>
              <w:jc w:val="center"/>
              <w:rPr>
                <w:rFonts w:hint="default" w:eastAsia="宋体"/>
                <w:color w:val="auto"/>
                <w:sz w:val="24"/>
                <w:lang w:val="en-US" w:eastAsia="zh-CN"/>
              </w:rPr>
            </w:pPr>
            <w:r>
              <w:rPr>
                <w:rFonts w:hint="eastAsia"/>
                <w:color w:val="auto"/>
                <w:sz w:val="24"/>
                <w:lang w:val="en-US" w:eastAsia="zh-CN"/>
              </w:rPr>
              <w:t>3220</w:t>
            </w:r>
          </w:p>
        </w:tc>
      </w:tr>
      <w:tr w14:paraId="741CA2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07" w:type="dxa"/>
            <w:gridSpan w:val="2"/>
            <w:vAlign w:val="center"/>
          </w:tcPr>
          <w:p w14:paraId="2DD06C2D">
            <w:pPr>
              <w:autoSpaceDE w:val="0"/>
              <w:autoSpaceDN w:val="0"/>
              <w:adjustRightInd w:val="0"/>
              <w:snapToGrid w:val="0"/>
              <w:jc w:val="center"/>
              <w:rPr>
                <w:color w:val="auto"/>
                <w:kern w:val="0"/>
                <w:sz w:val="24"/>
              </w:rPr>
            </w:pPr>
            <w:r>
              <w:rPr>
                <w:color w:val="auto"/>
                <w:kern w:val="0"/>
                <w:sz w:val="24"/>
              </w:rPr>
              <w:t>专项评价设置情况</w:t>
            </w:r>
          </w:p>
        </w:tc>
        <w:tc>
          <w:tcPr>
            <w:tcW w:w="6630" w:type="dxa"/>
            <w:gridSpan w:val="3"/>
            <w:vAlign w:val="center"/>
          </w:tcPr>
          <w:p w14:paraId="5757EF19">
            <w:pPr>
              <w:pStyle w:val="41"/>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color w:val="auto"/>
                <w:lang w:val="en-US" w:eastAsia="zh-CN"/>
              </w:rPr>
            </w:pPr>
            <w:r>
              <w:rPr>
                <w:rFonts w:hint="eastAsia"/>
                <w:color w:val="auto"/>
                <w:lang w:val="en-US" w:eastAsia="zh-CN"/>
              </w:rPr>
              <w:t>表1-1  专项评价判定表</w:t>
            </w:r>
          </w:p>
          <w:tbl>
            <w:tblPr>
              <w:tblStyle w:val="24"/>
              <w:tblW w:w="4996" w:type="pct"/>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99"/>
              <w:gridCol w:w="3186"/>
              <w:gridCol w:w="1562"/>
              <w:gridCol w:w="663"/>
            </w:tblGrid>
            <w:tr w14:paraId="29834F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79" w:type="pct"/>
                  <w:tcBorders>
                    <w:tl2br w:val="nil"/>
                    <w:tr2bl w:val="nil"/>
                  </w:tcBorders>
                  <w:shd w:val="clear" w:color="auto" w:fill="FFFFFF"/>
                  <w:noWrap w:val="0"/>
                  <w:vAlign w:val="center"/>
                </w:tcPr>
                <w:p w14:paraId="645DBF04">
                  <w:pPr>
                    <w:pStyle w:val="47"/>
                    <w:bidi w:val="0"/>
                    <w:rPr>
                      <w:b w:val="0"/>
                      <w:color w:val="000000"/>
                      <w:highlight w:val="none"/>
                    </w:rPr>
                  </w:pPr>
                  <w:r>
                    <w:rPr>
                      <w:b w:val="0"/>
                      <w:color w:val="000000"/>
                      <w:highlight w:val="none"/>
                    </w:rPr>
                    <w:t>专项评价的类别</w:t>
                  </w:r>
                </w:p>
              </w:tc>
              <w:tc>
                <w:tcPr>
                  <w:tcW w:w="2485" w:type="pct"/>
                  <w:tcBorders>
                    <w:tl2br w:val="nil"/>
                    <w:tr2bl w:val="nil"/>
                  </w:tcBorders>
                  <w:shd w:val="clear" w:color="auto" w:fill="FFFFFF"/>
                  <w:noWrap w:val="0"/>
                  <w:vAlign w:val="center"/>
                </w:tcPr>
                <w:p w14:paraId="4CE9E944">
                  <w:pPr>
                    <w:pStyle w:val="47"/>
                    <w:bidi w:val="0"/>
                    <w:rPr>
                      <w:b w:val="0"/>
                      <w:color w:val="000000"/>
                      <w:highlight w:val="none"/>
                    </w:rPr>
                  </w:pPr>
                  <w:r>
                    <w:rPr>
                      <w:b w:val="0"/>
                      <w:color w:val="000000"/>
                      <w:highlight w:val="none"/>
                    </w:rPr>
                    <w:t>设置原则</w:t>
                  </w:r>
                </w:p>
              </w:tc>
              <w:tc>
                <w:tcPr>
                  <w:tcW w:w="1218" w:type="pct"/>
                  <w:tcBorders>
                    <w:tl2br w:val="nil"/>
                    <w:tr2bl w:val="nil"/>
                  </w:tcBorders>
                  <w:shd w:val="clear" w:color="auto" w:fill="FFFFFF"/>
                  <w:noWrap w:val="0"/>
                  <w:vAlign w:val="center"/>
                </w:tcPr>
                <w:p w14:paraId="39688B02">
                  <w:pPr>
                    <w:pStyle w:val="47"/>
                    <w:bidi w:val="0"/>
                    <w:rPr>
                      <w:b w:val="0"/>
                      <w:color w:val="000000"/>
                      <w:highlight w:val="none"/>
                    </w:rPr>
                  </w:pPr>
                  <w:r>
                    <w:rPr>
                      <w:b w:val="0"/>
                      <w:color w:val="000000"/>
                      <w:highlight w:val="none"/>
                    </w:rPr>
                    <w:t>本项目情况</w:t>
                  </w:r>
                </w:p>
              </w:tc>
              <w:tc>
                <w:tcPr>
                  <w:tcW w:w="517" w:type="pct"/>
                  <w:tcBorders>
                    <w:tl2br w:val="nil"/>
                    <w:tr2bl w:val="nil"/>
                  </w:tcBorders>
                  <w:shd w:val="clear" w:color="auto" w:fill="FFFFFF"/>
                  <w:noWrap w:val="0"/>
                  <w:vAlign w:val="center"/>
                </w:tcPr>
                <w:p w14:paraId="40DEC74F">
                  <w:pPr>
                    <w:pStyle w:val="47"/>
                    <w:bidi w:val="0"/>
                    <w:rPr>
                      <w:b w:val="0"/>
                      <w:color w:val="000000"/>
                      <w:highlight w:val="none"/>
                    </w:rPr>
                  </w:pPr>
                  <w:r>
                    <w:rPr>
                      <w:b w:val="0"/>
                      <w:color w:val="000000"/>
                      <w:highlight w:val="none"/>
                    </w:rPr>
                    <w:t>是否设置</w:t>
                  </w:r>
                </w:p>
              </w:tc>
            </w:tr>
            <w:tr w14:paraId="448991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79" w:type="pct"/>
                  <w:tcBorders>
                    <w:tl2br w:val="nil"/>
                    <w:tr2bl w:val="nil"/>
                  </w:tcBorders>
                  <w:shd w:val="clear" w:color="auto" w:fill="FFFFFF"/>
                  <w:noWrap w:val="0"/>
                  <w:vAlign w:val="center"/>
                </w:tcPr>
                <w:p w14:paraId="7C53DB1A">
                  <w:pPr>
                    <w:pStyle w:val="47"/>
                    <w:bidi w:val="0"/>
                    <w:rPr>
                      <w:b w:val="0"/>
                      <w:color w:val="000000"/>
                      <w:highlight w:val="none"/>
                    </w:rPr>
                  </w:pPr>
                  <w:r>
                    <w:rPr>
                      <w:b w:val="0"/>
                      <w:color w:val="000000"/>
                      <w:highlight w:val="none"/>
                    </w:rPr>
                    <w:t>大气</w:t>
                  </w:r>
                </w:p>
              </w:tc>
              <w:tc>
                <w:tcPr>
                  <w:tcW w:w="2485" w:type="pct"/>
                  <w:tcBorders>
                    <w:tl2br w:val="nil"/>
                    <w:tr2bl w:val="nil"/>
                  </w:tcBorders>
                  <w:shd w:val="clear" w:color="auto" w:fill="FFFFFF"/>
                  <w:noWrap w:val="0"/>
                  <w:vAlign w:val="center"/>
                </w:tcPr>
                <w:p w14:paraId="7DD96B60">
                  <w:pPr>
                    <w:pStyle w:val="47"/>
                    <w:bidi w:val="0"/>
                    <w:rPr>
                      <w:b w:val="0"/>
                      <w:color w:val="000000"/>
                      <w:highlight w:val="none"/>
                    </w:rPr>
                  </w:pPr>
                  <w:r>
                    <w:rPr>
                      <w:b w:val="0"/>
                      <w:color w:val="000000"/>
                      <w:highlight w:val="none"/>
                    </w:rPr>
                    <w:t>排放废气含有毒有害污染物、二噁英、苯并[a]芘、氰化物、氯气且厂界外500米范围内有环境空气保护目标的建设项目</w:t>
                  </w:r>
                </w:p>
              </w:tc>
              <w:tc>
                <w:tcPr>
                  <w:tcW w:w="1218" w:type="pct"/>
                  <w:tcBorders>
                    <w:tl2br w:val="nil"/>
                    <w:tr2bl w:val="nil"/>
                  </w:tcBorders>
                  <w:shd w:val="clear" w:color="auto" w:fill="FFFFFF"/>
                  <w:noWrap w:val="0"/>
                  <w:vAlign w:val="center"/>
                </w:tcPr>
                <w:p w14:paraId="59C0BD0B">
                  <w:pPr>
                    <w:pStyle w:val="47"/>
                    <w:bidi w:val="0"/>
                    <w:rPr>
                      <w:b w:val="0"/>
                      <w:color w:val="000000"/>
                      <w:highlight w:val="none"/>
                    </w:rPr>
                  </w:pPr>
                  <w:r>
                    <w:rPr>
                      <w:b w:val="0"/>
                      <w:color w:val="000000"/>
                      <w:highlight w:val="none"/>
                    </w:rPr>
                    <w:t>项目不排放有毒有害污染物</w:t>
                  </w:r>
                </w:p>
              </w:tc>
              <w:tc>
                <w:tcPr>
                  <w:tcW w:w="517" w:type="pct"/>
                  <w:tcBorders>
                    <w:tl2br w:val="nil"/>
                    <w:tr2bl w:val="nil"/>
                  </w:tcBorders>
                  <w:shd w:val="clear" w:color="auto" w:fill="FFFFFF"/>
                  <w:noWrap w:val="0"/>
                  <w:vAlign w:val="center"/>
                </w:tcPr>
                <w:p w14:paraId="1C9684F3">
                  <w:pPr>
                    <w:pStyle w:val="47"/>
                    <w:bidi w:val="0"/>
                    <w:rPr>
                      <w:b w:val="0"/>
                      <w:color w:val="000000"/>
                      <w:highlight w:val="none"/>
                    </w:rPr>
                  </w:pPr>
                  <w:r>
                    <w:rPr>
                      <w:b w:val="0"/>
                      <w:color w:val="000000"/>
                      <w:highlight w:val="none"/>
                    </w:rPr>
                    <w:t>否</w:t>
                  </w:r>
                </w:p>
              </w:tc>
            </w:tr>
            <w:tr w14:paraId="35DA08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779" w:type="pct"/>
                  <w:tcBorders>
                    <w:tl2br w:val="nil"/>
                    <w:tr2bl w:val="nil"/>
                  </w:tcBorders>
                  <w:shd w:val="clear" w:color="auto" w:fill="FFFFFF"/>
                  <w:noWrap w:val="0"/>
                  <w:vAlign w:val="center"/>
                </w:tcPr>
                <w:p w14:paraId="7F399290">
                  <w:pPr>
                    <w:pStyle w:val="47"/>
                    <w:bidi w:val="0"/>
                    <w:rPr>
                      <w:b w:val="0"/>
                      <w:color w:val="000000"/>
                      <w:highlight w:val="none"/>
                    </w:rPr>
                  </w:pPr>
                  <w:r>
                    <w:rPr>
                      <w:b w:val="0"/>
                      <w:color w:val="000000"/>
                      <w:highlight w:val="none"/>
                    </w:rPr>
                    <w:t>地表水</w:t>
                  </w:r>
                </w:p>
              </w:tc>
              <w:tc>
                <w:tcPr>
                  <w:tcW w:w="2485" w:type="pct"/>
                  <w:tcBorders>
                    <w:tl2br w:val="nil"/>
                    <w:tr2bl w:val="nil"/>
                  </w:tcBorders>
                  <w:shd w:val="clear" w:color="auto" w:fill="FFFFFF"/>
                  <w:noWrap w:val="0"/>
                  <w:vAlign w:val="center"/>
                </w:tcPr>
                <w:p w14:paraId="6724F26F">
                  <w:pPr>
                    <w:pStyle w:val="47"/>
                    <w:bidi w:val="0"/>
                    <w:rPr>
                      <w:b w:val="0"/>
                      <w:color w:val="000000"/>
                      <w:highlight w:val="none"/>
                    </w:rPr>
                  </w:pPr>
                  <w:r>
                    <w:rPr>
                      <w:b w:val="0"/>
                      <w:color w:val="000000"/>
                      <w:highlight w:val="none"/>
                    </w:rPr>
                    <w:t>新增工业废水直排建设项目（槽罐车外送污水处理厂的除外）；新增废水直排的污水集中处理厂</w:t>
                  </w:r>
                </w:p>
              </w:tc>
              <w:tc>
                <w:tcPr>
                  <w:tcW w:w="1218" w:type="pct"/>
                  <w:tcBorders>
                    <w:tl2br w:val="nil"/>
                    <w:tr2bl w:val="nil"/>
                  </w:tcBorders>
                  <w:shd w:val="clear" w:color="auto" w:fill="FFFFFF"/>
                  <w:noWrap w:val="0"/>
                  <w:vAlign w:val="center"/>
                </w:tcPr>
                <w:p w14:paraId="0441D403">
                  <w:pPr>
                    <w:pStyle w:val="47"/>
                    <w:bidi w:val="0"/>
                    <w:rPr>
                      <w:rFonts w:hint="default" w:eastAsia="宋体"/>
                      <w:b w:val="0"/>
                      <w:color w:val="000000"/>
                      <w:highlight w:val="none"/>
                      <w:lang w:val="en-US" w:eastAsia="zh-CN"/>
                    </w:rPr>
                  </w:pPr>
                  <w:r>
                    <w:rPr>
                      <w:rFonts w:hint="eastAsia"/>
                      <w:b w:val="0"/>
                      <w:color w:val="000000"/>
                      <w:highlight w:val="none"/>
                      <w:lang w:val="en-US" w:eastAsia="zh-CN"/>
                    </w:rPr>
                    <w:t>废水不直排</w:t>
                  </w:r>
                </w:p>
              </w:tc>
              <w:tc>
                <w:tcPr>
                  <w:tcW w:w="517" w:type="pct"/>
                  <w:tcBorders>
                    <w:tl2br w:val="nil"/>
                    <w:tr2bl w:val="nil"/>
                  </w:tcBorders>
                  <w:shd w:val="clear" w:color="auto" w:fill="FFFFFF"/>
                  <w:noWrap w:val="0"/>
                  <w:vAlign w:val="center"/>
                </w:tcPr>
                <w:p w14:paraId="62B0D34B">
                  <w:pPr>
                    <w:pStyle w:val="47"/>
                    <w:bidi w:val="0"/>
                    <w:rPr>
                      <w:b w:val="0"/>
                      <w:color w:val="000000"/>
                      <w:highlight w:val="none"/>
                    </w:rPr>
                  </w:pPr>
                  <w:r>
                    <w:rPr>
                      <w:b w:val="0"/>
                      <w:color w:val="000000"/>
                      <w:highlight w:val="none"/>
                    </w:rPr>
                    <w:t>否</w:t>
                  </w:r>
                </w:p>
              </w:tc>
            </w:tr>
            <w:tr w14:paraId="2A86F0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79" w:type="pct"/>
                  <w:tcBorders>
                    <w:tl2br w:val="nil"/>
                    <w:tr2bl w:val="nil"/>
                  </w:tcBorders>
                  <w:shd w:val="clear" w:color="auto" w:fill="FFFFFF"/>
                  <w:noWrap w:val="0"/>
                  <w:vAlign w:val="center"/>
                </w:tcPr>
                <w:p w14:paraId="7F67ABEA">
                  <w:pPr>
                    <w:pStyle w:val="47"/>
                    <w:bidi w:val="0"/>
                    <w:rPr>
                      <w:b w:val="0"/>
                      <w:color w:val="000000"/>
                      <w:highlight w:val="none"/>
                    </w:rPr>
                  </w:pPr>
                  <w:r>
                    <w:rPr>
                      <w:b w:val="0"/>
                      <w:color w:val="000000"/>
                      <w:highlight w:val="none"/>
                    </w:rPr>
                    <w:t>环境风险</w:t>
                  </w:r>
                </w:p>
              </w:tc>
              <w:tc>
                <w:tcPr>
                  <w:tcW w:w="2485" w:type="pct"/>
                  <w:tcBorders>
                    <w:tl2br w:val="nil"/>
                    <w:tr2bl w:val="nil"/>
                  </w:tcBorders>
                  <w:shd w:val="clear" w:color="auto" w:fill="FFFFFF"/>
                  <w:noWrap w:val="0"/>
                  <w:vAlign w:val="center"/>
                </w:tcPr>
                <w:p w14:paraId="16EF1855">
                  <w:pPr>
                    <w:pStyle w:val="47"/>
                    <w:bidi w:val="0"/>
                    <w:rPr>
                      <w:b w:val="0"/>
                      <w:color w:val="000000"/>
                      <w:highlight w:val="none"/>
                    </w:rPr>
                  </w:pPr>
                  <w:r>
                    <w:rPr>
                      <w:b w:val="0"/>
                      <w:color w:val="000000"/>
                      <w:highlight w:val="none"/>
                    </w:rPr>
                    <w:t>有毒有害和易燃易爆危险物质存储量超过临界量的建设项目</w:t>
                  </w:r>
                </w:p>
              </w:tc>
              <w:tc>
                <w:tcPr>
                  <w:tcW w:w="1218" w:type="pct"/>
                  <w:tcBorders>
                    <w:tl2br w:val="nil"/>
                    <w:tr2bl w:val="nil"/>
                  </w:tcBorders>
                  <w:shd w:val="clear" w:color="auto" w:fill="FFFFFF"/>
                  <w:noWrap w:val="0"/>
                  <w:vAlign w:val="center"/>
                </w:tcPr>
                <w:p w14:paraId="53047FA1">
                  <w:pPr>
                    <w:pStyle w:val="47"/>
                    <w:bidi w:val="0"/>
                    <w:rPr>
                      <w:b w:val="0"/>
                      <w:color w:val="000000"/>
                      <w:highlight w:val="none"/>
                    </w:rPr>
                  </w:pPr>
                  <w:r>
                    <w:rPr>
                      <w:b w:val="0"/>
                      <w:color w:val="000000"/>
                      <w:highlight w:val="none"/>
                    </w:rPr>
                    <w:t>经计算，风险物质储存量未超过临界量</w:t>
                  </w:r>
                </w:p>
              </w:tc>
              <w:tc>
                <w:tcPr>
                  <w:tcW w:w="517" w:type="pct"/>
                  <w:tcBorders>
                    <w:tl2br w:val="nil"/>
                    <w:tr2bl w:val="nil"/>
                  </w:tcBorders>
                  <w:shd w:val="clear" w:color="auto" w:fill="FFFFFF"/>
                  <w:noWrap w:val="0"/>
                  <w:vAlign w:val="center"/>
                </w:tcPr>
                <w:p w14:paraId="74EAD696">
                  <w:pPr>
                    <w:pStyle w:val="47"/>
                    <w:bidi w:val="0"/>
                    <w:rPr>
                      <w:b w:val="0"/>
                      <w:color w:val="000000"/>
                      <w:highlight w:val="none"/>
                    </w:rPr>
                  </w:pPr>
                  <w:r>
                    <w:rPr>
                      <w:b w:val="0"/>
                      <w:color w:val="000000"/>
                      <w:highlight w:val="none"/>
                    </w:rPr>
                    <w:t>否</w:t>
                  </w:r>
                </w:p>
              </w:tc>
            </w:tr>
            <w:tr w14:paraId="42DC48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79" w:type="pct"/>
                  <w:tcBorders>
                    <w:tl2br w:val="nil"/>
                    <w:tr2bl w:val="nil"/>
                  </w:tcBorders>
                  <w:shd w:val="clear" w:color="auto" w:fill="FFFFFF"/>
                  <w:noWrap w:val="0"/>
                  <w:vAlign w:val="center"/>
                </w:tcPr>
                <w:p w14:paraId="53199D24">
                  <w:pPr>
                    <w:pStyle w:val="47"/>
                    <w:bidi w:val="0"/>
                    <w:rPr>
                      <w:b w:val="0"/>
                      <w:color w:val="000000"/>
                      <w:highlight w:val="none"/>
                    </w:rPr>
                  </w:pPr>
                  <w:r>
                    <w:rPr>
                      <w:b w:val="0"/>
                      <w:color w:val="000000"/>
                      <w:highlight w:val="none"/>
                    </w:rPr>
                    <w:t>生态</w:t>
                  </w:r>
                </w:p>
              </w:tc>
              <w:tc>
                <w:tcPr>
                  <w:tcW w:w="2485" w:type="pct"/>
                  <w:tcBorders>
                    <w:tl2br w:val="nil"/>
                    <w:tr2bl w:val="nil"/>
                  </w:tcBorders>
                  <w:shd w:val="clear" w:color="auto" w:fill="FFFFFF"/>
                  <w:noWrap w:val="0"/>
                  <w:vAlign w:val="center"/>
                </w:tcPr>
                <w:p w14:paraId="25B77CFD">
                  <w:pPr>
                    <w:pStyle w:val="47"/>
                    <w:bidi w:val="0"/>
                    <w:rPr>
                      <w:b w:val="0"/>
                      <w:color w:val="000000"/>
                      <w:highlight w:val="none"/>
                    </w:rPr>
                  </w:pPr>
                  <w:r>
                    <w:rPr>
                      <w:b w:val="0"/>
                      <w:color w:val="000000"/>
                      <w:highlight w:val="none"/>
                    </w:rPr>
                    <w:t>取水口下游500米范围内有重要水生生物的自然产卵场、索饵场、越冬场和洄游通道的新增河道取水的污染类建设项目</w:t>
                  </w:r>
                </w:p>
              </w:tc>
              <w:tc>
                <w:tcPr>
                  <w:tcW w:w="1218" w:type="pct"/>
                  <w:tcBorders>
                    <w:tl2br w:val="nil"/>
                    <w:tr2bl w:val="nil"/>
                  </w:tcBorders>
                  <w:shd w:val="clear" w:color="auto" w:fill="FFFFFF"/>
                  <w:noWrap w:val="0"/>
                  <w:vAlign w:val="center"/>
                </w:tcPr>
                <w:p w14:paraId="67B6B7FD">
                  <w:pPr>
                    <w:pStyle w:val="47"/>
                    <w:bidi w:val="0"/>
                    <w:rPr>
                      <w:b w:val="0"/>
                      <w:color w:val="000000"/>
                      <w:highlight w:val="none"/>
                    </w:rPr>
                  </w:pPr>
                  <w:r>
                    <w:rPr>
                      <w:rFonts w:hint="eastAsia"/>
                      <w:b w:val="0"/>
                      <w:color w:val="000000"/>
                      <w:highlight w:val="none"/>
                      <w:lang w:val="en-US" w:eastAsia="zh-CN"/>
                    </w:rPr>
                    <w:t>本项</w:t>
                  </w:r>
                  <w:r>
                    <w:rPr>
                      <w:b w:val="0"/>
                      <w:color w:val="000000"/>
                      <w:highlight w:val="none"/>
                    </w:rPr>
                    <w:t>目不设取水口</w:t>
                  </w:r>
                </w:p>
              </w:tc>
              <w:tc>
                <w:tcPr>
                  <w:tcW w:w="517" w:type="pct"/>
                  <w:tcBorders>
                    <w:tl2br w:val="nil"/>
                    <w:tr2bl w:val="nil"/>
                  </w:tcBorders>
                  <w:shd w:val="clear" w:color="auto" w:fill="FFFFFF"/>
                  <w:noWrap w:val="0"/>
                  <w:vAlign w:val="center"/>
                </w:tcPr>
                <w:p w14:paraId="547EA8C8">
                  <w:pPr>
                    <w:pStyle w:val="47"/>
                    <w:bidi w:val="0"/>
                    <w:rPr>
                      <w:b w:val="0"/>
                      <w:color w:val="000000"/>
                      <w:highlight w:val="none"/>
                    </w:rPr>
                  </w:pPr>
                  <w:r>
                    <w:rPr>
                      <w:b w:val="0"/>
                      <w:color w:val="000000"/>
                      <w:highlight w:val="none"/>
                    </w:rPr>
                    <w:t>否</w:t>
                  </w:r>
                </w:p>
              </w:tc>
            </w:tr>
          </w:tbl>
          <w:p w14:paraId="481CD77B">
            <w:pPr>
              <w:autoSpaceDE w:val="0"/>
              <w:autoSpaceDN w:val="0"/>
              <w:adjustRightInd w:val="0"/>
              <w:snapToGrid w:val="0"/>
              <w:jc w:val="center"/>
              <w:rPr>
                <w:color w:val="auto"/>
                <w:kern w:val="0"/>
                <w:sz w:val="24"/>
              </w:rPr>
            </w:pPr>
            <w:r>
              <w:rPr>
                <w:rFonts w:hint="default" w:ascii="Times New Roman" w:hAnsi="Times New Roman" w:eastAsia="宋体" w:cs="Times New Roman"/>
                <w:color w:val="auto"/>
                <w:sz w:val="24"/>
                <w:szCs w:val="24"/>
              </w:rPr>
              <w:t>根据</w:t>
            </w:r>
            <w:r>
              <w:rPr>
                <w:rFonts w:hint="eastAsia" w:ascii="Times New Roman" w:hAnsi="Times New Roman" w:eastAsia="宋体" w:cs="Times New Roman"/>
                <w:color w:val="auto"/>
                <w:sz w:val="24"/>
                <w:szCs w:val="24"/>
                <w:lang w:val="en-US" w:eastAsia="zh-CN"/>
              </w:rPr>
              <w:t>以上分析，本项目</w:t>
            </w:r>
            <w:r>
              <w:rPr>
                <w:rFonts w:hint="default" w:ascii="Times New Roman" w:hAnsi="Times New Roman" w:eastAsia="宋体" w:cs="Times New Roman"/>
                <w:color w:val="auto"/>
                <w:sz w:val="24"/>
                <w:szCs w:val="24"/>
              </w:rPr>
              <w:t>不</w:t>
            </w:r>
            <w:r>
              <w:rPr>
                <w:rFonts w:hint="eastAsia" w:ascii="Times New Roman" w:hAnsi="Times New Roman" w:eastAsia="宋体" w:cs="Times New Roman"/>
                <w:color w:val="auto"/>
                <w:sz w:val="24"/>
                <w:szCs w:val="24"/>
                <w:lang w:val="en-US" w:eastAsia="zh-CN"/>
              </w:rPr>
              <w:t>需</w:t>
            </w:r>
            <w:r>
              <w:rPr>
                <w:rFonts w:hint="default" w:ascii="Times New Roman" w:hAnsi="Times New Roman" w:eastAsia="宋体" w:cs="Times New Roman"/>
                <w:color w:val="auto"/>
                <w:sz w:val="24"/>
                <w:szCs w:val="24"/>
              </w:rPr>
              <w:t>设置专项评价</w:t>
            </w:r>
            <w:r>
              <w:rPr>
                <w:rFonts w:hint="eastAsia" w:ascii="Times New Roman" w:hAnsi="Times New Roman" w:eastAsia="宋体" w:cs="Times New Roman"/>
                <w:color w:val="auto"/>
                <w:sz w:val="24"/>
                <w:szCs w:val="24"/>
                <w:lang w:eastAsia="zh-CN"/>
              </w:rPr>
              <w:t>。</w:t>
            </w:r>
          </w:p>
        </w:tc>
      </w:tr>
      <w:tr w14:paraId="2DA278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798" w:type="dxa"/>
            <w:vAlign w:val="center"/>
          </w:tcPr>
          <w:p w14:paraId="12331219">
            <w:pPr>
              <w:autoSpaceDE w:val="0"/>
              <w:autoSpaceDN w:val="0"/>
              <w:adjustRightInd w:val="0"/>
              <w:snapToGrid w:val="0"/>
              <w:jc w:val="center"/>
              <w:rPr>
                <w:color w:val="auto"/>
                <w:kern w:val="0"/>
                <w:sz w:val="24"/>
              </w:rPr>
            </w:pPr>
            <w:r>
              <w:rPr>
                <w:color w:val="auto"/>
                <w:sz w:val="24"/>
              </w:rPr>
              <w:t>规划情况</w:t>
            </w:r>
          </w:p>
        </w:tc>
        <w:tc>
          <w:tcPr>
            <w:tcW w:w="7739" w:type="dxa"/>
            <w:gridSpan w:val="4"/>
            <w:vAlign w:val="center"/>
          </w:tcPr>
          <w:p w14:paraId="67801417">
            <w:pPr>
              <w:keepNext w:val="0"/>
              <w:keepLines w:val="0"/>
              <w:pageBreakBefore w:val="0"/>
              <w:widowControl w:val="0"/>
              <w:kinsoku/>
              <w:wordWrap/>
              <w:overflowPunct/>
              <w:topLinePunct w:val="0"/>
              <w:autoSpaceDE w:val="0"/>
              <w:autoSpaceDN w:val="0"/>
              <w:bidi w:val="0"/>
              <w:adjustRightInd w:val="0"/>
              <w:snapToGrid w:val="0"/>
              <w:spacing w:line="360" w:lineRule="auto"/>
              <w:jc w:val="both"/>
              <w:textAlignment w:val="auto"/>
              <w:rPr>
                <w:color w:val="auto"/>
                <w:kern w:val="0"/>
                <w:sz w:val="24"/>
                <w:szCs w:val="24"/>
              </w:rPr>
            </w:pPr>
            <w:r>
              <w:rPr>
                <w:rFonts w:hint="eastAsia"/>
                <w:color w:val="auto"/>
                <w:kern w:val="0"/>
                <w:sz w:val="24"/>
                <w:szCs w:val="24"/>
              </w:rPr>
              <w:t>规划名称：</w:t>
            </w:r>
            <w:r>
              <w:rPr>
                <w:color w:val="auto"/>
                <w:kern w:val="0"/>
                <w:sz w:val="24"/>
                <w:szCs w:val="24"/>
              </w:rPr>
              <w:t>《西咸新区</w:t>
            </w:r>
            <w:r>
              <w:rPr>
                <w:rFonts w:hint="eastAsia"/>
                <w:color w:val="auto"/>
                <w:kern w:val="0"/>
                <w:sz w:val="24"/>
                <w:szCs w:val="24"/>
                <w:lang w:val="en-US" w:eastAsia="zh-CN"/>
              </w:rPr>
              <w:t>-</w:t>
            </w:r>
            <w:r>
              <w:rPr>
                <w:color w:val="auto"/>
                <w:kern w:val="0"/>
                <w:sz w:val="24"/>
                <w:szCs w:val="24"/>
              </w:rPr>
              <w:t>泾河新城分区规划</w:t>
            </w:r>
            <w:r>
              <w:rPr>
                <w:rFonts w:hint="eastAsia"/>
                <w:color w:val="auto"/>
                <w:kern w:val="0"/>
                <w:sz w:val="24"/>
                <w:szCs w:val="24"/>
              </w:rPr>
              <w:t>修编</w:t>
            </w:r>
            <w:r>
              <w:rPr>
                <w:color w:val="auto"/>
                <w:kern w:val="0"/>
                <w:sz w:val="24"/>
                <w:szCs w:val="24"/>
              </w:rPr>
              <w:t>（2016年～2035年）》</w:t>
            </w:r>
          </w:p>
          <w:p w14:paraId="77873E8E">
            <w:pPr>
              <w:keepNext w:val="0"/>
              <w:keepLines w:val="0"/>
              <w:pageBreakBefore w:val="0"/>
              <w:widowControl w:val="0"/>
              <w:kinsoku/>
              <w:wordWrap/>
              <w:overflowPunct/>
              <w:topLinePunct w:val="0"/>
              <w:autoSpaceDE w:val="0"/>
              <w:autoSpaceDN w:val="0"/>
              <w:bidi w:val="0"/>
              <w:adjustRightInd w:val="0"/>
              <w:snapToGrid w:val="0"/>
              <w:spacing w:line="360" w:lineRule="auto"/>
              <w:jc w:val="both"/>
              <w:textAlignment w:val="auto"/>
              <w:rPr>
                <w:color w:val="0000FF"/>
                <w:kern w:val="0"/>
                <w:sz w:val="24"/>
                <w:szCs w:val="24"/>
              </w:rPr>
            </w:pPr>
            <w:r>
              <w:rPr>
                <w:rFonts w:hint="eastAsia"/>
                <w:color w:val="auto"/>
                <w:kern w:val="0"/>
                <w:sz w:val="24"/>
                <w:szCs w:val="24"/>
              </w:rPr>
              <w:t>规划审批机关：西咸新区开发建设管理委员会</w:t>
            </w:r>
          </w:p>
        </w:tc>
      </w:tr>
      <w:tr w14:paraId="743FB4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07" w:hRule="atLeast"/>
          <w:jc w:val="center"/>
        </w:trPr>
        <w:tc>
          <w:tcPr>
            <w:tcW w:w="798" w:type="dxa"/>
            <w:vAlign w:val="center"/>
          </w:tcPr>
          <w:p w14:paraId="3ACECECA">
            <w:pPr>
              <w:adjustRightInd w:val="0"/>
              <w:snapToGrid w:val="0"/>
              <w:jc w:val="center"/>
              <w:rPr>
                <w:color w:val="auto"/>
                <w:kern w:val="0"/>
                <w:sz w:val="24"/>
              </w:rPr>
            </w:pPr>
            <w:r>
              <w:rPr>
                <w:color w:val="auto"/>
                <w:sz w:val="24"/>
              </w:rPr>
              <w:t>规划环境影响评价情况</w:t>
            </w:r>
          </w:p>
        </w:tc>
        <w:tc>
          <w:tcPr>
            <w:tcW w:w="7739" w:type="dxa"/>
            <w:gridSpan w:val="4"/>
            <w:vAlign w:val="center"/>
          </w:tcPr>
          <w:p w14:paraId="75F79A7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规划环境影响评价文件名称：《陕西省西咸新区泾河新城分区规划（2016-2035）环境影响报告书》</w:t>
            </w:r>
          </w:p>
          <w:p w14:paraId="08902C31">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召集审查机关：陕西省西咸新区生态环境局</w:t>
            </w:r>
          </w:p>
          <w:p w14:paraId="1FF60FBD">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color w:val="0000FF"/>
                <w:kern w:val="0"/>
                <w:sz w:val="24"/>
                <w:szCs w:val="24"/>
              </w:rPr>
            </w:pPr>
            <w:r>
              <w:rPr>
                <w:rFonts w:hint="default" w:ascii="Times New Roman" w:hAnsi="Times New Roman" w:cs="Times New Roman"/>
                <w:kern w:val="0"/>
                <w:sz w:val="24"/>
                <w:szCs w:val="24"/>
              </w:rPr>
              <w:t>审查文件名称及文号：《关于〈西咸新区泾河新城分区规划（2016～2035）环境影响报告书〉审查意见的函》（陕西咸环函</w:t>
            </w:r>
            <w:r>
              <w:rPr>
                <w:rFonts w:hint="eastAsia" w:ascii="宋体" w:hAnsi="宋体" w:eastAsia="宋体" w:cs="宋体"/>
                <w:kern w:val="0"/>
                <w:sz w:val="24"/>
                <w:szCs w:val="24"/>
              </w:rPr>
              <w:t>〔</w:t>
            </w:r>
            <w:r>
              <w:rPr>
                <w:rFonts w:hint="default" w:ascii="Times New Roman" w:hAnsi="Times New Roman" w:cs="Times New Roman"/>
                <w:kern w:val="0"/>
                <w:sz w:val="24"/>
                <w:szCs w:val="24"/>
              </w:rPr>
              <w:t>2021</w:t>
            </w:r>
            <w:r>
              <w:rPr>
                <w:rFonts w:hint="eastAsia" w:ascii="宋体" w:hAnsi="宋体" w:eastAsia="宋体" w:cs="宋体"/>
                <w:kern w:val="0"/>
                <w:sz w:val="24"/>
                <w:szCs w:val="24"/>
              </w:rPr>
              <w:t>〕</w:t>
            </w:r>
            <w:r>
              <w:rPr>
                <w:rFonts w:hint="default" w:ascii="Times New Roman" w:hAnsi="Times New Roman" w:cs="Times New Roman"/>
                <w:kern w:val="0"/>
                <w:sz w:val="24"/>
                <w:szCs w:val="24"/>
              </w:rPr>
              <w:t>41号）</w:t>
            </w:r>
          </w:p>
        </w:tc>
      </w:tr>
      <w:tr w14:paraId="13CC8F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98" w:type="dxa"/>
            <w:vAlign w:val="center"/>
          </w:tcPr>
          <w:p w14:paraId="6AE4A0B6">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7739" w:type="dxa"/>
            <w:gridSpan w:val="4"/>
            <w:vAlign w:val="center"/>
          </w:tcPr>
          <w:p w14:paraId="3F586546">
            <w:pPr>
              <w:autoSpaceDE w:val="0"/>
              <w:autoSpaceDN w:val="0"/>
              <w:adjustRightInd w:val="0"/>
              <w:snapToGrid w:val="0"/>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表1-</w:t>
            </w:r>
            <w:r>
              <w:rPr>
                <w:rFonts w:hint="eastAsia" w:cs="Times New Roman"/>
                <w:b/>
                <w:bCs/>
                <w:kern w:val="0"/>
                <w:szCs w:val="21"/>
                <w:lang w:val="en-US" w:eastAsia="zh-CN"/>
              </w:rPr>
              <w:t>2</w:t>
            </w:r>
            <w:r>
              <w:rPr>
                <w:rFonts w:hint="default" w:ascii="Times New Roman" w:hAnsi="Times New Roman" w:cs="Times New Roman"/>
                <w:b/>
                <w:bCs/>
                <w:kern w:val="0"/>
                <w:szCs w:val="21"/>
              </w:rPr>
              <w:t xml:space="preserve">  </w:t>
            </w:r>
            <w:r>
              <w:rPr>
                <w:rFonts w:hint="eastAsia" w:cs="Times New Roman"/>
                <w:b/>
                <w:bCs/>
                <w:kern w:val="0"/>
                <w:szCs w:val="21"/>
                <w:lang w:val="en-US" w:eastAsia="zh-CN"/>
              </w:rPr>
              <w:t xml:space="preserve"> </w:t>
            </w:r>
            <w:r>
              <w:rPr>
                <w:rFonts w:hint="default" w:ascii="Times New Roman" w:hAnsi="Times New Roman" w:cs="Times New Roman"/>
                <w:b/>
                <w:bCs/>
                <w:kern w:val="0"/>
                <w:szCs w:val="21"/>
              </w:rPr>
              <w:t>项目与规划及规划环评的相符性</w:t>
            </w:r>
          </w:p>
          <w:tbl>
            <w:tblPr>
              <w:tblStyle w:val="24"/>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57" w:type="dxa"/>
                <w:bottom w:w="0" w:type="dxa"/>
                <w:right w:w="57" w:type="dxa"/>
              </w:tblCellMar>
            </w:tblPr>
            <w:tblGrid>
              <w:gridCol w:w="1372"/>
              <w:gridCol w:w="3517"/>
              <w:gridCol w:w="2005"/>
              <w:gridCol w:w="629"/>
            </w:tblGrid>
            <w:tr w14:paraId="580AEE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jc w:val="center"/>
              </w:trPr>
              <w:tc>
                <w:tcPr>
                  <w:tcW w:w="911" w:type="pct"/>
                  <w:tcBorders>
                    <w:tl2br w:val="nil"/>
                    <w:tr2bl w:val="nil"/>
                  </w:tcBorders>
                  <w:shd w:val="clear" w:color="auto" w:fill="FFFFFF"/>
                  <w:noWrap w:val="0"/>
                  <w:vAlign w:val="center"/>
                </w:tcPr>
                <w:p w14:paraId="00C91846">
                  <w:pPr>
                    <w:jc w:val="center"/>
                    <w:rPr>
                      <w:rFonts w:hint="default" w:ascii="Times New Roman" w:hAnsi="Times New Roman" w:cs="Times New Roman"/>
                      <w:b w:val="0"/>
                      <w:bCs w:val="0"/>
                      <w:color w:val="000000"/>
                      <w:sz w:val="21"/>
                      <w:szCs w:val="21"/>
                    </w:rPr>
                  </w:pPr>
                  <w:r>
                    <w:rPr>
                      <w:rFonts w:hint="default" w:ascii="Times New Roman" w:hAnsi="Times New Roman" w:cs="Times New Roman"/>
                      <w:b w:val="0"/>
                      <w:bCs w:val="0"/>
                      <w:color w:val="000000"/>
                      <w:sz w:val="21"/>
                      <w:szCs w:val="21"/>
                    </w:rPr>
                    <w:t>文件</w:t>
                  </w:r>
                </w:p>
              </w:tc>
              <w:tc>
                <w:tcPr>
                  <w:tcW w:w="2337" w:type="pct"/>
                  <w:tcBorders>
                    <w:tl2br w:val="nil"/>
                    <w:tr2bl w:val="nil"/>
                  </w:tcBorders>
                  <w:shd w:val="clear" w:color="auto" w:fill="FFFFFF"/>
                  <w:noWrap w:val="0"/>
                  <w:vAlign w:val="center"/>
                </w:tcPr>
                <w:p w14:paraId="425B3CDA">
                  <w:pPr>
                    <w:jc w:val="center"/>
                    <w:rPr>
                      <w:rFonts w:hint="default" w:ascii="Times New Roman" w:hAnsi="Times New Roman" w:cs="Times New Roman"/>
                      <w:b w:val="0"/>
                      <w:bCs w:val="0"/>
                      <w:color w:val="000000"/>
                      <w:sz w:val="21"/>
                      <w:szCs w:val="21"/>
                    </w:rPr>
                  </w:pPr>
                  <w:r>
                    <w:rPr>
                      <w:rFonts w:hint="default" w:ascii="Times New Roman" w:hAnsi="Times New Roman" w:cs="Times New Roman"/>
                      <w:b w:val="0"/>
                      <w:bCs w:val="0"/>
                      <w:color w:val="000000"/>
                      <w:sz w:val="21"/>
                      <w:szCs w:val="21"/>
                    </w:rPr>
                    <w:t>政策要求</w:t>
                  </w:r>
                </w:p>
              </w:tc>
              <w:tc>
                <w:tcPr>
                  <w:tcW w:w="1332" w:type="pct"/>
                  <w:tcBorders>
                    <w:tl2br w:val="nil"/>
                    <w:tr2bl w:val="nil"/>
                  </w:tcBorders>
                  <w:shd w:val="clear" w:color="auto" w:fill="FFFFFF"/>
                  <w:noWrap w:val="0"/>
                  <w:vAlign w:val="center"/>
                </w:tcPr>
                <w:p w14:paraId="78EE9FC4">
                  <w:pPr>
                    <w:jc w:val="center"/>
                    <w:rPr>
                      <w:rFonts w:hint="default" w:ascii="Times New Roman" w:hAnsi="Times New Roman" w:cs="Times New Roman"/>
                      <w:b w:val="0"/>
                      <w:bCs w:val="0"/>
                      <w:color w:val="000000"/>
                      <w:sz w:val="21"/>
                      <w:szCs w:val="21"/>
                    </w:rPr>
                  </w:pPr>
                  <w:r>
                    <w:rPr>
                      <w:rFonts w:hint="default" w:ascii="Times New Roman" w:hAnsi="Times New Roman" w:cs="Times New Roman"/>
                      <w:b w:val="0"/>
                      <w:bCs w:val="0"/>
                      <w:color w:val="000000"/>
                      <w:sz w:val="21"/>
                      <w:szCs w:val="21"/>
                    </w:rPr>
                    <w:t>本项目情况</w:t>
                  </w:r>
                </w:p>
              </w:tc>
              <w:tc>
                <w:tcPr>
                  <w:tcW w:w="418" w:type="pct"/>
                  <w:tcBorders>
                    <w:tl2br w:val="nil"/>
                    <w:tr2bl w:val="nil"/>
                  </w:tcBorders>
                  <w:shd w:val="clear" w:color="auto" w:fill="FFFFFF"/>
                  <w:noWrap w:val="0"/>
                  <w:vAlign w:val="center"/>
                </w:tcPr>
                <w:p w14:paraId="50D9DEAF">
                  <w:pPr>
                    <w:jc w:val="center"/>
                    <w:rPr>
                      <w:rFonts w:hint="default" w:ascii="Times New Roman" w:hAnsi="Times New Roman" w:cs="Times New Roman"/>
                      <w:b w:val="0"/>
                      <w:bCs w:val="0"/>
                      <w:color w:val="000000"/>
                      <w:sz w:val="21"/>
                      <w:szCs w:val="21"/>
                    </w:rPr>
                  </w:pPr>
                  <w:r>
                    <w:rPr>
                      <w:rFonts w:hint="eastAsia" w:cs="Times New Roman"/>
                      <w:b w:val="0"/>
                      <w:bCs w:val="0"/>
                      <w:color w:val="000000"/>
                      <w:sz w:val="21"/>
                      <w:szCs w:val="21"/>
                      <w:lang w:val="en-US" w:eastAsia="zh-CN"/>
                    </w:rPr>
                    <w:t>符合</w:t>
                  </w:r>
                  <w:r>
                    <w:rPr>
                      <w:rFonts w:hint="default" w:ascii="Times New Roman" w:hAnsi="Times New Roman" w:cs="Times New Roman"/>
                      <w:b w:val="0"/>
                      <w:bCs w:val="0"/>
                      <w:color w:val="000000"/>
                      <w:sz w:val="21"/>
                      <w:szCs w:val="21"/>
                    </w:rPr>
                    <w:t>性</w:t>
                  </w:r>
                </w:p>
              </w:tc>
            </w:tr>
            <w:tr w14:paraId="73B29F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jc w:val="center"/>
              </w:trPr>
              <w:tc>
                <w:tcPr>
                  <w:tcW w:w="911" w:type="pct"/>
                  <w:tcBorders>
                    <w:tl2br w:val="nil"/>
                    <w:tr2bl w:val="nil"/>
                  </w:tcBorders>
                  <w:shd w:val="clear" w:color="auto" w:fill="FFFFFF"/>
                  <w:noWrap w:val="0"/>
                  <w:vAlign w:val="center"/>
                </w:tcPr>
                <w:p w14:paraId="70721374">
                  <w:pPr>
                    <w:jc w:val="center"/>
                    <w:rPr>
                      <w:rFonts w:hint="default" w:ascii="Times New Roman" w:hAnsi="Times New Roman" w:cs="Times New Roman"/>
                      <w:b w:val="0"/>
                      <w:bCs w:val="0"/>
                      <w:color w:val="000000"/>
                      <w:sz w:val="21"/>
                      <w:szCs w:val="21"/>
                    </w:rPr>
                  </w:pPr>
                  <w:r>
                    <w:rPr>
                      <w:rFonts w:hint="default" w:ascii="Times New Roman" w:hAnsi="Times New Roman" w:cs="Times New Roman"/>
                      <w:b w:val="0"/>
                      <w:bCs w:val="0"/>
                      <w:color w:val="000000"/>
                      <w:sz w:val="21"/>
                      <w:szCs w:val="21"/>
                    </w:rPr>
                    <w:t>《西咸新区-泾河新城分区规划修编（2016-2035）》</w:t>
                  </w:r>
                </w:p>
              </w:tc>
              <w:tc>
                <w:tcPr>
                  <w:tcW w:w="2337" w:type="pct"/>
                  <w:tcBorders>
                    <w:tl2br w:val="nil"/>
                    <w:tr2bl w:val="nil"/>
                  </w:tcBorders>
                  <w:shd w:val="clear" w:color="auto" w:fill="FFFFFF"/>
                  <w:noWrap w:val="0"/>
                  <w:vAlign w:val="center"/>
                </w:tcPr>
                <w:p w14:paraId="6FDBA198">
                  <w:pPr>
                    <w:rPr>
                      <w:rFonts w:hint="eastAsia"/>
                      <w:color w:val="auto"/>
                      <w:sz w:val="21"/>
                      <w:szCs w:val="21"/>
                    </w:rPr>
                  </w:pPr>
                  <w:r>
                    <w:rPr>
                      <w:rFonts w:hint="default" w:ascii="Times New Roman" w:hAnsi="Times New Roman" w:cs="Times New Roman"/>
                      <w:b w:val="0"/>
                      <w:bCs w:val="0"/>
                      <w:color w:val="000000"/>
                      <w:sz w:val="21"/>
                      <w:szCs w:val="21"/>
                    </w:rPr>
                    <w:t>总体定位为：以先进制造业、现代服务业、现代农业为主导产业，以智能制造、生产性服务、文化旅游和茯茶产业为特色产业，具有浓厚古今文化韵味、智慧宜居氛围的大西安北部生态休闲示范区和渭北创新产业服务高地。</w:t>
                  </w:r>
                  <w:r>
                    <w:rPr>
                      <w:rFonts w:hint="eastAsia"/>
                      <w:color w:val="auto"/>
                      <w:sz w:val="21"/>
                      <w:szCs w:val="21"/>
                    </w:rPr>
                    <w:t>规划范围：北临西咸北环线、东接渭北工业走廊、南临秦汉新城、西临空港新城，总面积132.97km</w:t>
                  </w:r>
                  <w:r>
                    <w:rPr>
                      <w:rFonts w:hint="eastAsia"/>
                      <w:color w:val="auto"/>
                      <w:sz w:val="21"/>
                      <w:szCs w:val="21"/>
                      <w:vertAlign w:val="superscript"/>
                    </w:rPr>
                    <w:t>2</w:t>
                  </w:r>
                  <w:r>
                    <w:rPr>
                      <w:rFonts w:hint="eastAsia"/>
                      <w:color w:val="auto"/>
                      <w:sz w:val="21"/>
                      <w:szCs w:val="21"/>
                    </w:rPr>
                    <w:t>，其中城市建设用地47.37km</w:t>
                  </w:r>
                  <w:r>
                    <w:rPr>
                      <w:rFonts w:hint="eastAsia"/>
                      <w:color w:val="auto"/>
                      <w:sz w:val="21"/>
                      <w:szCs w:val="21"/>
                      <w:vertAlign w:val="superscript"/>
                    </w:rPr>
                    <w:t>2</w:t>
                  </w:r>
                  <w:r>
                    <w:rPr>
                      <w:rFonts w:hint="eastAsia"/>
                      <w:color w:val="auto"/>
                      <w:sz w:val="21"/>
                      <w:szCs w:val="21"/>
                    </w:rPr>
                    <w:t>。</w:t>
                  </w:r>
                </w:p>
                <w:p w14:paraId="626FB454">
                  <w:pPr>
                    <w:rPr>
                      <w:rFonts w:hint="default" w:ascii="Times New Roman" w:hAnsi="Times New Roman" w:cs="Times New Roman"/>
                      <w:b w:val="0"/>
                      <w:bCs w:val="0"/>
                      <w:color w:val="000000"/>
                      <w:sz w:val="21"/>
                      <w:szCs w:val="21"/>
                    </w:rPr>
                  </w:pPr>
                  <w:r>
                    <w:rPr>
                      <w:rFonts w:hint="eastAsia"/>
                      <w:sz w:val="21"/>
                      <w:szCs w:val="21"/>
                    </w:rPr>
                    <w:t>中国原点智慧科创产业区核心功能：智能制造、高端制造、研发会展。</w:t>
                  </w:r>
                </w:p>
              </w:tc>
              <w:tc>
                <w:tcPr>
                  <w:tcW w:w="1332" w:type="pct"/>
                  <w:tcBorders>
                    <w:tl2br w:val="nil"/>
                    <w:tr2bl w:val="nil"/>
                  </w:tcBorders>
                  <w:shd w:val="clear" w:color="auto" w:fill="FFFFFF"/>
                  <w:noWrap w:val="0"/>
                  <w:vAlign w:val="center"/>
                </w:tcPr>
                <w:p w14:paraId="1D0791CE">
                  <w:pPr>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cs="Times New Roman"/>
                      <w:b w:val="0"/>
                      <w:bCs w:val="0"/>
                      <w:color w:val="000000"/>
                      <w:sz w:val="21"/>
                      <w:szCs w:val="21"/>
                    </w:rPr>
                    <w:t>本项目位于西咸新区泾河新城</w:t>
                  </w:r>
                  <w:r>
                    <w:rPr>
                      <w:rFonts w:hint="default" w:ascii="Times New Roman" w:hAnsi="Times New Roman" w:cs="Times New Roman"/>
                      <w:b w:val="0"/>
                      <w:bCs w:val="0"/>
                      <w:color w:val="000000"/>
                      <w:sz w:val="21"/>
                      <w:szCs w:val="21"/>
                      <w:lang w:val="en-US" w:eastAsia="zh-CN"/>
                    </w:rPr>
                    <w:t>永乐镇永丰村委会南侧</w:t>
                  </w:r>
                  <w:r>
                    <w:rPr>
                      <w:rFonts w:hint="default" w:ascii="Times New Roman" w:hAnsi="Times New Roman" w:cs="Times New Roman"/>
                      <w:b w:val="0"/>
                      <w:bCs w:val="0"/>
                      <w:color w:val="000000"/>
                      <w:sz w:val="21"/>
                      <w:szCs w:val="21"/>
                    </w:rPr>
                    <w:t>，</w:t>
                  </w:r>
                  <w:r>
                    <w:rPr>
                      <w:rFonts w:hint="eastAsia" w:cs="Times New Roman"/>
                      <w:b w:val="0"/>
                      <w:bCs w:val="0"/>
                      <w:color w:val="000000"/>
                      <w:sz w:val="21"/>
                      <w:szCs w:val="21"/>
                      <w:lang w:val="en-US" w:eastAsia="zh-CN"/>
                    </w:rPr>
                    <w:t>属于</w:t>
                  </w:r>
                  <w:r>
                    <w:rPr>
                      <w:rFonts w:hint="default" w:ascii="Times New Roman" w:hAnsi="Times New Roman" w:eastAsia="宋体" w:cs="Times New Roman"/>
                      <w:color w:val="auto"/>
                      <w:sz w:val="21"/>
                      <w:szCs w:val="21"/>
                      <w:lang w:val="en-US" w:eastAsia="zh-CN"/>
                    </w:rPr>
                    <w:t>泾河新城</w:t>
                  </w:r>
                  <w:r>
                    <w:rPr>
                      <w:rFonts w:hint="eastAsia"/>
                      <w:sz w:val="21"/>
                      <w:szCs w:val="21"/>
                    </w:rPr>
                    <w:t>中国原点智慧科创产业区</w:t>
                  </w:r>
                  <w:r>
                    <w:rPr>
                      <w:rFonts w:hint="eastAsia"/>
                      <w:sz w:val="21"/>
                      <w:szCs w:val="21"/>
                      <w:lang w:eastAsia="zh-CN"/>
                    </w:rPr>
                    <w:t>，</w:t>
                  </w:r>
                  <w:r>
                    <w:rPr>
                      <w:rFonts w:hint="eastAsia" w:cs="Times New Roman"/>
                      <w:b w:val="0"/>
                      <w:bCs w:val="0"/>
                      <w:color w:val="000000"/>
                      <w:sz w:val="21"/>
                      <w:szCs w:val="21"/>
                      <w:lang w:val="en-US" w:eastAsia="zh-CN"/>
                    </w:rPr>
                    <w:t>见附图7</w:t>
                  </w:r>
                  <w:r>
                    <w:rPr>
                      <w:rFonts w:hint="eastAsia" w:cs="Times New Roman"/>
                      <w:b w:val="0"/>
                      <w:bCs w:val="0"/>
                      <w:color w:val="000000"/>
                      <w:sz w:val="21"/>
                      <w:szCs w:val="21"/>
                      <w:lang w:eastAsia="zh-CN"/>
                    </w:rPr>
                    <w:t>。</w:t>
                  </w:r>
                  <w:r>
                    <w:rPr>
                      <w:rFonts w:hint="eastAsia" w:cs="Times New Roman"/>
                      <w:b w:val="0"/>
                      <w:bCs w:val="0"/>
                      <w:color w:val="000000"/>
                      <w:sz w:val="21"/>
                      <w:szCs w:val="21"/>
                      <w:lang w:val="en-US" w:eastAsia="zh-CN"/>
                    </w:rPr>
                    <w:t>本项目为新建项目，主要进行钛材表面处理，属于制造业，符合产业定位。</w:t>
                  </w:r>
                </w:p>
              </w:tc>
              <w:tc>
                <w:tcPr>
                  <w:tcW w:w="418" w:type="pct"/>
                  <w:tcBorders>
                    <w:tl2br w:val="nil"/>
                    <w:tr2bl w:val="nil"/>
                  </w:tcBorders>
                  <w:shd w:val="clear" w:color="auto" w:fill="FFFFFF"/>
                  <w:noWrap w:val="0"/>
                  <w:vAlign w:val="center"/>
                </w:tcPr>
                <w:p w14:paraId="50A92800">
                  <w:pPr>
                    <w:jc w:val="center"/>
                    <w:rPr>
                      <w:rFonts w:hint="eastAsia" w:ascii="Times New Roman" w:hAnsi="Times New Roman" w:eastAsia="宋体" w:cs="Times New Roman"/>
                      <w:b w:val="0"/>
                      <w:bCs w:val="0"/>
                      <w:color w:val="000000"/>
                      <w:sz w:val="21"/>
                      <w:szCs w:val="21"/>
                      <w:lang w:eastAsia="zh-CN"/>
                    </w:rPr>
                  </w:pPr>
                  <w:r>
                    <w:rPr>
                      <w:rFonts w:hint="eastAsia" w:cs="Times New Roman"/>
                      <w:b w:val="0"/>
                      <w:bCs w:val="0"/>
                      <w:color w:val="000000"/>
                      <w:sz w:val="21"/>
                      <w:szCs w:val="21"/>
                      <w:lang w:val="en-US" w:eastAsia="zh-CN"/>
                    </w:rPr>
                    <w:t>符合</w:t>
                  </w:r>
                </w:p>
              </w:tc>
            </w:tr>
            <w:tr w14:paraId="6170D2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2191" w:hRule="atLeast"/>
                <w:jc w:val="center"/>
              </w:trPr>
              <w:tc>
                <w:tcPr>
                  <w:tcW w:w="911" w:type="pct"/>
                  <w:vMerge w:val="restart"/>
                  <w:tcBorders>
                    <w:tl2br w:val="nil"/>
                    <w:tr2bl w:val="nil"/>
                  </w:tcBorders>
                  <w:shd w:val="clear" w:color="auto" w:fill="FFFFFF"/>
                  <w:noWrap w:val="0"/>
                  <w:vAlign w:val="center"/>
                </w:tcPr>
                <w:p w14:paraId="1CE234B1">
                  <w:pPr>
                    <w:jc w:val="center"/>
                    <w:rPr>
                      <w:rFonts w:hint="default" w:ascii="Times New Roman" w:hAnsi="Times New Roman" w:cs="Times New Roman"/>
                      <w:b w:val="0"/>
                      <w:bCs w:val="0"/>
                      <w:color w:val="000000"/>
                      <w:sz w:val="21"/>
                      <w:szCs w:val="21"/>
                    </w:rPr>
                  </w:pPr>
                  <w:r>
                    <w:rPr>
                      <w:rFonts w:hint="default" w:ascii="Times New Roman" w:hAnsi="Times New Roman" w:cs="Times New Roman"/>
                      <w:b w:val="0"/>
                      <w:bCs w:val="0"/>
                      <w:color w:val="000000"/>
                      <w:sz w:val="21"/>
                      <w:szCs w:val="21"/>
                    </w:rPr>
                    <w:t>《陕西省西咸新区泾河新城分区规划（2016-2035）环境影响报告书》</w:t>
                  </w:r>
                </w:p>
              </w:tc>
              <w:tc>
                <w:tcPr>
                  <w:tcW w:w="2337" w:type="pct"/>
                  <w:tcBorders>
                    <w:tl2br w:val="nil"/>
                    <w:tr2bl w:val="nil"/>
                  </w:tcBorders>
                  <w:shd w:val="clear" w:color="auto" w:fill="FFFFFF"/>
                  <w:noWrap w:val="0"/>
                  <w:vAlign w:val="center"/>
                </w:tcPr>
                <w:p w14:paraId="213845E9">
                  <w:pPr>
                    <w:adjustRightInd w:val="0"/>
                    <w:snapToGrid w:val="0"/>
                    <w:spacing w:line="240" w:lineRule="auto"/>
                    <w:ind w:firstLine="0" w:firstLineChars="0"/>
                    <w:jc w:val="center"/>
                    <w:rPr>
                      <w:rFonts w:hint="default" w:ascii="Times New Roman" w:hAnsi="Times New Roman" w:cs="Times New Roman"/>
                      <w:b w:val="0"/>
                      <w:bCs w:val="0"/>
                      <w:color w:val="000000"/>
                      <w:sz w:val="21"/>
                      <w:szCs w:val="21"/>
                      <w:highlight w:val="yellow"/>
                    </w:rPr>
                  </w:pPr>
                  <w:r>
                    <w:rPr>
                      <w:color w:val="auto"/>
                      <w:sz w:val="21"/>
                      <w:szCs w:val="21"/>
                    </w:rPr>
                    <w:t>规划主管部门应严格管理，要求入驻企业采用先进、成熟、可靠的工艺技术和清洁的原辅材料，对产生的废物进行合理的回用和治理，尽可能从源头上减少污染物排放；禁止利用渗坑、渗井、裂隙等排放污水和其他有害废弃物的行为；严格按照国家相关规范要求，对工艺、管道、设备、污水储存及处理构筑物采取相应的措施，以防止和降低污染物的跑、冒、滴、漏，将污染物泄漏的环境风险事故降低到最低程度；加强雨污分流排水体制建设，避免雨污水混流后进入外环境，污染区域地下水质。</w:t>
                  </w:r>
                </w:p>
              </w:tc>
              <w:tc>
                <w:tcPr>
                  <w:tcW w:w="1332" w:type="pct"/>
                  <w:tcBorders>
                    <w:tl2br w:val="nil"/>
                    <w:tr2bl w:val="nil"/>
                  </w:tcBorders>
                  <w:shd w:val="clear" w:color="auto" w:fill="FFFFFF"/>
                  <w:noWrap w:val="0"/>
                  <w:vAlign w:val="center"/>
                </w:tcPr>
                <w:p w14:paraId="52635321">
                  <w:pPr>
                    <w:adjustRightInd w:val="0"/>
                    <w:snapToGrid w:val="0"/>
                    <w:spacing w:line="240" w:lineRule="auto"/>
                    <w:ind w:firstLine="0" w:firstLineChars="0"/>
                    <w:jc w:val="center"/>
                    <w:rPr>
                      <w:rFonts w:hint="default" w:ascii="Times New Roman" w:hAnsi="Times New Roman" w:cs="Times New Roman"/>
                      <w:b w:val="0"/>
                      <w:bCs w:val="0"/>
                      <w:color w:val="000000"/>
                      <w:sz w:val="21"/>
                      <w:szCs w:val="21"/>
                    </w:rPr>
                  </w:pPr>
                  <w:r>
                    <w:rPr>
                      <w:rFonts w:hint="eastAsia"/>
                      <w:color w:val="auto"/>
                      <w:sz w:val="21"/>
                      <w:szCs w:val="21"/>
                    </w:rPr>
                    <w:t>本项目</w:t>
                  </w:r>
                  <w:r>
                    <w:rPr>
                      <w:rFonts w:hint="eastAsia" w:hAnsi="宋体"/>
                      <w:color w:val="auto"/>
                      <w:sz w:val="21"/>
                      <w:szCs w:val="21"/>
                    </w:rPr>
                    <w:t>采用行业成熟的生产技术，实现低耗能低污染。燃料采用</w:t>
                  </w:r>
                  <w:r>
                    <w:rPr>
                      <w:rFonts w:hint="eastAsia" w:hAnsi="宋体"/>
                      <w:color w:val="auto"/>
                      <w:sz w:val="21"/>
                      <w:szCs w:val="21"/>
                      <w:lang w:val="en-US" w:eastAsia="zh-CN"/>
                    </w:rPr>
                    <w:t>电能</w:t>
                  </w:r>
                  <w:r>
                    <w:rPr>
                      <w:rFonts w:hint="eastAsia" w:hAnsi="宋体"/>
                      <w:color w:val="auto"/>
                      <w:sz w:val="21"/>
                      <w:szCs w:val="21"/>
                    </w:rPr>
                    <w:t>，</w:t>
                  </w:r>
                  <w:r>
                    <w:rPr>
                      <w:rFonts w:hint="eastAsia" w:hAnsi="宋体"/>
                      <w:color w:val="auto"/>
                      <w:sz w:val="21"/>
                      <w:szCs w:val="21"/>
                      <w:lang w:val="en-US" w:eastAsia="zh-CN"/>
                    </w:rPr>
                    <w:t>厂区采用雨污分流</w:t>
                  </w:r>
                  <w:r>
                    <w:rPr>
                      <w:rFonts w:hint="eastAsia"/>
                      <w:color w:val="auto"/>
                      <w:sz w:val="21"/>
                      <w:szCs w:val="21"/>
                    </w:rPr>
                    <w:t>。</w:t>
                  </w:r>
                </w:p>
              </w:tc>
              <w:tc>
                <w:tcPr>
                  <w:tcW w:w="418" w:type="pct"/>
                  <w:tcBorders>
                    <w:tl2br w:val="nil"/>
                    <w:tr2bl w:val="nil"/>
                  </w:tcBorders>
                  <w:shd w:val="clear" w:color="auto" w:fill="FFFFFF"/>
                  <w:noWrap w:val="0"/>
                  <w:vAlign w:val="center"/>
                </w:tcPr>
                <w:p w14:paraId="4EE42CF1">
                  <w:pPr>
                    <w:adjustRightInd w:val="0"/>
                    <w:snapToGrid w:val="0"/>
                    <w:spacing w:line="240" w:lineRule="auto"/>
                    <w:ind w:firstLine="0" w:firstLineChars="0"/>
                    <w:jc w:val="center"/>
                    <w:rPr>
                      <w:rFonts w:hint="default" w:ascii="Times New Roman" w:hAnsi="Times New Roman" w:cs="Times New Roman"/>
                      <w:b w:val="0"/>
                      <w:bCs w:val="0"/>
                      <w:color w:val="000000"/>
                      <w:sz w:val="21"/>
                      <w:szCs w:val="21"/>
                    </w:rPr>
                  </w:pPr>
                  <w:r>
                    <w:rPr>
                      <w:color w:val="auto"/>
                      <w:sz w:val="21"/>
                      <w:szCs w:val="21"/>
                    </w:rPr>
                    <w:t>符合</w:t>
                  </w:r>
                </w:p>
              </w:tc>
            </w:tr>
            <w:tr w14:paraId="7ACC44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2191" w:hRule="atLeast"/>
                <w:jc w:val="center"/>
              </w:trPr>
              <w:tc>
                <w:tcPr>
                  <w:tcW w:w="911" w:type="pct"/>
                  <w:vMerge w:val="continue"/>
                  <w:tcBorders>
                    <w:tl2br w:val="nil"/>
                    <w:tr2bl w:val="nil"/>
                  </w:tcBorders>
                  <w:shd w:val="clear" w:color="auto" w:fill="FFFFFF"/>
                  <w:noWrap w:val="0"/>
                  <w:vAlign w:val="center"/>
                </w:tcPr>
                <w:p w14:paraId="45301176">
                  <w:pPr>
                    <w:jc w:val="center"/>
                    <w:rPr>
                      <w:rFonts w:hint="default" w:ascii="Times New Roman" w:hAnsi="Times New Roman" w:cs="Times New Roman"/>
                      <w:b w:val="0"/>
                      <w:bCs w:val="0"/>
                      <w:color w:val="000000"/>
                      <w:sz w:val="21"/>
                      <w:szCs w:val="21"/>
                      <w:highlight w:val="yellow"/>
                    </w:rPr>
                  </w:pPr>
                </w:p>
              </w:tc>
              <w:tc>
                <w:tcPr>
                  <w:tcW w:w="2337" w:type="pct"/>
                  <w:tcBorders>
                    <w:tl2br w:val="nil"/>
                    <w:tr2bl w:val="nil"/>
                  </w:tcBorders>
                  <w:shd w:val="clear" w:color="auto" w:fill="FFFFFF"/>
                  <w:noWrap w:val="0"/>
                  <w:vAlign w:val="center"/>
                </w:tcPr>
                <w:p w14:paraId="294956BE">
                  <w:pPr>
                    <w:adjustRightInd w:val="0"/>
                    <w:snapToGrid w:val="0"/>
                    <w:spacing w:line="240" w:lineRule="auto"/>
                    <w:ind w:firstLine="0" w:firstLineChars="0"/>
                    <w:jc w:val="center"/>
                    <w:rPr>
                      <w:rFonts w:hint="default" w:ascii="Times New Roman" w:hAnsi="Times New Roman" w:cs="Times New Roman"/>
                      <w:b w:val="0"/>
                      <w:bCs w:val="0"/>
                      <w:color w:val="000000"/>
                      <w:sz w:val="21"/>
                      <w:szCs w:val="21"/>
                      <w:highlight w:val="yellow"/>
                    </w:rPr>
                  </w:pPr>
                  <w:r>
                    <w:rPr>
                      <w:color w:val="auto"/>
                      <w:sz w:val="21"/>
                      <w:szCs w:val="21"/>
                    </w:rPr>
                    <w:t>规划新增项目产生的一般工业固体废物可以回收利用的，企业直接回收利用，或送厂家进行回收再利用，或外卖其他企业回收利用；无法综合利用的一般工业固体废物按《一般工业固体废物贮存和填埋污染控制标准》（GB 18599-2020）中有关要求，进行贮存。对于涉及危险废物的企业应建立危险废物暂存库并严格按照重点防渗区进行防渗处理，防止污染地下水，并定期及时交由有资质单位处置，应与有危险废物处置资质单位建立长期合作关系。</w:t>
                  </w:r>
                </w:p>
              </w:tc>
              <w:tc>
                <w:tcPr>
                  <w:tcW w:w="1332" w:type="pct"/>
                  <w:tcBorders>
                    <w:tl2br w:val="nil"/>
                    <w:tr2bl w:val="nil"/>
                  </w:tcBorders>
                  <w:shd w:val="clear" w:color="auto" w:fill="FFFFFF"/>
                  <w:noWrap w:val="0"/>
                  <w:vAlign w:val="center"/>
                </w:tcPr>
                <w:p w14:paraId="743EB805">
                  <w:pPr>
                    <w:adjustRightInd w:val="0"/>
                    <w:snapToGrid w:val="0"/>
                    <w:spacing w:line="240" w:lineRule="auto"/>
                    <w:ind w:firstLine="0" w:firstLineChars="0"/>
                    <w:rPr>
                      <w:rFonts w:hint="eastAsia" w:eastAsia="宋体" w:cs="Times New Roman"/>
                      <w:b w:val="0"/>
                      <w:bCs w:val="0"/>
                      <w:color w:val="000000"/>
                      <w:sz w:val="21"/>
                      <w:szCs w:val="21"/>
                      <w:lang w:val="en-US" w:eastAsia="zh-CN"/>
                    </w:rPr>
                  </w:pPr>
                  <w:r>
                    <w:rPr>
                      <w:rFonts w:hint="eastAsia"/>
                      <w:color w:val="auto"/>
                      <w:sz w:val="21"/>
                      <w:szCs w:val="21"/>
                    </w:rPr>
                    <w:t>产生的一般工业固体废物暂存在厂房内一般工业固废区，定期外售</w:t>
                  </w:r>
                  <w:r>
                    <w:rPr>
                      <w:color w:val="auto"/>
                      <w:sz w:val="21"/>
                      <w:szCs w:val="21"/>
                    </w:rPr>
                    <w:t>。</w:t>
                  </w:r>
                  <w:r>
                    <w:rPr>
                      <w:rFonts w:hint="eastAsia"/>
                      <w:color w:val="auto"/>
                    </w:rPr>
                    <w:t>危险废物暂存在厂内危废贮存库，定期交有资质单位处置</w:t>
                  </w:r>
                  <w:r>
                    <w:rPr>
                      <w:rFonts w:hint="eastAsia"/>
                      <w:color w:val="auto"/>
                      <w:lang w:eastAsia="zh-CN"/>
                    </w:rPr>
                    <w:t>。</w:t>
                  </w:r>
                </w:p>
              </w:tc>
              <w:tc>
                <w:tcPr>
                  <w:tcW w:w="418" w:type="pct"/>
                  <w:tcBorders>
                    <w:tl2br w:val="nil"/>
                    <w:tr2bl w:val="nil"/>
                  </w:tcBorders>
                  <w:shd w:val="clear" w:color="auto" w:fill="FFFFFF"/>
                  <w:noWrap w:val="0"/>
                  <w:vAlign w:val="center"/>
                </w:tcPr>
                <w:p w14:paraId="6B753E6A">
                  <w:pPr>
                    <w:adjustRightInd w:val="0"/>
                    <w:snapToGrid w:val="0"/>
                    <w:spacing w:line="240" w:lineRule="auto"/>
                    <w:ind w:firstLine="0" w:firstLineChars="0"/>
                    <w:jc w:val="center"/>
                    <w:rPr>
                      <w:rFonts w:hint="eastAsia" w:cs="Times New Roman"/>
                      <w:b w:val="0"/>
                      <w:bCs w:val="0"/>
                      <w:color w:val="000000"/>
                      <w:sz w:val="21"/>
                      <w:szCs w:val="21"/>
                      <w:lang w:val="en-US" w:eastAsia="zh-CN"/>
                    </w:rPr>
                  </w:pPr>
                  <w:r>
                    <w:rPr>
                      <w:color w:val="auto"/>
                      <w:sz w:val="21"/>
                      <w:szCs w:val="21"/>
                    </w:rPr>
                    <w:t>符合</w:t>
                  </w:r>
                </w:p>
              </w:tc>
            </w:tr>
            <w:tr w14:paraId="74478B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jc w:val="center"/>
              </w:trPr>
              <w:tc>
                <w:tcPr>
                  <w:tcW w:w="911" w:type="pct"/>
                  <w:vMerge w:val="continue"/>
                  <w:tcBorders>
                    <w:tl2br w:val="nil"/>
                    <w:tr2bl w:val="nil"/>
                  </w:tcBorders>
                  <w:shd w:val="clear" w:color="auto" w:fill="FFFFFF"/>
                  <w:noWrap w:val="0"/>
                  <w:vAlign w:val="center"/>
                </w:tcPr>
                <w:p w14:paraId="656F5485">
                  <w:pPr>
                    <w:jc w:val="center"/>
                    <w:rPr>
                      <w:rFonts w:hint="default" w:ascii="Times New Roman" w:hAnsi="Times New Roman" w:cs="Times New Roman"/>
                      <w:b w:val="0"/>
                      <w:bCs w:val="0"/>
                      <w:color w:val="000000"/>
                      <w:sz w:val="21"/>
                      <w:szCs w:val="21"/>
                    </w:rPr>
                  </w:pPr>
                </w:p>
              </w:tc>
              <w:tc>
                <w:tcPr>
                  <w:tcW w:w="2337" w:type="pct"/>
                  <w:tcBorders>
                    <w:tl2br w:val="nil"/>
                    <w:tr2bl w:val="nil"/>
                  </w:tcBorders>
                  <w:shd w:val="clear" w:color="auto" w:fill="FFFFFF"/>
                  <w:noWrap w:val="0"/>
                  <w:vAlign w:val="center"/>
                </w:tcPr>
                <w:p w14:paraId="5390D4B3">
                  <w:pPr>
                    <w:adjustRightInd w:val="0"/>
                    <w:snapToGrid w:val="0"/>
                    <w:spacing w:line="240" w:lineRule="auto"/>
                    <w:ind w:firstLine="0" w:firstLineChars="0"/>
                    <w:jc w:val="center"/>
                    <w:rPr>
                      <w:rFonts w:hint="default" w:ascii="Times New Roman" w:hAnsi="Times New Roman" w:eastAsia="宋体" w:cs="Times New Roman"/>
                      <w:b w:val="0"/>
                      <w:color w:val="000000"/>
                      <w:kern w:val="2"/>
                      <w:sz w:val="21"/>
                      <w:szCs w:val="21"/>
                      <w:lang w:val="en-US" w:eastAsia="zh-CN" w:bidi="ar-SA"/>
                    </w:rPr>
                  </w:pPr>
                  <w:r>
                    <w:rPr>
                      <w:b w:val="0"/>
                      <w:color w:val="000000"/>
                      <w:sz w:val="21"/>
                      <w:szCs w:val="21"/>
                    </w:rPr>
                    <w:t>严格控制入区工业项目，采取总量控制的方式，限制大气污染物排放量大的项目入区。</w:t>
                  </w:r>
                </w:p>
              </w:tc>
              <w:tc>
                <w:tcPr>
                  <w:tcW w:w="1332" w:type="pct"/>
                  <w:tcBorders>
                    <w:tl2br w:val="nil"/>
                    <w:tr2bl w:val="nil"/>
                  </w:tcBorders>
                  <w:shd w:val="clear" w:color="auto" w:fill="FFFFFF"/>
                  <w:noWrap w:val="0"/>
                  <w:vAlign w:val="center"/>
                </w:tcPr>
                <w:p w14:paraId="6C4B1697">
                  <w:pPr>
                    <w:adjustRightInd w:val="0"/>
                    <w:snapToGrid w:val="0"/>
                    <w:spacing w:line="240" w:lineRule="auto"/>
                    <w:ind w:firstLine="0" w:firstLineChars="0"/>
                    <w:jc w:val="center"/>
                    <w:rPr>
                      <w:rFonts w:hint="default" w:ascii="Times New Roman" w:hAnsi="Times New Roman" w:eastAsia="宋体" w:cs="Times New Roman"/>
                      <w:b w:val="0"/>
                      <w:color w:val="000000"/>
                      <w:kern w:val="2"/>
                      <w:sz w:val="21"/>
                      <w:szCs w:val="21"/>
                      <w:lang w:val="en-US" w:eastAsia="zh-CN" w:bidi="ar-SA"/>
                    </w:rPr>
                  </w:pPr>
                  <w:r>
                    <w:rPr>
                      <w:b w:val="0"/>
                      <w:color w:val="000000"/>
                      <w:sz w:val="21"/>
                      <w:szCs w:val="21"/>
                    </w:rPr>
                    <w:t>本项目</w:t>
                  </w:r>
                  <w:r>
                    <w:rPr>
                      <w:rFonts w:hint="eastAsia"/>
                      <w:b w:val="0"/>
                      <w:color w:val="000000"/>
                      <w:sz w:val="21"/>
                      <w:szCs w:val="21"/>
                    </w:rPr>
                    <w:t>废气主要是</w:t>
                  </w:r>
                  <w:r>
                    <w:rPr>
                      <w:rFonts w:hint="eastAsia"/>
                      <w:b w:val="0"/>
                      <w:color w:val="000000"/>
                      <w:sz w:val="21"/>
                      <w:szCs w:val="21"/>
                      <w:lang w:val="en-US" w:eastAsia="zh-CN"/>
                    </w:rPr>
                    <w:t>打磨、喷砂粉尘采取环保措施处理后</w:t>
                  </w:r>
                  <w:r>
                    <w:rPr>
                      <w:rFonts w:hint="eastAsia"/>
                      <w:b w:val="0"/>
                      <w:color w:val="000000"/>
                      <w:sz w:val="21"/>
                      <w:szCs w:val="21"/>
                    </w:rPr>
                    <w:t>，</w:t>
                  </w:r>
                  <w:r>
                    <w:rPr>
                      <w:rFonts w:hint="eastAsia"/>
                      <w:b w:val="0"/>
                      <w:color w:val="000000"/>
                      <w:sz w:val="21"/>
                      <w:szCs w:val="21"/>
                      <w:lang w:val="en-US" w:eastAsia="zh-CN"/>
                    </w:rPr>
                    <w:t>污染物</w:t>
                  </w:r>
                  <w:r>
                    <w:rPr>
                      <w:rFonts w:hint="eastAsia"/>
                      <w:b w:val="0"/>
                      <w:color w:val="000000"/>
                      <w:sz w:val="21"/>
                      <w:szCs w:val="21"/>
                    </w:rPr>
                    <w:t>排放量较小</w:t>
                  </w:r>
                  <w:r>
                    <w:rPr>
                      <w:rFonts w:hint="eastAsia"/>
                      <w:b w:val="0"/>
                      <w:color w:val="000000"/>
                      <w:sz w:val="21"/>
                      <w:szCs w:val="21"/>
                      <w:lang w:eastAsia="zh-CN"/>
                    </w:rPr>
                    <w:t>，</w:t>
                  </w:r>
                  <w:r>
                    <w:rPr>
                      <w:rFonts w:hint="eastAsia"/>
                      <w:color w:val="auto"/>
                      <w:sz w:val="21"/>
                      <w:szCs w:val="21"/>
                    </w:rPr>
                    <w:t>不属于排放量大的项目</w:t>
                  </w:r>
                  <w:r>
                    <w:rPr>
                      <w:rFonts w:hint="eastAsia"/>
                      <w:b w:val="0"/>
                      <w:color w:val="000000"/>
                      <w:sz w:val="21"/>
                      <w:szCs w:val="21"/>
                    </w:rPr>
                    <w:t>。</w:t>
                  </w:r>
                </w:p>
              </w:tc>
              <w:tc>
                <w:tcPr>
                  <w:tcW w:w="418" w:type="pct"/>
                  <w:tcBorders>
                    <w:tl2br w:val="nil"/>
                    <w:tr2bl w:val="nil"/>
                  </w:tcBorders>
                  <w:shd w:val="clear" w:color="auto" w:fill="FFFFFF"/>
                  <w:noWrap w:val="0"/>
                  <w:vAlign w:val="center"/>
                </w:tcPr>
                <w:p w14:paraId="260136FE">
                  <w:pPr>
                    <w:jc w:val="center"/>
                    <w:rPr>
                      <w:rFonts w:hint="default" w:ascii="Times New Roman" w:hAnsi="Times New Roman" w:cs="Times New Roman"/>
                      <w:b w:val="0"/>
                      <w:bCs w:val="0"/>
                      <w:color w:val="000000"/>
                      <w:sz w:val="21"/>
                      <w:szCs w:val="21"/>
                    </w:rPr>
                  </w:pPr>
                  <w:r>
                    <w:rPr>
                      <w:rFonts w:hint="eastAsia" w:cs="Times New Roman"/>
                      <w:b w:val="0"/>
                      <w:bCs w:val="0"/>
                      <w:color w:val="000000"/>
                      <w:sz w:val="21"/>
                      <w:szCs w:val="21"/>
                      <w:lang w:val="en-US" w:eastAsia="zh-CN"/>
                    </w:rPr>
                    <w:t>符合</w:t>
                  </w:r>
                </w:p>
              </w:tc>
            </w:tr>
            <w:tr w14:paraId="1094A3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jc w:val="center"/>
              </w:trPr>
              <w:tc>
                <w:tcPr>
                  <w:tcW w:w="911" w:type="pct"/>
                  <w:vMerge w:val="restart"/>
                  <w:tcBorders>
                    <w:tl2br w:val="nil"/>
                    <w:tr2bl w:val="nil"/>
                  </w:tcBorders>
                  <w:shd w:val="clear" w:color="auto" w:fill="FFFFFF"/>
                  <w:noWrap w:val="0"/>
                  <w:vAlign w:val="center"/>
                </w:tcPr>
                <w:p w14:paraId="25152E31">
                  <w:pPr>
                    <w:keepNext w:val="0"/>
                    <w:keepLines w:val="0"/>
                    <w:pageBreakBefore w:val="0"/>
                    <w:widowControl/>
                    <w:kinsoku/>
                    <w:wordWrap/>
                    <w:overflowPunct/>
                    <w:topLinePunct w:val="0"/>
                    <w:autoSpaceDE/>
                    <w:autoSpaceDN/>
                    <w:bidi w:val="0"/>
                    <w:adjustRightInd/>
                    <w:snapToGrid/>
                    <w:ind w:firstLine="0" w:firstLineChars="0"/>
                    <w:textAlignment w:val="auto"/>
                    <w:rPr>
                      <w:rFonts w:hint="default" w:ascii="Times New Roman" w:hAnsi="Times New Roman" w:cs="Times New Roman"/>
                      <w:b w:val="0"/>
                      <w:bCs w:val="0"/>
                      <w:color w:val="000000"/>
                      <w:sz w:val="21"/>
                      <w:szCs w:val="21"/>
                    </w:rPr>
                  </w:pPr>
                  <w:r>
                    <w:rPr>
                      <w:color w:val="auto"/>
                      <w:sz w:val="21"/>
                      <w:szCs w:val="21"/>
                    </w:rPr>
                    <w:t>陕西省西咸新区生态环境局关于《西咸新区泾河新城分区规划（2016-2035）环境影响报告书》审查意见的函（陕西咸环函〔2021〕41号）</w:t>
                  </w:r>
                </w:p>
              </w:tc>
              <w:tc>
                <w:tcPr>
                  <w:tcW w:w="2337" w:type="pct"/>
                  <w:tcBorders>
                    <w:tl2br w:val="nil"/>
                    <w:tr2bl w:val="nil"/>
                  </w:tcBorders>
                  <w:shd w:val="clear" w:color="auto" w:fill="auto"/>
                  <w:noWrap w:val="0"/>
                  <w:vAlign w:val="center"/>
                </w:tcPr>
                <w:p w14:paraId="776F808F">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加强规划引导，牢固树立生态优先、绿色发展理念，坚持创新城市发展方式，推动城市与产业协调发展。严格落实生态保护红线、环境质量底线、资源利用上线和生态环境准入清单管控要求。强化</w:t>
                  </w:r>
                  <w:r>
                    <w:rPr>
                      <w:rFonts w:hint="eastAsia"/>
                      <w:color w:val="auto"/>
                      <w:sz w:val="21"/>
                      <w:szCs w:val="21"/>
                      <w:lang w:eastAsia="zh-CN"/>
                    </w:rPr>
                    <w:t>“</w:t>
                  </w:r>
                  <w:r>
                    <w:rPr>
                      <w:color w:val="auto"/>
                      <w:sz w:val="21"/>
                      <w:szCs w:val="21"/>
                    </w:rPr>
                    <w:t>三线一单</w:t>
                  </w:r>
                  <w:r>
                    <w:rPr>
                      <w:rFonts w:hint="eastAsia"/>
                      <w:color w:val="auto"/>
                      <w:sz w:val="21"/>
                      <w:szCs w:val="21"/>
                      <w:lang w:eastAsia="zh-CN"/>
                    </w:rPr>
                    <w:t>”</w:t>
                  </w:r>
                  <w:r>
                    <w:rPr>
                      <w:color w:val="auto"/>
                      <w:sz w:val="21"/>
                      <w:szCs w:val="21"/>
                    </w:rPr>
                    <w:t>在优化布局、控制规模及对项目环境准入的强制约束作用。限制大气污染物及水污染物排放量大的项目入区。引进项目的生产工艺、设备、污染治理技术，以及单位产品能耗、物耗、污染物排放和资源利用率等达到同行业先进水平，落实《报告书》提出的生态环境保护要求。</w:t>
                  </w:r>
                </w:p>
              </w:tc>
              <w:tc>
                <w:tcPr>
                  <w:tcW w:w="1332" w:type="pct"/>
                  <w:tcBorders>
                    <w:tl2br w:val="nil"/>
                    <w:tr2bl w:val="nil"/>
                  </w:tcBorders>
                  <w:shd w:val="clear" w:color="auto" w:fill="auto"/>
                  <w:noWrap w:val="0"/>
                  <w:vAlign w:val="center"/>
                </w:tcPr>
                <w:p w14:paraId="09CA67CD">
                  <w:pPr>
                    <w:adjustRightInd w:val="0"/>
                    <w:snapToGrid w:val="0"/>
                    <w:spacing w:line="240" w:lineRule="auto"/>
                    <w:ind w:firstLine="0" w:firstLineChars="0"/>
                    <w:jc w:val="both"/>
                    <w:rPr>
                      <w:rFonts w:ascii="Times New Roman" w:hAnsi="Times New Roman" w:eastAsia="宋体" w:cs="Times New Roman"/>
                      <w:color w:val="auto"/>
                      <w:kern w:val="2"/>
                      <w:sz w:val="21"/>
                      <w:szCs w:val="21"/>
                      <w:lang w:val="en-US" w:eastAsia="zh-CN" w:bidi="ar-SA"/>
                    </w:rPr>
                  </w:pPr>
                  <w:r>
                    <w:rPr>
                      <w:color w:val="auto"/>
                      <w:sz w:val="21"/>
                      <w:szCs w:val="21"/>
                    </w:rPr>
                    <w:t>本项目符合泾河新城产业规划，拟建地属于西安市生态环境管控单元中的重点管控单元，并符合《西安市人民政府关于印发</w:t>
                  </w:r>
                  <w:r>
                    <w:rPr>
                      <w:rFonts w:hint="eastAsia"/>
                      <w:color w:val="auto"/>
                      <w:sz w:val="21"/>
                      <w:szCs w:val="21"/>
                      <w:lang w:eastAsia="zh-CN"/>
                    </w:rPr>
                    <w:t>“</w:t>
                  </w:r>
                  <w:r>
                    <w:rPr>
                      <w:color w:val="auto"/>
                      <w:sz w:val="21"/>
                      <w:szCs w:val="21"/>
                    </w:rPr>
                    <w:t>三线一单</w:t>
                  </w:r>
                  <w:r>
                    <w:rPr>
                      <w:rFonts w:hint="eastAsia"/>
                      <w:color w:val="auto"/>
                      <w:sz w:val="21"/>
                      <w:szCs w:val="21"/>
                      <w:lang w:eastAsia="zh-CN"/>
                    </w:rPr>
                    <w:t>”</w:t>
                  </w:r>
                  <w:r>
                    <w:rPr>
                      <w:color w:val="auto"/>
                      <w:sz w:val="21"/>
                      <w:szCs w:val="21"/>
                    </w:rPr>
                    <w:t>生态环境分区管控方案的通知》（市政发</w:t>
                  </w:r>
                  <w:r>
                    <w:rPr>
                      <w:rFonts w:hint="eastAsia"/>
                      <w:color w:val="auto"/>
                      <w:sz w:val="21"/>
                      <w:szCs w:val="21"/>
                    </w:rPr>
                    <w:t>〔</w:t>
                  </w:r>
                  <w:r>
                    <w:rPr>
                      <w:color w:val="auto"/>
                      <w:sz w:val="21"/>
                      <w:szCs w:val="21"/>
                    </w:rPr>
                    <w:t>2021</w:t>
                  </w:r>
                  <w:r>
                    <w:rPr>
                      <w:rFonts w:hint="eastAsia"/>
                      <w:color w:val="auto"/>
                      <w:sz w:val="21"/>
                      <w:szCs w:val="21"/>
                    </w:rPr>
                    <w:t>〕</w:t>
                  </w:r>
                  <w:r>
                    <w:rPr>
                      <w:color w:val="auto"/>
                      <w:sz w:val="21"/>
                      <w:szCs w:val="21"/>
                    </w:rPr>
                    <w:t>22号）中的准入要求。项目不属于大气污染物和水污染物排放量大的项目，采用</w:t>
                  </w:r>
                  <w:r>
                    <w:rPr>
                      <w:rFonts w:hint="eastAsia"/>
                      <w:color w:val="auto"/>
                      <w:sz w:val="21"/>
                      <w:szCs w:val="21"/>
                    </w:rPr>
                    <w:t>成熟的生产技术和先进设备</w:t>
                  </w:r>
                  <w:r>
                    <w:rPr>
                      <w:color w:val="auto"/>
                      <w:sz w:val="21"/>
                      <w:szCs w:val="21"/>
                    </w:rPr>
                    <w:t>。</w:t>
                  </w:r>
                </w:p>
              </w:tc>
              <w:tc>
                <w:tcPr>
                  <w:tcW w:w="418" w:type="pct"/>
                  <w:tcBorders>
                    <w:tl2br w:val="nil"/>
                    <w:tr2bl w:val="nil"/>
                  </w:tcBorders>
                  <w:shd w:val="clear" w:color="auto" w:fill="auto"/>
                  <w:noWrap w:val="0"/>
                  <w:vAlign w:val="center"/>
                </w:tcPr>
                <w:p w14:paraId="2CE6F7E4">
                  <w:pPr>
                    <w:kinsoku w:val="0"/>
                    <w:overflowPunct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3EB2B8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jc w:val="center"/>
              </w:trPr>
              <w:tc>
                <w:tcPr>
                  <w:tcW w:w="911" w:type="pct"/>
                  <w:vMerge w:val="continue"/>
                  <w:tcBorders>
                    <w:tl2br w:val="nil"/>
                    <w:tr2bl w:val="nil"/>
                  </w:tcBorders>
                  <w:shd w:val="clear" w:color="auto" w:fill="FFFFFF"/>
                  <w:noWrap w:val="0"/>
                  <w:vAlign w:val="center"/>
                </w:tcPr>
                <w:p w14:paraId="33C1FC4C">
                  <w:pPr>
                    <w:widowControl/>
                    <w:ind w:firstLine="420" w:firstLineChars="200"/>
                    <w:rPr>
                      <w:rFonts w:hint="default" w:ascii="Times New Roman" w:hAnsi="Times New Roman" w:cs="Times New Roman"/>
                      <w:b w:val="0"/>
                      <w:bCs w:val="0"/>
                      <w:color w:val="000000"/>
                      <w:sz w:val="21"/>
                      <w:szCs w:val="21"/>
                    </w:rPr>
                  </w:pPr>
                </w:p>
              </w:tc>
              <w:tc>
                <w:tcPr>
                  <w:tcW w:w="2337" w:type="pct"/>
                  <w:tcBorders>
                    <w:tl2br w:val="nil"/>
                    <w:tr2bl w:val="nil"/>
                  </w:tcBorders>
                  <w:shd w:val="clear" w:color="auto" w:fill="FFFFFF"/>
                  <w:noWrap w:val="0"/>
                  <w:vAlign w:val="center"/>
                </w:tcPr>
                <w:p w14:paraId="6C4B8EA2">
                  <w:pPr>
                    <w:adjustRightInd w:val="0"/>
                    <w:snapToGrid w:val="0"/>
                    <w:spacing w:line="240" w:lineRule="auto"/>
                    <w:ind w:firstLine="0" w:firstLineChars="0"/>
                    <w:jc w:val="center"/>
                    <w:rPr>
                      <w:rFonts w:hint="default" w:ascii="Times New Roman" w:hAnsi="Times New Roman" w:eastAsia="宋体" w:cs="Times New Roman"/>
                      <w:b w:val="0"/>
                      <w:color w:val="000000"/>
                      <w:kern w:val="2"/>
                      <w:sz w:val="21"/>
                      <w:szCs w:val="21"/>
                      <w:highlight w:val="none"/>
                      <w:lang w:val="en-US" w:eastAsia="zh-CN" w:bidi="ar-SA"/>
                    </w:rPr>
                  </w:pPr>
                  <w:r>
                    <w:rPr>
                      <w:b w:val="0"/>
                      <w:color w:val="000000"/>
                      <w:sz w:val="21"/>
                      <w:szCs w:val="21"/>
                      <w:highlight w:val="none"/>
                    </w:rPr>
                    <w:t>严守环境质量底线，落实污染物总量管控要求。根据国家、陕西省、西咸新区有关大气、水、土壤污染防治行动计划相关要求，采取有效措施减少主要污染物排放总量，实现区域环境质量改善目标。</w:t>
                  </w:r>
                </w:p>
              </w:tc>
              <w:tc>
                <w:tcPr>
                  <w:tcW w:w="1332" w:type="pct"/>
                  <w:tcBorders>
                    <w:tl2br w:val="nil"/>
                    <w:tr2bl w:val="nil"/>
                  </w:tcBorders>
                  <w:shd w:val="clear" w:color="auto" w:fill="FFFFFF"/>
                  <w:noWrap w:val="0"/>
                  <w:vAlign w:val="center"/>
                </w:tcPr>
                <w:p w14:paraId="01326DF4">
                  <w:pPr>
                    <w:overflowPunct w:val="0"/>
                    <w:topLinePunct/>
                    <w:adjustRightInd w:val="0"/>
                    <w:snapToGrid w:val="0"/>
                    <w:spacing w:line="240" w:lineRule="auto"/>
                    <w:ind w:firstLine="0" w:firstLineChars="0"/>
                    <w:jc w:val="center"/>
                    <w:rPr>
                      <w:rFonts w:hint="default" w:ascii="Times New Roman" w:hAnsi="Times New Roman" w:eastAsia="宋体" w:cs="Times New Roman"/>
                      <w:b w:val="0"/>
                      <w:color w:val="000000"/>
                      <w:kern w:val="2"/>
                      <w:sz w:val="21"/>
                      <w:szCs w:val="21"/>
                      <w:highlight w:val="none"/>
                      <w:lang w:val="en-US" w:eastAsia="zh-CN" w:bidi="ar-SA"/>
                    </w:rPr>
                  </w:pPr>
                  <w:r>
                    <w:rPr>
                      <w:b w:val="0"/>
                      <w:color w:val="000000"/>
                      <w:sz w:val="21"/>
                      <w:szCs w:val="21"/>
                      <w:highlight w:val="none"/>
                    </w:rPr>
                    <w:t>本项目</w:t>
                  </w:r>
                  <w:r>
                    <w:rPr>
                      <w:rFonts w:hint="eastAsia"/>
                      <w:b w:val="0"/>
                      <w:color w:val="000000"/>
                      <w:sz w:val="21"/>
                      <w:szCs w:val="21"/>
                      <w:highlight w:val="none"/>
                      <w:lang w:val="en-US" w:eastAsia="zh-CN"/>
                    </w:rPr>
                    <w:t>打磨废气经喷淋塔处理，喷砂粉尘经袋式除尘器处理，有效减少粉尘</w:t>
                  </w:r>
                </w:p>
              </w:tc>
              <w:tc>
                <w:tcPr>
                  <w:tcW w:w="418" w:type="pct"/>
                  <w:tcBorders>
                    <w:tl2br w:val="nil"/>
                    <w:tr2bl w:val="nil"/>
                  </w:tcBorders>
                  <w:shd w:val="clear" w:color="auto" w:fill="FFFFFF"/>
                  <w:noWrap w:val="0"/>
                  <w:vAlign w:val="center"/>
                </w:tcPr>
                <w:p w14:paraId="389325A8">
                  <w:pPr>
                    <w:jc w:val="center"/>
                    <w:rPr>
                      <w:rFonts w:hint="eastAsia" w:ascii="Times New Roman" w:hAnsi="Times New Roman" w:eastAsia="宋体" w:cs="Times New Roman"/>
                      <w:b w:val="0"/>
                      <w:bCs w:val="0"/>
                      <w:color w:val="000000"/>
                      <w:kern w:val="2"/>
                      <w:sz w:val="21"/>
                      <w:szCs w:val="21"/>
                      <w:highlight w:val="yellow"/>
                      <w:lang w:val="en-US" w:eastAsia="zh-CN" w:bidi="ar-SA"/>
                    </w:rPr>
                  </w:pPr>
                  <w:r>
                    <w:rPr>
                      <w:rFonts w:hint="eastAsia" w:cs="Times New Roman"/>
                      <w:b w:val="0"/>
                      <w:bCs w:val="0"/>
                      <w:color w:val="000000"/>
                      <w:sz w:val="21"/>
                      <w:szCs w:val="21"/>
                      <w:lang w:val="en-US" w:eastAsia="zh-CN"/>
                    </w:rPr>
                    <w:t>符合</w:t>
                  </w:r>
                </w:p>
              </w:tc>
            </w:tr>
            <w:tr w14:paraId="694CCE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jc w:val="center"/>
              </w:trPr>
              <w:tc>
                <w:tcPr>
                  <w:tcW w:w="911" w:type="pct"/>
                  <w:vMerge w:val="continue"/>
                  <w:tcBorders>
                    <w:tl2br w:val="nil"/>
                    <w:tr2bl w:val="nil"/>
                  </w:tcBorders>
                  <w:shd w:val="clear" w:color="auto" w:fill="FFFFFF"/>
                  <w:noWrap w:val="0"/>
                  <w:vAlign w:val="center"/>
                </w:tcPr>
                <w:p w14:paraId="15316609">
                  <w:pPr>
                    <w:widowControl/>
                    <w:ind w:firstLine="420" w:firstLineChars="200"/>
                    <w:rPr>
                      <w:rFonts w:hint="default" w:ascii="Times New Roman" w:hAnsi="Times New Roman" w:cs="Times New Roman"/>
                      <w:b w:val="0"/>
                      <w:bCs w:val="0"/>
                      <w:color w:val="000000"/>
                      <w:sz w:val="21"/>
                      <w:szCs w:val="21"/>
                    </w:rPr>
                  </w:pPr>
                </w:p>
              </w:tc>
              <w:tc>
                <w:tcPr>
                  <w:tcW w:w="2337" w:type="pct"/>
                  <w:tcBorders>
                    <w:tl2br w:val="nil"/>
                    <w:tr2bl w:val="nil"/>
                  </w:tcBorders>
                  <w:shd w:val="clear" w:color="auto" w:fill="auto"/>
                  <w:noWrap w:val="0"/>
                  <w:vAlign w:val="center"/>
                </w:tcPr>
                <w:p w14:paraId="06BD43CA">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结合区域大气环境质量改善目标的要求，进一步优化能源结构、提升清洁能源使用率，加强挥发性有机物产生企业等监督管理，强化移动源污染防治，提高企业清洁生产水平。</w:t>
                  </w:r>
                </w:p>
              </w:tc>
              <w:tc>
                <w:tcPr>
                  <w:tcW w:w="1332" w:type="pct"/>
                  <w:tcBorders>
                    <w:tl2br w:val="nil"/>
                    <w:tr2bl w:val="nil"/>
                  </w:tcBorders>
                  <w:shd w:val="clear" w:color="auto" w:fill="auto"/>
                  <w:noWrap w:val="0"/>
                  <w:vAlign w:val="center"/>
                </w:tcPr>
                <w:p w14:paraId="0F329CB6">
                  <w:pPr>
                    <w:keepNext/>
                    <w:keepLines/>
                    <w:pageBreakBefore w:val="0"/>
                    <w:widowControl/>
                    <w:kinsoku/>
                    <w:wordWrap/>
                    <w:overflowPunct/>
                    <w:topLinePunct/>
                    <w:autoSpaceDE w:val="0"/>
                    <w:autoSpaceDN w:val="0"/>
                    <w:bidi w:val="0"/>
                    <w:adjustRightInd w:val="0"/>
                    <w:snapToGrid w:val="0"/>
                    <w:spacing w:line="240" w:lineRule="auto"/>
                    <w:ind w:firstLine="0" w:firstLineChars="0"/>
                    <w:jc w:val="both"/>
                    <w:textAlignment w:val="auto"/>
                    <w:rPr>
                      <w:rFonts w:ascii="Times New Roman" w:hAnsi="Times New Roman" w:eastAsia="宋体" w:cs="Times New Roman"/>
                      <w:color w:val="auto"/>
                      <w:kern w:val="2"/>
                      <w:sz w:val="21"/>
                      <w:szCs w:val="21"/>
                      <w:lang w:val="en-US" w:eastAsia="zh-CN" w:bidi="ar-SA"/>
                    </w:rPr>
                  </w:pPr>
                  <w:r>
                    <w:rPr>
                      <w:color w:val="auto"/>
                      <w:sz w:val="21"/>
                      <w:szCs w:val="21"/>
                    </w:rPr>
                    <w:t>本项目能源消耗是电，</w:t>
                  </w:r>
                  <w:r>
                    <w:rPr>
                      <w:rFonts w:hint="eastAsia"/>
                      <w:b w:val="0"/>
                      <w:color w:val="000000"/>
                      <w:sz w:val="21"/>
                      <w:szCs w:val="21"/>
                      <w:highlight w:val="none"/>
                      <w:lang w:val="en-US" w:eastAsia="zh-CN"/>
                    </w:rPr>
                    <w:t>打磨废气经喷淋塔处理，喷砂粉尘经袋式除尘器处理</w:t>
                  </w:r>
                  <w:r>
                    <w:rPr>
                      <w:color w:val="auto"/>
                      <w:sz w:val="21"/>
                      <w:szCs w:val="21"/>
                    </w:rPr>
                    <w:t>。</w:t>
                  </w:r>
                </w:p>
              </w:tc>
              <w:tc>
                <w:tcPr>
                  <w:tcW w:w="418" w:type="pct"/>
                  <w:tcBorders>
                    <w:tl2br w:val="nil"/>
                    <w:tr2bl w:val="nil"/>
                  </w:tcBorders>
                  <w:shd w:val="clear" w:color="auto" w:fill="auto"/>
                  <w:noWrap w:val="0"/>
                  <w:vAlign w:val="center"/>
                </w:tcPr>
                <w:p w14:paraId="45F9C809">
                  <w:pPr>
                    <w:kinsoku w:val="0"/>
                    <w:overflowPunct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7F601B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jc w:val="center"/>
              </w:trPr>
              <w:tc>
                <w:tcPr>
                  <w:tcW w:w="911" w:type="pct"/>
                  <w:vMerge w:val="continue"/>
                  <w:tcBorders>
                    <w:tl2br w:val="nil"/>
                    <w:tr2bl w:val="nil"/>
                  </w:tcBorders>
                  <w:shd w:val="clear" w:color="auto" w:fill="FFFFFF"/>
                  <w:noWrap w:val="0"/>
                  <w:vAlign w:val="center"/>
                </w:tcPr>
                <w:p w14:paraId="4DDF36C7">
                  <w:pPr>
                    <w:widowControl/>
                    <w:ind w:firstLine="420" w:firstLineChars="200"/>
                    <w:rPr>
                      <w:rFonts w:hint="default" w:ascii="Times New Roman" w:hAnsi="Times New Roman" w:cs="Times New Roman"/>
                      <w:b w:val="0"/>
                      <w:bCs w:val="0"/>
                      <w:color w:val="000000"/>
                      <w:sz w:val="21"/>
                      <w:szCs w:val="21"/>
                    </w:rPr>
                  </w:pPr>
                </w:p>
              </w:tc>
              <w:tc>
                <w:tcPr>
                  <w:tcW w:w="2337" w:type="pct"/>
                  <w:tcBorders>
                    <w:tl2br w:val="nil"/>
                    <w:tr2bl w:val="nil"/>
                  </w:tcBorders>
                  <w:shd w:val="clear" w:color="auto" w:fill="auto"/>
                  <w:noWrap w:val="0"/>
                  <w:vAlign w:val="center"/>
                </w:tcPr>
                <w:p w14:paraId="75463260">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结合区域水环境质量改善目标的要求，加快污水处理厂及市政配套管网建设，实施雨污分流，强化污水处理厂监督管理，确保达标排放。</w:t>
                  </w:r>
                </w:p>
              </w:tc>
              <w:tc>
                <w:tcPr>
                  <w:tcW w:w="1332" w:type="pct"/>
                  <w:tcBorders>
                    <w:tl2br w:val="nil"/>
                    <w:tr2bl w:val="nil"/>
                  </w:tcBorders>
                  <w:shd w:val="clear" w:color="auto" w:fill="auto"/>
                  <w:noWrap w:val="0"/>
                  <w:vAlign w:val="center"/>
                </w:tcPr>
                <w:p w14:paraId="1F0688C1">
                  <w:pPr>
                    <w:pStyle w:val="7"/>
                    <w:spacing w:line="240" w:lineRule="auto"/>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bidi="ar"/>
                    </w:rPr>
                    <w:t>本项目无废水</w:t>
                  </w:r>
                  <w:r>
                    <w:rPr>
                      <w:rFonts w:hint="eastAsia"/>
                      <w:color w:val="auto"/>
                      <w:sz w:val="21"/>
                      <w:szCs w:val="21"/>
                      <w:lang w:val="en-US" w:eastAsia="zh-CN" w:bidi="ar"/>
                    </w:rPr>
                    <w:t>产生</w:t>
                  </w:r>
                  <w:r>
                    <w:rPr>
                      <w:rFonts w:hint="eastAsia"/>
                      <w:color w:val="auto"/>
                      <w:sz w:val="21"/>
                      <w:szCs w:val="21"/>
                      <w:lang w:eastAsia="zh-CN" w:bidi="ar"/>
                    </w:rPr>
                    <w:t>，</w:t>
                  </w:r>
                  <w:r>
                    <w:rPr>
                      <w:rFonts w:hint="eastAsia"/>
                      <w:color w:val="auto"/>
                      <w:sz w:val="21"/>
                      <w:szCs w:val="21"/>
                      <w:lang w:val="en-US" w:eastAsia="zh-CN" w:bidi="ar"/>
                    </w:rPr>
                    <w:t>生活污水</w:t>
                  </w:r>
                  <w:r>
                    <w:rPr>
                      <w:rFonts w:hint="eastAsia"/>
                      <w:color w:val="auto"/>
                      <w:sz w:val="21"/>
                      <w:szCs w:val="21"/>
                      <w:highlight w:val="none"/>
                      <w:lang w:val="en-US" w:eastAsia="zh-CN" w:bidi="ar"/>
                    </w:rPr>
                    <w:t>经厂区现有化粪池收集后排入市政污水管网</w:t>
                  </w:r>
                  <w:r>
                    <w:rPr>
                      <w:rFonts w:hint="eastAsia"/>
                      <w:color w:val="auto"/>
                      <w:sz w:val="21"/>
                      <w:szCs w:val="21"/>
                      <w:highlight w:val="none"/>
                    </w:rPr>
                    <w:t>。</w:t>
                  </w:r>
                </w:p>
              </w:tc>
              <w:tc>
                <w:tcPr>
                  <w:tcW w:w="418" w:type="pct"/>
                  <w:tcBorders>
                    <w:tl2br w:val="nil"/>
                    <w:tr2bl w:val="nil"/>
                  </w:tcBorders>
                  <w:shd w:val="clear" w:color="auto" w:fill="auto"/>
                  <w:noWrap w:val="0"/>
                  <w:vAlign w:val="center"/>
                </w:tcPr>
                <w:p w14:paraId="7667D177">
                  <w:pPr>
                    <w:kinsoku w:val="0"/>
                    <w:overflowPunct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bl>
          <w:p w14:paraId="242888AE">
            <w:pPr>
              <w:autoSpaceDE w:val="0"/>
              <w:autoSpaceDN w:val="0"/>
              <w:adjustRightInd w:val="0"/>
              <w:snapToGrid w:val="0"/>
              <w:rPr>
                <w:color w:val="0000FF"/>
                <w:kern w:val="0"/>
                <w:sz w:val="24"/>
              </w:rPr>
            </w:pPr>
          </w:p>
        </w:tc>
      </w:tr>
      <w:tr w14:paraId="2BAF2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98" w:type="dxa"/>
            <w:vAlign w:val="center"/>
          </w:tcPr>
          <w:p w14:paraId="479E3B4D">
            <w:pPr>
              <w:autoSpaceDE w:val="0"/>
              <w:autoSpaceDN w:val="0"/>
              <w:adjustRightInd w:val="0"/>
              <w:snapToGrid w:val="0"/>
              <w:jc w:val="center"/>
              <w:rPr>
                <w:color w:val="auto"/>
                <w:kern w:val="0"/>
                <w:szCs w:val="21"/>
                <w:highlight w:val="yellow"/>
              </w:rPr>
            </w:pPr>
            <w:r>
              <w:rPr>
                <w:color w:val="auto"/>
                <w:kern w:val="0"/>
                <w:sz w:val="24"/>
                <w:highlight w:val="none"/>
              </w:rPr>
              <w:t>其他符合性分析</w:t>
            </w:r>
          </w:p>
        </w:tc>
        <w:tc>
          <w:tcPr>
            <w:tcW w:w="7739" w:type="dxa"/>
            <w:gridSpan w:val="4"/>
            <w:vAlign w:val="center"/>
          </w:tcPr>
          <w:p w14:paraId="257507D5">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b/>
                <w:bCs/>
                <w:color w:val="auto"/>
                <w:kern w:val="0"/>
                <w:sz w:val="24"/>
                <w:szCs w:val="20"/>
                <w:highlight w:val="none"/>
              </w:rPr>
            </w:pPr>
            <w:r>
              <w:rPr>
                <w:rFonts w:hint="eastAsia"/>
                <w:b/>
                <w:bCs/>
                <w:color w:val="auto"/>
                <w:kern w:val="0"/>
                <w:sz w:val="24"/>
                <w:szCs w:val="20"/>
                <w:highlight w:val="none"/>
              </w:rPr>
              <w:t>1、</w:t>
            </w:r>
            <w:r>
              <w:rPr>
                <w:b/>
                <w:bCs/>
                <w:color w:val="auto"/>
                <w:kern w:val="0"/>
                <w:sz w:val="24"/>
                <w:szCs w:val="20"/>
                <w:highlight w:val="none"/>
              </w:rPr>
              <w:t>产业政策相符性分析</w:t>
            </w:r>
          </w:p>
          <w:p w14:paraId="72B45AD7">
            <w:pPr>
              <w:spacing w:line="360" w:lineRule="auto"/>
              <w:ind w:firstLine="480" w:firstLineChars="200"/>
              <w:rPr>
                <w:rFonts w:hint="eastAsia"/>
                <w:color w:val="auto"/>
                <w:sz w:val="24"/>
                <w:highlight w:val="none"/>
                <w:lang w:eastAsia="zh-CN"/>
              </w:rPr>
            </w:pPr>
            <w:r>
              <w:rPr>
                <w:color w:val="auto"/>
                <w:sz w:val="24"/>
                <w:highlight w:val="none"/>
              </w:rPr>
              <w:t>根据《产业结构调整指导目录（20</w:t>
            </w:r>
            <w:r>
              <w:rPr>
                <w:rFonts w:hint="eastAsia"/>
                <w:color w:val="auto"/>
                <w:sz w:val="24"/>
                <w:highlight w:val="none"/>
                <w:lang w:val="en-US" w:eastAsia="zh-CN"/>
              </w:rPr>
              <w:t>24</w:t>
            </w:r>
            <w:r>
              <w:rPr>
                <w:color w:val="auto"/>
                <w:sz w:val="24"/>
                <w:highlight w:val="none"/>
              </w:rPr>
              <w:t>年本）》，经查阅本项目不属于其中规定的</w:t>
            </w:r>
            <w:r>
              <w:rPr>
                <w:rFonts w:hint="eastAsia"/>
                <w:color w:val="auto"/>
                <w:sz w:val="24"/>
                <w:highlight w:val="none"/>
                <w:lang w:eastAsia="zh-CN"/>
              </w:rPr>
              <w:t>“</w:t>
            </w:r>
            <w:r>
              <w:rPr>
                <w:color w:val="auto"/>
                <w:sz w:val="24"/>
                <w:highlight w:val="none"/>
              </w:rPr>
              <w:t>鼓励类</w:t>
            </w:r>
            <w:r>
              <w:rPr>
                <w:rFonts w:hint="eastAsia"/>
                <w:color w:val="auto"/>
                <w:sz w:val="24"/>
                <w:highlight w:val="none"/>
                <w:lang w:eastAsia="zh-CN"/>
              </w:rPr>
              <w:t>”</w:t>
            </w:r>
            <w:r>
              <w:rPr>
                <w:color w:val="auto"/>
                <w:sz w:val="24"/>
                <w:highlight w:val="none"/>
              </w:rPr>
              <w:t>、</w:t>
            </w:r>
            <w:r>
              <w:rPr>
                <w:rFonts w:hint="eastAsia"/>
                <w:color w:val="auto"/>
                <w:sz w:val="24"/>
                <w:highlight w:val="none"/>
                <w:lang w:eastAsia="zh-CN"/>
              </w:rPr>
              <w:t>“</w:t>
            </w:r>
            <w:r>
              <w:rPr>
                <w:color w:val="auto"/>
                <w:sz w:val="24"/>
                <w:highlight w:val="none"/>
              </w:rPr>
              <w:t>限制类</w:t>
            </w:r>
            <w:r>
              <w:rPr>
                <w:rFonts w:hint="eastAsia"/>
                <w:color w:val="auto"/>
                <w:sz w:val="24"/>
                <w:highlight w:val="none"/>
                <w:lang w:eastAsia="zh-CN"/>
              </w:rPr>
              <w:t>”</w:t>
            </w:r>
            <w:r>
              <w:rPr>
                <w:color w:val="auto"/>
                <w:sz w:val="24"/>
                <w:highlight w:val="none"/>
              </w:rPr>
              <w:t>和</w:t>
            </w:r>
            <w:r>
              <w:rPr>
                <w:rFonts w:hint="eastAsia"/>
                <w:color w:val="auto"/>
                <w:sz w:val="24"/>
                <w:highlight w:val="none"/>
                <w:lang w:eastAsia="zh-CN"/>
              </w:rPr>
              <w:t>“</w:t>
            </w:r>
            <w:r>
              <w:rPr>
                <w:color w:val="auto"/>
                <w:sz w:val="24"/>
                <w:highlight w:val="none"/>
              </w:rPr>
              <w:t>淘汰类</w:t>
            </w:r>
            <w:r>
              <w:rPr>
                <w:rFonts w:hint="eastAsia"/>
                <w:color w:val="auto"/>
                <w:sz w:val="24"/>
                <w:highlight w:val="none"/>
                <w:lang w:eastAsia="zh-CN"/>
              </w:rPr>
              <w:t>”</w:t>
            </w:r>
            <w:r>
              <w:rPr>
                <w:color w:val="auto"/>
                <w:sz w:val="24"/>
                <w:highlight w:val="none"/>
              </w:rPr>
              <w:t>项目。</w:t>
            </w:r>
            <w:r>
              <w:rPr>
                <w:color w:val="auto"/>
                <w:kern w:val="0"/>
                <w:sz w:val="24"/>
                <w:highlight w:val="none"/>
              </w:rPr>
              <w:t>经查阅，</w:t>
            </w:r>
            <w:r>
              <w:rPr>
                <w:color w:val="auto"/>
                <w:kern w:val="0"/>
                <w:sz w:val="24"/>
                <w:szCs w:val="20"/>
                <w:highlight w:val="none"/>
              </w:rPr>
              <w:t>本项目不属于《市场准入负面清单（202</w:t>
            </w:r>
            <w:r>
              <w:rPr>
                <w:rFonts w:hint="eastAsia"/>
                <w:color w:val="auto"/>
                <w:kern w:val="0"/>
                <w:sz w:val="24"/>
                <w:szCs w:val="20"/>
                <w:highlight w:val="none"/>
                <w:lang w:val="en-US" w:eastAsia="zh-CN"/>
              </w:rPr>
              <w:t>5</w:t>
            </w:r>
            <w:r>
              <w:rPr>
                <w:color w:val="auto"/>
                <w:kern w:val="0"/>
                <w:sz w:val="24"/>
                <w:szCs w:val="20"/>
                <w:highlight w:val="none"/>
              </w:rPr>
              <w:t>年版）》</w:t>
            </w:r>
            <w:r>
              <w:rPr>
                <w:color w:val="auto"/>
                <w:sz w:val="24"/>
                <w:highlight w:val="none"/>
              </w:rPr>
              <w:t>中禁止或许可准入类</w:t>
            </w:r>
            <w:r>
              <w:rPr>
                <w:rFonts w:hint="eastAsia"/>
                <w:color w:val="auto"/>
                <w:sz w:val="24"/>
                <w:highlight w:val="none"/>
                <w:lang w:eastAsia="zh-CN"/>
              </w:rPr>
              <w:t>。</w:t>
            </w:r>
          </w:p>
          <w:p w14:paraId="343134F9">
            <w:pPr>
              <w:spacing w:line="360" w:lineRule="auto"/>
              <w:ind w:firstLine="480" w:firstLineChars="200"/>
              <w:rPr>
                <w:color w:val="auto"/>
                <w:sz w:val="24"/>
                <w:highlight w:val="none"/>
              </w:rPr>
            </w:pPr>
            <w:r>
              <w:rPr>
                <w:rFonts w:hint="eastAsia" w:ascii="Times New Roman" w:hAnsi="Times New Roman" w:eastAsia="宋体" w:cs="Times New Roman"/>
                <w:color w:val="auto"/>
                <w:kern w:val="0"/>
                <w:sz w:val="24"/>
                <w:highlight w:val="none"/>
                <w:lang w:val="en-US" w:eastAsia="zh-CN"/>
              </w:rPr>
              <w:t>本项目已取得陕西省西咸新区泾河新城管理委员会关于本项目下发的陕西省企业投资项目备案确认书</w:t>
            </w:r>
            <w:r>
              <w:rPr>
                <w:rFonts w:hint="eastAsia" w:cs="Times New Roman"/>
                <w:color w:val="auto"/>
                <w:kern w:val="0"/>
                <w:sz w:val="24"/>
                <w:highlight w:val="none"/>
                <w:lang w:val="en-US" w:eastAsia="zh-CN"/>
              </w:rPr>
              <w:t>（见附件2）</w:t>
            </w:r>
            <w:r>
              <w:rPr>
                <w:rFonts w:hint="eastAsia" w:ascii="Times New Roman" w:hAnsi="Times New Roman" w:eastAsia="宋体" w:cs="Times New Roman"/>
                <w:color w:val="auto"/>
                <w:kern w:val="0"/>
                <w:sz w:val="24"/>
                <w:highlight w:val="none"/>
                <w:lang w:val="en-US" w:eastAsia="zh-CN"/>
              </w:rPr>
              <w:t>，项目代码为2</w:t>
            </w:r>
            <w:r>
              <w:rPr>
                <w:rFonts w:hint="default" w:ascii="Times New Roman" w:hAnsi="Times New Roman" w:eastAsia="宋体" w:cs="Times New Roman"/>
                <w:color w:val="auto"/>
                <w:kern w:val="0"/>
                <w:sz w:val="24"/>
                <w:highlight w:val="none"/>
                <w:lang w:val="en-US" w:eastAsia="zh-CN"/>
              </w:rPr>
              <w:t>506-611206-04-01-40106</w:t>
            </w:r>
            <w:r>
              <w:rPr>
                <w:rFonts w:hint="eastAsia" w:ascii="Times New Roman" w:hAnsi="Times New Roman" w:eastAsia="宋体" w:cs="Times New Roman"/>
                <w:color w:val="auto"/>
                <w:kern w:val="0"/>
                <w:sz w:val="24"/>
                <w:highlight w:val="none"/>
                <w:lang w:val="en-US" w:eastAsia="zh-CN"/>
              </w:rPr>
              <w:t>3</w:t>
            </w:r>
            <w:r>
              <w:rPr>
                <w:color w:val="auto"/>
                <w:sz w:val="24"/>
                <w:highlight w:val="none"/>
              </w:rPr>
              <w:t>。</w:t>
            </w:r>
          </w:p>
          <w:p w14:paraId="37F99ACC">
            <w:pPr>
              <w:spacing w:line="360" w:lineRule="auto"/>
              <w:ind w:firstLine="480" w:firstLineChars="200"/>
              <w:rPr>
                <w:color w:val="auto"/>
                <w:kern w:val="0"/>
                <w:sz w:val="24"/>
                <w:highlight w:val="none"/>
              </w:rPr>
            </w:pPr>
            <w:r>
              <w:rPr>
                <w:color w:val="auto"/>
                <w:kern w:val="0"/>
                <w:sz w:val="24"/>
                <w:highlight w:val="none"/>
              </w:rPr>
              <w:t>综上</w:t>
            </w:r>
            <w:r>
              <w:rPr>
                <w:rFonts w:hint="eastAsia"/>
                <w:color w:val="auto"/>
                <w:kern w:val="0"/>
                <w:sz w:val="24"/>
                <w:highlight w:val="none"/>
                <w:lang w:val="en-US" w:eastAsia="zh-CN"/>
              </w:rPr>
              <w:t>所述</w:t>
            </w:r>
            <w:r>
              <w:rPr>
                <w:color w:val="auto"/>
                <w:kern w:val="0"/>
                <w:sz w:val="24"/>
                <w:highlight w:val="none"/>
              </w:rPr>
              <w:t>，本项目符合</w:t>
            </w:r>
            <w:r>
              <w:rPr>
                <w:rFonts w:hint="eastAsia"/>
                <w:color w:val="auto"/>
                <w:kern w:val="0"/>
                <w:sz w:val="24"/>
                <w:highlight w:val="none"/>
                <w:lang w:val="en-US" w:eastAsia="zh-CN"/>
              </w:rPr>
              <w:t>国家和地方</w:t>
            </w:r>
            <w:r>
              <w:rPr>
                <w:color w:val="auto"/>
                <w:kern w:val="0"/>
                <w:sz w:val="24"/>
                <w:highlight w:val="none"/>
              </w:rPr>
              <w:t>相关产业政策。</w:t>
            </w:r>
          </w:p>
          <w:p w14:paraId="5F395E75">
            <w:pPr>
              <w:spacing w:line="360" w:lineRule="auto"/>
              <w:ind w:firstLine="482" w:firstLineChars="200"/>
              <w:rPr>
                <w:b/>
                <w:bCs w:val="0"/>
                <w:color w:val="auto"/>
                <w:kern w:val="0"/>
                <w:sz w:val="24"/>
                <w:highlight w:val="none"/>
                <w:lang w:val="en-GB" w:eastAsia="zh-TW"/>
              </w:rPr>
            </w:pPr>
            <w:r>
              <w:rPr>
                <w:rFonts w:hint="eastAsia"/>
                <w:b/>
                <w:bCs w:val="0"/>
                <w:color w:val="auto"/>
                <w:kern w:val="0"/>
                <w:sz w:val="24"/>
                <w:highlight w:val="none"/>
              </w:rPr>
              <w:t>2、</w:t>
            </w:r>
            <w:r>
              <w:rPr>
                <w:rFonts w:hint="eastAsia"/>
                <w:b/>
                <w:bCs w:val="0"/>
                <w:color w:val="auto"/>
                <w:kern w:val="0"/>
                <w:sz w:val="24"/>
                <w:highlight w:val="none"/>
                <w:lang w:val="en-GB"/>
              </w:rPr>
              <w:t>“</w:t>
            </w:r>
            <w:r>
              <w:rPr>
                <w:b/>
                <w:bCs w:val="0"/>
                <w:color w:val="auto"/>
                <w:kern w:val="0"/>
                <w:sz w:val="24"/>
                <w:highlight w:val="none"/>
                <w:lang w:val="en-GB" w:eastAsia="zh-TW"/>
              </w:rPr>
              <w:t>三线一单</w:t>
            </w:r>
            <w:r>
              <w:rPr>
                <w:rFonts w:hint="eastAsia"/>
                <w:b/>
                <w:bCs w:val="0"/>
                <w:color w:val="auto"/>
                <w:kern w:val="0"/>
                <w:sz w:val="24"/>
                <w:highlight w:val="none"/>
                <w:lang w:val="en-GB"/>
              </w:rPr>
              <w:t>”</w:t>
            </w:r>
            <w:r>
              <w:rPr>
                <w:b/>
                <w:bCs w:val="0"/>
                <w:color w:val="auto"/>
                <w:kern w:val="0"/>
                <w:sz w:val="24"/>
                <w:highlight w:val="none"/>
                <w:lang w:val="en-GB" w:eastAsia="zh-TW"/>
              </w:rPr>
              <w:t>符合性分析</w:t>
            </w:r>
          </w:p>
          <w:p w14:paraId="7F450EE7">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为贯彻落实生态环境部《</w:t>
            </w:r>
            <w:r>
              <w:rPr>
                <w:rFonts w:hint="eastAsia" w:ascii="Times New Roman" w:hAnsi="Times New Roman" w:eastAsia="宋体" w:cs="Times New Roman"/>
                <w:color w:val="auto"/>
                <w:kern w:val="0"/>
                <w:sz w:val="24"/>
                <w:szCs w:val="20"/>
                <w:highlight w:val="none"/>
                <w:lang w:val="en-US" w:eastAsia="zh-CN"/>
              </w:rPr>
              <w:t>生态环境分区管控管理暂行规定</w:t>
            </w:r>
            <w:r>
              <w:rPr>
                <w:rFonts w:hint="eastAsia" w:ascii="Times New Roman" w:hAnsi="Times New Roman" w:eastAsia="宋体" w:cs="Times New Roman"/>
                <w:color w:val="auto"/>
                <w:kern w:val="0"/>
                <w:sz w:val="24"/>
                <w:szCs w:val="20"/>
                <w:highlight w:val="none"/>
              </w:rPr>
              <w:t>》（环环评〔</w:t>
            </w:r>
            <w:r>
              <w:rPr>
                <w:rFonts w:ascii="Times New Roman" w:hAnsi="Times New Roman" w:eastAsia="宋体" w:cs="Times New Roman"/>
                <w:color w:val="auto"/>
                <w:kern w:val="0"/>
                <w:sz w:val="24"/>
                <w:szCs w:val="20"/>
                <w:highlight w:val="none"/>
              </w:rPr>
              <w:t>202</w:t>
            </w:r>
            <w:r>
              <w:rPr>
                <w:rFonts w:hint="eastAsia" w:ascii="Times New Roman" w:hAnsi="Times New Roman" w:eastAsia="宋体" w:cs="Times New Roman"/>
                <w:color w:val="auto"/>
                <w:kern w:val="0"/>
                <w:sz w:val="24"/>
                <w:szCs w:val="20"/>
                <w:highlight w:val="none"/>
                <w:lang w:val="en-US" w:eastAsia="zh-CN"/>
              </w:rPr>
              <w:t>4</w:t>
            </w:r>
            <w:r>
              <w:rPr>
                <w:rFonts w:hint="eastAsia" w:ascii="Times New Roman" w:hAnsi="Times New Roman" w:eastAsia="宋体" w:cs="Times New Roman"/>
                <w:color w:val="auto"/>
                <w:kern w:val="0"/>
                <w:sz w:val="24"/>
                <w:szCs w:val="20"/>
                <w:highlight w:val="none"/>
              </w:rPr>
              <w:t>〕</w:t>
            </w:r>
            <w:r>
              <w:rPr>
                <w:rFonts w:hint="eastAsia" w:ascii="Times New Roman" w:hAnsi="Times New Roman" w:eastAsia="宋体" w:cs="Times New Roman"/>
                <w:color w:val="auto"/>
                <w:kern w:val="0"/>
                <w:sz w:val="24"/>
                <w:szCs w:val="20"/>
                <w:highlight w:val="none"/>
                <w:lang w:val="en-US" w:eastAsia="zh-CN"/>
              </w:rPr>
              <w:t>41</w:t>
            </w:r>
            <w:r>
              <w:rPr>
                <w:rFonts w:hint="eastAsia" w:ascii="Times New Roman" w:hAnsi="Times New Roman" w:eastAsia="宋体" w:cs="Times New Roman"/>
                <w:color w:val="auto"/>
                <w:kern w:val="0"/>
                <w:sz w:val="24"/>
                <w:szCs w:val="20"/>
                <w:highlight w:val="none"/>
              </w:rPr>
              <w:t>号），通过建设项目与区域“三线一单”生态环境分区管控要求的符合性分析，强化源头宏观管控，强化“三线一单”生态环境分区管控成果在环境影响评价领域的落地应用。</w:t>
            </w:r>
          </w:p>
          <w:p w14:paraId="496DDF71">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根据</w:t>
            </w:r>
            <w:r>
              <w:rPr>
                <w:rFonts w:ascii="Times New Roman" w:hAnsi="Times New Roman" w:eastAsia="宋体" w:cs="Times New Roman"/>
                <w:color w:val="auto"/>
                <w:kern w:val="0"/>
                <w:sz w:val="24"/>
                <w:szCs w:val="20"/>
                <w:highlight w:val="none"/>
              </w:rPr>
              <w:t>《2023年西安市生态环境分区管控调整方案》（市生态委办发〔2024〕16号）</w:t>
            </w:r>
            <w:r>
              <w:rPr>
                <w:rFonts w:hint="eastAsia" w:ascii="Times New Roman" w:hAnsi="Times New Roman" w:eastAsia="宋体" w:cs="Times New Roman"/>
                <w:color w:val="auto"/>
                <w:kern w:val="0"/>
                <w:sz w:val="24"/>
                <w:szCs w:val="20"/>
                <w:highlight w:val="none"/>
                <w:lang w:eastAsia="zh-CN"/>
              </w:rPr>
              <w:t>、</w:t>
            </w:r>
            <w:r>
              <w:rPr>
                <w:rFonts w:hint="eastAsia" w:ascii="Times New Roman" w:hAnsi="Times New Roman" w:eastAsia="宋体" w:cs="Times New Roman"/>
                <w:color w:val="auto"/>
                <w:kern w:val="0"/>
                <w:sz w:val="24"/>
                <w:szCs w:val="20"/>
                <w:highlight w:val="none"/>
              </w:rPr>
              <w:t>《陕西省“三线一单”数据应用系统》空间冲突分析结果，本项目“三线一单”分析结果如下。</w:t>
            </w:r>
          </w:p>
          <w:p w14:paraId="77CE5C25">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（1）一图</w:t>
            </w:r>
          </w:p>
          <w:p w14:paraId="2D3FB6D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本项目在西咸新区生态环境管控单元分布示意图中的位置见图</w:t>
            </w:r>
            <w:r>
              <w:rPr>
                <w:rFonts w:ascii="Times New Roman" w:hAnsi="Times New Roman" w:eastAsia="宋体" w:cs="Times New Roman"/>
                <w:color w:val="auto"/>
                <w:kern w:val="0"/>
                <w:sz w:val="24"/>
                <w:szCs w:val="20"/>
                <w:highlight w:val="none"/>
              </w:rPr>
              <w:t>1</w:t>
            </w:r>
            <w:r>
              <w:rPr>
                <w:rFonts w:hint="eastAsia" w:ascii="Times New Roman" w:hAnsi="Times New Roman" w:eastAsia="宋体" w:cs="Times New Roman"/>
                <w:color w:val="auto"/>
                <w:kern w:val="0"/>
                <w:sz w:val="24"/>
                <w:szCs w:val="20"/>
                <w:highlight w:val="none"/>
              </w:rPr>
              <w:t>-1。项目位于重点管控单元。</w:t>
            </w:r>
          </w:p>
          <w:p w14:paraId="7C84BCB6">
            <w:pPr>
              <w:pStyle w:val="48"/>
              <w:spacing w:after="0"/>
              <w:rPr>
                <w:rFonts w:hint="eastAsia"/>
                <w:color w:val="0000FF"/>
              </w:rPr>
            </w:pPr>
            <w:r>
              <w:drawing>
                <wp:inline distT="0" distB="0" distL="114300" distR="114300">
                  <wp:extent cx="4129405" cy="3933190"/>
                  <wp:effectExtent l="0" t="0" r="635" b="1397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8"/>
                          <a:stretch>
                            <a:fillRect/>
                          </a:stretch>
                        </pic:blipFill>
                        <pic:spPr>
                          <a:xfrm>
                            <a:off x="0" y="0"/>
                            <a:ext cx="4129405" cy="3933190"/>
                          </a:xfrm>
                          <a:prstGeom prst="rect">
                            <a:avLst/>
                          </a:prstGeom>
                          <a:noFill/>
                          <a:ln>
                            <a:noFill/>
                          </a:ln>
                        </pic:spPr>
                      </pic:pic>
                    </a:graphicData>
                  </a:graphic>
                </wp:inline>
              </w:drawing>
            </w:r>
          </w:p>
          <w:p w14:paraId="7F413DC7">
            <w:pPr>
              <w:pStyle w:val="48"/>
              <w:spacing w:after="0"/>
              <w:rPr>
                <w:rFonts w:ascii="Times New Roman" w:cs="Times New Roman"/>
                <w:color w:val="auto"/>
                <w:szCs w:val="21"/>
                <w:highlight w:val="yellow"/>
              </w:rPr>
            </w:pPr>
            <w:r>
              <w:rPr>
                <w:color w:val="auto"/>
              </w:rPr>
              <w:t>图1-</w:t>
            </w:r>
            <w:r>
              <w:rPr>
                <w:rFonts w:hint="eastAsia"/>
                <w:color w:val="auto"/>
              </w:rPr>
              <w:t xml:space="preserve">1   </w:t>
            </w:r>
            <w:r>
              <w:rPr>
                <w:color w:val="auto"/>
              </w:rPr>
              <w:t>与环境管控单元对照分析示意图</w:t>
            </w:r>
          </w:p>
        </w:tc>
      </w:tr>
    </w:tbl>
    <w:p w14:paraId="66D46B92">
      <w:pPr>
        <w:sectPr>
          <w:footerReference r:id="rId4" w:type="default"/>
          <w:pgSz w:w="11906" w:h="16838"/>
          <w:pgMar w:top="1440" w:right="1800" w:bottom="1440" w:left="1800" w:header="851" w:footer="850" w:gutter="0"/>
          <w:pgBorders>
            <w:top w:val="none" w:sz="0" w:space="0"/>
            <w:left w:val="none" w:sz="0" w:space="0"/>
            <w:bottom w:val="none" w:sz="0" w:space="0"/>
            <w:right w:val="none" w:sz="0" w:space="0"/>
          </w:pgBorders>
          <w:pgNumType w:fmt="numberInDash" w:start="1"/>
          <w:cols w:space="720" w:num="1"/>
          <w:docGrid w:linePitch="312" w:charSpace="0"/>
        </w:sectPr>
      </w:pP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3712"/>
      </w:tblGrid>
      <w:tr w14:paraId="60A18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3" w:hRule="atLeast"/>
          <w:jc w:val="center"/>
        </w:trPr>
        <w:tc>
          <w:tcPr>
            <w:tcW w:w="135" w:type="pct"/>
            <w:noWrap w:val="0"/>
            <w:vAlign w:val="center"/>
          </w:tcPr>
          <w:p w14:paraId="58D130AD">
            <w:pPr>
              <w:pStyle w:val="50"/>
              <w:rPr>
                <w:color w:val="0000FF"/>
                <w:sz w:val="24"/>
                <w:szCs w:val="24"/>
              </w:rPr>
            </w:pPr>
            <w:r>
              <w:rPr>
                <w:color w:val="auto"/>
                <w:sz w:val="24"/>
                <w:szCs w:val="24"/>
              </w:rPr>
              <w:t>其他符合性分析</w:t>
            </w:r>
          </w:p>
        </w:tc>
        <w:tc>
          <w:tcPr>
            <w:tcW w:w="4864" w:type="pct"/>
            <w:noWrap w:val="0"/>
            <w:vAlign w:val="top"/>
          </w:tcPr>
          <w:p w14:paraId="7EB4761F">
            <w:pPr>
              <w:numPr>
                <w:ilvl w:val="0"/>
                <w:numId w:val="1"/>
              </w:numPr>
              <w:spacing w:before="120" w:beforeLines="50"/>
              <w:ind w:firstLine="480"/>
              <w:rPr>
                <w:rFonts w:hint="eastAsia"/>
                <w:color w:val="auto"/>
              </w:rPr>
            </w:pPr>
            <w:r>
              <w:rPr>
                <w:rFonts w:hint="eastAsia"/>
                <w:color w:val="auto"/>
              </w:rPr>
              <w:t>一表</w:t>
            </w:r>
          </w:p>
          <w:p w14:paraId="19B37071">
            <w:pPr>
              <w:keepNext w:val="0"/>
              <w:keepLines w:val="0"/>
              <w:pageBreakBefore w:val="0"/>
              <w:widowControl w:val="0"/>
              <w:numPr>
                <w:numId w:val="0"/>
              </w:numPr>
              <w:kinsoku/>
              <w:wordWrap/>
              <w:overflowPunct/>
              <w:topLinePunct w:val="0"/>
              <w:autoSpaceDE/>
              <w:autoSpaceDN/>
              <w:bidi w:val="0"/>
              <w:adjustRightInd/>
              <w:snapToGrid/>
              <w:spacing w:before="120" w:beforeLines="50" w:line="360" w:lineRule="auto"/>
              <w:ind w:firstLine="480" w:firstLineChars="200"/>
              <w:textAlignment w:val="auto"/>
              <w:rPr>
                <w:rFonts w:hint="eastAsia"/>
                <w:color w:val="auto"/>
              </w:rPr>
            </w:pPr>
            <w:r>
              <w:rPr>
                <w:rFonts w:hint="eastAsia" w:ascii="Times New Roman" w:hAnsi="Times New Roman" w:eastAsia="宋体" w:cs="Times New Roman"/>
                <w:color w:val="auto"/>
                <w:kern w:val="0"/>
                <w:sz w:val="24"/>
                <w:szCs w:val="20"/>
                <w:highlight w:val="none"/>
              </w:rPr>
              <w:t>本项目与“三线一单”的符合性分析如下表所示：</w:t>
            </w:r>
          </w:p>
          <w:p w14:paraId="41460A61">
            <w:pPr>
              <w:pStyle w:val="48"/>
              <w:spacing w:after="0"/>
              <w:rPr>
                <w:rFonts w:hint="eastAsia" w:ascii="Times New Roman" w:hAnsi="Times New Roman" w:eastAsia="宋体" w:cs="Times New Roman"/>
                <w:b/>
                <w:color w:val="auto"/>
              </w:rPr>
            </w:pPr>
            <w:r>
              <w:rPr>
                <w:rFonts w:hint="eastAsia" w:ascii="Times New Roman" w:hAnsi="Times New Roman" w:eastAsia="宋体" w:cs="Times New Roman"/>
                <w:b/>
                <w:color w:val="auto"/>
              </w:rPr>
              <w:t>表1-</w:t>
            </w:r>
            <w:r>
              <w:rPr>
                <w:rFonts w:hint="eastAsia" w:cs="Times New Roman"/>
                <w:b/>
                <w:color w:val="auto"/>
                <w:lang w:val="en-US" w:eastAsia="zh-CN"/>
              </w:rPr>
              <w:t>3</w:t>
            </w:r>
            <w:r>
              <w:rPr>
                <w:rFonts w:hint="eastAsia" w:ascii="Times New Roman" w:hAnsi="Times New Roman" w:eastAsia="宋体" w:cs="Times New Roman"/>
                <w:b/>
                <w:color w:val="auto"/>
              </w:rPr>
              <w:t xml:space="preserve">  </w:t>
            </w:r>
            <w:r>
              <w:rPr>
                <w:rFonts w:hint="default" w:ascii="Times New Roman" w:hAnsi="Times New Roman" w:eastAsia="宋体" w:cs="Times New Roman"/>
                <w:b/>
                <w:color w:val="auto"/>
              </w:rPr>
              <w:t>项目与《</w:t>
            </w:r>
            <w:r>
              <w:rPr>
                <w:rFonts w:hint="default" w:ascii="Times New Roman" w:hAnsi="Times New Roman" w:eastAsia="宋体" w:cs="Times New Roman"/>
                <w:b/>
                <w:color w:val="auto"/>
                <w:lang w:val="en-US"/>
              </w:rPr>
              <w:t>西安</w:t>
            </w:r>
            <w:r>
              <w:rPr>
                <w:rFonts w:hint="default" w:ascii="Times New Roman" w:hAnsi="Times New Roman" w:eastAsia="宋体" w:cs="Times New Roman"/>
                <w:b/>
                <w:color w:val="auto"/>
              </w:rPr>
              <w:t>市“三线一单”生态环境分区管控方案》相符性分析</w:t>
            </w:r>
          </w:p>
          <w:tbl>
            <w:tblPr>
              <w:tblStyle w:val="24"/>
              <w:tblW w:w="4998" w:type="pct"/>
              <w:tblInd w:w="0" w:type="dxa"/>
              <w:tblBorders>
                <w:top w:val="none" w:color="auto" w:sz="4" w:space="0"/>
                <w:left w:val="none" w:color="auto" w:sz="0" w:space="0"/>
                <w:bottom w:val="none" w:color="auto" w:sz="4" w:space="0"/>
                <w:right w:val="none" w:color="auto" w:sz="0" w:space="0"/>
                <w:insideH w:val="none" w:color="auto" w:sz="4" w:space="0"/>
                <w:insideV w:val="none" w:color="auto" w:sz="4" w:space="0"/>
              </w:tblBorders>
              <w:tblLayout w:type="autofit"/>
              <w:tblCellMar>
                <w:top w:w="0" w:type="dxa"/>
                <w:left w:w="108" w:type="dxa"/>
                <w:bottom w:w="0" w:type="dxa"/>
                <w:right w:w="108" w:type="dxa"/>
              </w:tblCellMar>
            </w:tblPr>
            <w:tblGrid>
              <w:gridCol w:w="432"/>
              <w:gridCol w:w="695"/>
              <w:gridCol w:w="433"/>
              <w:gridCol w:w="741"/>
              <w:gridCol w:w="671"/>
              <w:gridCol w:w="5736"/>
              <w:gridCol w:w="868"/>
              <w:gridCol w:w="3039"/>
              <w:gridCol w:w="876"/>
            </w:tblGrid>
            <w:tr w14:paraId="515955E0">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454" w:hRule="atLeast"/>
              </w:trPr>
              <w:tc>
                <w:tcPr>
                  <w:tcW w:w="162" w:type="pct"/>
                  <w:tcBorders>
                    <w:top w:val="single" w:color="000000" w:sz="4" w:space="0"/>
                    <w:bottom w:val="single" w:color="000000" w:sz="4" w:space="0"/>
                    <w:right w:val="single" w:color="000000" w:sz="4" w:space="0"/>
                  </w:tcBorders>
                  <w:noWrap w:val="0"/>
                  <w:vAlign w:val="center"/>
                </w:tcPr>
                <w:p w14:paraId="0C569EF3">
                  <w:pPr>
                    <w:pStyle w:val="50"/>
                    <w:rPr>
                      <w:color w:val="auto"/>
                    </w:rPr>
                  </w:pPr>
                  <w:r>
                    <w:rPr>
                      <w:rFonts w:hint="eastAsia"/>
                      <w:color w:val="auto"/>
                    </w:rPr>
                    <w:t>序号</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14:paraId="0DF6C2BB">
                  <w:pPr>
                    <w:pStyle w:val="50"/>
                    <w:rPr>
                      <w:rFonts w:hint="eastAsia"/>
                      <w:color w:val="auto"/>
                    </w:rPr>
                  </w:pPr>
                  <w:r>
                    <w:rPr>
                      <w:rFonts w:hint="eastAsia"/>
                      <w:color w:val="auto"/>
                    </w:rPr>
                    <w:t>环境管控单元</w:t>
                  </w:r>
                </w:p>
              </w:tc>
              <w:tc>
                <w:tcPr>
                  <w:tcW w:w="162" w:type="pct"/>
                  <w:tcBorders>
                    <w:top w:val="single" w:color="000000" w:sz="4" w:space="0"/>
                    <w:left w:val="single" w:color="000000" w:sz="4" w:space="0"/>
                    <w:bottom w:val="single" w:color="000000" w:sz="4" w:space="0"/>
                    <w:right w:val="single" w:color="000000" w:sz="4" w:space="0"/>
                  </w:tcBorders>
                  <w:noWrap w:val="0"/>
                  <w:vAlign w:val="center"/>
                </w:tcPr>
                <w:p w14:paraId="3F8ACF2D">
                  <w:pPr>
                    <w:pStyle w:val="50"/>
                    <w:rPr>
                      <w:color w:val="auto"/>
                    </w:rPr>
                  </w:pPr>
                  <w:r>
                    <w:rPr>
                      <w:rFonts w:hint="eastAsia"/>
                      <w:color w:val="auto"/>
                    </w:rPr>
                    <w:t>市区县</w:t>
                  </w:r>
                </w:p>
              </w:tc>
              <w:tc>
                <w:tcPr>
                  <w:tcW w:w="276" w:type="pct"/>
                  <w:tcBorders>
                    <w:top w:val="single" w:color="000000" w:sz="4" w:space="0"/>
                    <w:left w:val="single" w:color="000000" w:sz="4" w:space="0"/>
                    <w:bottom w:val="single" w:color="000000" w:sz="4" w:space="0"/>
                    <w:right w:val="single" w:color="000000" w:sz="4" w:space="0"/>
                  </w:tcBorders>
                  <w:noWrap w:val="0"/>
                  <w:vAlign w:val="center"/>
                </w:tcPr>
                <w:p w14:paraId="6755675A">
                  <w:pPr>
                    <w:pStyle w:val="50"/>
                    <w:rPr>
                      <w:rFonts w:hint="eastAsia"/>
                      <w:color w:val="auto"/>
                    </w:rPr>
                  </w:pPr>
                  <w:r>
                    <w:rPr>
                      <w:rFonts w:hint="eastAsia"/>
                      <w:color w:val="auto"/>
                    </w:rPr>
                    <w:t>单元要素属性</w:t>
                  </w:r>
                </w:p>
              </w:tc>
              <w:tc>
                <w:tcPr>
                  <w:tcW w:w="250" w:type="pct"/>
                  <w:tcBorders>
                    <w:top w:val="single" w:color="000000" w:sz="4" w:space="0"/>
                    <w:left w:val="single" w:color="000000" w:sz="4" w:space="0"/>
                    <w:bottom w:val="single" w:color="000000" w:sz="4" w:space="0"/>
                    <w:right w:val="single" w:color="000000" w:sz="4" w:space="0"/>
                  </w:tcBorders>
                  <w:noWrap w:val="0"/>
                  <w:vAlign w:val="center"/>
                </w:tcPr>
                <w:p w14:paraId="2CF70351">
                  <w:pPr>
                    <w:pStyle w:val="50"/>
                    <w:rPr>
                      <w:rFonts w:hint="eastAsia"/>
                      <w:color w:val="auto"/>
                    </w:rPr>
                  </w:pPr>
                  <w:r>
                    <w:rPr>
                      <w:rFonts w:hint="eastAsia"/>
                      <w:color w:val="auto"/>
                    </w:rPr>
                    <w:t>管控要求分类</w:t>
                  </w:r>
                </w:p>
              </w:tc>
              <w:tc>
                <w:tcPr>
                  <w:tcW w:w="2126" w:type="pct"/>
                  <w:tcBorders>
                    <w:top w:val="single" w:color="000000" w:sz="4" w:space="0"/>
                    <w:left w:val="single" w:color="000000" w:sz="4" w:space="0"/>
                    <w:bottom w:val="single" w:color="000000" w:sz="4" w:space="0"/>
                    <w:right w:val="single" w:color="000000" w:sz="4" w:space="0"/>
                  </w:tcBorders>
                  <w:noWrap w:val="0"/>
                  <w:vAlign w:val="center"/>
                </w:tcPr>
                <w:p w14:paraId="2DBBBDD1">
                  <w:pPr>
                    <w:pStyle w:val="50"/>
                    <w:rPr>
                      <w:rFonts w:hint="eastAsia"/>
                      <w:color w:val="auto"/>
                    </w:rPr>
                  </w:pPr>
                  <w:r>
                    <w:rPr>
                      <w:rFonts w:hint="eastAsia"/>
                      <w:color w:val="auto"/>
                    </w:rPr>
                    <w:t>管控要求</w:t>
                  </w:r>
                </w:p>
              </w:tc>
              <w:tc>
                <w:tcPr>
                  <w:tcW w:w="309" w:type="pct"/>
                  <w:tcBorders>
                    <w:top w:val="single" w:color="000000" w:sz="4" w:space="0"/>
                    <w:left w:val="single" w:color="000000" w:sz="4" w:space="0"/>
                    <w:bottom w:val="single" w:color="000000" w:sz="4" w:space="0"/>
                    <w:right w:val="single" w:color="000000" w:sz="4" w:space="0"/>
                  </w:tcBorders>
                  <w:noWrap w:val="0"/>
                  <w:vAlign w:val="center"/>
                </w:tcPr>
                <w:p w14:paraId="2ABAEA63">
                  <w:pPr>
                    <w:pStyle w:val="50"/>
                    <w:rPr>
                      <w:rFonts w:hint="eastAsia"/>
                      <w:color w:val="auto"/>
                    </w:rPr>
                  </w:pPr>
                  <w:r>
                    <w:rPr>
                      <w:color w:val="auto"/>
                    </w:rPr>
                    <w:t>面积</w:t>
                  </w:r>
                </w:p>
              </w:tc>
              <w:tc>
                <w:tcPr>
                  <w:tcW w:w="1127" w:type="pct"/>
                  <w:tcBorders>
                    <w:top w:val="single" w:color="000000" w:sz="4" w:space="0"/>
                    <w:left w:val="single" w:color="000000" w:sz="4" w:space="0"/>
                    <w:bottom w:val="single" w:color="000000" w:sz="4" w:space="0"/>
                    <w:right w:val="single" w:color="000000" w:sz="4" w:space="0"/>
                  </w:tcBorders>
                  <w:noWrap w:val="0"/>
                  <w:vAlign w:val="center"/>
                </w:tcPr>
                <w:p w14:paraId="760BF8FF">
                  <w:pPr>
                    <w:pStyle w:val="50"/>
                    <w:rPr>
                      <w:rFonts w:hint="eastAsia"/>
                      <w:color w:val="auto"/>
                    </w:rPr>
                  </w:pPr>
                  <w:r>
                    <w:rPr>
                      <w:rFonts w:hint="eastAsia"/>
                      <w:color w:val="auto"/>
                    </w:rPr>
                    <w:t>符合性分析</w:t>
                  </w:r>
                </w:p>
              </w:tc>
              <w:tc>
                <w:tcPr>
                  <w:tcW w:w="326" w:type="pct"/>
                  <w:tcBorders>
                    <w:top w:val="single" w:color="000000" w:sz="4" w:space="0"/>
                    <w:left w:val="single" w:color="000000" w:sz="4" w:space="0"/>
                    <w:bottom w:val="single" w:color="000000" w:sz="4" w:space="0"/>
                  </w:tcBorders>
                  <w:noWrap w:val="0"/>
                  <w:vAlign w:val="center"/>
                </w:tcPr>
                <w:p w14:paraId="41E2E9CD">
                  <w:pPr>
                    <w:pStyle w:val="50"/>
                    <w:rPr>
                      <w:color w:val="auto"/>
                    </w:rPr>
                  </w:pPr>
                  <w:r>
                    <w:rPr>
                      <w:rFonts w:hint="eastAsia"/>
                      <w:color w:val="auto"/>
                    </w:rPr>
                    <w:t>符合性</w:t>
                  </w:r>
                </w:p>
              </w:tc>
            </w:tr>
            <w:tr w14:paraId="2ADA7F91">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454" w:hRule="atLeast"/>
              </w:trPr>
              <w:tc>
                <w:tcPr>
                  <w:tcW w:w="162" w:type="pct"/>
                  <w:vMerge w:val="restart"/>
                  <w:tcBorders>
                    <w:top w:val="single" w:color="000000" w:sz="4" w:space="0"/>
                    <w:right w:val="single" w:color="000000" w:sz="4" w:space="0"/>
                  </w:tcBorders>
                  <w:noWrap w:val="0"/>
                  <w:vAlign w:val="center"/>
                </w:tcPr>
                <w:p w14:paraId="32668A4E">
                  <w:pPr>
                    <w:pStyle w:val="50"/>
                    <w:rPr>
                      <w:rFonts w:hint="eastAsia"/>
                      <w:color w:val="auto"/>
                    </w:rPr>
                  </w:pPr>
                  <w:r>
                    <w:rPr>
                      <w:rFonts w:hint="eastAsia"/>
                      <w:color w:val="auto"/>
                    </w:rPr>
                    <w:t>1</w:t>
                  </w:r>
                </w:p>
              </w:tc>
              <w:tc>
                <w:tcPr>
                  <w:tcW w:w="259" w:type="pct"/>
                  <w:vMerge w:val="restart"/>
                  <w:tcBorders>
                    <w:top w:val="single" w:color="000000" w:sz="4" w:space="0"/>
                    <w:left w:val="single" w:color="000000" w:sz="4" w:space="0"/>
                    <w:right w:val="single" w:color="000000" w:sz="4" w:space="0"/>
                  </w:tcBorders>
                  <w:noWrap w:val="0"/>
                  <w:vAlign w:val="center"/>
                </w:tcPr>
                <w:p w14:paraId="5B4631B5">
                  <w:pPr>
                    <w:pStyle w:val="50"/>
                    <w:rPr>
                      <w:rFonts w:hint="eastAsia" w:eastAsia="宋体"/>
                      <w:color w:val="auto"/>
                      <w:lang w:eastAsia="zh-CN"/>
                    </w:rPr>
                  </w:pPr>
                  <w:r>
                    <w:rPr>
                      <w:rFonts w:hint="eastAsia" w:cs="Times New Roman"/>
                      <w:b w:val="0"/>
                      <w:bCs w:val="0"/>
                      <w:color w:val="auto"/>
                      <w:sz w:val="21"/>
                      <w:szCs w:val="21"/>
                      <w:lang w:val="en-US" w:eastAsia="zh-CN" w:bidi="ar"/>
                    </w:rPr>
                    <w:t>泾河新城重点管控单元2</w:t>
                  </w:r>
                </w:p>
              </w:tc>
              <w:tc>
                <w:tcPr>
                  <w:tcW w:w="162" w:type="pct"/>
                  <w:vMerge w:val="restart"/>
                  <w:tcBorders>
                    <w:top w:val="single" w:color="000000" w:sz="4" w:space="0"/>
                    <w:left w:val="single" w:color="000000" w:sz="4" w:space="0"/>
                    <w:right w:val="single" w:color="000000" w:sz="4" w:space="0"/>
                  </w:tcBorders>
                  <w:noWrap w:val="0"/>
                  <w:vAlign w:val="center"/>
                </w:tcPr>
                <w:p w14:paraId="7EA004AF">
                  <w:pPr>
                    <w:pStyle w:val="50"/>
                    <w:rPr>
                      <w:rFonts w:hint="eastAsia"/>
                      <w:color w:val="auto"/>
                    </w:rPr>
                  </w:pPr>
                  <w:r>
                    <w:rPr>
                      <w:rFonts w:hint="eastAsia"/>
                      <w:color w:val="auto"/>
                      <w:lang w:val="en-US" w:eastAsia="zh-CN"/>
                    </w:rPr>
                    <w:t>西安市</w:t>
                  </w:r>
                  <w:r>
                    <w:rPr>
                      <w:rFonts w:hint="eastAsia"/>
                      <w:color w:val="auto"/>
                    </w:rPr>
                    <w:t>西咸新区</w:t>
                  </w:r>
                </w:p>
              </w:tc>
              <w:tc>
                <w:tcPr>
                  <w:tcW w:w="276" w:type="pct"/>
                  <w:vMerge w:val="restart"/>
                  <w:tcBorders>
                    <w:top w:val="single" w:color="000000" w:sz="4" w:space="0"/>
                    <w:left w:val="single" w:color="000000" w:sz="4" w:space="0"/>
                    <w:right w:val="single" w:color="000000" w:sz="4" w:space="0"/>
                  </w:tcBorders>
                  <w:noWrap w:val="0"/>
                  <w:vAlign w:val="center"/>
                </w:tcPr>
                <w:p w14:paraId="1EA1EB5E">
                  <w:pPr>
                    <w:widowControl/>
                    <w:adjustRightInd w:val="0"/>
                    <w:snapToGrid w:val="0"/>
                    <w:spacing w:line="240" w:lineRule="auto"/>
                    <w:ind w:firstLine="0" w:firstLineChars="0"/>
                    <w:jc w:val="center"/>
                    <w:rPr>
                      <w:rFonts w:hint="eastAsia"/>
                      <w:color w:val="auto"/>
                    </w:rPr>
                  </w:pPr>
                  <w:r>
                    <w:rPr>
                      <w:rFonts w:hint="eastAsia" w:ascii="宋体" w:hAnsi="宋体" w:cs="宋体"/>
                      <w:color w:val="auto"/>
                      <w:kern w:val="0"/>
                      <w:sz w:val="21"/>
                      <w:szCs w:val="21"/>
                      <w:lang w:bidi="ar"/>
                    </w:rPr>
                    <w:t>大气环境受体敏感重点管控区、水环境城镇生活污染重点管控区、高污染燃料禁燃区</w:t>
                  </w:r>
                </w:p>
              </w:tc>
              <w:tc>
                <w:tcPr>
                  <w:tcW w:w="250" w:type="pct"/>
                  <w:tcBorders>
                    <w:top w:val="single" w:color="000000" w:sz="4" w:space="0"/>
                    <w:left w:val="single" w:color="000000" w:sz="4" w:space="0"/>
                    <w:bottom w:val="single" w:color="000000" w:sz="4" w:space="0"/>
                    <w:right w:val="single" w:color="000000" w:sz="4" w:space="0"/>
                  </w:tcBorders>
                  <w:noWrap w:val="0"/>
                  <w:vAlign w:val="center"/>
                </w:tcPr>
                <w:p w14:paraId="09484BFC">
                  <w:pPr>
                    <w:pStyle w:val="50"/>
                    <w:rPr>
                      <w:rFonts w:hint="eastAsia"/>
                      <w:color w:val="auto"/>
                    </w:rPr>
                  </w:pPr>
                  <w:r>
                    <w:rPr>
                      <w:rFonts w:hint="eastAsia"/>
                      <w:color w:val="auto"/>
                    </w:rPr>
                    <w:t>空间布局约束</w:t>
                  </w:r>
                </w:p>
              </w:tc>
              <w:tc>
                <w:tcPr>
                  <w:tcW w:w="2126" w:type="pct"/>
                  <w:tcBorders>
                    <w:top w:val="single" w:color="000000" w:sz="4" w:space="0"/>
                    <w:left w:val="single" w:color="000000" w:sz="4" w:space="0"/>
                    <w:bottom w:val="single" w:color="000000" w:sz="4" w:space="0"/>
                    <w:right w:val="single" w:color="000000" w:sz="4" w:space="0"/>
                  </w:tcBorders>
                  <w:noWrap w:val="0"/>
                  <w:vAlign w:val="center"/>
                </w:tcPr>
                <w:p w14:paraId="6A4A24AE">
                  <w:pPr>
                    <w:widowControl/>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大气环境受体敏感重点管控区：</w:t>
                  </w:r>
                </w:p>
                <w:p w14:paraId="7211CD9A">
                  <w:pPr>
                    <w:widowControl/>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1.严格控制新增《陕西省“两高”项目管理暂行目录》行业项目（民生等项目除外，后续对“两高”范围国家如有新规定的，从其规定）。</w:t>
                  </w:r>
                </w:p>
                <w:p w14:paraId="0A0EF5A3">
                  <w:pPr>
                    <w:widowControl/>
                    <w:adjustRightInd w:val="0"/>
                    <w:snapToGrid w:val="0"/>
                    <w:spacing w:line="240" w:lineRule="auto"/>
                    <w:ind w:firstLine="0" w:firstLineChars="0"/>
                    <w:jc w:val="left"/>
                    <w:rPr>
                      <w:color w:val="auto"/>
                      <w:sz w:val="21"/>
                      <w:szCs w:val="21"/>
                    </w:rPr>
                  </w:pPr>
                  <w:r>
                    <w:rPr>
                      <w:color w:val="auto"/>
                      <w:kern w:val="0"/>
                      <w:sz w:val="21"/>
                      <w:szCs w:val="21"/>
                      <w:lang w:bidi="ar"/>
                    </w:rPr>
                    <w:t>2.推动重污染企业搬迁入园或依法关闭。</w:t>
                  </w:r>
                </w:p>
              </w:tc>
              <w:tc>
                <w:tcPr>
                  <w:tcW w:w="309" w:type="pct"/>
                  <w:vMerge w:val="restart"/>
                  <w:tcBorders>
                    <w:top w:val="single" w:color="000000" w:sz="4" w:space="0"/>
                    <w:left w:val="single" w:color="000000" w:sz="4" w:space="0"/>
                    <w:bottom w:val="single" w:color="000000" w:sz="4" w:space="0"/>
                    <w:right w:val="single" w:color="000000" w:sz="4" w:space="0"/>
                  </w:tcBorders>
                  <w:noWrap w:val="0"/>
                  <w:vAlign w:val="center"/>
                </w:tcPr>
                <w:p w14:paraId="063E0F04">
                  <w:pPr>
                    <w:pStyle w:val="50"/>
                    <w:rPr>
                      <w:color w:val="auto"/>
                    </w:rPr>
                  </w:pPr>
                  <w:r>
                    <w:rPr>
                      <w:rFonts w:hint="eastAsia"/>
                      <w:color w:val="auto"/>
                      <w:lang w:val="en-US" w:eastAsia="zh-CN"/>
                    </w:rPr>
                    <w:t>3688</w:t>
                  </w:r>
                  <w:r>
                    <w:rPr>
                      <w:rFonts w:hint="eastAsia"/>
                      <w:color w:val="auto"/>
                    </w:rPr>
                    <w:t>m</w:t>
                  </w:r>
                  <w:r>
                    <w:rPr>
                      <w:rFonts w:hint="eastAsia"/>
                      <w:color w:val="auto"/>
                      <w:vertAlign w:val="superscript"/>
                    </w:rPr>
                    <w:t>2</w:t>
                  </w:r>
                </w:p>
              </w:tc>
              <w:tc>
                <w:tcPr>
                  <w:tcW w:w="1127" w:type="pct"/>
                  <w:tcBorders>
                    <w:top w:val="single" w:color="000000" w:sz="4" w:space="0"/>
                    <w:left w:val="single" w:color="000000" w:sz="4" w:space="0"/>
                    <w:bottom w:val="single" w:color="000000" w:sz="4" w:space="0"/>
                    <w:right w:val="single" w:color="000000" w:sz="4" w:space="0"/>
                  </w:tcBorders>
                  <w:noWrap w:val="0"/>
                  <w:vAlign w:val="center"/>
                </w:tcPr>
                <w:p w14:paraId="0F7FE41C">
                  <w:pPr>
                    <w:pStyle w:val="50"/>
                    <w:numPr>
                      <w:ilvl w:val="0"/>
                      <w:numId w:val="2"/>
                    </w:numPr>
                    <w:jc w:val="left"/>
                    <w:rPr>
                      <w:rFonts w:hint="eastAsia"/>
                      <w:color w:val="auto"/>
                      <w:kern w:val="0"/>
                      <w:lang w:bidi="ar"/>
                    </w:rPr>
                  </w:pPr>
                  <w:r>
                    <w:rPr>
                      <w:rFonts w:hint="eastAsia"/>
                      <w:color w:val="auto"/>
                    </w:rPr>
                    <w:t>本项目不属于</w:t>
                  </w:r>
                  <w:r>
                    <w:rPr>
                      <w:color w:val="auto"/>
                      <w:kern w:val="0"/>
                      <w:lang w:bidi="ar"/>
                    </w:rPr>
                    <w:t>《陕西省“两高”项目管理暂行目录》</w:t>
                  </w:r>
                  <w:r>
                    <w:rPr>
                      <w:rFonts w:hint="eastAsia"/>
                      <w:color w:val="auto"/>
                      <w:kern w:val="0"/>
                      <w:lang w:bidi="ar"/>
                    </w:rPr>
                    <w:t>内项目；</w:t>
                  </w:r>
                </w:p>
                <w:p w14:paraId="4C6D9C83">
                  <w:pPr>
                    <w:pStyle w:val="50"/>
                    <w:numPr>
                      <w:ilvl w:val="0"/>
                      <w:numId w:val="2"/>
                    </w:numPr>
                    <w:jc w:val="both"/>
                    <w:rPr>
                      <w:color w:val="auto"/>
                      <w:kern w:val="0"/>
                      <w:lang w:bidi="ar"/>
                    </w:rPr>
                  </w:pPr>
                  <w:r>
                    <w:rPr>
                      <w:rFonts w:hint="eastAsia"/>
                      <w:color w:val="auto"/>
                      <w:kern w:val="0"/>
                      <w:lang w:bidi="ar"/>
                    </w:rPr>
                    <w:t>本项目</w:t>
                  </w:r>
                  <w:r>
                    <w:rPr>
                      <w:rFonts w:hint="eastAsia"/>
                      <w:color w:val="auto"/>
                    </w:rPr>
                    <w:t>不属于重污染企业。</w:t>
                  </w:r>
                </w:p>
              </w:tc>
              <w:tc>
                <w:tcPr>
                  <w:tcW w:w="326" w:type="pct"/>
                  <w:tcBorders>
                    <w:top w:val="single" w:color="000000" w:sz="4" w:space="0"/>
                    <w:left w:val="single" w:color="000000" w:sz="4" w:space="0"/>
                    <w:bottom w:val="single" w:color="000000" w:sz="4" w:space="0"/>
                  </w:tcBorders>
                  <w:noWrap w:val="0"/>
                  <w:vAlign w:val="center"/>
                </w:tcPr>
                <w:p w14:paraId="0EE47E20">
                  <w:pPr>
                    <w:pStyle w:val="50"/>
                    <w:rPr>
                      <w:rFonts w:hint="eastAsia"/>
                      <w:color w:val="auto"/>
                    </w:rPr>
                  </w:pPr>
                  <w:r>
                    <w:rPr>
                      <w:rFonts w:hint="eastAsia"/>
                      <w:color w:val="auto"/>
                    </w:rPr>
                    <w:t>符合</w:t>
                  </w:r>
                </w:p>
              </w:tc>
            </w:tr>
            <w:tr w14:paraId="25CE135F">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77" w:hRule="atLeast"/>
              </w:trPr>
              <w:tc>
                <w:tcPr>
                  <w:tcW w:w="162" w:type="pct"/>
                  <w:vMerge w:val="continue"/>
                  <w:tcBorders>
                    <w:right w:val="single" w:color="000000" w:sz="4" w:space="0"/>
                  </w:tcBorders>
                  <w:noWrap w:val="0"/>
                  <w:vAlign w:val="center"/>
                </w:tcPr>
                <w:p w14:paraId="78439C2C">
                  <w:pPr>
                    <w:pStyle w:val="50"/>
                    <w:rPr>
                      <w:rFonts w:hint="eastAsia"/>
                      <w:color w:val="auto"/>
                    </w:rPr>
                  </w:pPr>
                </w:p>
              </w:tc>
              <w:tc>
                <w:tcPr>
                  <w:tcW w:w="259" w:type="pct"/>
                  <w:vMerge w:val="continue"/>
                  <w:tcBorders>
                    <w:left w:val="single" w:color="000000" w:sz="4" w:space="0"/>
                    <w:right w:val="single" w:color="000000" w:sz="4" w:space="0"/>
                  </w:tcBorders>
                  <w:noWrap w:val="0"/>
                  <w:vAlign w:val="center"/>
                </w:tcPr>
                <w:p w14:paraId="48DCBAEF">
                  <w:pPr>
                    <w:pStyle w:val="50"/>
                    <w:rPr>
                      <w:color w:val="auto"/>
                    </w:rPr>
                  </w:pPr>
                </w:p>
              </w:tc>
              <w:tc>
                <w:tcPr>
                  <w:tcW w:w="162" w:type="pct"/>
                  <w:vMerge w:val="continue"/>
                  <w:tcBorders>
                    <w:left w:val="single" w:color="000000" w:sz="4" w:space="0"/>
                    <w:right w:val="single" w:color="000000" w:sz="4" w:space="0"/>
                  </w:tcBorders>
                  <w:noWrap w:val="0"/>
                  <w:vAlign w:val="center"/>
                </w:tcPr>
                <w:p w14:paraId="70830659">
                  <w:pPr>
                    <w:pStyle w:val="50"/>
                    <w:rPr>
                      <w:color w:val="auto"/>
                    </w:rPr>
                  </w:pPr>
                </w:p>
              </w:tc>
              <w:tc>
                <w:tcPr>
                  <w:tcW w:w="276" w:type="pct"/>
                  <w:vMerge w:val="continue"/>
                  <w:tcBorders>
                    <w:left w:val="single" w:color="000000" w:sz="4" w:space="0"/>
                    <w:right w:val="single" w:color="000000" w:sz="4" w:space="0"/>
                  </w:tcBorders>
                  <w:noWrap w:val="0"/>
                  <w:vAlign w:val="center"/>
                </w:tcPr>
                <w:p w14:paraId="6E7A48BE">
                  <w:pPr>
                    <w:pStyle w:val="50"/>
                    <w:rPr>
                      <w:color w:val="auto"/>
                    </w:rPr>
                  </w:pPr>
                </w:p>
              </w:tc>
              <w:tc>
                <w:tcPr>
                  <w:tcW w:w="250" w:type="pct"/>
                  <w:tcBorders>
                    <w:top w:val="single" w:color="000000" w:sz="4" w:space="0"/>
                    <w:left w:val="single" w:color="000000" w:sz="4" w:space="0"/>
                    <w:bottom w:val="single" w:color="000000" w:sz="4" w:space="0"/>
                    <w:right w:val="single" w:color="000000" w:sz="4" w:space="0"/>
                  </w:tcBorders>
                  <w:noWrap w:val="0"/>
                  <w:vAlign w:val="center"/>
                </w:tcPr>
                <w:p w14:paraId="0D414800">
                  <w:pPr>
                    <w:pStyle w:val="50"/>
                    <w:rPr>
                      <w:color w:val="auto"/>
                    </w:rPr>
                  </w:pPr>
                  <w:r>
                    <w:rPr>
                      <w:rFonts w:hint="eastAsia"/>
                      <w:color w:val="auto"/>
                    </w:rPr>
                    <w:t>污染物排放管控</w:t>
                  </w:r>
                </w:p>
              </w:tc>
              <w:tc>
                <w:tcPr>
                  <w:tcW w:w="2126" w:type="pct"/>
                  <w:tcBorders>
                    <w:top w:val="single" w:color="000000" w:sz="4" w:space="0"/>
                    <w:left w:val="single" w:color="000000" w:sz="4" w:space="0"/>
                    <w:bottom w:val="single" w:color="000000" w:sz="4" w:space="0"/>
                    <w:right w:val="single" w:color="000000" w:sz="4" w:space="0"/>
                  </w:tcBorders>
                  <w:noWrap w:val="0"/>
                  <w:vAlign w:val="center"/>
                </w:tcPr>
                <w:p w14:paraId="184E6738">
                  <w:pPr>
                    <w:widowControl/>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大气环境受体敏感重点管控区：</w:t>
                  </w:r>
                </w:p>
                <w:p w14:paraId="2A6C6E72">
                  <w:pPr>
                    <w:widowControl/>
                    <w:numPr>
                      <w:ilvl w:val="0"/>
                      <w:numId w:val="3"/>
                    </w:numPr>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城市建成区产生油烟的餐饮服务单位全部安装油烟净化装置并保持正常运行和定期维护。</w:t>
                  </w:r>
                </w:p>
                <w:p w14:paraId="309AA223">
                  <w:pPr>
                    <w:widowControl/>
                    <w:numPr>
                      <w:ilvl w:val="0"/>
                      <w:numId w:val="3"/>
                    </w:numPr>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持续因地制宜实施“煤改气”、“油改气”、电能、地热、生物质等清洁能源取暖措施。</w:t>
                  </w:r>
                </w:p>
                <w:p w14:paraId="68D5A888">
                  <w:pPr>
                    <w:widowControl/>
                    <w:numPr>
                      <w:ilvl w:val="0"/>
                      <w:numId w:val="3"/>
                    </w:numPr>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鼓励将老旧车辆和非道路移动机械替换为清洁能源车辆。推进新能源或清洁能源汽车使用。</w:t>
                  </w:r>
                </w:p>
                <w:p w14:paraId="71B01CB3">
                  <w:pPr>
                    <w:widowControl/>
                    <w:numPr>
                      <w:ilvl w:val="0"/>
                      <w:numId w:val="3"/>
                    </w:numPr>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位于大气污染防治重点区域的汾渭平原，特别排放限值行业（钢铁、水泥、焦化、石化、化工、有色等行业）现有企业全面执行二氧化硫、氮氧化物、颗粒物、挥发性有机物（VOCs）特别排放限值。</w:t>
                  </w:r>
                </w:p>
                <w:p w14:paraId="7FCFEDCE">
                  <w:pPr>
                    <w:widowControl/>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水环境城镇生活污染重点管控区：</w:t>
                  </w:r>
                </w:p>
                <w:p w14:paraId="3B98BC28">
                  <w:pPr>
                    <w:widowControl/>
                    <w:numPr>
                      <w:ilvl w:val="0"/>
                      <w:numId w:val="4"/>
                    </w:numPr>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加强城镇污水收集处理设施建设与提标改造。全省黄河流域城镇生活污水处理达到《陕西省黄河流域污水综合排放标准》（DB61/224-2018）排放限值要求。</w:t>
                  </w:r>
                </w:p>
                <w:p w14:paraId="4E3FF65B">
                  <w:pPr>
                    <w:widowControl/>
                    <w:numPr>
                      <w:ilvl w:val="0"/>
                      <w:numId w:val="4"/>
                    </w:numPr>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城镇新区管网建设及老旧城区管网升级改造中实行雨污分流，鼓励推进初期雨水收集、处理和资源化利用，建设人工湿地水质净化工程，对处理达标后的尾水进一步净化。</w:t>
                  </w:r>
                </w:p>
                <w:p w14:paraId="2288E10E">
                  <w:pPr>
                    <w:widowControl/>
                    <w:numPr>
                      <w:ilvl w:val="0"/>
                      <w:numId w:val="4"/>
                    </w:numPr>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污水处理厂出水用于绿化、农灌等用途的，合理确定管控要求，确保达到相应污水再生利用标准。</w:t>
                  </w:r>
                </w:p>
                <w:p w14:paraId="2BD15926">
                  <w:pPr>
                    <w:widowControl/>
                    <w:adjustRightInd w:val="0"/>
                    <w:snapToGrid w:val="0"/>
                    <w:spacing w:line="240" w:lineRule="auto"/>
                    <w:ind w:firstLine="0" w:firstLineChars="0"/>
                    <w:jc w:val="left"/>
                    <w:rPr>
                      <w:color w:val="auto"/>
                      <w:sz w:val="21"/>
                      <w:szCs w:val="21"/>
                    </w:rPr>
                  </w:pPr>
                  <w:r>
                    <w:rPr>
                      <w:color w:val="auto"/>
                      <w:kern w:val="0"/>
                      <w:sz w:val="21"/>
                      <w:szCs w:val="21"/>
                      <w:lang w:bidi="ar"/>
                    </w:rPr>
                    <w:t>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30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66E604">
                  <w:pPr>
                    <w:pStyle w:val="50"/>
                    <w:rPr>
                      <w:color w:val="auto"/>
                    </w:rPr>
                  </w:pPr>
                </w:p>
              </w:tc>
              <w:tc>
                <w:tcPr>
                  <w:tcW w:w="1127" w:type="pct"/>
                  <w:tcBorders>
                    <w:top w:val="single" w:color="000000" w:sz="4" w:space="0"/>
                    <w:left w:val="single" w:color="000000" w:sz="4" w:space="0"/>
                    <w:bottom w:val="single" w:color="000000" w:sz="4" w:space="0"/>
                    <w:right w:val="single" w:color="000000" w:sz="4" w:space="0"/>
                  </w:tcBorders>
                  <w:noWrap w:val="0"/>
                  <w:vAlign w:val="center"/>
                </w:tcPr>
                <w:p w14:paraId="777864D1">
                  <w:pPr>
                    <w:overflowPunct w:val="0"/>
                    <w:topLinePunct/>
                    <w:adjustRightInd w:val="0"/>
                    <w:snapToGrid w:val="0"/>
                    <w:spacing w:line="240" w:lineRule="auto"/>
                    <w:ind w:firstLine="0" w:firstLineChars="0"/>
                    <w:rPr>
                      <w:color w:val="auto"/>
                      <w:sz w:val="21"/>
                      <w:szCs w:val="21"/>
                    </w:rPr>
                  </w:pPr>
                  <w:r>
                    <w:rPr>
                      <w:color w:val="auto"/>
                      <w:sz w:val="21"/>
                      <w:szCs w:val="21"/>
                    </w:rPr>
                    <w:t>大气环境受体敏感重点管控区：</w:t>
                  </w:r>
                </w:p>
                <w:p w14:paraId="7B2D9233">
                  <w:pPr>
                    <w:numPr>
                      <w:ilvl w:val="0"/>
                      <w:numId w:val="5"/>
                    </w:numPr>
                    <w:overflowPunct w:val="0"/>
                    <w:topLinePunct/>
                    <w:adjustRightInd w:val="0"/>
                    <w:snapToGrid w:val="0"/>
                    <w:spacing w:line="240" w:lineRule="auto"/>
                    <w:ind w:firstLine="0" w:firstLineChars="0"/>
                    <w:jc w:val="left"/>
                    <w:rPr>
                      <w:rFonts w:hint="eastAsia"/>
                      <w:color w:val="auto"/>
                      <w:sz w:val="21"/>
                      <w:szCs w:val="21"/>
                      <w:lang w:bidi="ar"/>
                    </w:rPr>
                  </w:pPr>
                  <w:r>
                    <w:rPr>
                      <w:rFonts w:hint="eastAsia"/>
                      <w:color w:val="auto"/>
                      <w:sz w:val="21"/>
                      <w:szCs w:val="21"/>
                      <w:lang w:bidi="ar"/>
                    </w:rPr>
                    <w:t>本项目非餐饮服务单位；</w:t>
                  </w:r>
                </w:p>
                <w:p w14:paraId="2E2E967D">
                  <w:pPr>
                    <w:pStyle w:val="50"/>
                    <w:numPr>
                      <w:ilvl w:val="0"/>
                      <w:numId w:val="5"/>
                    </w:numPr>
                    <w:jc w:val="left"/>
                    <w:rPr>
                      <w:rFonts w:hint="eastAsia"/>
                      <w:color w:val="auto"/>
                    </w:rPr>
                  </w:pPr>
                  <w:r>
                    <w:rPr>
                      <w:rFonts w:hint="eastAsia"/>
                      <w:color w:val="auto"/>
                    </w:rPr>
                    <w:t>本项目采暖采用电能；</w:t>
                  </w:r>
                </w:p>
                <w:p w14:paraId="26AE7BB1">
                  <w:pPr>
                    <w:pStyle w:val="50"/>
                    <w:numPr>
                      <w:ilvl w:val="0"/>
                      <w:numId w:val="5"/>
                    </w:numPr>
                    <w:jc w:val="left"/>
                    <w:rPr>
                      <w:color w:val="auto"/>
                    </w:rPr>
                  </w:pPr>
                  <w:r>
                    <w:rPr>
                      <w:rFonts w:hint="eastAsia"/>
                      <w:color w:val="auto"/>
                    </w:rPr>
                    <w:t>本项目</w:t>
                  </w:r>
                  <w:r>
                    <w:rPr>
                      <w:rFonts w:hint="eastAsia"/>
                      <w:color w:val="auto"/>
                      <w:lang w:val="en-US" w:eastAsia="zh-CN"/>
                    </w:rPr>
                    <w:t>不使用车辆及</w:t>
                  </w:r>
                  <w:r>
                    <w:rPr>
                      <w:color w:val="auto"/>
                      <w:kern w:val="0"/>
                      <w:sz w:val="21"/>
                      <w:szCs w:val="21"/>
                      <w:lang w:bidi="ar"/>
                    </w:rPr>
                    <w:t>非道路移动机械</w:t>
                  </w:r>
                  <w:r>
                    <w:rPr>
                      <w:rFonts w:hint="eastAsia"/>
                      <w:color w:val="auto"/>
                    </w:rPr>
                    <w:t>；</w:t>
                  </w:r>
                </w:p>
                <w:p w14:paraId="02F290D7">
                  <w:pPr>
                    <w:pStyle w:val="50"/>
                    <w:jc w:val="left"/>
                    <w:rPr>
                      <w:color w:val="auto"/>
                    </w:rPr>
                  </w:pPr>
                  <w:r>
                    <w:rPr>
                      <w:rFonts w:hint="eastAsia"/>
                      <w:color w:val="auto"/>
                    </w:rPr>
                    <w:t>4、本项目不属于</w:t>
                  </w:r>
                  <w:r>
                    <w:rPr>
                      <w:color w:val="auto"/>
                    </w:rPr>
                    <w:t>钢铁、水泥、焦化、石化、化工、有色等行业</w:t>
                  </w:r>
                  <w:r>
                    <w:rPr>
                      <w:rFonts w:hint="eastAsia"/>
                      <w:color w:val="auto"/>
                    </w:rPr>
                    <w:t>等特别排放限值行业；</w:t>
                  </w:r>
                </w:p>
                <w:p w14:paraId="42444569">
                  <w:pPr>
                    <w:overflowPunct w:val="0"/>
                    <w:topLinePunct/>
                    <w:adjustRightInd w:val="0"/>
                    <w:snapToGrid w:val="0"/>
                    <w:spacing w:line="240" w:lineRule="auto"/>
                    <w:ind w:firstLine="0" w:firstLineChars="0"/>
                    <w:rPr>
                      <w:color w:val="auto"/>
                      <w:sz w:val="21"/>
                      <w:szCs w:val="21"/>
                    </w:rPr>
                  </w:pPr>
                  <w:r>
                    <w:rPr>
                      <w:color w:val="auto"/>
                      <w:sz w:val="21"/>
                      <w:szCs w:val="21"/>
                    </w:rPr>
                    <w:t>水环境城镇生活污染重点管控区：</w:t>
                  </w:r>
                </w:p>
                <w:p w14:paraId="258E856A">
                  <w:pPr>
                    <w:numPr>
                      <w:ilvl w:val="0"/>
                      <w:numId w:val="6"/>
                    </w:numPr>
                    <w:overflowPunct w:val="0"/>
                    <w:topLinePunct/>
                    <w:adjustRightInd w:val="0"/>
                    <w:snapToGrid w:val="0"/>
                    <w:spacing w:line="240" w:lineRule="auto"/>
                    <w:ind w:firstLine="0" w:firstLineChars="0"/>
                    <w:rPr>
                      <w:rFonts w:hint="eastAsia"/>
                      <w:color w:val="auto"/>
                      <w:sz w:val="21"/>
                      <w:szCs w:val="21"/>
                    </w:rPr>
                  </w:pPr>
                  <w:r>
                    <w:rPr>
                      <w:rFonts w:hint="eastAsia"/>
                      <w:color w:val="auto"/>
                      <w:kern w:val="0"/>
                      <w:sz w:val="21"/>
                      <w:szCs w:val="21"/>
                      <w:lang w:bidi="ar"/>
                    </w:rPr>
                    <w:t>本项目无废水排放</w:t>
                  </w:r>
                  <w:r>
                    <w:rPr>
                      <w:rFonts w:hint="eastAsia"/>
                      <w:color w:val="auto"/>
                      <w:sz w:val="21"/>
                      <w:szCs w:val="21"/>
                    </w:rPr>
                    <w:t>；</w:t>
                  </w:r>
                </w:p>
                <w:p w14:paraId="075C6AD5">
                  <w:pPr>
                    <w:overflowPunct w:val="0"/>
                    <w:topLinePunct/>
                    <w:spacing w:line="240" w:lineRule="auto"/>
                    <w:ind w:firstLine="0" w:firstLineChars="0"/>
                    <w:jc w:val="left"/>
                    <w:rPr>
                      <w:rFonts w:hint="eastAsia"/>
                      <w:color w:val="auto"/>
                      <w:sz w:val="21"/>
                      <w:szCs w:val="21"/>
                    </w:rPr>
                  </w:pPr>
                  <w:r>
                    <w:rPr>
                      <w:rFonts w:hint="eastAsia"/>
                      <w:color w:val="auto"/>
                      <w:sz w:val="21"/>
                      <w:szCs w:val="21"/>
                    </w:rPr>
                    <w:t>2、本项目非管网建设项目；</w:t>
                  </w:r>
                </w:p>
                <w:p w14:paraId="6FC9E742">
                  <w:pPr>
                    <w:overflowPunct w:val="0"/>
                    <w:topLinePunct/>
                    <w:spacing w:line="240" w:lineRule="auto"/>
                    <w:ind w:firstLine="0" w:firstLineChars="0"/>
                    <w:jc w:val="left"/>
                    <w:rPr>
                      <w:rFonts w:hint="eastAsia"/>
                      <w:color w:val="auto"/>
                      <w:sz w:val="21"/>
                      <w:szCs w:val="21"/>
                    </w:rPr>
                  </w:pPr>
                  <w:r>
                    <w:rPr>
                      <w:rFonts w:hint="eastAsia"/>
                      <w:color w:val="auto"/>
                      <w:sz w:val="21"/>
                      <w:szCs w:val="21"/>
                    </w:rPr>
                    <w:t>3、本项目非污水处理厂项目；</w:t>
                  </w:r>
                </w:p>
                <w:p w14:paraId="1C52057D">
                  <w:pPr>
                    <w:overflowPunct w:val="0"/>
                    <w:topLinePunct/>
                    <w:spacing w:line="240" w:lineRule="auto"/>
                    <w:ind w:firstLine="0" w:firstLineChars="0"/>
                    <w:jc w:val="left"/>
                    <w:rPr>
                      <w:color w:val="auto"/>
                      <w:sz w:val="21"/>
                      <w:szCs w:val="21"/>
                    </w:rPr>
                  </w:pPr>
                  <w:r>
                    <w:rPr>
                      <w:rFonts w:hint="eastAsia"/>
                      <w:color w:val="auto"/>
                      <w:sz w:val="21"/>
                      <w:szCs w:val="21"/>
                    </w:rPr>
                    <w:t>4、本项目非</w:t>
                  </w:r>
                  <w:r>
                    <w:rPr>
                      <w:color w:val="auto"/>
                      <w:sz w:val="21"/>
                      <w:szCs w:val="21"/>
                    </w:rPr>
                    <w:t>城镇污水收集处理设施建设与提标改造</w:t>
                  </w:r>
                  <w:r>
                    <w:rPr>
                      <w:rFonts w:hint="eastAsia"/>
                      <w:color w:val="auto"/>
                      <w:sz w:val="21"/>
                      <w:szCs w:val="21"/>
                    </w:rPr>
                    <w:t>项目。</w:t>
                  </w:r>
                </w:p>
              </w:tc>
              <w:tc>
                <w:tcPr>
                  <w:tcW w:w="326" w:type="pct"/>
                  <w:tcBorders>
                    <w:top w:val="single" w:color="000000" w:sz="4" w:space="0"/>
                    <w:left w:val="single" w:color="000000" w:sz="4" w:space="0"/>
                    <w:bottom w:val="single" w:color="000000" w:sz="4" w:space="0"/>
                  </w:tcBorders>
                  <w:noWrap w:val="0"/>
                  <w:vAlign w:val="center"/>
                </w:tcPr>
                <w:p w14:paraId="1BDD6A31">
                  <w:pPr>
                    <w:pStyle w:val="50"/>
                    <w:rPr>
                      <w:rFonts w:hint="eastAsia"/>
                      <w:color w:val="auto"/>
                    </w:rPr>
                  </w:pPr>
                  <w:r>
                    <w:rPr>
                      <w:rFonts w:hint="eastAsia"/>
                      <w:color w:val="auto"/>
                    </w:rPr>
                    <w:t>符合</w:t>
                  </w:r>
                </w:p>
              </w:tc>
            </w:tr>
            <w:tr w14:paraId="2CC57E61">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454" w:hRule="atLeast"/>
              </w:trPr>
              <w:tc>
                <w:tcPr>
                  <w:tcW w:w="162" w:type="pct"/>
                  <w:vMerge w:val="continue"/>
                  <w:tcBorders>
                    <w:right w:val="single" w:color="000000" w:sz="4" w:space="0"/>
                  </w:tcBorders>
                  <w:noWrap w:val="0"/>
                  <w:vAlign w:val="center"/>
                </w:tcPr>
                <w:p w14:paraId="7048C096">
                  <w:pPr>
                    <w:pStyle w:val="50"/>
                    <w:rPr>
                      <w:rFonts w:hint="eastAsia"/>
                      <w:color w:val="0000FF"/>
                    </w:rPr>
                  </w:pPr>
                </w:p>
              </w:tc>
              <w:tc>
                <w:tcPr>
                  <w:tcW w:w="259" w:type="pct"/>
                  <w:vMerge w:val="continue"/>
                  <w:tcBorders>
                    <w:left w:val="single" w:color="000000" w:sz="4" w:space="0"/>
                    <w:right w:val="single" w:color="000000" w:sz="4" w:space="0"/>
                  </w:tcBorders>
                  <w:noWrap w:val="0"/>
                  <w:vAlign w:val="center"/>
                </w:tcPr>
                <w:p w14:paraId="1900AE3A">
                  <w:pPr>
                    <w:pStyle w:val="50"/>
                    <w:rPr>
                      <w:color w:val="0000FF"/>
                    </w:rPr>
                  </w:pPr>
                </w:p>
              </w:tc>
              <w:tc>
                <w:tcPr>
                  <w:tcW w:w="162" w:type="pct"/>
                  <w:vMerge w:val="continue"/>
                  <w:tcBorders>
                    <w:left w:val="single" w:color="000000" w:sz="4" w:space="0"/>
                    <w:right w:val="single" w:color="000000" w:sz="4" w:space="0"/>
                  </w:tcBorders>
                  <w:noWrap w:val="0"/>
                  <w:vAlign w:val="center"/>
                </w:tcPr>
                <w:p w14:paraId="6DC6BC26">
                  <w:pPr>
                    <w:pStyle w:val="50"/>
                    <w:rPr>
                      <w:color w:val="0000FF"/>
                    </w:rPr>
                  </w:pPr>
                </w:p>
              </w:tc>
              <w:tc>
                <w:tcPr>
                  <w:tcW w:w="276" w:type="pct"/>
                  <w:vMerge w:val="continue"/>
                  <w:tcBorders>
                    <w:left w:val="single" w:color="000000" w:sz="4" w:space="0"/>
                    <w:right w:val="single" w:color="000000" w:sz="4" w:space="0"/>
                  </w:tcBorders>
                  <w:noWrap w:val="0"/>
                  <w:vAlign w:val="center"/>
                </w:tcPr>
                <w:p w14:paraId="2587407E">
                  <w:pPr>
                    <w:pStyle w:val="50"/>
                    <w:rPr>
                      <w:color w:val="0000FF"/>
                    </w:rPr>
                  </w:pPr>
                </w:p>
              </w:tc>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00D9DC">
                  <w:pPr>
                    <w:pStyle w:val="50"/>
                    <w:rPr>
                      <w:color w:val="auto"/>
                    </w:rPr>
                  </w:pPr>
                  <w:r>
                    <w:rPr>
                      <w:rFonts w:hint="eastAsia"/>
                      <w:color w:val="auto"/>
                    </w:rPr>
                    <w:t>环境风险防控</w:t>
                  </w:r>
                </w:p>
              </w:tc>
              <w:tc>
                <w:tcPr>
                  <w:tcW w:w="2126" w:type="pct"/>
                  <w:tcBorders>
                    <w:top w:val="single" w:color="000000" w:sz="4" w:space="0"/>
                    <w:left w:val="single" w:color="000000" w:sz="4" w:space="0"/>
                    <w:bottom w:val="single" w:color="000000" w:sz="4" w:space="0"/>
                    <w:right w:val="single" w:color="000000" w:sz="4" w:space="0"/>
                  </w:tcBorders>
                  <w:noWrap w:val="0"/>
                  <w:vAlign w:val="center"/>
                </w:tcPr>
                <w:p w14:paraId="67D57337">
                  <w:pPr>
                    <w:pStyle w:val="50"/>
                    <w:rPr>
                      <w:color w:val="auto"/>
                    </w:rPr>
                  </w:pPr>
                  <w:r>
                    <w:rPr>
                      <w:color w:val="auto"/>
                    </w:rPr>
                    <w:t>/</w:t>
                  </w:r>
                </w:p>
              </w:tc>
              <w:tc>
                <w:tcPr>
                  <w:tcW w:w="30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11D232">
                  <w:pPr>
                    <w:pStyle w:val="50"/>
                    <w:rPr>
                      <w:color w:val="auto"/>
                    </w:rPr>
                  </w:pPr>
                </w:p>
              </w:tc>
              <w:tc>
                <w:tcPr>
                  <w:tcW w:w="1127" w:type="pct"/>
                  <w:tcBorders>
                    <w:top w:val="single" w:color="000000" w:sz="4" w:space="0"/>
                    <w:left w:val="single" w:color="000000" w:sz="4" w:space="0"/>
                    <w:bottom w:val="single" w:color="000000" w:sz="4" w:space="0"/>
                    <w:right w:val="single" w:color="000000" w:sz="4" w:space="0"/>
                  </w:tcBorders>
                  <w:noWrap w:val="0"/>
                  <w:vAlign w:val="center"/>
                </w:tcPr>
                <w:p w14:paraId="1F2393DB">
                  <w:pPr>
                    <w:pStyle w:val="50"/>
                    <w:rPr>
                      <w:rFonts w:hint="eastAsia"/>
                      <w:color w:val="auto"/>
                    </w:rPr>
                  </w:pPr>
                  <w:r>
                    <w:rPr>
                      <w:rFonts w:hint="eastAsia"/>
                      <w:color w:val="auto"/>
                    </w:rPr>
                    <w:t>/</w:t>
                  </w:r>
                </w:p>
              </w:tc>
              <w:tc>
                <w:tcPr>
                  <w:tcW w:w="326" w:type="pct"/>
                  <w:tcBorders>
                    <w:top w:val="single" w:color="000000" w:sz="4" w:space="0"/>
                    <w:left w:val="single" w:color="000000" w:sz="4" w:space="0"/>
                    <w:bottom w:val="single" w:color="000000" w:sz="4" w:space="0"/>
                  </w:tcBorders>
                  <w:noWrap w:val="0"/>
                  <w:vAlign w:val="center"/>
                </w:tcPr>
                <w:p w14:paraId="4BB2B140">
                  <w:pPr>
                    <w:pStyle w:val="50"/>
                    <w:rPr>
                      <w:rFonts w:hint="eastAsia"/>
                      <w:color w:val="auto"/>
                    </w:rPr>
                  </w:pPr>
                  <w:r>
                    <w:rPr>
                      <w:rFonts w:hint="eastAsia"/>
                      <w:color w:val="auto"/>
                    </w:rPr>
                    <w:t>/</w:t>
                  </w:r>
                </w:p>
              </w:tc>
            </w:tr>
            <w:tr w14:paraId="1327BDD8">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454" w:hRule="atLeast"/>
              </w:trPr>
              <w:tc>
                <w:tcPr>
                  <w:tcW w:w="162" w:type="pct"/>
                  <w:vMerge w:val="continue"/>
                  <w:tcBorders>
                    <w:bottom w:val="single" w:color="000000" w:sz="4" w:space="0"/>
                    <w:right w:val="single" w:color="000000" w:sz="4" w:space="0"/>
                  </w:tcBorders>
                  <w:noWrap w:val="0"/>
                  <w:vAlign w:val="center"/>
                </w:tcPr>
                <w:p w14:paraId="3446A501">
                  <w:pPr>
                    <w:pStyle w:val="50"/>
                    <w:rPr>
                      <w:rFonts w:hint="eastAsia"/>
                      <w:color w:val="0000FF"/>
                    </w:rPr>
                  </w:pPr>
                </w:p>
              </w:tc>
              <w:tc>
                <w:tcPr>
                  <w:tcW w:w="259" w:type="pct"/>
                  <w:vMerge w:val="continue"/>
                  <w:tcBorders>
                    <w:left w:val="single" w:color="000000" w:sz="4" w:space="0"/>
                    <w:bottom w:val="single" w:color="000000" w:sz="4" w:space="0"/>
                    <w:right w:val="single" w:color="000000" w:sz="4" w:space="0"/>
                  </w:tcBorders>
                  <w:noWrap w:val="0"/>
                  <w:vAlign w:val="center"/>
                </w:tcPr>
                <w:p w14:paraId="4D3C04B1">
                  <w:pPr>
                    <w:pStyle w:val="50"/>
                    <w:rPr>
                      <w:color w:val="0000FF"/>
                    </w:rPr>
                  </w:pPr>
                </w:p>
              </w:tc>
              <w:tc>
                <w:tcPr>
                  <w:tcW w:w="162" w:type="pct"/>
                  <w:vMerge w:val="continue"/>
                  <w:tcBorders>
                    <w:left w:val="single" w:color="000000" w:sz="4" w:space="0"/>
                    <w:bottom w:val="single" w:color="000000" w:sz="4" w:space="0"/>
                    <w:right w:val="single" w:color="000000" w:sz="4" w:space="0"/>
                  </w:tcBorders>
                  <w:noWrap w:val="0"/>
                  <w:vAlign w:val="center"/>
                </w:tcPr>
                <w:p w14:paraId="3691CD2D">
                  <w:pPr>
                    <w:pStyle w:val="50"/>
                    <w:rPr>
                      <w:color w:val="0000FF"/>
                    </w:rPr>
                  </w:pPr>
                </w:p>
              </w:tc>
              <w:tc>
                <w:tcPr>
                  <w:tcW w:w="276" w:type="pct"/>
                  <w:vMerge w:val="continue"/>
                  <w:tcBorders>
                    <w:left w:val="single" w:color="000000" w:sz="4" w:space="0"/>
                    <w:bottom w:val="single" w:color="000000" w:sz="4" w:space="0"/>
                    <w:right w:val="single" w:color="000000" w:sz="4" w:space="0"/>
                  </w:tcBorders>
                  <w:noWrap w:val="0"/>
                  <w:vAlign w:val="center"/>
                </w:tcPr>
                <w:p w14:paraId="4585FF17">
                  <w:pPr>
                    <w:pStyle w:val="50"/>
                    <w:rPr>
                      <w:color w:val="0000FF"/>
                    </w:rPr>
                  </w:pPr>
                </w:p>
              </w:tc>
              <w:tc>
                <w:tcPr>
                  <w:tcW w:w="250" w:type="pct"/>
                  <w:tcBorders>
                    <w:top w:val="single" w:color="000000" w:sz="4" w:space="0"/>
                    <w:left w:val="single" w:color="000000" w:sz="4" w:space="0"/>
                    <w:bottom w:val="single" w:color="000000" w:sz="4" w:space="0"/>
                    <w:right w:val="single" w:color="000000" w:sz="4" w:space="0"/>
                  </w:tcBorders>
                  <w:noWrap w:val="0"/>
                  <w:vAlign w:val="center"/>
                </w:tcPr>
                <w:p w14:paraId="14C7A8FF">
                  <w:pPr>
                    <w:pStyle w:val="50"/>
                    <w:rPr>
                      <w:color w:val="auto"/>
                    </w:rPr>
                  </w:pPr>
                  <w:r>
                    <w:rPr>
                      <w:rFonts w:hint="eastAsia"/>
                      <w:color w:val="auto"/>
                    </w:rPr>
                    <w:t>资源开发效率要求</w:t>
                  </w:r>
                </w:p>
              </w:tc>
              <w:tc>
                <w:tcPr>
                  <w:tcW w:w="2126" w:type="pct"/>
                  <w:tcBorders>
                    <w:top w:val="single" w:color="000000" w:sz="4" w:space="0"/>
                    <w:left w:val="single" w:color="000000" w:sz="4" w:space="0"/>
                    <w:bottom w:val="single" w:color="000000" w:sz="4" w:space="0"/>
                    <w:right w:val="single" w:color="000000" w:sz="4" w:space="0"/>
                  </w:tcBorders>
                  <w:noWrap w:val="0"/>
                  <w:vAlign w:val="center"/>
                </w:tcPr>
                <w:p w14:paraId="3F0D6488">
                  <w:pPr>
                    <w:widowControl/>
                    <w:adjustRightInd w:val="0"/>
                    <w:snapToGrid w:val="0"/>
                    <w:spacing w:line="240" w:lineRule="auto"/>
                    <w:ind w:firstLine="0" w:firstLineChars="0"/>
                    <w:jc w:val="left"/>
                    <w:rPr>
                      <w:color w:val="auto"/>
                      <w:kern w:val="0"/>
                      <w:sz w:val="21"/>
                      <w:szCs w:val="21"/>
                      <w:lang w:bidi="ar"/>
                    </w:rPr>
                  </w:pPr>
                  <w:r>
                    <w:rPr>
                      <w:color w:val="auto"/>
                      <w:kern w:val="0"/>
                      <w:sz w:val="21"/>
                      <w:szCs w:val="21"/>
                      <w:lang w:bidi="ar"/>
                    </w:rPr>
                    <w:t>高污染燃料禁燃区：</w:t>
                  </w:r>
                </w:p>
                <w:p w14:paraId="70466C1E">
                  <w:pPr>
                    <w:widowControl/>
                    <w:adjustRightInd w:val="0"/>
                    <w:snapToGrid w:val="0"/>
                    <w:spacing w:line="240" w:lineRule="auto"/>
                    <w:ind w:firstLine="0" w:firstLineChars="0"/>
                    <w:jc w:val="left"/>
                    <w:rPr>
                      <w:color w:val="auto"/>
                      <w:sz w:val="21"/>
                      <w:szCs w:val="21"/>
                    </w:rPr>
                  </w:pPr>
                  <w:r>
                    <w:rPr>
                      <w:color w:val="auto"/>
                      <w:kern w:val="0"/>
                      <w:sz w:val="21"/>
                      <w:szCs w:val="21"/>
                      <w:lang w:bidi="ar"/>
                    </w:rPr>
                    <w:t>严格禁燃区管控。市区和南六县市全域及北五县市城镇周边划定为高污染燃料禁燃区，禁止销售、使用煤炭及其制品等高污染燃料（35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30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4C77E8">
                  <w:pPr>
                    <w:pStyle w:val="50"/>
                    <w:rPr>
                      <w:color w:val="auto"/>
                    </w:rPr>
                  </w:pPr>
                </w:p>
              </w:tc>
              <w:tc>
                <w:tcPr>
                  <w:tcW w:w="1127" w:type="pct"/>
                  <w:tcBorders>
                    <w:top w:val="single" w:color="000000" w:sz="4" w:space="0"/>
                    <w:left w:val="single" w:color="000000" w:sz="4" w:space="0"/>
                    <w:bottom w:val="single" w:color="000000" w:sz="4" w:space="0"/>
                    <w:right w:val="single" w:color="000000" w:sz="4" w:space="0"/>
                  </w:tcBorders>
                  <w:noWrap w:val="0"/>
                  <w:vAlign w:val="center"/>
                </w:tcPr>
                <w:p w14:paraId="48912212">
                  <w:pPr>
                    <w:pStyle w:val="50"/>
                    <w:jc w:val="left"/>
                    <w:rPr>
                      <w:color w:val="auto"/>
                    </w:rPr>
                  </w:pPr>
                  <w:r>
                    <w:rPr>
                      <w:rFonts w:hint="eastAsia"/>
                      <w:color w:val="auto"/>
                      <w:lang w:bidi="ar"/>
                    </w:rPr>
                    <w:t>本项目能源为电能，不使用高污染燃料</w:t>
                  </w:r>
                  <w:r>
                    <w:rPr>
                      <w:rFonts w:hint="eastAsia"/>
                      <w:color w:val="auto"/>
                      <w:kern w:val="0"/>
                    </w:rPr>
                    <w:t>。</w:t>
                  </w:r>
                </w:p>
              </w:tc>
              <w:tc>
                <w:tcPr>
                  <w:tcW w:w="326" w:type="pct"/>
                  <w:tcBorders>
                    <w:top w:val="single" w:color="000000" w:sz="4" w:space="0"/>
                    <w:left w:val="single" w:color="000000" w:sz="4" w:space="0"/>
                    <w:bottom w:val="single" w:color="000000" w:sz="4" w:space="0"/>
                  </w:tcBorders>
                  <w:noWrap w:val="0"/>
                  <w:vAlign w:val="center"/>
                </w:tcPr>
                <w:p w14:paraId="22F42E49">
                  <w:pPr>
                    <w:pStyle w:val="50"/>
                    <w:rPr>
                      <w:rFonts w:hint="eastAsia"/>
                      <w:color w:val="auto"/>
                    </w:rPr>
                  </w:pPr>
                  <w:r>
                    <w:rPr>
                      <w:rFonts w:hint="eastAsia"/>
                      <w:color w:val="auto"/>
                    </w:rPr>
                    <w:t>符合</w:t>
                  </w:r>
                </w:p>
              </w:tc>
            </w:tr>
          </w:tbl>
          <w:p w14:paraId="6F4F1A8D">
            <w:pPr>
              <w:widowControl/>
              <w:adjustRightInd w:val="0"/>
              <w:snapToGrid w:val="0"/>
              <w:spacing w:line="240" w:lineRule="auto"/>
              <w:ind w:firstLine="0" w:firstLineChars="0"/>
              <w:rPr>
                <w:rStyle w:val="27"/>
                <w:bCs w:val="0"/>
                <w:snapToGrid w:val="0"/>
                <w:color w:val="0000FF"/>
              </w:rPr>
            </w:pPr>
          </w:p>
        </w:tc>
      </w:tr>
    </w:tbl>
    <w:p w14:paraId="1FF02D3C">
      <w:pPr>
        <w:sectPr>
          <w:pgSz w:w="16838" w:h="11906" w:orient="landscape"/>
          <w:pgMar w:top="1800" w:right="1440" w:bottom="1800" w:left="1440" w:header="851" w:footer="850" w:gutter="0"/>
          <w:pgBorders>
            <w:top w:val="none" w:sz="0" w:space="0"/>
            <w:left w:val="none" w:sz="0" w:space="0"/>
            <w:bottom w:val="none" w:sz="0" w:space="0"/>
            <w:right w:val="none" w:sz="0" w:space="0"/>
          </w:pgBorders>
          <w:pgNumType w:fmt="numberInDash"/>
          <w:cols w:space="720" w:num="1"/>
          <w:docGrid w:linePitch="312" w:charSpace="0"/>
        </w:sectPr>
      </w:pPr>
    </w:p>
    <w:tbl>
      <w:tblPr>
        <w:tblStyle w:val="24"/>
        <w:tblW w:w="85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2"/>
        <w:gridCol w:w="8145"/>
      </w:tblGrid>
      <w:tr w14:paraId="2B776C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18" w:hRule="atLeast"/>
          <w:jc w:val="center"/>
        </w:trPr>
        <w:tc>
          <w:tcPr>
            <w:tcW w:w="392" w:type="dxa"/>
            <w:vAlign w:val="center"/>
          </w:tcPr>
          <w:p w14:paraId="6A9CE9D1">
            <w:pPr>
              <w:autoSpaceDE w:val="0"/>
              <w:autoSpaceDN w:val="0"/>
              <w:adjustRightInd w:val="0"/>
              <w:snapToGrid w:val="0"/>
              <w:jc w:val="center"/>
              <w:rPr>
                <w:color w:val="auto"/>
                <w:kern w:val="0"/>
                <w:sz w:val="24"/>
                <w:highlight w:val="none"/>
              </w:rPr>
            </w:pPr>
            <w:r>
              <w:rPr>
                <w:color w:val="auto"/>
                <w:sz w:val="24"/>
                <w:szCs w:val="24"/>
              </w:rPr>
              <w:t>其他符合性分析</w:t>
            </w:r>
          </w:p>
        </w:tc>
        <w:tc>
          <w:tcPr>
            <w:tcW w:w="8145" w:type="dxa"/>
            <w:vAlign w:val="center"/>
          </w:tcPr>
          <w:p w14:paraId="2F2F38CD">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auto"/>
                <w:kern w:val="0"/>
                <w:sz w:val="24"/>
                <w:szCs w:val="20"/>
                <w:highlight w:val="none"/>
              </w:rPr>
            </w:pPr>
            <w:r>
              <w:rPr>
                <w:rFonts w:hint="eastAsia" w:ascii="Times New Roman" w:hAnsi="Times New Roman" w:eastAsia="宋体" w:cs="Times New Roman"/>
                <w:color w:val="auto"/>
                <w:kern w:val="0"/>
                <w:sz w:val="24"/>
                <w:szCs w:val="20"/>
                <w:highlight w:val="none"/>
              </w:rPr>
              <w:t>（3）一说明</w:t>
            </w:r>
          </w:p>
          <w:p w14:paraId="4F159F11">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yellow"/>
                <w:lang w:val="en-US" w:eastAsia="zh-CN" w:bidi="ar"/>
              </w:rPr>
            </w:pPr>
            <w:r>
              <w:rPr>
                <w:rFonts w:hint="eastAsia" w:ascii="Times New Roman" w:hAnsi="Times New Roman" w:eastAsia="宋体" w:cs="Times New Roman"/>
                <w:color w:val="auto"/>
                <w:kern w:val="0"/>
                <w:sz w:val="24"/>
                <w:szCs w:val="20"/>
                <w:highlight w:val="none"/>
              </w:rPr>
              <w:t>本项目租赁面积</w:t>
            </w:r>
            <w:r>
              <w:rPr>
                <w:rFonts w:hint="eastAsia" w:ascii="Times New Roman" w:hAnsi="Times New Roman" w:eastAsia="宋体" w:cs="Times New Roman"/>
                <w:color w:val="auto"/>
                <w:kern w:val="0"/>
                <w:sz w:val="24"/>
                <w:szCs w:val="20"/>
                <w:highlight w:val="none"/>
                <w:lang w:val="en-US" w:eastAsia="zh-CN"/>
              </w:rPr>
              <w:t>3</w:t>
            </w:r>
            <w:r>
              <w:rPr>
                <w:rFonts w:hint="eastAsia" w:cs="Times New Roman"/>
                <w:color w:val="auto"/>
                <w:kern w:val="0"/>
                <w:sz w:val="24"/>
                <w:szCs w:val="20"/>
                <w:highlight w:val="none"/>
                <w:lang w:val="en-US" w:eastAsia="zh-CN"/>
              </w:rPr>
              <w:t>2</w:t>
            </w:r>
            <w:r>
              <w:rPr>
                <w:rFonts w:hint="eastAsia" w:ascii="Times New Roman" w:hAnsi="Times New Roman" w:eastAsia="宋体" w:cs="Times New Roman"/>
                <w:color w:val="auto"/>
                <w:kern w:val="0"/>
                <w:sz w:val="24"/>
                <w:szCs w:val="20"/>
                <w:highlight w:val="none"/>
                <w:lang w:val="en-US" w:eastAsia="zh-CN"/>
              </w:rPr>
              <w:t>20</w:t>
            </w:r>
            <w:r>
              <w:rPr>
                <w:rFonts w:hint="eastAsia" w:ascii="Times New Roman" w:hAnsi="Times New Roman" w:eastAsia="宋体" w:cs="Times New Roman"/>
                <w:color w:val="auto"/>
                <w:kern w:val="0"/>
                <w:sz w:val="24"/>
                <w:szCs w:val="20"/>
                <w:highlight w:val="none"/>
              </w:rPr>
              <w:t>m</w:t>
            </w:r>
            <w:r>
              <w:rPr>
                <w:rFonts w:hint="eastAsia" w:ascii="Times New Roman" w:hAnsi="Times New Roman" w:eastAsia="宋体" w:cs="Times New Roman"/>
                <w:color w:val="auto"/>
                <w:kern w:val="0"/>
                <w:sz w:val="24"/>
                <w:szCs w:val="20"/>
                <w:highlight w:val="none"/>
                <w:vertAlign w:val="superscript"/>
              </w:rPr>
              <w:t>2</w:t>
            </w:r>
            <w:r>
              <w:rPr>
                <w:rFonts w:hint="eastAsia" w:ascii="Times New Roman" w:hAnsi="Times New Roman" w:eastAsia="宋体" w:cs="Times New Roman"/>
                <w:color w:val="auto"/>
                <w:kern w:val="0"/>
                <w:sz w:val="24"/>
                <w:szCs w:val="20"/>
                <w:highlight w:val="none"/>
              </w:rPr>
              <w:t>，涉及重点管控单元（包括大气环境受体敏感重点管控区、水环境城镇生活污染重点管控区、高污染燃料禁燃区），经分析符合“三线一单”生态环境分区管控中政策要求。</w:t>
            </w:r>
          </w:p>
          <w:p w14:paraId="79862019">
            <w:pPr>
              <w:spacing w:line="360" w:lineRule="auto"/>
              <w:ind w:firstLine="482" w:firstLineChars="200"/>
              <w:rPr>
                <w:color w:val="auto"/>
                <w:kern w:val="0"/>
                <w:sz w:val="24"/>
                <w:highlight w:val="none"/>
              </w:rPr>
            </w:pPr>
            <w:r>
              <w:rPr>
                <w:rFonts w:hint="eastAsia" w:hAnsi="宋体"/>
                <w:b/>
                <w:bCs/>
                <w:color w:val="auto"/>
                <w:sz w:val="24"/>
                <w:highlight w:val="none"/>
              </w:rPr>
              <w:t>3、</w:t>
            </w:r>
            <w:r>
              <w:rPr>
                <w:rFonts w:hAnsi="宋体"/>
                <w:b/>
                <w:bCs/>
                <w:color w:val="auto"/>
                <w:sz w:val="24"/>
                <w:highlight w:val="none"/>
              </w:rPr>
              <w:t>与相关环保政策符合性分析</w:t>
            </w:r>
          </w:p>
          <w:p w14:paraId="0767AC37">
            <w:pPr>
              <w:spacing w:line="360" w:lineRule="auto"/>
              <w:ind w:firstLine="480"/>
              <w:rPr>
                <w:color w:val="auto"/>
                <w:sz w:val="24"/>
                <w:highlight w:val="none"/>
              </w:rPr>
            </w:pPr>
            <w:r>
              <w:rPr>
                <w:color w:val="auto"/>
                <w:sz w:val="24"/>
                <w:highlight w:val="none"/>
              </w:rPr>
              <w:t>本项目与相关规划、政策的相符性分析见表</w:t>
            </w:r>
            <w:r>
              <w:rPr>
                <w:rFonts w:hint="eastAsia"/>
                <w:color w:val="auto"/>
                <w:sz w:val="24"/>
                <w:highlight w:val="none"/>
              </w:rPr>
              <w:t>1-</w:t>
            </w:r>
            <w:r>
              <w:rPr>
                <w:rFonts w:hint="eastAsia"/>
                <w:color w:val="auto"/>
                <w:sz w:val="24"/>
                <w:highlight w:val="none"/>
                <w:lang w:val="en-US" w:eastAsia="zh-CN"/>
              </w:rPr>
              <w:t>4</w:t>
            </w:r>
            <w:r>
              <w:rPr>
                <w:color w:val="auto"/>
                <w:sz w:val="24"/>
                <w:highlight w:val="none"/>
              </w:rPr>
              <w:t>。</w:t>
            </w:r>
          </w:p>
          <w:p w14:paraId="4F9657E3">
            <w:pPr>
              <w:autoSpaceDE w:val="0"/>
              <w:autoSpaceDN w:val="0"/>
              <w:jc w:val="center"/>
              <w:rPr>
                <w:b/>
                <w:color w:val="auto"/>
                <w:szCs w:val="21"/>
                <w:highlight w:val="none"/>
              </w:rPr>
            </w:pPr>
            <w:r>
              <w:rPr>
                <w:b/>
                <w:color w:val="auto"/>
                <w:szCs w:val="21"/>
                <w:highlight w:val="none"/>
              </w:rPr>
              <w:t>表</w:t>
            </w:r>
            <w:r>
              <w:rPr>
                <w:rFonts w:hint="eastAsia"/>
                <w:b/>
                <w:color w:val="auto"/>
                <w:szCs w:val="21"/>
                <w:highlight w:val="none"/>
              </w:rPr>
              <w:t>1-</w:t>
            </w:r>
            <w:r>
              <w:rPr>
                <w:rFonts w:hint="eastAsia"/>
                <w:b/>
                <w:color w:val="auto"/>
                <w:szCs w:val="21"/>
                <w:highlight w:val="none"/>
                <w:lang w:val="en-US" w:eastAsia="zh-CN"/>
              </w:rPr>
              <w:t>4</w:t>
            </w:r>
            <w:r>
              <w:rPr>
                <w:rFonts w:hint="eastAsia"/>
                <w:b/>
                <w:color w:val="auto"/>
                <w:szCs w:val="21"/>
                <w:highlight w:val="none"/>
              </w:rPr>
              <w:t xml:space="preserve">   </w:t>
            </w:r>
            <w:r>
              <w:rPr>
                <w:b/>
                <w:color w:val="auto"/>
                <w:szCs w:val="21"/>
                <w:highlight w:val="none"/>
              </w:rPr>
              <w:t>本项目</w:t>
            </w:r>
            <w:r>
              <w:rPr>
                <w:rFonts w:hint="eastAsia"/>
                <w:b/>
                <w:color w:val="auto"/>
                <w:szCs w:val="21"/>
                <w:highlight w:val="none"/>
              </w:rPr>
              <w:t>与相关规划、政策</w:t>
            </w:r>
            <w:r>
              <w:rPr>
                <w:b/>
                <w:color w:val="auto"/>
                <w:szCs w:val="21"/>
                <w:highlight w:val="none"/>
              </w:rPr>
              <w:t>符合性分析</w:t>
            </w:r>
          </w:p>
          <w:tbl>
            <w:tblPr>
              <w:tblStyle w:val="24"/>
              <w:tblW w:w="799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3658"/>
              <w:gridCol w:w="1902"/>
              <w:gridCol w:w="885"/>
            </w:tblGrid>
            <w:tr w14:paraId="480F53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971" w:type="pct"/>
                  <w:noWrap w:val="0"/>
                  <w:vAlign w:val="center"/>
                </w:tcPr>
                <w:p w14:paraId="2AF1AAFD">
                  <w:pPr>
                    <w:pStyle w:val="50"/>
                    <w:rPr>
                      <w:color w:val="auto"/>
                    </w:rPr>
                  </w:pPr>
                  <w:r>
                    <w:rPr>
                      <w:color w:val="auto"/>
                    </w:rPr>
                    <w:t>文件名称</w:t>
                  </w:r>
                </w:p>
              </w:tc>
              <w:tc>
                <w:tcPr>
                  <w:tcW w:w="2286" w:type="pct"/>
                  <w:noWrap w:val="0"/>
                  <w:vAlign w:val="center"/>
                </w:tcPr>
                <w:p w14:paraId="3D43807F">
                  <w:pPr>
                    <w:pStyle w:val="50"/>
                    <w:rPr>
                      <w:color w:val="auto"/>
                    </w:rPr>
                  </w:pPr>
                  <w:r>
                    <w:rPr>
                      <w:color w:val="auto"/>
                    </w:rPr>
                    <w:t>文件内容</w:t>
                  </w:r>
                </w:p>
              </w:tc>
              <w:tc>
                <w:tcPr>
                  <w:tcW w:w="1188" w:type="pct"/>
                  <w:noWrap w:val="0"/>
                  <w:vAlign w:val="center"/>
                </w:tcPr>
                <w:p w14:paraId="06CC3C75">
                  <w:pPr>
                    <w:pStyle w:val="50"/>
                    <w:rPr>
                      <w:color w:val="auto"/>
                    </w:rPr>
                  </w:pPr>
                  <w:r>
                    <w:rPr>
                      <w:color w:val="auto"/>
                    </w:rPr>
                    <w:t>本项目</w:t>
                  </w:r>
                </w:p>
              </w:tc>
              <w:tc>
                <w:tcPr>
                  <w:tcW w:w="553" w:type="pct"/>
                  <w:noWrap w:val="0"/>
                  <w:vAlign w:val="center"/>
                </w:tcPr>
                <w:p w14:paraId="653D93E0">
                  <w:pPr>
                    <w:pStyle w:val="50"/>
                    <w:rPr>
                      <w:color w:val="auto"/>
                    </w:rPr>
                  </w:pPr>
                  <w:r>
                    <w:rPr>
                      <w:color w:val="auto"/>
                    </w:rPr>
                    <w:t>符合性</w:t>
                  </w:r>
                </w:p>
              </w:tc>
            </w:tr>
            <w:tr w14:paraId="7E2579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1" w:type="pct"/>
                  <w:noWrap w:val="0"/>
                  <w:vAlign w:val="center"/>
                </w:tcPr>
                <w:p w14:paraId="0B1771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《陕西省生态环境厅关于进一步加强关中地区涉气重点行业项目环评管理的通知》（陕环环评函〔2023〕76号）</w:t>
                  </w:r>
                </w:p>
              </w:tc>
              <w:tc>
                <w:tcPr>
                  <w:tcW w:w="2286" w:type="pct"/>
                  <w:noWrap w:val="0"/>
                  <w:vAlign w:val="center"/>
                </w:tcPr>
                <w:p w14:paraId="4F2C0DDB">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一、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p w14:paraId="6695D1DD">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二、关中地区涉气重点行业新、改、扩建项目环境影响报告书（表）应编制环保绩效管理篇章，按照环办大气函〔2020〕340号文件从建设项目的装备水平（生产工艺）、污染治理技术、排放限值、无组织管控要求、监测监控水平、环境管理水平、运输方式和管控要求等方面，专项分析拟建和已建项目建设内容、生态环境保护措施与对应环保绩效分级、绩效引领性水平的相符性。</w:t>
                  </w:r>
                </w:p>
              </w:tc>
              <w:tc>
                <w:tcPr>
                  <w:tcW w:w="1188" w:type="pct"/>
                  <w:noWrap w:val="0"/>
                  <w:vAlign w:val="center"/>
                </w:tcPr>
                <w:p w14:paraId="097CFADA">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本项目位于西咸新区</w:t>
                  </w:r>
                  <w:r>
                    <w:rPr>
                      <w:rFonts w:hint="eastAsia" w:cs="Times New Roman"/>
                      <w:b w:val="0"/>
                      <w:bCs/>
                      <w:color w:val="auto"/>
                      <w:kern w:val="2"/>
                      <w:sz w:val="21"/>
                      <w:szCs w:val="21"/>
                      <w:highlight w:val="none"/>
                      <w:lang w:val="en-US" w:eastAsia="zh-CN" w:bidi="ar-SA"/>
                    </w:rPr>
                    <w:t>泾河</w:t>
                  </w:r>
                  <w:r>
                    <w:rPr>
                      <w:rFonts w:hint="default" w:ascii="Times New Roman" w:hAnsi="Times New Roman" w:eastAsia="宋体" w:cs="Times New Roman"/>
                      <w:b w:val="0"/>
                      <w:bCs/>
                      <w:color w:val="auto"/>
                      <w:kern w:val="2"/>
                      <w:sz w:val="21"/>
                      <w:szCs w:val="21"/>
                      <w:highlight w:val="none"/>
                      <w:lang w:val="en-US" w:eastAsia="zh-CN" w:bidi="ar-SA"/>
                    </w:rPr>
                    <w:t>新城，属于关中地区，</w:t>
                  </w:r>
                  <w:r>
                    <w:rPr>
                      <w:rFonts w:hint="eastAsia" w:cs="Times New Roman"/>
                      <w:b w:val="0"/>
                      <w:bCs/>
                      <w:color w:val="auto"/>
                      <w:kern w:val="2"/>
                      <w:sz w:val="21"/>
                      <w:szCs w:val="21"/>
                      <w:highlight w:val="none"/>
                      <w:lang w:val="en-US" w:eastAsia="zh-CN" w:bidi="ar-SA"/>
                    </w:rPr>
                    <w:t>但</w:t>
                  </w:r>
                  <w:r>
                    <w:rPr>
                      <w:rFonts w:hint="default" w:ascii="Times New Roman" w:hAnsi="Times New Roman" w:cs="Times New Roman"/>
                      <w:b w:val="0"/>
                      <w:bCs/>
                      <w:color w:val="auto"/>
                      <w:kern w:val="2"/>
                      <w:sz w:val="21"/>
                      <w:szCs w:val="21"/>
                      <w:highlight w:val="none"/>
                      <w:lang w:val="en-US" w:eastAsia="zh-CN" w:bidi="ar-SA"/>
                    </w:rPr>
                    <w:t>不</w:t>
                  </w:r>
                  <w:r>
                    <w:rPr>
                      <w:rFonts w:hint="default" w:ascii="Times New Roman" w:hAnsi="Times New Roman" w:eastAsia="宋体" w:cs="Times New Roman"/>
                      <w:b w:val="0"/>
                      <w:bCs/>
                      <w:color w:val="auto"/>
                      <w:kern w:val="2"/>
                      <w:sz w:val="21"/>
                      <w:szCs w:val="21"/>
                      <w:highlight w:val="none"/>
                      <w:lang w:val="en-US" w:eastAsia="zh-CN" w:bidi="ar-SA"/>
                    </w:rPr>
                    <w:t>属于文件中的39个重点行业。</w:t>
                  </w:r>
                </w:p>
              </w:tc>
              <w:tc>
                <w:tcPr>
                  <w:tcW w:w="553" w:type="pct"/>
                  <w:noWrap w:val="0"/>
                  <w:vAlign w:val="center"/>
                </w:tcPr>
                <w:p w14:paraId="497766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符合</w:t>
                  </w:r>
                </w:p>
              </w:tc>
            </w:tr>
            <w:tr w14:paraId="4D78EF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71" w:type="pct"/>
                  <w:vMerge w:val="restart"/>
                  <w:noWrap w:val="0"/>
                  <w:vAlign w:val="center"/>
                </w:tcPr>
                <w:p w14:paraId="7DE3EDEB">
                  <w:pPr>
                    <w:pStyle w:val="50"/>
                    <w:rPr>
                      <w:color w:val="auto"/>
                    </w:rPr>
                  </w:pPr>
                  <w:r>
                    <w:rPr>
                      <w:color w:val="auto"/>
                    </w:rPr>
                    <w:t>《西安市人民政府关于印发“十四五”生态环境保护规划的通知》</w:t>
                  </w:r>
                </w:p>
              </w:tc>
              <w:tc>
                <w:tcPr>
                  <w:tcW w:w="2286" w:type="pct"/>
                  <w:noWrap w:val="0"/>
                  <w:vAlign w:val="center"/>
                </w:tcPr>
                <w:p w14:paraId="2D83975D">
                  <w:pPr>
                    <w:pStyle w:val="50"/>
                    <w:rPr>
                      <w:color w:val="auto"/>
                    </w:rPr>
                  </w:pPr>
                  <w:r>
                    <w:rPr>
                      <w:color w:val="auto"/>
                    </w:rPr>
                    <w:t>对水污染排放企业严格执行排污许可制度，实施“持证排水”。按要求开展清洁生产审核，实施清洁生产技术改造，从源头减少水污染物排放，全面实现工业废水达标排放。</w:t>
                  </w:r>
                </w:p>
              </w:tc>
              <w:tc>
                <w:tcPr>
                  <w:tcW w:w="1188" w:type="pct"/>
                  <w:noWrap w:val="0"/>
                  <w:vAlign w:val="center"/>
                </w:tcPr>
                <w:p w14:paraId="6987FEC3">
                  <w:pPr>
                    <w:pStyle w:val="50"/>
                    <w:rPr>
                      <w:color w:val="auto"/>
                    </w:rPr>
                  </w:pPr>
                  <w:r>
                    <w:rPr>
                      <w:rFonts w:hint="eastAsia"/>
                      <w:color w:val="auto"/>
                      <w:kern w:val="0"/>
                      <w:lang w:bidi="ar"/>
                    </w:rPr>
                    <w:t>本项目无</w:t>
                  </w:r>
                  <w:r>
                    <w:rPr>
                      <w:rFonts w:hint="eastAsia"/>
                      <w:color w:val="auto"/>
                      <w:kern w:val="0"/>
                      <w:lang w:val="en-US" w:eastAsia="zh-CN" w:bidi="ar"/>
                    </w:rPr>
                    <w:t>工业</w:t>
                  </w:r>
                  <w:r>
                    <w:rPr>
                      <w:rFonts w:hint="eastAsia"/>
                      <w:color w:val="auto"/>
                      <w:kern w:val="0"/>
                      <w:lang w:bidi="ar"/>
                    </w:rPr>
                    <w:t>废水排放</w:t>
                  </w:r>
                  <w:r>
                    <w:rPr>
                      <w:color w:val="auto"/>
                    </w:rPr>
                    <w:t>。</w:t>
                  </w:r>
                </w:p>
              </w:tc>
              <w:tc>
                <w:tcPr>
                  <w:tcW w:w="553" w:type="pct"/>
                  <w:noWrap w:val="0"/>
                  <w:vAlign w:val="center"/>
                </w:tcPr>
                <w:p w14:paraId="15760A76">
                  <w:pPr>
                    <w:pStyle w:val="50"/>
                    <w:rPr>
                      <w:color w:val="auto"/>
                    </w:rPr>
                  </w:pPr>
                  <w:r>
                    <w:rPr>
                      <w:color w:val="auto"/>
                    </w:rPr>
                    <w:t>符合</w:t>
                  </w:r>
                </w:p>
              </w:tc>
            </w:tr>
            <w:tr w14:paraId="6954D8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971" w:type="pct"/>
                  <w:vMerge w:val="continue"/>
                  <w:noWrap w:val="0"/>
                  <w:vAlign w:val="center"/>
                </w:tcPr>
                <w:p w14:paraId="423D8606">
                  <w:pPr>
                    <w:pStyle w:val="50"/>
                    <w:rPr>
                      <w:color w:val="auto"/>
                    </w:rPr>
                  </w:pPr>
                </w:p>
              </w:tc>
              <w:tc>
                <w:tcPr>
                  <w:tcW w:w="2286" w:type="pct"/>
                  <w:noWrap w:val="0"/>
                  <w:vAlign w:val="center"/>
                </w:tcPr>
                <w:p w14:paraId="1AA18C23">
                  <w:pPr>
                    <w:pStyle w:val="50"/>
                    <w:rPr>
                      <w:color w:val="auto"/>
                    </w:rPr>
                  </w:pPr>
                  <w:r>
                    <w:rPr>
                      <w:color w:val="auto"/>
                    </w:rPr>
                    <w:t>全面实施工业固体废物排污许可管理，严格控制增量，严格摸底并整治工业固体废物堆存场所，减少历史遗留固体废物贮存总量。</w:t>
                  </w:r>
                </w:p>
              </w:tc>
              <w:tc>
                <w:tcPr>
                  <w:tcW w:w="1188" w:type="pct"/>
                  <w:noWrap w:val="0"/>
                  <w:vAlign w:val="center"/>
                </w:tcPr>
                <w:p w14:paraId="0C8D54E1">
                  <w:pPr>
                    <w:pStyle w:val="50"/>
                    <w:rPr>
                      <w:color w:val="auto"/>
                    </w:rPr>
                  </w:pPr>
                  <w:r>
                    <w:rPr>
                      <w:rFonts w:hint="eastAsia"/>
                      <w:color w:val="auto"/>
                    </w:rPr>
                    <w:t>一般固废分类</w:t>
                  </w:r>
                  <w:r>
                    <w:rPr>
                      <w:color w:val="auto"/>
                    </w:rPr>
                    <w:t>收集至</w:t>
                  </w:r>
                  <w:r>
                    <w:rPr>
                      <w:rFonts w:hint="eastAsia"/>
                      <w:color w:val="auto"/>
                    </w:rPr>
                    <w:t>一般固废暂存区</w:t>
                  </w:r>
                  <w:r>
                    <w:rPr>
                      <w:color w:val="auto"/>
                    </w:rPr>
                    <w:t>内，</w:t>
                  </w:r>
                  <w:r>
                    <w:rPr>
                      <w:rFonts w:hint="eastAsia"/>
                      <w:color w:val="auto"/>
                    </w:rPr>
                    <w:t>可回收再利用的</w:t>
                  </w:r>
                  <w:r>
                    <w:rPr>
                      <w:color w:val="auto"/>
                    </w:rPr>
                    <w:t>定期外售</w:t>
                  </w:r>
                  <w:r>
                    <w:rPr>
                      <w:rFonts w:hint="eastAsia"/>
                      <w:color w:val="auto"/>
                    </w:rPr>
                    <w:t>，无法再次利用的定期清运至垃圾收集中心；危险废物暂存在厂内危废贮存库，定期交有资质单位处置，厂内危废暂存时间未超过规定要求，且无历史遗留固废</w:t>
                  </w:r>
                  <w:r>
                    <w:rPr>
                      <w:color w:val="auto"/>
                    </w:rPr>
                    <w:t>。</w:t>
                  </w:r>
                </w:p>
              </w:tc>
              <w:tc>
                <w:tcPr>
                  <w:tcW w:w="553" w:type="pct"/>
                  <w:noWrap w:val="0"/>
                  <w:vAlign w:val="center"/>
                </w:tcPr>
                <w:p w14:paraId="111F74A0">
                  <w:pPr>
                    <w:pStyle w:val="50"/>
                    <w:rPr>
                      <w:color w:val="auto"/>
                    </w:rPr>
                  </w:pPr>
                  <w:r>
                    <w:rPr>
                      <w:color w:val="auto"/>
                    </w:rPr>
                    <w:t>符合</w:t>
                  </w:r>
                </w:p>
              </w:tc>
            </w:tr>
            <w:tr w14:paraId="08C259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971" w:type="pct"/>
                  <w:vMerge w:val="continue"/>
                  <w:noWrap w:val="0"/>
                  <w:vAlign w:val="center"/>
                </w:tcPr>
                <w:p w14:paraId="51620152">
                  <w:pPr>
                    <w:pStyle w:val="50"/>
                    <w:rPr>
                      <w:color w:val="auto"/>
                    </w:rPr>
                  </w:pPr>
                </w:p>
              </w:tc>
              <w:tc>
                <w:tcPr>
                  <w:tcW w:w="2286" w:type="pct"/>
                  <w:noWrap w:val="0"/>
                  <w:vAlign w:val="center"/>
                </w:tcPr>
                <w:p w14:paraId="756C7931">
                  <w:pPr>
                    <w:widowControl/>
                    <w:adjustRightInd w:val="0"/>
                    <w:snapToGrid w:val="0"/>
                    <w:spacing w:line="240" w:lineRule="auto"/>
                    <w:ind w:firstLine="0" w:firstLineChars="0"/>
                    <w:jc w:val="center"/>
                    <w:rPr>
                      <w:color w:val="auto"/>
                      <w:kern w:val="0"/>
                      <w:sz w:val="21"/>
                      <w:szCs w:val="21"/>
                      <w:lang w:bidi="ar"/>
                    </w:rPr>
                  </w:pPr>
                  <w:r>
                    <w:rPr>
                      <w:color w:val="auto"/>
                      <w:kern w:val="0"/>
                      <w:sz w:val="21"/>
                      <w:szCs w:val="21"/>
                      <w:lang w:bidi="ar"/>
                    </w:rPr>
                    <w:t>加大对危险废物污染防治监管力度，规范危险废物环境管理，形成覆盖危险废物产生、收集、贮存、转移、运输、利用、处置等全过程的监管体系。</w:t>
                  </w:r>
                </w:p>
              </w:tc>
              <w:tc>
                <w:tcPr>
                  <w:tcW w:w="1188" w:type="pct"/>
                  <w:noWrap w:val="0"/>
                  <w:vAlign w:val="center"/>
                </w:tcPr>
                <w:p w14:paraId="7BA40B11">
                  <w:pPr>
                    <w:pStyle w:val="50"/>
                    <w:rPr>
                      <w:color w:val="auto"/>
                    </w:rPr>
                  </w:pPr>
                  <w:r>
                    <w:rPr>
                      <w:rFonts w:hint="eastAsia"/>
                      <w:color w:val="auto"/>
                    </w:rPr>
                    <w:t>建设单位</w:t>
                  </w:r>
                  <w:r>
                    <w:rPr>
                      <w:rFonts w:hint="eastAsia"/>
                      <w:color w:val="auto"/>
                      <w:lang w:val="en-US" w:eastAsia="zh-CN"/>
                    </w:rPr>
                    <w:t>应</w:t>
                  </w:r>
                  <w:r>
                    <w:rPr>
                      <w:rFonts w:hint="eastAsia"/>
                      <w:color w:val="auto"/>
                    </w:rPr>
                    <w:t>针对危险废物制定相应的管理制度、设置登记卡，严格按照转移联单进行监管。</w:t>
                  </w:r>
                </w:p>
              </w:tc>
              <w:tc>
                <w:tcPr>
                  <w:tcW w:w="553" w:type="pct"/>
                  <w:noWrap w:val="0"/>
                  <w:vAlign w:val="center"/>
                </w:tcPr>
                <w:p w14:paraId="1731BAA1">
                  <w:pPr>
                    <w:pStyle w:val="50"/>
                    <w:rPr>
                      <w:color w:val="auto"/>
                    </w:rPr>
                  </w:pPr>
                  <w:r>
                    <w:rPr>
                      <w:color w:val="auto"/>
                    </w:rPr>
                    <w:t>符合</w:t>
                  </w:r>
                </w:p>
              </w:tc>
            </w:tr>
            <w:tr w14:paraId="17D4A3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71" w:type="pct"/>
                  <w:noWrap w:val="0"/>
                  <w:vAlign w:val="center"/>
                </w:tcPr>
                <w:p w14:paraId="278B18F4">
                  <w:pPr>
                    <w:pStyle w:val="50"/>
                    <w:rPr>
                      <w:color w:val="auto"/>
                    </w:rPr>
                  </w:pPr>
                  <w:r>
                    <w:rPr>
                      <w:color w:val="auto"/>
                    </w:rPr>
                    <w:t>《</w:t>
                  </w:r>
                  <w:r>
                    <w:rPr>
                      <w:rFonts w:hint="eastAsia"/>
                      <w:color w:val="auto"/>
                      <w:lang w:val="en-US" w:eastAsia="zh-CN"/>
                    </w:rPr>
                    <w:t>西咸新区</w:t>
                  </w:r>
                  <w:r>
                    <w:rPr>
                      <w:color w:val="auto"/>
                    </w:rPr>
                    <w:t>大气污染治理专项行动方案》（2023</w:t>
                  </w:r>
                  <w:r>
                    <w:rPr>
                      <w:rFonts w:hint="eastAsia"/>
                      <w:color w:val="auto"/>
                    </w:rPr>
                    <w:t>-</w:t>
                  </w:r>
                  <w:r>
                    <w:rPr>
                      <w:color w:val="auto"/>
                    </w:rPr>
                    <w:t>2027年）</w:t>
                  </w:r>
                </w:p>
              </w:tc>
              <w:tc>
                <w:tcPr>
                  <w:tcW w:w="2286" w:type="pct"/>
                  <w:noWrap w:val="0"/>
                  <w:vAlign w:val="center"/>
                </w:tcPr>
                <w:p w14:paraId="19009CDC">
                  <w:pPr>
                    <w:pStyle w:val="50"/>
                    <w:rPr>
                      <w:color w:val="auto"/>
                    </w:rPr>
                  </w:pPr>
                  <w:r>
                    <w:rPr>
                      <w:color w:val="auto"/>
                    </w:rPr>
                    <w:t>严格新改扩建涉气重点行业绩效评级限值条件。各区、开发区范围内新改扩建涉气重点行业企业应达到环保绩效A级、绩效引领性水平，周至县、蓝田县应达到环保绩效B级及以上水平。</w:t>
                  </w:r>
                </w:p>
              </w:tc>
              <w:tc>
                <w:tcPr>
                  <w:tcW w:w="1188" w:type="pct"/>
                  <w:noWrap w:val="0"/>
                  <w:vAlign w:val="center"/>
                </w:tcPr>
                <w:p w14:paraId="6521A2C7">
                  <w:pPr>
                    <w:pStyle w:val="50"/>
                    <w:rPr>
                      <w:color w:val="auto"/>
                    </w:rPr>
                  </w:pPr>
                  <w:r>
                    <w:rPr>
                      <w:color w:val="auto"/>
                    </w:rPr>
                    <w:t>对照《重污染天气重点行业应急减排措施制定技术指南（2020年修订版）》环办大气函〔2020〕340号，本项目不属于三十九个涉气重点行业。</w:t>
                  </w:r>
                </w:p>
              </w:tc>
              <w:tc>
                <w:tcPr>
                  <w:tcW w:w="553" w:type="pct"/>
                  <w:noWrap w:val="0"/>
                  <w:vAlign w:val="center"/>
                </w:tcPr>
                <w:p w14:paraId="5B6A79D2">
                  <w:pPr>
                    <w:pStyle w:val="50"/>
                    <w:rPr>
                      <w:color w:val="auto"/>
                    </w:rPr>
                  </w:pPr>
                  <w:r>
                    <w:rPr>
                      <w:color w:val="auto"/>
                    </w:rPr>
                    <w:t>符合</w:t>
                  </w:r>
                </w:p>
              </w:tc>
            </w:tr>
            <w:tr w14:paraId="3B79DB7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2" w:hRule="atLeast"/>
                <w:jc w:val="center"/>
              </w:trPr>
              <w:tc>
                <w:tcPr>
                  <w:tcW w:w="971" w:type="pct"/>
                  <w:noWrap w:val="0"/>
                  <w:vAlign w:val="center"/>
                </w:tcPr>
                <w:p w14:paraId="5F5925C4">
                  <w:pPr>
                    <w:adjustRightInd w:val="0"/>
                    <w:snapToGrid w:val="0"/>
                    <w:spacing w:line="240" w:lineRule="auto"/>
                    <w:ind w:firstLine="0" w:firstLineChars="0"/>
                    <w:jc w:val="center"/>
                    <w:rPr>
                      <w:rFonts w:hint="eastAsia"/>
                      <w:color w:val="auto"/>
                      <w:sz w:val="21"/>
                      <w:szCs w:val="21"/>
                    </w:rPr>
                  </w:pPr>
                  <w:r>
                    <w:rPr>
                      <w:color w:val="auto"/>
                      <w:sz w:val="21"/>
                      <w:szCs w:val="21"/>
                    </w:rPr>
                    <w:t>关于印发《泾河新城大气污染治理专项行动方案2023-2027年）的通知</w:t>
                  </w:r>
                  <w:r>
                    <w:rPr>
                      <w:rFonts w:hint="eastAsia"/>
                      <w:color w:val="auto"/>
                      <w:sz w:val="21"/>
                      <w:szCs w:val="21"/>
                    </w:rPr>
                    <w:t>》</w:t>
                  </w:r>
                  <w:r>
                    <w:rPr>
                      <w:color w:val="auto"/>
                      <w:sz w:val="21"/>
                      <w:szCs w:val="21"/>
                    </w:rPr>
                    <w:t>（陕泾河发</w:t>
                  </w:r>
                  <w:r>
                    <w:rPr>
                      <w:rFonts w:hint="eastAsia"/>
                      <w:color w:val="auto"/>
                      <w:sz w:val="21"/>
                      <w:szCs w:val="21"/>
                    </w:rPr>
                    <w:t>〔</w:t>
                  </w:r>
                  <w:r>
                    <w:rPr>
                      <w:color w:val="auto"/>
                      <w:sz w:val="21"/>
                      <w:szCs w:val="21"/>
                    </w:rPr>
                    <w:t>2023</w:t>
                  </w:r>
                  <w:r>
                    <w:rPr>
                      <w:rFonts w:hint="eastAsia"/>
                      <w:color w:val="auto"/>
                      <w:sz w:val="21"/>
                      <w:szCs w:val="21"/>
                    </w:rPr>
                    <w:t>〕</w:t>
                  </w:r>
                  <w:r>
                    <w:rPr>
                      <w:color w:val="auto"/>
                      <w:sz w:val="21"/>
                      <w:szCs w:val="21"/>
                    </w:rPr>
                    <w:t>22号）</w:t>
                  </w:r>
                </w:p>
              </w:tc>
              <w:tc>
                <w:tcPr>
                  <w:tcW w:w="2286" w:type="pct"/>
                  <w:noWrap w:val="0"/>
                  <w:vAlign w:val="center"/>
                </w:tcPr>
                <w:p w14:paraId="38EF4238">
                  <w:pPr>
                    <w:adjustRightInd w:val="0"/>
                    <w:snapToGrid w:val="0"/>
                    <w:spacing w:line="240" w:lineRule="auto"/>
                    <w:ind w:firstLine="0" w:firstLineChars="0"/>
                    <w:jc w:val="left"/>
                    <w:rPr>
                      <w:color w:val="auto"/>
                      <w:sz w:val="21"/>
                      <w:szCs w:val="21"/>
                    </w:rPr>
                  </w:pPr>
                  <w:r>
                    <w:rPr>
                      <w:color w:val="auto"/>
                      <w:sz w:val="21"/>
                      <w:szCs w:val="21"/>
                    </w:rPr>
                    <w:t>3.产业发展结构调整。</w:t>
                  </w:r>
                </w:p>
                <w:p w14:paraId="42AE822D">
                  <w:pPr>
                    <w:adjustRightInd w:val="0"/>
                    <w:snapToGrid w:val="0"/>
                    <w:spacing w:line="240" w:lineRule="auto"/>
                    <w:ind w:firstLine="0" w:firstLineChars="0"/>
                    <w:jc w:val="left"/>
                    <w:rPr>
                      <w:color w:val="auto"/>
                      <w:kern w:val="0"/>
                      <w:sz w:val="21"/>
                      <w:szCs w:val="21"/>
                      <w:lang w:bidi="ar"/>
                    </w:rPr>
                  </w:pPr>
                  <w:r>
                    <w:rPr>
                      <w:color w:val="auto"/>
                      <w:sz w:val="21"/>
                      <w:szCs w:val="21"/>
                    </w:rPr>
                    <w:t>严格新、改、扩建涉气重点行业绩效评级限制条件。新城范围内新、改、扩建涉气重点行业企业应达到环保绩效A级、绩效引领性水平。</w:t>
                  </w:r>
                </w:p>
              </w:tc>
              <w:tc>
                <w:tcPr>
                  <w:tcW w:w="1188" w:type="pct"/>
                  <w:noWrap w:val="0"/>
                  <w:vAlign w:val="center"/>
                </w:tcPr>
                <w:p w14:paraId="2906A3CB">
                  <w:pPr>
                    <w:pStyle w:val="50"/>
                    <w:rPr>
                      <w:rFonts w:hint="eastAsia"/>
                      <w:color w:val="auto"/>
                    </w:rPr>
                  </w:pPr>
                  <w:r>
                    <w:rPr>
                      <w:color w:val="auto"/>
                    </w:rPr>
                    <w:t>对照《重污染天气重点行业应急减排措施制定技术指南（2020年修订版）》环办大气函〔2020〕340号，本项目不属于三十九个涉气重点行业。</w:t>
                  </w:r>
                </w:p>
              </w:tc>
              <w:tc>
                <w:tcPr>
                  <w:tcW w:w="553" w:type="pct"/>
                  <w:noWrap w:val="0"/>
                  <w:vAlign w:val="center"/>
                </w:tcPr>
                <w:p w14:paraId="1A79AE0E">
                  <w:pPr>
                    <w:pStyle w:val="50"/>
                    <w:rPr>
                      <w:color w:val="auto"/>
                    </w:rPr>
                  </w:pPr>
                  <w:r>
                    <w:rPr>
                      <w:color w:val="auto"/>
                    </w:rPr>
                    <w:t>符合</w:t>
                  </w:r>
                </w:p>
              </w:tc>
            </w:tr>
            <w:tr w14:paraId="70150F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971" w:type="pct"/>
                  <w:vMerge w:val="restart"/>
                  <w:noWrap w:val="0"/>
                  <w:vAlign w:val="center"/>
                </w:tcPr>
                <w:p w14:paraId="4359A1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w:t>
                  </w:r>
                  <w:r>
                    <w:rPr>
                      <w:rFonts w:hint="default" w:ascii="Times New Roman" w:hAnsi="Times New Roman" w:eastAsia="宋体" w:cs="Times New Roman"/>
                      <w:b w:val="0"/>
                      <w:bCs/>
                      <w:color w:val="auto"/>
                      <w:kern w:val="2"/>
                      <w:sz w:val="21"/>
                      <w:szCs w:val="21"/>
                      <w:highlight w:val="none"/>
                      <w:lang w:val="en-US" w:eastAsia="zh-CN" w:bidi="ar-SA"/>
                    </w:rPr>
                    <w:t>陕西省西咸新区党政办公</w:t>
                  </w:r>
                  <w:r>
                    <w:rPr>
                      <w:rFonts w:hint="eastAsia" w:ascii="Times New Roman" w:hAnsi="Times New Roman" w:eastAsia="宋体" w:cs="Times New Roman"/>
                      <w:b w:val="0"/>
                      <w:bCs/>
                      <w:color w:val="auto"/>
                      <w:kern w:val="2"/>
                      <w:sz w:val="21"/>
                      <w:szCs w:val="21"/>
                      <w:highlight w:val="none"/>
                      <w:lang w:val="en-US" w:eastAsia="zh-CN" w:bidi="ar-SA"/>
                    </w:rPr>
                    <w:t>室</w:t>
                  </w:r>
                  <w:r>
                    <w:rPr>
                      <w:rFonts w:hint="default" w:ascii="Times New Roman" w:hAnsi="Times New Roman" w:eastAsia="宋体" w:cs="Times New Roman"/>
                      <w:b w:val="0"/>
                      <w:bCs/>
                      <w:color w:val="auto"/>
                      <w:kern w:val="2"/>
                      <w:sz w:val="21"/>
                      <w:szCs w:val="21"/>
                      <w:highlight w:val="none"/>
                      <w:lang w:val="en-US" w:eastAsia="zh-CN" w:bidi="ar-SA"/>
                    </w:rPr>
                    <w:t>关于印发西咸新区</w:t>
                  </w:r>
                  <w:r>
                    <w:rPr>
                      <w:rFonts w:hint="eastAsia" w:ascii="Times New Roman" w:hAnsi="Times New Roman" w:eastAsia="宋体" w:cs="Times New Roman"/>
                      <w:b w:val="0"/>
                      <w:bCs/>
                      <w:color w:val="auto"/>
                      <w:kern w:val="2"/>
                      <w:sz w:val="21"/>
                      <w:szCs w:val="21"/>
                      <w:highlight w:val="none"/>
                      <w:lang w:val="en-US" w:eastAsia="zh-CN" w:bidi="ar-SA"/>
                    </w:rPr>
                    <w:t>推进实现“十四五”空气质量目标暨大气污染治理专项行动</w:t>
                  </w:r>
                  <w:r>
                    <w:rPr>
                      <w:rFonts w:hint="default" w:ascii="Times New Roman" w:hAnsi="Times New Roman" w:eastAsia="宋体" w:cs="Times New Roman"/>
                      <w:b w:val="0"/>
                      <w:bCs/>
                      <w:color w:val="auto"/>
                      <w:kern w:val="2"/>
                      <w:sz w:val="21"/>
                      <w:szCs w:val="21"/>
                      <w:highlight w:val="none"/>
                      <w:lang w:val="en-US" w:eastAsia="zh-CN" w:bidi="ar-SA"/>
                    </w:rPr>
                    <w:t xml:space="preserve">2025 </w:t>
                  </w:r>
                  <w:r>
                    <w:rPr>
                      <w:rFonts w:hint="eastAsia" w:ascii="Times New Roman" w:hAnsi="Times New Roman" w:eastAsia="宋体" w:cs="Times New Roman"/>
                      <w:b w:val="0"/>
                      <w:bCs/>
                      <w:color w:val="auto"/>
                      <w:kern w:val="2"/>
                      <w:sz w:val="21"/>
                      <w:szCs w:val="21"/>
                      <w:highlight w:val="none"/>
                      <w:lang w:val="en-US" w:eastAsia="zh-CN" w:bidi="ar-SA"/>
                    </w:rPr>
                    <w:t>年工作方案的通知》</w:t>
                  </w:r>
                </w:p>
              </w:tc>
              <w:tc>
                <w:tcPr>
                  <w:tcW w:w="2286" w:type="pct"/>
                  <w:noWrap w:val="0"/>
                  <w:vAlign w:val="center"/>
                </w:tcPr>
                <w:p w14:paraId="7E4ACE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新建、改建、扩建化工、石化、建材、有色等项目的环境影响评价应满足区域和规划环评要求。</w:t>
                  </w:r>
                </w:p>
              </w:tc>
              <w:tc>
                <w:tcPr>
                  <w:tcW w:w="1188" w:type="pct"/>
                  <w:noWrap w:val="0"/>
                  <w:vAlign w:val="center"/>
                </w:tcPr>
                <w:p w14:paraId="2B6EF5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本项目为钛棒生产项目，不属于化工、石化、建材、有色行业。</w:t>
                  </w:r>
                </w:p>
              </w:tc>
              <w:tc>
                <w:tcPr>
                  <w:tcW w:w="553" w:type="pct"/>
                  <w:noWrap w:val="0"/>
                  <w:vAlign w:val="center"/>
                </w:tcPr>
                <w:p w14:paraId="11787D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符合</w:t>
                  </w:r>
                </w:p>
              </w:tc>
            </w:tr>
            <w:tr w14:paraId="121D55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88" w:hRule="atLeast"/>
                <w:jc w:val="center"/>
              </w:trPr>
              <w:tc>
                <w:tcPr>
                  <w:tcW w:w="971" w:type="pct"/>
                  <w:vMerge w:val="continue"/>
                  <w:noWrap w:val="0"/>
                  <w:vAlign w:val="center"/>
                </w:tcPr>
                <w:p w14:paraId="27ADDE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zh-CN" w:eastAsia="zh-CN" w:bidi="ar-SA"/>
                    </w:rPr>
                  </w:pPr>
                </w:p>
              </w:tc>
              <w:tc>
                <w:tcPr>
                  <w:tcW w:w="2286" w:type="pct"/>
                  <w:noWrap w:val="0"/>
                  <w:vAlign w:val="center"/>
                </w:tcPr>
                <w:p w14:paraId="0A58E8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严格设定新建、改建、扩建涉气重点行业绩效评级限制条件。</w:t>
                  </w:r>
                </w:p>
              </w:tc>
              <w:tc>
                <w:tcPr>
                  <w:tcW w:w="1188" w:type="pct"/>
                  <w:noWrap w:val="0"/>
                  <w:vAlign w:val="center"/>
                </w:tcPr>
                <w:p w14:paraId="6BB8CE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本项目位于关中地区，但不属于39个重点行业。</w:t>
                  </w:r>
                </w:p>
              </w:tc>
              <w:tc>
                <w:tcPr>
                  <w:tcW w:w="553" w:type="pct"/>
                  <w:noWrap w:val="0"/>
                  <w:vAlign w:val="center"/>
                </w:tcPr>
                <w:p w14:paraId="7697C6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符合</w:t>
                  </w:r>
                </w:p>
              </w:tc>
            </w:tr>
          </w:tbl>
          <w:p w14:paraId="0E77AEC3">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2" w:firstLineChars="200"/>
              <w:textAlignment w:val="auto"/>
              <w:rPr>
                <w:b/>
                <w:bCs/>
                <w:color w:val="auto"/>
                <w:kern w:val="0"/>
                <w:sz w:val="24"/>
                <w:szCs w:val="20"/>
                <w:highlight w:val="none"/>
              </w:rPr>
            </w:pPr>
            <w:r>
              <w:rPr>
                <w:rFonts w:hint="eastAsia"/>
                <w:b/>
                <w:bCs/>
                <w:color w:val="auto"/>
                <w:kern w:val="0"/>
                <w:sz w:val="24"/>
                <w:szCs w:val="20"/>
                <w:highlight w:val="none"/>
                <w:lang w:val="en-US" w:eastAsia="zh-CN"/>
              </w:rPr>
              <w:t>4、</w:t>
            </w:r>
            <w:r>
              <w:rPr>
                <w:b/>
                <w:bCs/>
                <w:color w:val="auto"/>
                <w:kern w:val="0"/>
                <w:sz w:val="24"/>
                <w:szCs w:val="20"/>
                <w:highlight w:val="none"/>
              </w:rPr>
              <w:t>选址合理性分析</w:t>
            </w:r>
          </w:p>
          <w:p w14:paraId="566C546B">
            <w:pPr>
              <w:spacing w:line="360" w:lineRule="auto"/>
              <w:ind w:firstLine="480" w:firstLineChars="200"/>
              <w:rPr>
                <w:rFonts w:hint="default"/>
                <w:color w:val="auto"/>
                <w:kern w:val="0"/>
                <w:sz w:val="24"/>
                <w:szCs w:val="20"/>
                <w:highlight w:val="none"/>
                <w:lang w:val="en-US"/>
              </w:rPr>
            </w:pPr>
            <w:r>
              <w:rPr>
                <w:color w:val="auto"/>
                <w:kern w:val="0"/>
                <w:sz w:val="24"/>
                <w:szCs w:val="20"/>
                <w:highlight w:val="none"/>
              </w:rPr>
              <w:t>①</w:t>
            </w:r>
            <w:r>
              <w:rPr>
                <w:rFonts w:hint="eastAsia"/>
                <w:color w:val="auto"/>
                <w:kern w:val="0"/>
                <w:sz w:val="24"/>
                <w:szCs w:val="20"/>
                <w:highlight w:val="none"/>
                <w:lang w:val="en-US" w:eastAsia="zh-CN"/>
              </w:rPr>
              <w:t>用地分析：</w:t>
            </w:r>
            <w:r>
              <w:rPr>
                <w:color w:val="auto"/>
                <w:kern w:val="0"/>
                <w:sz w:val="24"/>
                <w:szCs w:val="20"/>
                <w:highlight w:val="none"/>
              </w:rPr>
              <w:t>本项目位于</w:t>
            </w:r>
            <w:r>
              <w:rPr>
                <w:rFonts w:hint="eastAsia"/>
                <w:color w:val="auto"/>
                <w:kern w:val="0"/>
                <w:sz w:val="24"/>
                <w:szCs w:val="20"/>
                <w:highlight w:val="none"/>
                <w:lang w:eastAsia="zh-CN"/>
              </w:rPr>
              <w:t>陕西省西咸新区泾河新城永乐镇永丰村委会南侧</w:t>
            </w:r>
            <w:r>
              <w:rPr>
                <w:color w:val="auto"/>
                <w:kern w:val="0"/>
                <w:sz w:val="24"/>
                <w:szCs w:val="20"/>
                <w:highlight w:val="none"/>
              </w:rPr>
              <w:t>，</w:t>
            </w:r>
            <w:r>
              <w:rPr>
                <w:rFonts w:hint="eastAsia"/>
                <w:color w:val="auto"/>
                <w:kern w:val="0"/>
                <w:sz w:val="24"/>
                <w:szCs w:val="20"/>
                <w:highlight w:val="none"/>
                <w:lang w:val="en-US" w:eastAsia="zh-CN"/>
              </w:rPr>
              <w:t>租赁现有空厂房进行生产建设（</w:t>
            </w:r>
            <w:r>
              <w:rPr>
                <w:color w:val="auto"/>
                <w:kern w:val="0"/>
                <w:sz w:val="24"/>
                <w:szCs w:val="20"/>
                <w:highlight w:val="none"/>
              </w:rPr>
              <w:t>租赁协议见附件</w:t>
            </w:r>
            <w:r>
              <w:rPr>
                <w:rFonts w:hint="eastAsia"/>
                <w:color w:val="auto"/>
                <w:kern w:val="0"/>
                <w:sz w:val="24"/>
                <w:szCs w:val="20"/>
                <w:highlight w:val="none"/>
                <w:lang w:val="en-US" w:eastAsia="zh-CN"/>
              </w:rPr>
              <w:t>3）；根据《西咸新区泾河新城控制性详细规划图》，项目用地为二类工业用地（见附图2）。企业承诺，</w:t>
            </w:r>
            <w:r>
              <w:rPr>
                <w:rFonts w:hint="eastAsia" w:ascii="Times New Roman" w:hAnsi="Times New Roman" w:cs="Times New Roman"/>
                <w:color w:val="auto"/>
                <w:kern w:val="0"/>
                <w:sz w:val="24"/>
                <w:szCs w:val="20"/>
                <w:highlight w:val="none"/>
                <w:lang w:val="en-US" w:eastAsia="zh-CN"/>
              </w:rPr>
              <w:t>因泾河新城需要对项目所在区域土地进行收储时，无条件搬迁，承诺书见附件7。</w:t>
            </w:r>
            <w:bookmarkStart w:id="10" w:name="_GoBack"/>
            <w:bookmarkEnd w:id="10"/>
          </w:p>
          <w:p w14:paraId="1A1A563F">
            <w:pPr>
              <w:spacing w:line="360" w:lineRule="auto"/>
              <w:ind w:firstLine="480" w:firstLineChars="200"/>
              <w:rPr>
                <w:rFonts w:hint="eastAsia" w:eastAsia="宋体"/>
                <w:color w:val="auto"/>
                <w:kern w:val="0"/>
                <w:sz w:val="24"/>
                <w:szCs w:val="20"/>
                <w:highlight w:val="none"/>
                <w:lang w:val="en-US" w:eastAsia="zh-CN"/>
              </w:rPr>
            </w:pPr>
            <w:r>
              <w:rPr>
                <w:color w:val="auto"/>
                <w:kern w:val="0"/>
                <w:sz w:val="24"/>
                <w:szCs w:val="20"/>
                <w:highlight w:val="none"/>
              </w:rPr>
              <w:t>本项目</w:t>
            </w:r>
            <w:r>
              <w:rPr>
                <w:rFonts w:hint="eastAsia"/>
                <w:color w:val="auto"/>
                <w:kern w:val="0"/>
                <w:sz w:val="24"/>
                <w:szCs w:val="20"/>
                <w:highlight w:val="none"/>
              </w:rPr>
              <w:t>北侧</w:t>
            </w:r>
            <w:r>
              <w:rPr>
                <w:rFonts w:hint="eastAsia"/>
                <w:color w:val="auto"/>
                <w:kern w:val="0"/>
                <w:sz w:val="24"/>
                <w:szCs w:val="20"/>
                <w:highlight w:val="none"/>
                <w:lang w:val="en-US" w:eastAsia="zh-CN"/>
              </w:rPr>
              <w:t>为永丰村村委会、南侧为酿造厂、西侧紧邻原点东一路，与法士特沃克齿轮隔路相望；厂房东侧为西安城建工程学校；厂区距离南侧高泾大道仅550m，由西侧原点东一路连接，</w:t>
            </w:r>
            <w:r>
              <w:rPr>
                <w:rFonts w:hint="eastAsia"/>
                <w:color w:val="auto"/>
                <w:sz w:val="24"/>
                <w:highlight w:val="none"/>
              </w:rPr>
              <w:t>交通便利，便于原材料及产品的运输</w:t>
            </w:r>
            <w:r>
              <w:rPr>
                <w:color w:val="auto"/>
                <w:kern w:val="0"/>
                <w:sz w:val="24"/>
                <w:szCs w:val="20"/>
                <w:highlight w:val="none"/>
              </w:rPr>
              <w:t>。</w:t>
            </w:r>
          </w:p>
          <w:p w14:paraId="1F117520">
            <w:pPr>
              <w:spacing w:line="360" w:lineRule="auto"/>
              <w:ind w:firstLine="480" w:firstLineChars="200"/>
              <w:rPr>
                <w:color w:val="auto"/>
                <w:kern w:val="0"/>
                <w:sz w:val="24"/>
                <w:szCs w:val="20"/>
                <w:highlight w:val="none"/>
              </w:rPr>
            </w:pPr>
            <w:r>
              <w:rPr>
                <w:color w:val="auto"/>
                <w:kern w:val="0"/>
                <w:sz w:val="24"/>
                <w:szCs w:val="20"/>
                <w:highlight w:val="none"/>
              </w:rPr>
              <w:t>②</w:t>
            </w:r>
            <w:r>
              <w:rPr>
                <w:rFonts w:hint="eastAsia"/>
                <w:color w:val="auto"/>
                <w:kern w:val="0"/>
                <w:sz w:val="24"/>
                <w:szCs w:val="20"/>
                <w:highlight w:val="none"/>
              </w:rPr>
              <w:t>公辅</w:t>
            </w:r>
            <w:r>
              <w:rPr>
                <w:color w:val="auto"/>
                <w:kern w:val="0"/>
                <w:sz w:val="24"/>
                <w:szCs w:val="20"/>
                <w:highlight w:val="none"/>
              </w:rPr>
              <w:t>设施分析：本项目</w:t>
            </w:r>
            <w:r>
              <w:rPr>
                <w:rFonts w:hint="eastAsia"/>
                <w:color w:val="auto"/>
                <w:kern w:val="0"/>
                <w:sz w:val="24"/>
                <w:szCs w:val="20"/>
                <w:highlight w:val="none"/>
                <w:lang w:val="en-US" w:eastAsia="zh-CN"/>
              </w:rPr>
              <w:t>租赁现有厂房生产</w:t>
            </w:r>
            <w:r>
              <w:rPr>
                <w:rFonts w:hint="eastAsia"/>
                <w:color w:val="auto"/>
                <w:sz w:val="24"/>
                <w:highlight w:val="none"/>
              </w:rPr>
              <w:t>，</w:t>
            </w:r>
            <w:r>
              <w:rPr>
                <w:rFonts w:hint="eastAsia"/>
                <w:color w:val="auto"/>
                <w:sz w:val="24"/>
                <w:highlight w:val="none"/>
                <w:lang w:val="en-US" w:eastAsia="zh-CN"/>
              </w:rPr>
              <w:t>厂区给排水</w:t>
            </w:r>
            <w:r>
              <w:rPr>
                <w:rFonts w:hint="eastAsia"/>
                <w:color w:val="auto"/>
                <w:sz w:val="24"/>
                <w:highlight w:val="none"/>
              </w:rPr>
              <w:t>、用电均依托</w:t>
            </w:r>
            <w:r>
              <w:rPr>
                <w:rFonts w:hint="eastAsia"/>
                <w:color w:val="auto"/>
                <w:kern w:val="0"/>
                <w:sz w:val="24"/>
                <w:szCs w:val="20"/>
                <w:highlight w:val="none"/>
                <w:lang w:val="en-US" w:eastAsia="zh-CN"/>
              </w:rPr>
              <w:t>市政管网</w:t>
            </w:r>
            <w:r>
              <w:rPr>
                <w:rFonts w:hint="eastAsia"/>
                <w:color w:val="auto"/>
                <w:sz w:val="24"/>
                <w:highlight w:val="none"/>
              </w:rPr>
              <w:t>供给</w:t>
            </w:r>
            <w:r>
              <w:rPr>
                <w:rFonts w:hint="eastAsia"/>
                <w:color w:val="auto"/>
                <w:sz w:val="24"/>
                <w:highlight w:val="none"/>
                <w:lang w:eastAsia="zh-CN"/>
              </w:rPr>
              <w:t>，</w:t>
            </w:r>
            <w:r>
              <w:rPr>
                <w:rFonts w:hint="eastAsia"/>
                <w:color w:val="auto"/>
                <w:sz w:val="24"/>
                <w:highlight w:val="none"/>
                <w:lang w:val="en-US" w:eastAsia="zh-CN"/>
              </w:rPr>
              <w:t>基础设施完备</w:t>
            </w:r>
            <w:r>
              <w:rPr>
                <w:color w:val="auto"/>
                <w:kern w:val="0"/>
                <w:sz w:val="24"/>
                <w:szCs w:val="20"/>
                <w:highlight w:val="none"/>
              </w:rPr>
              <w:t>。</w:t>
            </w:r>
          </w:p>
          <w:p w14:paraId="7148B516">
            <w:pPr>
              <w:spacing w:line="360" w:lineRule="auto"/>
              <w:ind w:firstLine="480" w:firstLineChars="200"/>
              <w:rPr>
                <w:color w:val="auto"/>
                <w:kern w:val="0"/>
                <w:sz w:val="24"/>
                <w:szCs w:val="20"/>
                <w:highlight w:val="yellow"/>
              </w:rPr>
            </w:pPr>
            <w:r>
              <w:rPr>
                <w:color w:val="auto"/>
                <w:kern w:val="0"/>
                <w:sz w:val="24"/>
                <w:szCs w:val="20"/>
                <w:highlight w:val="none"/>
              </w:rPr>
              <w:t>③污染物</w:t>
            </w:r>
            <w:r>
              <w:rPr>
                <w:color w:val="auto"/>
                <w:kern w:val="0"/>
                <w:sz w:val="24"/>
                <w:highlight w:val="none"/>
              </w:rPr>
              <w:t>影响分析：</w:t>
            </w:r>
            <w:r>
              <w:rPr>
                <w:rFonts w:hint="eastAsia"/>
                <w:color w:val="auto"/>
                <w:kern w:val="0"/>
                <w:sz w:val="24"/>
                <w:highlight w:val="none"/>
                <w:lang w:val="en-US" w:eastAsia="zh-CN"/>
              </w:rPr>
              <w:t>打磨粉尘经水旋喷淋塔处理后经15m高排气筒（DA001）排放，振壳、喷砂粉尘经配套袋式除尘器处理后无组织排放；</w:t>
            </w:r>
            <w:r>
              <w:rPr>
                <w:rFonts w:hint="eastAsia" w:ascii="Times New Roman" w:hAnsi="Times New Roman" w:eastAsia="宋体" w:cs="Times New Roman"/>
                <w:color w:val="auto"/>
                <w:sz w:val="24"/>
                <w:highlight w:val="none"/>
                <w:lang w:val="en-US" w:eastAsia="zh-CN"/>
              </w:rPr>
              <w:t>项目无生产废水排放，</w:t>
            </w:r>
            <w:r>
              <w:rPr>
                <w:rFonts w:hint="eastAsia"/>
                <w:color w:val="auto"/>
                <w:sz w:val="24"/>
                <w:highlight w:val="none"/>
                <w:lang w:val="en-US" w:eastAsia="zh-CN"/>
              </w:rPr>
              <w:t>生活污水依托厂区现有化粪池处理后经市政管网排入泾河新城第二污水处理厂进一步处理</w:t>
            </w:r>
            <w:r>
              <w:rPr>
                <w:rFonts w:hint="eastAsia"/>
                <w:color w:val="auto"/>
                <w:kern w:val="0"/>
                <w:sz w:val="24"/>
                <w:szCs w:val="22"/>
                <w:highlight w:val="none"/>
              </w:rPr>
              <w:t>；</w:t>
            </w:r>
            <w:r>
              <w:rPr>
                <w:rFonts w:hint="eastAsia" w:ascii="Times New Roman" w:hAnsi="Times New Roman" w:eastAsia="宋体" w:cs="Times New Roman"/>
                <w:bCs/>
                <w:color w:val="auto"/>
                <w:kern w:val="0"/>
                <w:sz w:val="24"/>
                <w:szCs w:val="20"/>
                <w:highlight w:val="none"/>
              </w:rPr>
              <w:t>噪声通过合理布局，优选低噪设备、采取厂房隔声、设备减振等措施，对环境影响小；</w:t>
            </w:r>
            <w:r>
              <w:rPr>
                <w:rFonts w:hint="eastAsia"/>
                <w:color w:val="auto"/>
                <w:sz w:val="24"/>
                <w:szCs w:val="24"/>
              </w:rPr>
              <w:t>固体废弃物</w:t>
            </w:r>
            <w:r>
              <w:rPr>
                <w:color w:val="auto"/>
                <w:sz w:val="24"/>
                <w:szCs w:val="24"/>
              </w:rPr>
              <w:t>均得到综合利用或妥善处理处置</w:t>
            </w:r>
            <w:r>
              <w:rPr>
                <w:rFonts w:hint="eastAsia"/>
                <w:color w:val="auto"/>
                <w:sz w:val="24"/>
                <w:szCs w:val="24"/>
              </w:rPr>
              <w:t>，对环境影响小，不存在环境制约因素。</w:t>
            </w:r>
          </w:p>
          <w:p w14:paraId="514FC1B2">
            <w:pPr>
              <w:spacing w:line="360" w:lineRule="auto"/>
              <w:ind w:firstLine="480" w:firstLineChars="200"/>
              <w:jc w:val="both"/>
              <w:rPr>
                <w:color w:val="auto"/>
                <w:kern w:val="0"/>
                <w:sz w:val="24"/>
                <w:highlight w:val="none"/>
              </w:rPr>
            </w:pPr>
            <w:r>
              <w:rPr>
                <w:rFonts w:hint="eastAsia" w:ascii="宋体" w:hAnsi="宋体" w:cs="宋体"/>
                <w:color w:val="auto"/>
                <w:kern w:val="0"/>
                <w:sz w:val="24"/>
                <w:szCs w:val="20"/>
                <w:highlight w:val="none"/>
              </w:rPr>
              <w:t>④</w:t>
            </w:r>
            <w:r>
              <w:rPr>
                <w:color w:val="auto"/>
                <w:kern w:val="0"/>
                <w:sz w:val="24"/>
                <w:szCs w:val="20"/>
                <w:highlight w:val="none"/>
              </w:rPr>
              <w:t>周围制约因素分析：项目建成后</w:t>
            </w:r>
            <w:r>
              <w:rPr>
                <w:rFonts w:hint="eastAsia"/>
                <w:color w:val="auto"/>
                <w:kern w:val="0"/>
                <w:sz w:val="24"/>
                <w:szCs w:val="20"/>
                <w:highlight w:val="none"/>
                <w:lang w:val="en-US" w:eastAsia="zh-CN"/>
              </w:rPr>
              <w:t>废气、</w:t>
            </w:r>
            <w:r>
              <w:rPr>
                <w:bCs/>
                <w:color w:val="auto"/>
                <w:kern w:val="0"/>
                <w:sz w:val="24"/>
                <w:szCs w:val="20"/>
                <w:highlight w:val="none"/>
              </w:rPr>
              <w:t>废水、噪声和固体废物在采用相应的污染防治措施后，均能实现达标排放和</w:t>
            </w:r>
            <w:r>
              <w:rPr>
                <w:rFonts w:hint="eastAsia"/>
                <w:bCs/>
                <w:color w:val="auto"/>
                <w:kern w:val="0"/>
                <w:sz w:val="24"/>
                <w:szCs w:val="20"/>
                <w:highlight w:val="none"/>
                <w:lang w:val="en-US" w:eastAsia="zh-CN"/>
              </w:rPr>
              <w:t>总量控制要求</w:t>
            </w:r>
            <w:r>
              <w:rPr>
                <w:rFonts w:hint="eastAsia"/>
                <w:color w:val="auto"/>
                <w:kern w:val="0"/>
                <w:sz w:val="24"/>
                <w:szCs w:val="20"/>
                <w:highlight w:val="none"/>
              </w:rPr>
              <w:t>，</w:t>
            </w:r>
            <w:r>
              <w:rPr>
                <w:color w:val="auto"/>
                <w:kern w:val="0"/>
                <w:sz w:val="24"/>
                <w:szCs w:val="20"/>
                <w:highlight w:val="none"/>
              </w:rPr>
              <w:t>项目周边无500m范围内无饮用水源保护区、自然保护区和重要渔业水域等环境</w:t>
            </w:r>
            <w:r>
              <w:rPr>
                <w:rFonts w:hint="eastAsia"/>
                <w:color w:val="auto"/>
                <w:kern w:val="0"/>
                <w:sz w:val="24"/>
                <w:highlight w:val="none"/>
              </w:rPr>
              <w:t>，</w:t>
            </w:r>
            <w:r>
              <w:rPr>
                <w:color w:val="auto"/>
                <w:kern w:val="0"/>
                <w:sz w:val="24"/>
                <w:szCs w:val="20"/>
                <w:highlight w:val="none"/>
              </w:rPr>
              <w:t>故本项目的建设不存在制约因素。</w:t>
            </w:r>
          </w:p>
          <w:p w14:paraId="1794E9C2">
            <w:pPr>
              <w:keepNext w:val="0"/>
              <w:keepLines w:val="0"/>
              <w:pageBreakBefore w:val="0"/>
              <w:widowControl w:val="0"/>
              <w:kinsoku/>
              <w:wordWrap/>
              <w:overflowPunct/>
              <w:topLinePunct w:val="0"/>
              <w:bidi w:val="0"/>
              <w:adjustRightInd w:val="0"/>
              <w:snapToGrid/>
              <w:spacing w:line="360" w:lineRule="auto"/>
              <w:ind w:firstLine="480" w:firstLineChars="200"/>
              <w:textAlignment w:val="auto"/>
              <w:rPr>
                <w:color w:val="auto"/>
                <w:kern w:val="0"/>
                <w:sz w:val="24"/>
                <w:szCs w:val="20"/>
                <w:highlight w:val="none"/>
              </w:rPr>
            </w:pPr>
            <w:r>
              <w:rPr>
                <w:color w:val="auto"/>
                <w:kern w:val="0"/>
                <w:sz w:val="24"/>
                <w:szCs w:val="22"/>
                <w:highlight w:val="none"/>
              </w:rPr>
              <w:t>因此，从环境保护角度分析，本项目选址合理。</w:t>
            </w:r>
          </w:p>
          <w:p w14:paraId="0645030B">
            <w:pPr>
              <w:keepNext w:val="0"/>
              <w:keepLines w:val="0"/>
              <w:pageBreakBefore w:val="0"/>
              <w:widowControl w:val="0"/>
              <w:kinsoku/>
              <w:wordWrap/>
              <w:overflowPunct/>
              <w:topLinePunct w:val="0"/>
              <w:bidi w:val="0"/>
              <w:adjustRightInd w:val="0"/>
              <w:snapToGrid/>
              <w:spacing w:line="360" w:lineRule="auto"/>
              <w:ind w:left="0" w:right="0" w:firstLine="480" w:firstLineChars="200"/>
              <w:textAlignment w:val="auto"/>
              <w:rPr>
                <w:color w:val="auto"/>
                <w:sz w:val="24"/>
                <w:szCs w:val="24"/>
                <w:highlight w:val="yellow"/>
              </w:rPr>
            </w:pPr>
          </w:p>
          <w:p w14:paraId="36547F51">
            <w:pPr>
              <w:pStyle w:val="32"/>
              <w:rPr>
                <w:rFonts w:ascii="Times New Roman" w:cs="Times New Roman"/>
                <w:color w:val="auto"/>
                <w:szCs w:val="21"/>
                <w:highlight w:val="yellow"/>
              </w:rPr>
            </w:pPr>
          </w:p>
        </w:tc>
      </w:tr>
    </w:tbl>
    <w:p w14:paraId="4CEE6505">
      <w:pPr>
        <w:spacing w:line="360" w:lineRule="auto"/>
        <w:outlineLvl w:val="0"/>
        <w:rPr>
          <w:rFonts w:eastAsia="黑体"/>
          <w:color w:val="auto"/>
          <w:sz w:val="30"/>
        </w:rPr>
        <w:sectPr>
          <w:pgSz w:w="11906" w:h="16838"/>
          <w:pgMar w:top="1440" w:right="1800" w:bottom="1440" w:left="1800" w:header="851" w:footer="850" w:gutter="0"/>
          <w:pgBorders>
            <w:top w:val="none" w:sz="0" w:space="0"/>
            <w:left w:val="none" w:sz="0" w:space="0"/>
            <w:bottom w:val="none" w:sz="0" w:space="0"/>
            <w:right w:val="none" w:sz="0" w:space="0"/>
          </w:pgBorders>
          <w:pgNumType w:fmt="numberInDash"/>
          <w:cols w:space="720" w:num="1"/>
          <w:docGrid w:linePitch="312" w:charSpace="0"/>
        </w:sectPr>
      </w:pPr>
    </w:p>
    <w:p w14:paraId="0EC7CD89">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0"/>
          <w:szCs w:val="30"/>
        </w:rPr>
        <w:t>二、建设项目工程分析</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3"/>
        <w:gridCol w:w="8587"/>
      </w:tblGrid>
      <w:tr w14:paraId="199100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473" w:type="dxa"/>
            <w:vAlign w:val="center"/>
          </w:tcPr>
          <w:p w14:paraId="48642380">
            <w:pPr>
              <w:widowControl/>
              <w:adjustRightInd w:val="0"/>
              <w:snapToGrid w:val="0"/>
              <w:jc w:val="center"/>
              <w:rPr>
                <w:color w:val="auto"/>
                <w:kern w:val="0"/>
                <w:szCs w:val="21"/>
              </w:rPr>
            </w:pPr>
            <w:r>
              <w:rPr>
                <w:color w:val="auto"/>
                <w:kern w:val="0"/>
                <w:sz w:val="24"/>
              </w:rPr>
              <w:t>建设内容</w:t>
            </w:r>
          </w:p>
        </w:tc>
        <w:tc>
          <w:tcPr>
            <w:tcW w:w="8587" w:type="dxa"/>
          </w:tcPr>
          <w:p w14:paraId="7AEF51AA">
            <w:pPr>
              <w:numPr>
                <w:ilvl w:val="0"/>
                <w:numId w:val="0"/>
              </w:numPr>
              <w:spacing w:line="360" w:lineRule="auto"/>
              <w:ind w:leftChars="0"/>
              <w:rPr>
                <w:rFonts w:hint="default" w:ascii="Times New Roman" w:hAnsi="Times New Roman" w:cs="Times New Roman"/>
                <w:color w:val="auto"/>
                <w:sz w:val="24"/>
                <w:szCs w:val="24"/>
              </w:rPr>
            </w:pPr>
            <w:r>
              <w:rPr>
                <w:rFonts w:hint="default" w:ascii="Times New Roman" w:hAnsi="Times New Roman" w:cs="Times New Roman"/>
                <w:b/>
                <w:color w:val="auto"/>
                <w:sz w:val="24"/>
                <w:szCs w:val="24"/>
                <w:lang w:val="en-US" w:eastAsia="zh-CN"/>
              </w:rPr>
              <w:t>1、</w:t>
            </w:r>
            <w:r>
              <w:rPr>
                <w:rFonts w:hint="default" w:ascii="Times New Roman" w:hAnsi="Times New Roman" w:cs="Times New Roman"/>
                <w:b/>
                <w:color w:val="auto"/>
                <w:sz w:val="24"/>
                <w:szCs w:val="24"/>
              </w:rPr>
              <w:t>项目由来</w:t>
            </w:r>
          </w:p>
          <w:p w14:paraId="5D7DB018">
            <w:pPr>
              <w:spacing w:line="360" w:lineRule="auto"/>
              <w:ind w:firstLine="480" w:firstLineChars="200"/>
              <w:rPr>
                <w:rFonts w:hint="eastAsia"/>
                <w:color w:val="auto"/>
                <w:kern w:val="0"/>
                <w:sz w:val="24"/>
                <w:szCs w:val="20"/>
                <w:lang w:val="en-US" w:eastAsia="zh-CN"/>
              </w:rPr>
            </w:pPr>
            <w:r>
              <w:rPr>
                <w:rFonts w:hint="eastAsia" w:cs="Times New Roman"/>
                <w:color w:val="auto"/>
                <w:sz w:val="24"/>
                <w:szCs w:val="24"/>
                <w:lang w:val="en-US" w:eastAsia="zh-CN"/>
              </w:rPr>
              <w:t>2024年10月，</w:t>
            </w:r>
            <w:r>
              <w:rPr>
                <w:rFonts w:hint="eastAsia"/>
                <w:color w:val="auto"/>
                <w:kern w:val="0"/>
                <w:sz w:val="24"/>
                <w:lang w:eastAsia="zh-CN"/>
              </w:rPr>
              <w:t>陕西新隆钛金属材料有限公司</w:t>
            </w:r>
            <w:r>
              <w:rPr>
                <w:rFonts w:hint="eastAsia"/>
                <w:color w:val="auto"/>
                <w:kern w:val="0"/>
                <w:sz w:val="24"/>
                <w:lang w:val="en-US" w:eastAsia="zh-CN"/>
              </w:rPr>
              <w:t>租赁</w:t>
            </w:r>
            <w:r>
              <w:rPr>
                <w:rFonts w:hint="eastAsia"/>
                <w:color w:val="auto"/>
                <w:kern w:val="0"/>
                <w:sz w:val="24"/>
                <w:lang w:eastAsia="zh-CN"/>
              </w:rPr>
              <w:t>泾河新城崇文镇焦村泾科路1号</w:t>
            </w:r>
            <w:r>
              <w:rPr>
                <w:rFonts w:hint="eastAsia"/>
                <w:color w:val="auto"/>
                <w:kern w:val="0"/>
                <w:sz w:val="24"/>
                <w:lang w:val="en-US" w:eastAsia="zh-CN"/>
              </w:rPr>
              <w:t>内</w:t>
            </w:r>
            <w:r>
              <w:rPr>
                <w:rFonts w:hint="eastAsia"/>
                <w:color w:val="auto"/>
                <w:kern w:val="0"/>
                <w:sz w:val="24"/>
                <w:szCs w:val="20"/>
                <w:lang w:val="en-US" w:eastAsia="zh-CN"/>
              </w:rPr>
              <w:t>陕西重华重工衡器有限公司空置厂房，进行“</w:t>
            </w:r>
            <w:r>
              <w:rPr>
                <w:rFonts w:hint="eastAsia"/>
                <w:color w:val="auto"/>
                <w:kern w:val="0"/>
                <w:sz w:val="24"/>
                <w:lang w:eastAsia="zh-CN"/>
              </w:rPr>
              <w:t>新隆钛金属年产3000件钛棒及1500件钛及钛合金板坯生产项目</w:t>
            </w:r>
            <w:r>
              <w:rPr>
                <w:rFonts w:hint="eastAsia"/>
                <w:color w:val="auto"/>
                <w:kern w:val="0"/>
                <w:sz w:val="24"/>
                <w:szCs w:val="20"/>
                <w:lang w:val="en-US" w:eastAsia="zh-CN"/>
              </w:rPr>
              <w:t>”建设，后续，逐步履行相关环保手续（环境影响评价、排污许可申报）。项目试运行期间，企业发现租赁区域内交通不便，物料无法运输，故企业另行选址，对现有项目进行迁建。</w:t>
            </w:r>
          </w:p>
          <w:p w14:paraId="4D9B9BE9">
            <w:pPr>
              <w:spacing w:line="360" w:lineRule="auto"/>
              <w:ind w:firstLine="480" w:firstLineChars="200"/>
              <w:rPr>
                <w:rFonts w:hint="eastAsia" w:ascii="Times New Roman" w:hAnsi="Times New Roman" w:eastAsia="宋体" w:cs="Times New Roman"/>
                <w:color w:val="auto"/>
                <w:kern w:val="0"/>
                <w:sz w:val="24"/>
                <w:szCs w:val="20"/>
                <w:lang w:val="en-US" w:eastAsia="zh-CN"/>
              </w:rPr>
            </w:pPr>
            <w:r>
              <w:rPr>
                <w:rFonts w:hint="eastAsia"/>
                <w:color w:val="auto"/>
                <w:kern w:val="0"/>
                <w:sz w:val="24"/>
                <w:szCs w:val="20"/>
                <w:lang w:val="en-US" w:eastAsia="zh-CN"/>
              </w:rPr>
              <w:t>2025年5月，企业租赁陕西省西咸新区泾河新城永乐镇永丰村现有厂房，拟进行搬迁。迁建后项目生产工艺不变，规模略增加，主要生产设备包括振壳机、喷砂机、</w:t>
            </w:r>
            <w:r>
              <w:rPr>
                <w:rFonts w:hint="eastAsia"/>
                <w:color w:val="auto"/>
                <w:kern w:val="0"/>
                <w:sz w:val="24"/>
                <w:lang w:val="en-US" w:eastAsia="zh-CN"/>
              </w:rPr>
              <w:t>打磨机</w:t>
            </w:r>
            <w:r>
              <w:rPr>
                <w:rFonts w:hint="eastAsia"/>
                <w:color w:val="auto"/>
                <w:kern w:val="0"/>
                <w:sz w:val="24"/>
                <w:szCs w:val="20"/>
                <w:lang w:val="en-US" w:eastAsia="zh-CN"/>
              </w:rPr>
              <w:t>等，对外购钛材进行表面处理，处</w:t>
            </w:r>
            <w:r>
              <w:rPr>
                <w:rFonts w:hint="eastAsia" w:ascii="Times New Roman" w:hAnsi="Times New Roman" w:eastAsia="宋体" w:cs="Times New Roman"/>
                <w:color w:val="auto"/>
                <w:kern w:val="0"/>
                <w:sz w:val="24"/>
                <w:szCs w:val="20"/>
                <w:lang w:val="en-US" w:eastAsia="zh-CN"/>
              </w:rPr>
              <w:t>理后的钛材广泛用于航空航天紧固件、医用植入体坯料、化工耐蚀部件等领域。</w:t>
            </w:r>
          </w:p>
          <w:p w14:paraId="4DBB27A8">
            <w:pPr>
              <w:spacing w:line="360" w:lineRule="auto"/>
              <w:ind w:firstLine="480" w:firstLineChars="200"/>
              <w:rPr>
                <w:color w:val="auto"/>
              </w:rPr>
            </w:pPr>
            <w:r>
              <w:rPr>
                <w:rFonts w:hint="eastAsia" w:ascii="Times New Roman" w:hAnsi="Times New Roman" w:eastAsia="宋体" w:cs="Times New Roman"/>
                <w:color w:val="auto"/>
                <w:sz w:val="24"/>
                <w:szCs w:val="24"/>
                <w:lang w:val="en-US" w:eastAsia="zh-CN"/>
              </w:rPr>
              <w:t>本项目对外购的钛材进行喷砂、打磨，</w:t>
            </w:r>
            <w:r>
              <w:rPr>
                <w:rFonts w:hint="eastAsia" w:cs="Times New Roman"/>
                <w:color w:val="auto"/>
                <w:sz w:val="24"/>
                <w:szCs w:val="24"/>
                <w:lang w:val="en-US" w:eastAsia="zh-CN"/>
              </w:rPr>
              <w:t>无电镀、热镀锌工艺，不使用有机涂层、溶剂型涂料，属于</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建设项目环境影响评价分类管理名录（2021年版）》（部令第16号）</w:t>
            </w:r>
            <w:r>
              <w:rPr>
                <w:rFonts w:hint="eastAsia" w:cs="Times New Roman"/>
                <w:color w:val="auto"/>
                <w:sz w:val="24"/>
                <w:szCs w:val="24"/>
                <w:lang w:val="en-US" w:eastAsia="zh-CN"/>
              </w:rPr>
              <w:t>中</w:t>
            </w:r>
            <w:r>
              <w:rPr>
                <w:rFonts w:hint="eastAsia" w:ascii="Times New Roman" w:hAnsi="Times New Roman" w:eastAsia="宋体" w:cs="Times New Roman"/>
                <w:color w:val="auto"/>
                <w:sz w:val="24"/>
                <w:szCs w:val="24"/>
                <w:lang w:val="en-US" w:eastAsia="zh-CN"/>
              </w:rPr>
              <w:t>“三十、金属制品业</w:t>
            </w:r>
            <w:r>
              <w:rPr>
                <w:rFonts w:hint="default" w:ascii="Times New Roman" w:hAnsi="Times New Roman" w:eastAsia="宋体" w:cs="Times New Roman"/>
                <w:color w:val="auto"/>
                <w:sz w:val="24"/>
                <w:szCs w:val="24"/>
                <w:lang w:val="en-US" w:eastAsia="zh-CN"/>
              </w:rPr>
              <w:t>—67.金属表面处理及热处理加工</w:t>
            </w: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中的“其他”</w:t>
            </w:r>
            <w:r>
              <w:rPr>
                <w:rFonts w:hint="default" w:ascii="Times New Roman" w:hAnsi="Times New Roman" w:eastAsia="宋体" w:cs="Times New Roman"/>
                <w:color w:val="auto"/>
                <w:sz w:val="24"/>
                <w:szCs w:val="24"/>
                <w:lang w:val="en-US" w:eastAsia="zh-CN"/>
              </w:rPr>
              <w:t>，应编制环境影响报告表。为此，</w:t>
            </w:r>
            <w:r>
              <w:rPr>
                <w:rFonts w:hint="eastAsia"/>
                <w:color w:val="auto"/>
                <w:kern w:val="0"/>
                <w:sz w:val="24"/>
                <w:lang w:eastAsia="zh-CN"/>
              </w:rPr>
              <w:t>陕西新隆钛金属材料有限公司</w:t>
            </w:r>
            <w:r>
              <w:rPr>
                <w:rFonts w:hint="default" w:ascii="Times New Roman" w:hAnsi="Times New Roman" w:eastAsia="宋体" w:cs="Times New Roman"/>
                <w:color w:val="auto"/>
                <w:sz w:val="24"/>
                <w:szCs w:val="24"/>
                <w:lang w:val="en-US" w:eastAsia="zh-CN"/>
              </w:rPr>
              <w:t>正式委托我公司承担该项目的环境影响评价工作，委托书见附件1。</w:t>
            </w:r>
          </w:p>
          <w:p w14:paraId="72EB68B6">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接受委托后，我公司立即组织有关技术人员对建设区域进行了现场踏勘，了解、收集与工程有关的技术资料，编制完成了</w:t>
            </w:r>
            <w:bookmarkStart w:id="1" w:name="OLE_LINK19"/>
            <w:r>
              <w:rPr>
                <w:rFonts w:hint="eastAsia" w:ascii="Times New Roman" w:hAnsi="Times New Roman" w:eastAsia="宋体" w:cs="Times New Roman"/>
                <w:color w:val="auto"/>
                <w:sz w:val="24"/>
                <w:szCs w:val="24"/>
                <w:lang w:val="en-US" w:eastAsia="zh-CN"/>
              </w:rPr>
              <w:t>陕西新隆钛金属材料有限公司</w:t>
            </w:r>
            <w:r>
              <w:rPr>
                <w:rFonts w:hint="default" w:ascii="Times New Roman" w:hAnsi="Times New Roman" w:eastAsia="宋体" w:cs="Times New Roman"/>
                <w:color w:val="auto"/>
                <w:sz w:val="24"/>
                <w:szCs w:val="24"/>
                <w:lang w:val="en-US" w:eastAsia="zh-CN"/>
              </w:rPr>
              <w:t>《新隆钛金属钛材加工迁建项</w:t>
            </w:r>
            <w:r>
              <w:rPr>
                <w:rFonts w:hint="eastAsia"/>
                <w:color w:val="auto"/>
                <w:kern w:val="0"/>
                <w:sz w:val="24"/>
                <w:highlight w:val="none"/>
                <w:lang w:eastAsia="zh-CN"/>
              </w:rPr>
              <w:t>目</w:t>
            </w:r>
            <w:r>
              <w:rPr>
                <w:rFonts w:hint="default" w:ascii="Times New Roman" w:hAnsi="Times New Roman" w:eastAsia="宋体" w:cs="Times New Roman"/>
                <w:color w:val="auto"/>
                <w:sz w:val="24"/>
                <w:szCs w:val="24"/>
                <w:lang w:val="en-US" w:eastAsia="zh-CN"/>
              </w:rPr>
              <w:t>环境影响报告表</w:t>
            </w:r>
            <w:bookmarkEnd w:id="1"/>
            <w:r>
              <w:rPr>
                <w:rFonts w:hint="default" w:ascii="Times New Roman" w:hAnsi="Times New Roman" w:eastAsia="宋体" w:cs="Times New Roman"/>
                <w:color w:val="auto"/>
                <w:sz w:val="24"/>
                <w:szCs w:val="24"/>
                <w:lang w:val="en-US" w:eastAsia="zh-CN"/>
              </w:rPr>
              <w:t>》。</w:t>
            </w:r>
          </w:p>
          <w:p w14:paraId="7C799BC0">
            <w:pPr>
              <w:numPr>
                <w:ilvl w:val="0"/>
                <w:numId w:val="0"/>
              </w:numPr>
              <w:spacing w:line="360" w:lineRule="auto"/>
              <w:ind w:leftChars="0"/>
              <w:rPr>
                <w:rFonts w:hint="default" w:eastAsia="宋体"/>
                <w:b/>
                <w:color w:val="auto"/>
                <w:kern w:val="0"/>
                <w:sz w:val="24"/>
                <w:szCs w:val="20"/>
                <w:lang w:val="en-US" w:eastAsia="zh-CN"/>
              </w:rPr>
            </w:pPr>
            <w:r>
              <w:rPr>
                <w:rFonts w:hint="eastAsia"/>
                <w:b/>
                <w:color w:val="auto"/>
                <w:kern w:val="0"/>
                <w:sz w:val="24"/>
                <w:szCs w:val="20"/>
                <w:lang w:val="en-US" w:eastAsia="zh-CN"/>
              </w:rPr>
              <w:t>2</w:t>
            </w:r>
            <w:r>
              <w:rPr>
                <w:rFonts w:hint="eastAsia"/>
                <w:b/>
                <w:color w:val="auto"/>
                <w:kern w:val="0"/>
                <w:sz w:val="24"/>
                <w:szCs w:val="20"/>
                <w:lang w:eastAsia="zh-CN"/>
              </w:rPr>
              <w:t>、</w:t>
            </w:r>
            <w:r>
              <w:rPr>
                <w:rFonts w:hint="eastAsia"/>
                <w:b/>
                <w:color w:val="auto"/>
                <w:kern w:val="0"/>
                <w:sz w:val="24"/>
                <w:szCs w:val="20"/>
                <w:lang w:val="en-US" w:eastAsia="zh-CN"/>
              </w:rPr>
              <w:t>项目基本情况</w:t>
            </w:r>
          </w:p>
          <w:p w14:paraId="3D740EE1">
            <w:pPr>
              <w:spacing w:line="360" w:lineRule="auto"/>
              <w:ind w:firstLine="480" w:firstLineChars="200"/>
              <w:rPr>
                <w:rFonts w:hint="eastAsia" w:eastAsia="宋体"/>
                <w:color w:val="auto"/>
                <w:kern w:val="0"/>
                <w:sz w:val="24"/>
                <w:lang w:eastAsia="zh-CN"/>
              </w:rPr>
            </w:pPr>
            <w:r>
              <w:rPr>
                <w:color w:val="auto"/>
                <w:kern w:val="0"/>
                <w:sz w:val="24"/>
                <w:szCs w:val="20"/>
              </w:rPr>
              <w:t>项目名</w:t>
            </w:r>
            <w:r>
              <w:rPr>
                <w:color w:val="auto"/>
                <w:kern w:val="0"/>
                <w:sz w:val="24"/>
              </w:rPr>
              <w:t>称：</w:t>
            </w:r>
            <w:r>
              <w:rPr>
                <w:rFonts w:hint="default" w:ascii="Times New Roman" w:hAnsi="Times New Roman" w:eastAsia="宋体" w:cs="Times New Roman"/>
                <w:color w:val="auto"/>
                <w:sz w:val="24"/>
                <w:szCs w:val="24"/>
                <w:lang w:val="en-US" w:eastAsia="zh-CN"/>
              </w:rPr>
              <w:t>新隆钛金属钛材加工迁建项</w:t>
            </w:r>
            <w:r>
              <w:rPr>
                <w:rFonts w:hint="eastAsia"/>
                <w:color w:val="auto"/>
                <w:kern w:val="0"/>
                <w:sz w:val="24"/>
                <w:highlight w:val="none"/>
                <w:lang w:eastAsia="zh-CN"/>
              </w:rPr>
              <w:t>目</w:t>
            </w:r>
          </w:p>
          <w:p w14:paraId="11DD1E85">
            <w:pPr>
              <w:spacing w:line="360" w:lineRule="auto"/>
              <w:ind w:firstLine="480" w:firstLineChars="200"/>
              <w:rPr>
                <w:rFonts w:hint="eastAsia" w:eastAsia="宋体"/>
                <w:color w:val="auto"/>
                <w:kern w:val="0"/>
                <w:sz w:val="24"/>
                <w:lang w:eastAsia="zh-CN"/>
              </w:rPr>
            </w:pPr>
            <w:r>
              <w:rPr>
                <w:color w:val="auto"/>
                <w:kern w:val="0"/>
                <w:sz w:val="24"/>
              </w:rPr>
              <w:t>建设单位：</w:t>
            </w:r>
            <w:r>
              <w:rPr>
                <w:rFonts w:hint="eastAsia"/>
                <w:color w:val="auto"/>
                <w:kern w:val="0"/>
                <w:sz w:val="24"/>
                <w:lang w:eastAsia="zh-CN"/>
              </w:rPr>
              <w:t>陕西新隆钛金属材料有限公司</w:t>
            </w:r>
          </w:p>
          <w:p w14:paraId="54C8F747">
            <w:pPr>
              <w:spacing w:line="360" w:lineRule="auto"/>
              <w:ind w:firstLine="480" w:firstLineChars="200"/>
              <w:rPr>
                <w:rFonts w:hint="default" w:eastAsia="宋体"/>
                <w:color w:val="auto"/>
                <w:kern w:val="0"/>
                <w:sz w:val="24"/>
                <w:lang w:val="en-US" w:eastAsia="zh-CN"/>
              </w:rPr>
            </w:pPr>
            <w:r>
              <w:rPr>
                <w:color w:val="auto"/>
                <w:kern w:val="0"/>
                <w:sz w:val="24"/>
              </w:rPr>
              <w:t>建设性质：</w:t>
            </w:r>
            <w:r>
              <w:rPr>
                <w:rFonts w:hint="eastAsia"/>
                <w:color w:val="auto"/>
                <w:kern w:val="0"/>
                <w:sz w:val="24"/>
                <w:lang w:val="en-US" w:eastAsia="zh-CN"/>
              </w:rPr>
              <w:t>新建（迁建）</w:t>
            </w:r>
          </w:p>
          <w:p w14:paraId="245F076C">
            <w:pPr>
              <w:spacing w:line="360" w:lineRule="auto"/>
              <w:ind w:firstLine="480" w:firstLineChars="200"/>
              <w:rPr>
                <w:color w:val="auto"/>
                <w:kern w:val="0"/>
                <w:sz w:val="24"/>
              </w:rPr>
            </w:pPr>
            <w:r>
              <w:rPr>
                <w:color w:val="auto"/>
                <w:kern w:val="0"/>
                <w:sz w:val="24"/>
              </w:rPr>
              <w:t>总投资：</w:t>
            </w:r>
            <w:r>
              <w:rPr>
                <w:rFonts w:hint="eastAsia"/>
                <w:color w:val="auto"/>
                <w:kern w:val="0"/>
                <w:sz w:val="24"/>
                <w:highlight w:val="none"/>
                <w:lang w:val="en-US" w:eastAsia="zh-CN"/>
              </w:rPr>
              <w:t>200</w:t>
            </w:r>
            <w:r>
              <w:rPr>
                <w:color w:val="auto"/>
                <w:kern w:val="0"/>
                <w:sz w:val="24"/>
                <w:highlight w:val="none"/>
              </w:rPr>
              <w:t>万元，全部为企业自筹。</w:t>
            </w:r>
          </w:p>
          <w:p w14:paraId="214347EE">
            <w:pPr>
              <w:spacing w:line="360" w:lineRule="auto"/>
              <w:ind w:firstLine="480" w:firstLineChars="200"/>
              <w:rPr>
                <w:rFonts w:hint="default" w:eastAsia="宋体"/>
                <w:color w:val="auto"/>
                <w:kern w:val="0"/>
                <w:sz w:val="24"/>
                <w:lang w:val="en-US" w:eastAsia="zh-CN"/>
              </w:rPr>
            </w:pPr>
            <w:r>
              <w:rPr>
                <w:color w:val="auto"/>
                <w:kern w:val="0"/>
                <w:sz w:val="24"/>
              </w:rPr>
              <w:t>建设地点：</w:t>
            </w:r>
            <w:r>
              <w:rPr>
                <w:rFonts w:hint="eastAsia"/>
                <w:color w:val="auto"/>
                <w:kern w:val="0"/>
                <w:sz w:val="24"/>
                <w:lang w:eastAsia="zh-CN"/>
              </w:rPr>
              <w:t>陕西省西咸新区泾河新城永乐镇原点东一路永丰村委会南侧，</w:t>
            </w:r>
            <w:r>
              <w:rPr>
                <w:rFonts w:hint="eastAsia"/>
                <w:color w:val="auto"/>
                <w:kern w:val="0"/>
                <w:sz w:val="24"/>
                <w:lang w:val="en-US" w:eastAsia="zh-CN"/>
              </w:rPr>
              <w:t>租赁现有厂房进行项目建设，地理位置中心坐标：E108度58分16.472秒，N34度28分32.915秒。项目地理位置图见附图1。</w:t>
            </w:r>
          </w:p>
          <w:p w14:paraId="48DB49D1">
            <w:pPr>
              <w:spacing w:line="360" w:lineRule="auto"/>
              <w:ind w:firstLine="480" w:firstLineChars="200"/>
              <w:rPr>
                <w:rFonts w:hint="eastAsia"/>
                <w:color w:val="auto"/>
                <w:kern w:val="0"/>
                <w:sz w:val="24"/>
                <w:lang w:val="en-US" w:eastAsia="zh-CN"/>
              </w:rPr>
            </w:pPr>
            <w:r>
              <w:rPr>
                <w:rFonts w:hint="eastAsia"/>
                <w:color w:val="auto"/>
                <w:kern w:val="0"/>
                <w:sz w:val="24"/>
                <w:lang w:val="en-US" w:eastAsia="zh-CN"/>
              </w:rPr>
              <w:t>项目占地</w:t>
            </w:r>
            <w:r>
              <w:rPr>
                <w:color w:val="auto"/>
                <w:kern w:val="0"/>
                <w:sz w:val="24"/>
              </w:rPr>
              <w:t>：</w:t>
            </w:r>
            <w:r>
              <w:rPr>
                <w:color w:val="auto"/>
                <w:kern w:val="0"/>
                <w:sz w:val="24"/>
                <w:highlight w:val="none"/>
                <w:lang w:val="en-US" w:eastAsia="zh-CN"/>
              </w:rPr>
              <w:t>租赁</w:t>
            </w:r>
            <w:r>
              <w:rPr>
                <w:rFonts w:hint="eastAsia"/>
                <w:color w:val="auto"/>
                <w:kern w:val="0"/>
                <w:sz w:val="24"/>
                <w:highlight w:val="none"/>
                <w:lang w:val="en-US" w:eastAsia="zh-CN"/>
              </w:rPr>
              <w:t>面积3220m</w:t>
            </w:r>
            <w:r>
              <w:rPr>
                <w:rFonts w:hint="eastAsia"/>
                <w:color w:val="auto"/>
                <w:kern w:val="0"/>
                <w:sz w:val="24"/>
                <w:highlight w:val="none"/>
                <w:vertAlign w:val="superscript"/>
                <w:lang w:val="en-US" w:eastAsia="zh-CN"/>
              </w:rPr>
              <w:t>2</w:t>
            </w:r>
            <w:r>
              <w:rPr>
                <w:rFonts w:hint="eastAsia"/>
                <w:color w:val="auto"/>
                <w:kern w:val="0"/>
                <w:sz w:val="24"/>
                <w:highlight w:val="none"/>
                <w:lang w:val="en-US" w:eastAsia="zh-CN"/>
              </w:rPr>
              <w:t>，其中</w:t>
            </w:r>
            <w:r>
              <w:rPr>
                <w:rFonts w:hint="eastAsia"/>
                <w:color w:val="auto"/>
                <w:kern w:val="0"/>
                <w:sz w:val="24"/>
                <w:lang w:val="en-US" w:eastAsia="zh-CN"/>
              </w:rPr>
              <w:t>现有厂房2750m</w:t>
            </w:r>
            <w:r>
              <w:rPr>
                <w:rFonts w:hint="eastAsia"/>
                <w:color w:val="auto"/>
                <w:kern w:val="0"/>
                <w:sz w:val="24"/>
                <w:vertAlign w:val="superscript"/>
                <w:lang w:val="en-US" w:eastAsia="zh-CN"/>
              </w:rPr>
              <w:t>2</w:t>
            </w:r>
            <w:r>
              <w:rPr>
                <w:rFonts w:hint="eastAsia"/>
                <w:color w:val="auto"/>
                <w:kern w:val="0"/>
                <w:sz w:val="24"/>
                <w:lang w:val="en-US" w:eastAsia="zh-CN"/>
              </w:rPr>
              <w:t>，宿舍楼470m</w:t>
            </w:r>
            <w:r>
              <w:rPr>
                <w:rFonts w:hint="eastAsia"/>
                <w:color w:val="auto"/>
                <w:kern w:val="0"/>
                <w:sz w:val="24"/>
                <w:vertAlign w:val="superscript"/>
                <w:lang w:val="en-US" w:eastAsia="zh-CN"/>
              </w:rPr>
              <w:t>2</w:t>
            </w:r>
          </w:p>
          <w:p w14:paraId="02FEFC48">
            <w:pPr>
              <w:spacing w:line="360" w:lineRule="auto"/>
              <w:ind w:firstLine="480" w:firstLineChars="200"/>
              <w:rPr>
                <w:rFonts w:hint="default"/>
                <w:color w:val="auto"/>
                <w:kern w:val="0"/>
                <w:sz w:val="24"/>
                <w:szCs w:val="20"/>
                <w:highlight w:val="none"/>
                <w:lang w:val="en-US" w:eastAsia="zh-CN"/>
              </w:rPr>
            </w:pPr>
            <w:r>
              <w:rPr>
                <w:rFonts w:hint="eastAsia"/>
                <w:color w:val="auto"/>
                <w:kern w:val="0"/>
                <w:sz w:val="24"/>
                <w:szCs w:val="20"/>
                <w:lang w:val="en-US" w:eastAsia="zh-CN"/>
              </w:rPr>
              <w:t>项目四邻关系：</w:t>
            </w:r>
            <w:r>
              <w:rPr>
                <w:color w:val="auto"/>
                <w:kern w:val="0"/>
                <w:sz w:val="24"/>
                <w:szCs w:val="20"/>
                <w:highlight w:val="none"/>
              </w:rPr>
              <w:t>本项目</w:t>
            </w:r>
            <w:r>
              <w:rPr>
                <w:rFonts w:hint="eastAsia"/>
                <w:color w:val="auto"/>
                <w:kern w:val="0"/>
                <w:sz w:val="24"/>
                <w:szCs w:val="20"/>
                <w:highlight w:val="none"/>
              </w:rPr>
              <w:t>北侧</w:t>
            </w:r>
            <w:r>
              <w:rPr>
                <w:rFonts w:hint="eastAsia"/>
                <w:color w:val="auto"/>
                <w:kern w:val="0"/>
                <w:sz w:val="24"/>
                <w:szCs w:val="20"/>
                <w:highlight w:val="none"/>
                <w:lang w:val="en-US" w:eastAsia="zh-CN"/>
              </w:rPr>
              <w:t>为永丰村村委会、南侧为酿造厂、西侧紧邻原点东一路，与法士特沃克齿轮隔路相望；厂房东侧为西安城建工程学校。项目四邻关系见附图3。</w:t>
            </w:r>
          </w:p>
          <w:p w14:paraId="639D8323">
            <w:pPr>
              <w:numPr>
                <w:ilvl w:val="0"/>
                <w:numId w:val="0"/>
              </w:numPr>
              <w:spacing w:line="360" w:lineRule="auto"/>
              <w:ind w:leftChars="0"/>
              <w:rPr>
                <w:rFonts w:hint="eastAsia" w:ascii="Times New Roman" w:hAnsi="Times New Roman" w:eastAsia="宋体" w:cs="Times New Roman"/>
                <w:b/>
                <w:color w:val="auto"/>
                <w:kern w:val="0"/>
                <w:sz w:val="24"/>
                <w:szCs w:val="20"/>
                <w:lang w:val="en-US" w:eastAsia="zh-CN"/>
              </w:rPr>
            </w:pPr>
            <w:r>
              <w:rPr>
                <w:rFonts w:hint="eastAsia" w:ascii="Times New Roman" w:hAnsi="Times New Roman" w:eastAsia="宋体" w:cs="Times New Roman"/>
                <w:b/>
                <w:color w:val="auto"/>
                <w:kern w:val="0"/>
                <w:sz w:val="24"/>
                <w:szCs w:val="20"/>
                <w:lang w:val="en-US" w:eastAsia="zh-CN"/>
              </w:rPr>
              <w:t>3、</w:t>
            </w:r>
            <w:r>
              <w:rPr>
                <w:rFonts w:hint="default" w:ascii="Times New Roman" w:hAnsi="Times New Roman" w:eastAsia="宋体" w:cs="Times New Roman"/>
                <w:b/>
                <w:color w:val="auto"/>
                <w:kern w:val="0"/>
                <w:sz w:val="24"/>
                <w:szCs w:val="20"/>
                <w:lang w:val="en-US" w:eastAsia="zh-CN"/>
              </w:rPr>
              <w:t>工程</w:t>
            </w:r>
            <w:r>
              <w:rPr>
                <w:rFonts w:hint="eastAsia" w:ascii="Times New Roman" w:hAnsi="Times New Roman" w:eastAsia="宋体" w:cs="Times New Roman"/>
                <w:b/>
                <w:color w:val="auto"/>
                <w:kern w:val="0"/>
                <w:sz w:val="24"/>
                <w:szCs w:val="20"/>
                <w:lang w:val="en-US" w:eastAsia="zh-CN"/>
              </w:rPr>
              <w:t>内容</w:t>
            </w:r>
          </w:p>
          <w:p w14:paraId="41CC883D">
            <w:pPr>
              <w:spacing w:line="360" w:lineRule="auto"/>
              <w:ind w:firstLine="480" w:firstLineChars="200"/>
              <w:rPr>
                <w:rFonts w:hint="default" w:eastAsia="宋体"/>
                <w:color w:val="auto"/>
                <w:kern w:val="0"/>
                <w:sz w:val="24"/>
                <w:lang w:val="en-US" w:eastAsia="zh-CN"/>
              </w:rPr>
            </w:pPr>
            <w:r>
              <w:rPr>
                <w:rFonts w:hint="eastAsia" w:ascii="Times New Roman" w:hAnsi="Times New Roman" w:eastAsia="宋体" w:cs="Times New Roman"/>
                <w:color w:val="auto"/>
                <w:kern w:val="0"/>
                <w:sz w:val="24"/>
                <w:szCs w:val="20"/>
                <w:lang w:val="en-US" w:eastAsia="zh-CN"/>
              </w:rPr>
              <w:t>本项目租赁已有生产厂房约2750m</w:t>
            </w:r>
            <w:r>
              <w:rPr>
                <w:rFonts w:hint="eastAsia" w:ascii="Times New Roman" w:hAnsi="Times New Roman" w:eastAsia="宋体" w:cs="Times New Roman"/>
                <w:color w:val="auto"/>
                <w:kern w:val="0"/>
                <w:sz w:val="24"/>
                <w:szCs w:val="20"/>
                <w:vertAlign w:val="superscript"/>
                <w:lang w:val="en-US" w:eastAsia="zh-CN"/>
              </w:rPr>
              <w:t>2</w:t>
            </w:r>
            <w:r>
              <w:rPr>
                <w:rFonts w:hint="eastAsia" w:ascii="Times New Roman" w:hAnsi="Times New Roman" w:eastAsia="宋体" w:cs="Times New Roman"/>
                <w:color w:val="auto"/>
                <w:kern w:val="0"/>
                <w:sz w:val="24"/>
                <w:szCs w:val="20"/>
                <w:lang w:val="en-US" w:eastAsia="zh-CN"/>
              </w:rPr>
              <w:t>（现有1F钢构厂房，尺寸</w:t>
            </w:r>
            <w:r>
              <w:rPr>
                <w:rFonts w:hint="eastAsia" w:cs="Times New Roman"/>
                <w:color w:val="auto"/>
                <w:kern w:val="0"/>
                <w:sz w:val="24"/>
                <w:szCs w:val="20"/>
                <w:lang w:val="en-US" w:eastAsia="zh-CN"/>
              </w:rPr>
              <w:t>约</w:t>
            </w:r>
            <w:r>
              <w:rPr>
                <w:rFonts w:hint="eastAsia" w:ascii="Times New Roman" w:hAnsi="Times New Roman" w:eastAsia="宋体" w:cs="Times New Roman"/>
                <w:color w:val="auto"/>
                <w:kern w:val="0"/>
                <w:sz w:val="24"/>
                <w:szCs w:val="20"/>
                <w:lang w:val="en-US" w:eastAsia="zh-CN"/>
              </w:rPr>
              <w:t>76m×36m，高度8.5m。车间硬质</w:t>
            </w:r>
            <w:r>
              <w:rPr>
                <w:rFonts w:hint="eastAsia" w:cs="Times New Roman"/>
                <w:color w:val="auto"/>
                <w:kern w:val="0"/>
                <w:sz w:val="24"/>
                <w:szCs w:val="20"/>
                <w:lang w:val="en-US" w:eastAsia="zh-CN"/>
              </w:rPr>
              <w:t>隔</w:t>
            </w:r>
            <w:r>
              <w:rPr>
                <w:rFonts w:hint="eastAsia" w:ascii="Times New Roman" w:hAnsi="Times New Roman" w:eastAsia="宋体" w:cs="Times New Roman"/>
                <w:color w:val="auto"/>
                <w:kern w:val="0"/>
                <w:sz w:val="24"/>
                <w:szCs w:val="20"/>
                <w:lang w:val="en-US" w:eastAsia="zh-CN"/>
              </w:rPr>
              <w:t>挡分为东西两部分）</w:t>
            </w:r>
            <w:r>
              <w:rPr>
                <w:rFonts w:hint="eastAsia" w:cs="Times New Roman"/>
                <w:color w:val="auto"/>
                <w:kern w:val="0"/>
                <w:sz w:val="24"/>
                <w:szCs w:val="20"/>
                <w:lang w:val="en-US" w:eastAsia="zh-CN"/>
              </w:rPr>
              <w:t>进行</w:t>
            </w:r>
            <w:r>
              <w:rPr>
                <w:rFonts w:hint="default" w:ascii="Times New Roman" w:hAnsi="Times New Roman" w:eastAsia="宋体" w:cs="Times New Roman"/>
                <w:color w:val="auto"/>
                <w:sz w:val="24"/>
                <w:szCs w:val="24"/>
                <w:lang w:val="en-US" w:eastAsia="zh-CN"/>
              </w:rPr>
              <w:t>钛材加工</w:t>
            </w:r>
            <w:r>
              <w:rPr>
                <w:rFonts w:hint="eastAsia" w:ascii="Times New Roman" w:hAnsi="Times New Roman" w:eastAsia="宋体" w:cs="Times New Roman"/>
                <w:color w:val="auto"/>
                <w:kern w:val="0"/>
                <w:sz w:val="24"/>
                <w:szCs w:val="20"/>
                <w:lang w:val="en-US" w:eastAsia="zh-CN"/>
              </w:rPr>
              <w:t>。建成后年产钛及钛合金板坯2200t/a，钛棒2200t/a，钛铸件330t/a</w:t>
            </w:r>
            <w:r>
              <w:rPr>
                <w:rFonts w:hint="eastAsia"/>
                <w:color w:val="auto"/>
                <w:kern w:val="0"/>
                <w:sz w:val="24"/>
                <w:lang w:val="en-US" w:eastAsia="zh-CN"/>
              </w:rPr>
              <w:t>。</w:t>
            </w:r>
          </w:p>
          <w:p w14:paraId="0BF8D8E7">
            <w:pPr>
              <w:spacing w:line="360" w:lineRule="auto"/>
              <w:ind w:firstLine="480" w:firstLineChars="200"/>
              <w:rPr>
                <w:b/>
                <w:color w:val="auto"/>
                <w:kern w:val="0"/>
                <w:sz w:val="24"/>
                <w:szCs w:val="21"/>
              </w:rPr>
            </w:pPr>
            <w:r>
              <w:rPr>
                <w:color w:val="auto"/>
                <w:kern w:val="0"/>
                <w:sz w:val="24"/>
                <w:szCs w:val="20"/>
              </w:rPr>
              <w:t>项目</w:t>
            </w:r>
            <w:r>
              <w:rPr>
                <w:rFonts w:hint="eastAsia"/>
                <w:color w:val="auto"/>
                <w:kern w:val="0"/>
                <w:sz w:val="24"/>
                <w:szCs w:val="20"/>
                <w:lang w:val="en-US" w:eastAsia="zh-CN"/>
              </w:rPr>
              <w:t>组成</w:t>
            </w:r>
            <w:r>
              <w:rPr>
                <w:bCs/>
                <w:color w:val="auto"/>
                <w:kern w:val="0"/>
                <w:sz w:val="24"/>
                <w:szCs w:val="20"/>
              </w:rPr>
              <w:t>详见表</w:t>
            </w:r>
            <w:r>
              <w:rPr>
                <w:rFonts w:hint="eastAsia"/>
                <w:bCs/>
                <w:color w:val="auto"/>
                <w:kern w:val="0"/>
                <w:sz w:val="24"/>
                <w:szCs w:val="20"/>
              </w:rPr>
              <w:t>2-1</w:t>
            </w:r>
            <w:r>
              <w:rPr>
                <w:bCs/>
                <w:color w:val="auto"/>
                <w:kern w:val="0"/>
                <w:sz w:val="24"/>
                <w:szCs w:val="20"/>
              </w:rPr>
              <w:t>。</w:t>
            </w:r>
          </w:p>
          <w:p w14:paraId="5624DDB4">
            <w:pPr>
              <w:autoSpaceDE w:val="0"/>
              <w:autoSpaceDN w:val="0"/>
              <w:jc w:val="center"/>
              <w:rPr>
                <w:rFonts w:hint="eastAsia" w:eastAsia="宋体"/>
                <w:b/>
                <w:color w:val="auto"/>
                <w:szCs w:val="21"/>
                <w:lang w:val="en-US" w:eastAsia="zh-CN"/>
              </w:rPr>
            </w:pPr>
            <w:r>
              <w:rPr>
                <w:b/>
                <w:color w:val="auto"/>
                <w:szCs w:val="21"/>
              </w:rPr>
              <w:t>表</w:t>
            </w:r>
            <w:r>
              <w:rPr>
                <w:rFonts w:hint="eastAsia"/>
                <w:b/>
                <w:color w:val="auto"/>
                <w:szCs w:val="21"/>
              </w:rPr>
              <w:t xml:space="preserve">2-1   </w:t>
            </w:r>
            <w:r>
              <w:rPr>
                <w:b/>
                <w:color w:val="auto"/>
                <w:szCs w:val="21"/>
              </w:rPr>
              <w:t>建设项目组成</w:t>
            </w:r>
            <w:r>
              <w:rPr>
                <w:rFonts w:hint="eastAsia"/>
                <w:b/>
                <w:color w:val="auto"/>
                <w:szCs w:val="21"/>
                <w:lang w:val="en-US" w:eastAsia="zh-CN"/>
              </w:rPr>
              <w:t>表</w:t>
            </w:r>
          </w:p>
          <w:tbl>
            <w:tblPr>
              <w:tblStyle w:val="24"/>
              <w:tblW w:w="8444"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57" w:type="dxa"/>
                <w:bottom w:w="0" w:type="dxa"/>
                <w:right w:w="57" w:type="dxa"/>
              </w:tblCellMar>
            </w:tblPr>
            <w:tblGrid>
              <w:gridCol w:w="1074"/>
              <w:gridCol w:w="572"/>
              <w:gridCol w:w="614"/>
              <w:gridCol w:w="5563"/>
              <w:gridCol w:w="621"/>
            </w:tblGrid>
            <w:tr w14:paraId="5B3F98D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tcBorders>
                    <w:tl2br w:val="nil"/>
                    <w:tr2bl w:val="nil"/>
                  </w:tcBorders>
                  <w:shd w:val="clear" w:color="auto" w:fill="FFFFFF"/>
                  <w:vAlign w:val="center"/>
                </w:tcPr>
                <w:p w14:paraId="10102B98">
                  <w:pPr>
                    <w:contextualSpacing/>
                    <w:jc w:val="center"/>
                    <w:rPr>
                      <w:b w:val="0"/>
                      <w:bCs w:val="0"/>
                      <w:color w:val="000000"/>
                      <w:sz w:val="21"/>
                      <w:szCs w:val="21"/>
                    </w:rPr>
                  </w:pPr>
                  <w:r>
                    <w:rPr>
                      <w:b w:val="0"/>
                      <w:color w:val="000000"/>
                      <w:kern w:val="0"/>
                      <w:szCs w:val="21"/>
                    </w:rPr>
                    <w:t>工程类别</w:t>
                  </w:r>
                </w:p>
              </w:tc>
              <w:tc>
                <w:tcPr>
                  <w:tcW w:w="1186" w:type="dxa"/>
                  <w:gridSpan w:val="2"/>
                  <w:tcBorders>
                    <w:tl2br w:val="nil"/>
                    <w:tr2bl w:val="nil"/>
                  </w:tcBorders>
                  <w:shd w:val="clear" w:color="auto" w:fill="FFFFFF"/>
                  <w:vAlign w:val="center"/>
                </w:tcPr>
                <w:p w14:paraId="64FFD606">
                  <w:pPr>
                    <w:contextualSpacing/>
                    <w:jc w:val="center"/>
                    <w:rPr>
                      <w:b w:val="0"/>
                      <w:bCs w:val="0"/>
                      <w:color w:val="000000"/>
                      <w:sz w:val="21"/>
                      <w:szCs w:val="21"/>
                    </w:rPr>
                  </w:pPr>
                  <w:r>
                    <w:rPr>
                      <w:b w:val="0"/>
                      <w:color w:val="000000"/>
                      <w:kern w:val="0"/>
                      <w:szCs w:val="21"/>
                    </w:rPr>
                    <w:t>工程名称</w:t>
                  </w:r>
                </w:p>
              </w:tc>
              <w:tc>
                <w:tcPr>
                  <w:tcW w:w="5563" w:type="dxa"/>
                  <w:tcBorders>
                    <w:tl2br w:val="nil"/>
                    <w:tr2bl w:val="nil"/>
                  </w:tcBorders>
                  <w:shd w:val="clear" w:color="auto" w:fill="FFFFFF"/>
                  <w:vAlign w:val="center"/>
                </w:tcPr>
                <w:p w14:paraId="255C9CFB">
                  <w:pPr>
                    <w:jc w:val="center"/>
                    <w:rPr>
                      <w:b w:val="0"/>
                      <w:bCs w:val="0"/>
                      <w:color w:val="000000"/>
                      <w:sz w:val="21"/>
                      <w:szCs w:val="21"/>
                    </w:rPr>
                  </w:pPr>
                  <w:r>
                    <w:rPr>
                      <w:b w:val="0"/>
                      <w:bCs w:val="0"/>
                      <w:color w:val="000000"/>
                      <w:sz w:val="21"/>
                      <w:szCs w:val="21"/>
                    </w:rPr>
                    <w:t>建设内容及其规模</w:t>
                  </w:r>
                </w:p>
              </w:tc>
              <w:tc>
                <w:tcPr>
                  <w:tcW w:w="621" w:type="dxa"/>
                  <w:tcBorders>
                    <w:tl2br w:val="nil"/>
                    <w:tr2bl w:val="nil"/>
                  </w:tcBorders>
                  <w:shd w:val="clear" w:color="auto" w:fill="FFFFFF"/>
                  <w:vAlign w:val="center"/>
                </w:tcPr>
                <w:p w14:paraId="61B6CCBA">
                  <w:pPr>
                    <w:jc w:val="center"/>
                    <w:rPr>
                      <w:b w:val="0"/>
                      <w:bCs w:val="0"/>
                      <w:color w:val="000000"/>
                      <w:sz w:val="21"/>
                      <w:szCs w:val="21"/>
                    </w:rPr>
                  </w:pPr>
                  <w:r>
                    <w:rPr>
                      <w:b w:val="0"/>
                      <w:bCs w:val="0"/>
                      <w:color w:val="000000"/>
                      <w:sz w:val="21"/>
                      <w:szCs w:val="21"/>
                    </w:rPr>
                    <w:t>备注</w:t>
                  </w:r>
                </w:p>
              </w:tc>
            </w:tr>
            <w:tr w14:paraId="49874C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restart"/>
                  <w:tcBorders>
                    <w:tl2br w:val="nil"/>
                    <w:tr2bl w:val="nil"/>
                  </w:tcBorders>
                  <w:shd w:val="clear" w:color="auto" w:fill="FFFFFF"/>
                  <w:vAlign w:val="center"/>
                </w:tcPr>
                <w:p w14:paraId="41BEE971">
                  <w:pPr>
                    <w:jc w:val="center"/>
                    <w:rPr>
                      <w:b w:val="0"/>
                      <w:color w:val="000000"/>
                      <w:sz w:val="21"/>
                      <w:szCs w:val="21"/>
                    </w:rPr>
                  </w:pPr>
                  <w:r>
                    <w:rPr>
                      <w:b w:val="0"/>
                      <w:color w:val="000000"/>
                      <w:sz w:val="21"/>
                      <w:szCs w:val="21"/>
                    </w:rPr>
                    <w:t>主体工程</w:t>
                  </w:r>
                </w:p>
              </w:tc>
              <w:tc>
                <w:tcPr>
                  <w:tcW w:w="1186" w:type="dxa"/>
                  <w:gridSpan w:val="2"/>
                  <w:tcBorders>
                    <w:tl2br w:val="nil"/>
                    <w:tr2bl w:val="nil"/>
                  </w:tcBorders>
                  <w:shd w:val="clear" w:color="auto" w:fill="FFFFFF"/>
                  <w:vAlign w:val="center"/>
                </w:tcPr>
                <w:p w14:paraId="41C3E1C0">
                  <w:pPr>
                    <w:jc w:val="center"/>
                    <w:rPr>
                      <w:rFonts w:hint="eastAsia" w:eastAsia="宋体"/>
                      <w:b w:val="0"/>
                      <w:color w:val="000000"/>
                      <w:sz w:val="21"/>
                      <w:szCs w:val="21"/>
                      <w:lang w:val="en-US" w:eastAsia="zh-CN"/>
                    </w:rPr>
                  </w:pPr>
                  <w:r>
                    <w:rPr>
                      <w:rFonts w:hint="eastAsia"/>
                      <w:b w:val="0"/>
                      <w:color w:val="000000"/>
                      <w:sz w:val="21"/>
                      <w:szCs w:val="21"/>
                      <w:lang w:val="en-US" w:eastAsia="zh-CN"/>
                    </w:rPr>
                    <w:t>打磨区</w:t>
                  </w:r>
                </w:p>
              </w:tc>
              <w:tc>
                <w:tcPr>
                  <w:tcW w:w="5563" w:type="dxa"/>
                  <w:tcBorders>
                    <w:tl2br w:val="nil"/>
                    <w:tr2bl w:val="nil"/>
                  </w:tcBorders>
                  <w:shd w:val="clear" w:color="auto" w:fill="FFFFFF"/>
                  <w:vAlign w:val="center"/>
                </w:tcPr>
                <w:p w14:paraId="28367912">
                  <w:pPr>
                    <w:rPr>
                      <w:rFonts w:hint="default"/>
                      <w:b w:val="0"/>
                      <w:color w:val="000000"/>
                      <w:sz w:val="21"/>
                      <w:szCs w:val="21"/>
                      <w:lang w:val="en-US" w:eastAsia="zh-CN"/>
                    </w:rPr>
                  </w:pPr>
                  <w:r>
                    <w:rPr>
                      <w:rFonts w:hint="eastAsia"/>
                      <w:b w:val="0"/>
                      <w:color w:val="000000"/>
                      <w:sz w:val="21"/>
                      <w:szCs w:val="21"/>
                      <w:lang w:val="en-US" w:eastAsia="zh-CN"/>
                    </w:rPr>
                    <w:t>位于生产厂房东侧，东西两侧分别设置11个工位，共22个打磨工位</w:t>
                  </w:r>
                </w:p>
              </w:tc>
              <w:tc>
                <w:tcPr>
                  <w:tcW w:w="621" w:type="dxa"/>
                  <w:vMerge w:val="restart"/>
                  <w:tcBorders>
                    <w:tl2br w:val="nil"/>
                    <w:tr2bl w:val="nil"/>
                  </w:tcBorders>
                  <w:shd w:val="clear" w:color="auto" w:fill="FFFFFF"/>
                  <w:vAlign w:val="center"/>
                </w:tcPr>
                <w:p w14:paraId="1E5CCA4C">
                  <w:pPr>
                    <w:jc w:val="center"/>
                    <w:rPr>
                      <w:rFonts w:hint="default"/>
                      <w:b w:val="0"/>
                      <w:color w:val="000000"/>
                      <w:sz w:val="21"/>
                      <w:szCs w:val="21"/>
                      <w:lang w:val="en-US" w:eastAsia="zh-CN"/>
                    </w:rPr>
                  </w:pPr>
                  <w:r>
                    <w:rPr>
                      <w:rFonts w:hint="eastAsia"/>
                      <w:b w:val="0"/>
                      <w:color w:val="000000"/>
                      <w:sz w:val="21"/>
                      <w:szCs w:val="21"/>
                      <w:lang w:val="en-US" w:eastAsia="zh-CN"/>
                    </w:rPr>
                    <w:t>租赁厂房改造，进行设备安装</w:t>
                  </w:r>
                </w:p>
              </w:tc>
            </w:tr>
            <w:tr w14:paraId="71C6BF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355" w:hRule="atLeast"/>
                <w:jc w:val="center"/>
              </w:trPr>
              <w:tc>
                <w:tcPr>
                  <w:tcW w:w="1074" w:type="dxa"/>
                  <w:vMerge w:val="continue"/>
                  <w:tcBorders>
                    <w:tl2br w:val="nil"/>
                    <w:tr2bl w:val="nil"/>
                  </w:tcBorders>
                  <w:shd w:val="clear" w:color="auto" w:fill="FFFFFF"/>
                  <w:vAlign w:val="center"/>
                </w:tcPr>
                <w:p w14:paraId="59DE5B0C">
                  <w:pPr>
                    <w:jc w:val="center"/>
                    <w:rPr>
                      <w:b w:val="0"/>
                      <w:color w:val="000000"/>
                      <w:sz w:val="21"/>
                      <w:szCs w:val="21"/>
                    </w:rPr>
                  </w:pPr>
                </w:p>
              </w:tc>
              <w:tc>
                <w:tcPr>
                  <w:tcW w:w="1186" w:type="dxa"/>
                  <w:gridSpan w:val="2"/>
                  <w:tcBorders>
                    <w:tl2br w:val="nil"/>
                    <w:tr2bl w:val="nil"/>
                  </w:tcBorders>
                  <w:shd w:val="clear" w:color="auto" w:fill="FFFFFF"/>
                  <w:vAlign w:val="center"/>
                </w:tcPr>
                <w:p w14:paraId="5146B016">
                  <w:pPr>
                    <w:jc w:val="center"/>
                    <w:rPr>
                      <w:rFonts w:hint="eastAsia"/>
                      <w:b w:val="0"/>
                      <w:color w:val="000000"/>
                      <w:sz w:val="21"/>
                      <w:szCs w:val="21"/>
                      <w:lang w:eastAsia="zh-CN"/>
                    </w:rPr>
                  </w:pPr>
                  <w:r>
                    <w:rPr>
                      <w:rFonts w:hint="eastAsia"/>
                      <w:b w:val="0"/>
                      <w:color w:val="000000"/>
                      <w:sz w:val="21"/>
                      <w:szCs w:val="21"/>
                      <w:lang w:val="en-US" w:eastAsia="zh-CN"/>
                    </w:rPr>
                    <w:t>振壳喷砂区</w:t>
                  </w:r>
                </w:p>
              </w:tc>
              <w:tc>
                <w:tcPr>
                  <w:tcW w:w="5563" w:type="dxa"/>
                  <w:tcBorders>
                    <w:tl2br w:val="nil"/>
                    <w:tr2bl w:val="nil"/>
                  </w:tcBorders>
                  <w:shd w:val="clear" w:color="auto" w:fill="FFFFFF"/>
                  <w:vAlign w:val="center"/>
                </w:tcPr>
                <w:p w14:paraId="24648C70">
                  <w:pPr>
                    <w:rPr>
                      <w:rFonts w:hint="eastAsia"/>
                      <w:b w:val="0"/>
                      <w:color w:val="000000"/>
                      <w:sz w:val="21"/>
                      <w:szCs w:val="21"/>
                      <w:lang w:val="en-US" w:eastAsia="zh-CN"/>
                    </w:rPr>
                  </w:pPr>
                  <w:r>
                    <w:rPr>
                      <w:rFonts w:hint="eastAsia"/>
                      <w:b w:val="0"/>
                      <w:color w:val="000000"/>
                      <w:sz w:val="21"/>
                      <w:szCs w:val="21"/>
                      <w:lang w:val="en-US" w:eastAsia="zh-CN"/>
                    </w:rPr>
                    <w:t>位于生产厂房西南角，设置2台振壳机，2台喷砂机。</w:t>
                  </w:r>
                </w:p>
              </w:tc>
              <w:tc>
                <w:tcPr>
                  <w:tcW w:w="621" w:type="dxa"/>
                  <w:vMerge w:val="continue"/>
                  <w:tcBorders>
                    <w:tl2br w:val="nil"/>
                    <w:tr2bl w:val="nil"/>
                  </w:tcBorders>
                  <w:shd w:val="clear" w:color="auto" w:fill="FFFFFF"/>
                  <w:vAlign w:val="center"/>
                </w:tcPr>
                <w:p w14:paraId="694F2332">
                  <w:pPr>
                    <w:jc w:val="center"/>
                    <w:rPr>
                      <w:rFonts w:hint="eastAsia"/>
                      <w:b w:val="0"/>
                      <w:color w:val="000000"/>
                      <w:sz w:val="21"/>
                      <w:szCs w:val="21"/>
                      <w:lang w:val="en-US" w:eastAsia="zh-CN"/>
                    </w:rPr>
                  </w:pPr>
                </w:p>
              </w:tc>
            </w:tr>
            <w:tr w14:paraId="7BA3BD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390" w:hRule="atLeast"/>
                <w:jc w:val="center"/>
              </w:trPr>
              <w:tc>
                <w:tcPr>
                  <w:tcW w:w="1074" w:type="dxa"/>
                  <w:vMerge w:val="restart"/>
                  <w:tcBorders>
                    <w:tl2br w:val="nil"/>
                    <w:tr2bl w:val="nil"/>
                  </w:tcBorders>
                  <w:shd w:val="clear" w:color="auto" w:fill="FFFFFF"/>
                  <w:vAlign w:val="center"/>
                </w:tcPr>
                <w:p w14:paraId="640092FF">
                  <w:pPr>
                    <w:jc w:val="center"/>
                    <w:rPr>
                      <w:rFonts w:hint="default" w:eastAsia="宋体"/>
                      <w:b w:val="0"/>
                      <w:color w:val="000000"/>
                      <w:sz w:val="21"/>
                      <w:szCs w:val="21"/>
                      <w:lang w:val="en-US" w:eastAsia="zh-CN"/>
                    </w:rPr>
                  </w:pPr>
                  <w:r>
                    <w:rPr>
                      <w:rFonts w:hint="eastAsia"/>
                      <w:b w:val="0"/>
                      <w:color w:val="000000"/>
                      <w:sz w:val="21"/>
                      <w:szCs w:val="21"/>
                      <w:lang w:val="en-US" w:eastAsia="zh-CN"/>
                    </w:rPr>
                    <w:t>储运工程</w:t>
                  </w:r>
                </w:p>
              </w:tc>
              <w:tc>
                <w:tcPr>
                  <w:tcW w:w="1186" w:type="dxa"/>
                  <w:gridSpan w:val="2"/>
                  <w:tcBorders>
                    <w:tl2br w:val="nil"/>
                    <w:tr2bl w:val="nil"/>
                  </w:tcBorders>
                  <w:shd w:val="clear" w:color="auto" w:fill="FFFFFF"/>
                  <w:vAlign w:val="center"/>
                </w:tcPr>
                <w:p w14:paraId="18E5A65D">
                  <w:pPr>
                    <w:jc w:val="center"/>
                    <w:rPr>
                      <w:rFonts w:hint="default" w:eastAsia="宋体"/>
                      <w:b w:val="0"/>
                      <w:color w:val="000000"/>
                      <w:sz w:val="21"/>
                      <w:szCs w:val="21"/>
                      <w:lang w:val="en-US" w:eastAsia="zh-CN"/>
                    </w:rPr>
                  </w:pPr>
                  <w:r>
                    <w:rPr>
                      <w:rFonts w:hint="eastAsia"/>
                      <w:b w:val="0"/>
                      <w:color w:val="000000"/>
                      <w:sz w:val="21"/>
                      <w:szCs w:val="21"/>
                      <w:lang w:val="en-US" w:eastAsia="zh-CN"/>
                    </w:rPr>
                    <w:t>原料区</w:t>
                  </w:r>
                </w:p>
              </w:tc>
              <w:tc>
                <w:tcPr>
                  <w:tcW w:w="5563" w:type="dxa"/>
                  <w:tcBorders>
                    <w:tl2br w:val="nil"/>
                    <w:tr2bl w:val="nil"/>
                  </w:tcBorders>
                  <w:shd w:val="clear" w:color="auto" w:fill="FFFFFF"/>
                  <w:vAlign w:val="center"/>
                </w:tcPr>
                <w:p w14:paraId="7472C1A9">
                  <w:pPr>
                    <w:rPr>
                      <w:rFonts w:hint="default"/>
                      <w:b w:val="0"/>
                      <w:color w:val="000000"/>
                      <w:sz w:val="21"/>
                      <w:szCs w:val="21"/>
                      <w:lang w:val="en-US" w:eastAsia="zh-CN"/>
                    </w:rPr>
                  </w:pPr>
                  <w:r>
                    <w:rPr>
                      <w:rFonts w:hint="eastAsia"/>
                      <w:b w:val="0"/>
                      <w:color w:val="000000"/>
                      <w:sz w:val="21"/>
                      <w:szCs w:val="21"/>
                      <w:lang w:val="en-US" w:eastAsia="zh-CN"/>
                    </w:rPr>
                    <w:t>位于生产厂房东南角，进行外购原料钛件的存放</w:t>
                  </w:r>
                </w:p>
              </w:tc>
              <w:tc>
                <w:tcPr>
                  <w:tcW w:w="621" w:type="dxa"/>
                  <w:vMerge w:val="continue"/>
                  <w:tcBorders>
                    <w:tl2br w:val="nil"/>
                    <w:tr2bl w:val="nil"/>
                  </w:tcBorders>
                  <w:shd w:val="clear" w:color="auto" w:fill="FFFFFF"/>
                  <w:vAlign w:val="center"/>
                </w:tcPr>
                <w:p w14:paraId="71AF908F">
                  <w:pPr>
                    <w:jc w:val="center"/>
                    <w:rPr>
                      <w:rFonts w:hint="eastAsia"/>
                      <w:b w:val="0"/>
                      <w:color w:val="000000"/>
                      <w:sz w:val="21"/>
                      <w:szCs w:val="21"/>
                      <w:lang w:val="en-US" w:eastAsia="zh-CN"/>
                    </w:rPr>
                  </w:pPr>
                </w:p>
              </w:tc>
            </w:tr>
            <w:tr w14:paraId="4066F74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378" w:hRule="atLeast"/>
                <w:jc w:val="center"/>
              </w:trPr>
              <w:tc>
                <w:tcPr>
                  <w:tcW w:w="1074" w:type="dxa"/>
                  <w:vMerge w:val="continue"/>
                  <w:tcBorders>
                    <w:tl2br w:val="nil"/>
                    <w:tr2bl w:val="nil"/>
                  </w:tcBorders>
                  <w:shd w:val="clear" w:color="auto" w:fill="FFFFFF"/>
                  <w:vAlign w:val="center"/>
                </w:tcPr>
                <w:p w14:paraId="0887ED7D">
                  <w:pPr>
                    <w:jc w:val="center"/>
                    <w:rPr>
                      <w:rFonts w:hint="eastAsia"/>
                      <w:b w:val="0"/>
                      <w:color w:val="000000"/>
                      <w:sz w:val="21"/>
                      <w:szCs w:val="21"/>
                      <w:lang w:val="en-US" w:eastAsia="zh-CN"/>
                    </w:rPr>
                  </w:pPr>
                </w:p>
              </w:tc>
              <w:tc>
                <w:tcPr>
                  <w:tcW w:w="1186" w:type="dxa"/>
                  <w:gridSpan w:val="2"/>
                  <w:tcBorders>
                    <w:tl2br w:val="nil"/>
                    <w:tr2bl w:val="nil"/>
                  </w:tcBorders>
                  <w:shd w:val="clear" w:color="auto" w:fill="FFFFFF"/>
                  <w:vAlign w:val="center"/>
                </w:tcPr>
                <w:p w14:paraId="1B9E6879">
                  <w:pPr>
                    <w:jc w:val="center"/>
                    <w:rPr>
                      <w:rFonts w:hint="default" w:eastAsia="宋体"/>
                      <w:b w:val="0"/>
                      <w:color w:val="000000"/>
                      <w:sz w:val="21"/>
                      <w:szCs w:val="21"/>
                      <w:lang w:val="en-US" w:eastAsia="zh-CN"/>
                    </w:rPr>
                  </w:pPr>
                  <w:r>
                    <w:rPr>
                      <w:rFonts w:hint="eastAsia"/>
                      <w:b w:val="0"/>
                      <w:color w:val="000000"/>
                      <w:sz w:val="21"/>
                      <w:szCs w:val="21"/>
                      <w:lang w:val="en-US" w:eastAsia="zh-CN"/>
                    </w:rPr>
                    <w:t>成品区</w:t>
                  </w:r>
                </w:p>
              </w:tc>
              <w:tc>
                <w:tcPr>
                  <w:tcW w:w="5563" w:type="dxa"/>
                  <w:tcBorders>
                    <w:tl2br w:val="nil"/>
                    <w:tr2bl w:val="nil"/>
                  </w:tcBorders>
                  <w:shd w:val="clear" w:color="auto" w:fill="FFFFFF"/>
                  <w:vAlign w:val="center"/>
                </w:tcPr>
                <w:p w14:paraId="6B687079">
                  <w:pPr>
                    <w:rPr>
                      <w:rFonts w:hint="eastAsia"/>
                      <w:b w:val="0"/>
                      <w:color w:val="000000"/>
                      <w:sz w:val="21"/>
                      <w:szCs w:val="21"/>
                      <w:lang w:val="en-US" w:eastAsia="zh-CN"/>
                    </w:rPr>
                  </w:pPr>
                  <w:r>
                    <w:rPr>
                      <w:rFonts w:hint="eastAsia"/>
                      <w:b w:val="0"/>
                      <w:color w:val="000000"/>
                      <w:sz w:val="21"/>
                      <w:szCs w:val="21"/>
                      <w:lang w:val="en-US" w:eastAsia="zh-CN"/>
                    </w:rPr>
                    <w:t>位于生产厂房东南角，原料区东侧，进行产品钛件的存放</w:t>
                  </w:r>
                </w:p>
              </w:tc>
              <w:tc>
                <w:tcPr>
                  <w:tcW w:w="621" w:type="dxa"/>
                  <w:vMerge w:val="continue"/>
                  <w:tcBorders>
                    <w:tl2br w:val="nil"/>
                    <w:tr2bl w:val="nil"/>
                  </w:tcBorders>
                  <w:shd w:val="clear" w:color="auto" w:fill="FFFFFF"/>
                  <w:vAlign w:val="center"/>
                </w:tcPr>
                <w:p w14:paraId="72FB22B4">
                  <w:pPr>
                    <w:jc w:val="center"/>
                    <w:rPr>
                      <w:rFonts w:hint="eastAsia"/>
                      <w:b w:val="0"/>
                      <w:color w:val="000000"/>
                      <w:sz w:val="21"/>
                      <w:szCs w:val="21"/>
                      <w:lang w:val="en-US" w:eastAsia="zh-CN"/>
                    </w:rPr>
                  </w:pPr>
                </w:p>
              </w:tc>
            </w:tr>
            <w:tr w14:paraId="796D40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18" w:hRule="atLeast"/>
                <w:jc w:val="center"/>
              </w:trPr>
              <w:tc>
                <w:tcPr>
                  <w:tcW w:w="1074" w:type="dxa"/>
                  <w:vMerge w:val="continue"/>
                  <w:tcBorders>
                    <w:tl2br w:val="nil"/>
                    <w:tr2bl w:val="nil"/>
                  </w:tcBorders>
                  <w:shd w:val="clear" w:color="auto" w:fill="FFFFFF"/>
                  <w:vAlign w:val="center"/>
                </w:tcPr>
                <w:p w14:paraId="4D186DD7">
                  <w:pPr>
                    <w:jc w:val="center"/>
                    <w:rPr>
                      <w:rFonts w:hint="eastAsia"/>
                      <w:b w:val="0"/>
                      <w:color w:val="000000"/>
                      <w:sz w:val="21"/>
                      <w:szCs w:val="21"/>
                      <w:lang w:val="en-US" w:eastAsia="zh-CN"/>
                    </w:rPr>
                  </w:pPr>
                </w:p>
              </w:tc>
              <w:tc>
                <w:tcPr>
                  <w:tcW w:w="1186" w:type="dxa"/>
                  <w:gridSpan w:val="2"/>
                  <w:tcBorders>
                    <w:tl2br w:val="nil"/>
                    <w:tr2bl w:val="nil"/>
                  </w:tcBorders>
                  <w:shd w:val="clear" w:color="auto" w:fill="FFFFFF"/>
                  <w:vAlign w:val="center"/>
                </w:tcPr>
                <w:p w14:paraId="7DFB4629">
                  <w:pPr>
                    <w:jc w:val="center"/>
                    <w:rPr>
                      <w:rFonts w:hint="default" w:eastAsia="宋体"/>
                      <w:b w:val="0"/>
                      <w:color w:val="000000"/>
                      <w:sz w:val="21"/>
                      <w:szCs w:val="21"/>
                      <w:lang w:val="en-US" w:eastAsia="zh-CN"/>
                    </w:rPr>
                  </w:pPr>
                  <w:r>
                    <w:rPr>
                      <w:rFonts w:hint="eastAsia"/>
                      <w:b w:val="0"/>
                      <w:color w:val="000000"/>
                      <w:sz w:val="21"/>
                      <w:szCs w:val="21"/>
                      <w:lang w:val="en-US" w:eastAsia="zh-CN"/>
                    </w:rPr>
                    <w:t>耗材区</w:t>
                  </w:r>
                </w:p>
              </w:tc>
              <w:tc>
                <w:tcPr>
                  <w:tcW w:w="5563" w:type="dxa"/>
                  <w:tcBorders>
                    <w:tl2br w:val="nil"/>
                    <w:tr2bl w:val="nil"/>
                  </w:tcBorders>
                  <w:shd w:val="clear" w:color="auto" w:fill="FFFFFF"/>
                  <w:vAlign w:val="center"/>
                </w:tcPr>
                <w:p w14:paraId="2CE7CDA1">
                  <w:pPr>
                    <w:rPr>
                      <w:rFonts w:hint="default"/>
                      <w:b w:val="0"/>
                      <w:color w:val="000000"/>
                      <w:sz w:val="21"/>
                      <w:szCs w:val="21"/>
                      <w:lang w:val="en-US" w:eastAsia="zh-CN"/>
                    </w:rPr>
                  </w:pPr>
                  <w:r>
                    <w:rPr>
                      <w:rFonts w:hint="eastAsia"/>
                      <w:b w:val="0"/>
                      <w:color w:val="000000"/>
                      <w:sz w:val="21"/>
                      <w:szCs w:val="21"/>
                      <w:lang w:val="en-US" w:eastAsia="zh-CN"/>
                    </w:rPr>
                    <w:t>车间西部北侧，千叶轮、砂轮等耗材堆放</w:t>
                  </w:r>
                </w:p>
              </w:tc>
              <w:tc>
                <w:tcPr>
                  <w:tcW w:w="621" w:type="dxa"/>
                  <w:vMerge w:val="continue"/>
                  <w:tcBorders>
                    <w:tl2br w:val="nil"/>
                    <w:tr2bl w:val="nil"/>
                  </w:tcBorders>
                  <w:shd w:val="clear" w:color="auto" w:fill="FFFFFF"/>
                  <w:vAlign w:val="center"/>
                </w:tcPr>
                <w:p w14:paraId="2C91F2B9">
                  <w:pPr>
                    <w:jc w:val="center"/>
                    <w:rPr>
                      <w:rFonts w:hint="eastAsia"/>
                      <w:b w:val="0"/>
                      <w:color w:val="000000"/>
                      <w:sz w:val="21"/>
                      <w:szCs w:val="21"/>
                      <w:lang w:val="en-US" w:eastAsia="zh-CN"/>
                    </w:rPr>
                  </w:pPr>
                </w:p>
              </w:tc>
            </w:tr>
            <w:tr w14:paraId="765818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tcBorders>
                    <w:tl2br w:val="nil"/>
                    <w:tr2bl w:val="nil"/>
                  </w:tcBorders>
                  <w:shd w:val="clear" w:color="auto" w:fill="FFFFFF"/>
                  <w:vAlign w:val="center"/>
                </w:tcPr>
                <w:p w14:paraId="5A96D667">
                  <w:pPr>
                    <w:jc w:val="center"/>
                    <w:rPr>
                      <w:b w:val="0"/>
                      <w:color w:val="000000"/>
                      <w:sz w:val="21"/>
                      <w:szCs w:val="21"/>
                    </w:rPr>
                  </w:pPr>
                  <w:r>
                    <w:rPr>
                      <w:b w:val="0"/>
                      <w:color w:val="000000"/>
                      <w:sz w:val="21"/>
                      <w:szCs w:val="21"/>
                    </w:rPr>
                    <w:t>辅助工程</w:t>
                  </w:r>
                </w:p>
              </w:tc>
              <w:tc>
                <w:tcPr>
                  <w:tcW w:w="1186" w:type="dxa"/>
                  <w:gridSpan w:val="2"/>
                  <w:tcBorders>
                    <w:tl2br w:val="nil"/>
                    <w:tr2bl w:val="nil"/>
                  </w:tcBorders>
                  <w:shd w:val="clear" w:color="auto" w:fill="FFFFFF"/>
                  <w:vAlign w:val="center"/>
                </w:tcPr>
                <w:p w14:paraId="08935691">
                  <w:pPr>
                    <w:jc w:val="center"/>
                    <w:rPr>
                      <w:rFonts w:hint="eastAsia" w:eastAsia="宋体"/>
                      <w:b w:val="0"/>
                      <w:color w:val="000000"/>
                      <w:sz w:val="21"/>
                      <w:szCs w:val="21"/>
                      <w:lang w:val="en-US" w:eastAsia="zh-CN"/>
                    </w:rPr>
                  </w:pPr>
                  <w:r>
                    <w:rPr>
                      <w:b w:val="0"/>
                      <w:color w:val="000000"/>
                      <w:sz w:val="21"/>
                      <w:szCs w:val="21"/>
                    </w:rPr>
                    <w:t>办公</w:t>
                  </w:r>
                  <w:r>
                    <w:rPr>
                      <w:rFonts w:hint="eastAsia"/>
                      <w:b w:val="0"/>
                      <w:color w:val="000000"/>
                      <w:sz w:val="21"/>
                      <w:szCs w:val="21"/>
                      <w:lang w:val="en-US" w:eastAsia="zh-CN"/>
                    </w:rPr>
                    <w:t>宿舍区</w:t>
                  </w:r>
                </w:p>
              </w:tc>
              <w:tc>
                <w:tcPr>
                  <w:tcW w:w="5563" w:type="dxa"/>
                  <w:tcBorders>
                    <w:tl2br w:val="nil"/>
                    <w:tr2bl w:val="nil"/>
                  </w:tcBorders>
                  <w:shd w:val="clear" w:color="auto" w:fill="FFFFFF"/>
                  <w:vAlign w:val="center"/>
                </w:tcPr>
                <w:p w14:paraId="1452BC20">
                  <w:pPr>
                    <w:jc w:val="both"/>
                    <w:rPr>
                      <w:rFonts w:hint="default" w:eastAsia="宋体"/>
                      <w:b w:val="0"/>
                      <w:color w:val="000000"/>
                      <w:sz w:val="21"/>
                      <w:szCs w:val="21"/>
                      <w:lang w:val="en-US" w:eastAsia="zh-CN"/>
                    </w:rPr>
                  </w:pPr>
                  <w:r>
                    <w:rPr>
                      <w:rFonts w:hint="eastAsia"/>
                      <w:b w:val="0"/>
                      <w:color w:val="000000"/>
                      <w:sz w:val="21"/>
                      <w:szCs w:val="21"/>
                      <w:lang w:val="en-US" w:eastAsia="zh-CN"/>
                    </w:rPr>
                    <w:t>租赁车间北侧办公楼（二楼+一楼一间房）作为办公及宿舍，面积470m</w:t>
                  </w:r>
                  <w:r>
                    <w:rPr>
                      <w:rFonts w:hint="eastAsia"/>
                      <w:b w:val="0"/>
                      <w:color w:val="000000"/>
                      <w:sz w:val="21"/>
                      <w:szCs w:val="21"/>
                      <w:vertAlign w:val="superscript"/>
                      <w:lang w:val="en-US" w:eastAsia="zh-CN"/>
                    </w:rPr>
                    <w:t>2</w:t>
                  </w:r>
                  <w:r>
                    <w:rPr>
                      <w:rFonts w:hint="eastAsia"/>
                      <w:b w:val="0"/>
                      <w:color w:val="000000"/>
                      <w:sz w:val="21"/>
                      <w:szCs w:val="21"/>
                      <w:lang w:val="en-US" w:eastAsia="zh-CN"/>
                    </w:rPr>
                    <w:t>。</w:t>
                  </w:r>
                </w:p>
              </w:tc>
              <w:tc>
                <w:tcPr>
                  <w:tcW w:w="621" w:type="dxa"/>
                  <w:vMerge w:val="continue"/>
                  <w:tcBorders>
                    <w:tl2br w:val="nil"/>
                    <w:tr2bl w:val="nil"/>
                  </w:tcBorders>
                  <w:shd w:val="clear" w:color="auto" w:fill="FFFFFF"/>
                  <w:vAlign w:val="center"/>
                </w:tcPr>
                <w:p w14:paraId="004175B4">
                  <w:pPr>
                    <w:jc w:val="center"/>
                    <w:rPr>
                      <w:rFonts w:hint="eastAsia" w:eastAsia="宋体"/>
                      <w:b w:val="0"/>
                      <w:color w:val="000000"/>
                      <w:sz w:val="21"/>
                      <w:szCs w:val="21"/>
                      <w:lang w:eastAsia="zh-CN"/>
                    </w:rPr>
                  </w:pPr>
                </w:p>
              </w:tc>
            </w:tr>
            <w:tr w14:paraId="6FC036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337" w:hRule="atLeast"/>
                <w:jc w:val="center"/>
              </w:trPr>
              <w:tc>
                <w:tcPr>
                  <w:tcW w:w="1074" w:type="dxa"/>
                  <w:vMerge w:val="restart"/>
                  <w:tcBorders>
                    <w:tl2br w:val="nil"/>
                    <w:tr2bl w:val="nil"/>
                  </w:tcBorders>
                  <w:shd w:val="clear" w:color="auto" w:fill="FFFFFF"/>
                  <w:vAlign w:val="center"/>
                </w:tcPr>
                <w:p w14:paraId="42420B07">
                  <w:pPr>
                    <w:jc w:val="center"/>
                    <w:rPr>
                      <w:b w:val="0"/>
                      <w:color w:val="000000"/>
                      <w:sz w:val="21"/>
                      <w:szCs w:val="21"/>
                    </w:rPr>
                  </w:pPr>
                  <w:r>
                    <w:rPr>
                      <w:b w:val="0"/>
                      <w:color w:val="000000"/>
                      <w:sz w:val="21"/>
                      <w:szCs w:val="21"/>
                    </w:rPr>
                    <w:t>公用工程</w:t>
                  </w:r>
                </w:p>
              </w:tc>
              <w:tc>
                <w:tcPr>
                  <w:tcW w:w="1186" w:type="dxa"/>
                  <w:gridSpan w:val="2"/>
                  <w:tcBorders>
                    <w:tl2br w:val="nil"/>
                    <w:tr2bl w:val="nil"/>
                  </w:tcBorders>
                  <w:shd w:val="clear" w:color="auto" w:fill="FFFFFF"/>
                  <w:vAlign w:val="center"/>
                </w:tcPr>
                <w:p w14:paraId="4EC66026">
                  <w:pPr>
                    <w:jc w:val="center"/>
                    <w:rPr>
                      <w:b w:val="0"/>
                      <w:bCs/>
                      <w:color w:val="000000"/>
                      <w:sz w:val="21"/>
                      <w:szCs w:val="21"/>
                      <w:highlight w:val="none"/>
                    </w:rPr>
                  </w:pPr>
                  <w:r>
                    <w:rPr>
                      <w:b w:val="0"/>
                      <w:bCs/>
                      <w:color w:val="000000"/>
                      <w:sz w:val="21"/>
                      <w:szCs w:val="21"/>
                      <w:highlight w:val="none"/>
                    </w:rPr>
                    <w:t>供水</w:t>
                  </w:r>
                </w:p>
              </w:tc>
              <w:tc>
                <w:tcPr>
                  <w:tcW w:w="5563" w:type="dxa"/>
                  <w:tcBorders>
                    <w:tl2br w:val="nil"/>
                    <w:tr2bl w:val="nil"/>
                  </w:tcBorders>
                  <w:shd w:val="clear" w:color="auto" w:fill="FFFFFF"/>
                  <w:vAlign w:val="center"/>
                </w:tcPr>
                <w:p w14:paraId="215AE5A6">
                  <w:pPr>
                    <w:jc w:val="both"/>
                    <w:rPr>
                      <w:b w:val="0"/>
                      <w:bCs/>
                      <w:color w:val="000000"/>
                      <w:sz w:val="21"/>
                      <w:szCs w:val="21"/>
                      <w:highlight w:val="none"/>
                    </w:rPr>
                  </w:pPr>
                  <w:r>
                    <w:rPr>
                      <w:rFonts w:hint="eastAsia"/>
                      <w:b w:val="0"/>
                      <w:color w:val="000000"/>
                      <w:kern w:val="0"/>
                      <w:szCs w:val="21"/>
                      <w:highlight w:val="none"/>
                      <w:lang w:val="en-US" w:eastAsia="zh-CN"/>
                    </w:rPr>
                    <w:t>由</w:t>
                  </w:r>
                  <w:r>
                    <w:rPr>
                      <w:b w:val="0"/>
                      <w:color w:val="000000"/>
                      <w:kern w:val="0"/>
                      <w:szCs w:val="21"/>
                      <w:highlight w:val="none"/>
                    </w:rPr>
                    <w:t>市政</w:t>
                  </w:r>
                  <w:r>
                    <w:rPr>
                      <w:b w:val="0"/>
                      <w:color w:val="000000"/>
                      <w:kern w:val="0"/>
                      <w:szCs w:val="21"/>
                      <w:highlight w:val="none"/>
                      <w:lang w:val="zh-TW"/>
                    </w:rPr>
                    <w:t>给水管网统一供给</w:t>
                  </w:r>
                </w:p>
              </w:tc>
              <w:tc>
                <w:tcPr>
                  <w:tcW w:w="621" w:type="dxa"/>
                  <w:tcBorders>
                    <w:tl2br w:val="nil"/>
                    <w:tr2bl w:val="nil"/>
                  </w:tcBorders>
                  <w:shd w:val="clear" w:color="auto" w:fill="FFFFFF"/>
                  <w:vAlign w:val="center"/>
                </w:tcPr>
                <w:p w14:paraId="34537EAA">
                  <w:pPr>
                    <w:adjustRightInd w:val="0"/>
                    <w:snapToGrid w:val="0"/>
                    <w:jc w:val="center"/>
                    <w:rPr>
                      <w:rFonts w:hint="eastAsia" w:eastAsia="宋体"/>
                      <w:b w:val="0"/>
                      <w:color w:val="000000"/>
                      <w:sz w:val="21"/>
                      <w:szCs w:val="21"/>
                      <w:lang w:eastAsia="zh-CN"/>
                    </w:rPr>
                  </w:pPr>
                  <w:r>
                    <w:rPr>
                      <w:rFonts w:hint="eastAsia"/>
                      <w:b w:val="0"/>
                      <w:color w:val="000000"/>
                      <w:sz w:val="21"/>
                      <w:szCs w:val="21"/>
                      <w:lang w:val="en-US" w:eastAsia="zh-CN"/>
                    </w:rPr>
                    <w:t>/</w:t>
                  </w:r>
                </w:p>
              </w:tc>
            </w:tr>
            <w:tr w14:paraId="1A8D6F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6AB7DF1C">
                  <w:pPr>
                    <w:jc w:val="center"/>
                    <w:rPr>
                      <w:b w:val="0"/>
                      <w:color w:val="000000"/>
                      <w:sz w:val="21"/>
                      <w:szCs w:val="21"/>
                    </w:rPr>
                  </w:pPr>
                </w:p>
              </w:tc>
              <w:tc>
                <w:tcPr>
                  <w:tcW w:w="1186" w:type="dxa"/>
                  <w:gridSpan w:val="2"/>
                  <w:tcBorders>
                    <w:tl2br w:val="nil"/>
                    <w:tr2bl w:val="nil"/>
                  </w:tcBorders>
                  <w:shd w:val="clear" w:color="auto" w:fill="FFFFFF"/>
                  <w:vAlign w:val="center"/>
                </w:tcPr>
                <w:p w14:paraId="73FA3540">
                  <w:pPr>
                    <w:jc w:val="center"/>
                    <w:rPr>
                      <w:b w:val="0"/>
                      <w:color w:val="000000"/>
                      <w:sz w:val="21"/>
                      <w:szCs w:val="21"/>
                      <w:highlight w:val="yellow"/>
                    </w:rPr>
                  </w:pPr>
                  <w:r>
                    <w:rPr>
                      <w:b w:val="0"/>
                      <w:color w:val="000000"/>
                      <w:sz w:val="21"/>
                      <w:szCs w:val="21"/>
                      <w:highlight w:val="none"/>
                    </w:rPr>
                    <w:t>排水</w:t>
                  </w:r>
                </w:p>
              </w:tc>
              <w:tc>
                <w:tcPr>
                  <w:tcW w:w="5563" w:type="dxa"/>
                  <w:tcBorders>
                    <w:tl2br w:val="nil"/>
                    <w:tr2bl w:val="nil"/>
                  </w:tcBorders>
                  <w:shd w:val="clear" w:color="auto" w:fill="FFFFFF"/>
                  <w:vAlign w:val="center"/>
                </w:tcPr>
                <w:p w14:paraId="6D61124F">
                  <w:pPr>
                    <w:jc w:val="both"/>
                    <w:rPr>
                      <w:rFonts w:hint="default"/>
                      <w:b w:val="0"/>
                      <w:color w:val="000000"/>
                      <w:sz w:val="21"/>
                      <w:szCs w:val="21"/>
                      <w:highlight w:val="yellow"/>
                      <w:lang w:val="en-US"/>
                    </w:rPr>
                  </w:pPr>
                  <w:r>
                    <w:rPr>
                      <w:rFonts w:hint="eastAsia"/>
                      <w:b w:val="0"/>
                      <w:bCs/>
                      <w:color w:val="000000"/>
                      <w:szCs w:val="21"/>
                      <w:highlight w:val="none"/>
                      <w:lang w:val="en-US" w:eastAsia="zh-CN"/>
                    </w:rPr>
                    <w:t>采用雨污分流，生活污水依托现有化粪池（100m</w:t>
                  </w:r>
                  <w:r>
                    <w:rPr>
                      <w:rFonts w:hint="eastAsia"/>
                      <w:b w:val="0"/>
                      <w:bCs/>
                      <w:color w:val="000000"/>
                      <w:szCs w:val="21"/>
                      <w:highlight w:val="none"/>
                      <w:vertAlign w:val="superscript"/>
                      <w:lang w:val="en-US" w:eastAsia="zh-CN"/>
                    </w:rPr>
                    <w:t>3</w:t>
                  </w:r>
                  <w:r>
                    <w:rPr>
                      <w:rFonts w:hint="eastAsia"/>
                      <w:b w:val="0"/>
                      <w:bCs/>
                      <w:color w:val="000000"/>
                      <w:szCs w:val="21"/>
                      <w:highlight w:val="none"/>
                      <w:lang w:val="en-US" w:eastAsia="zh-CN"/>
                    </w:rPr>
                    <w:t>）处理后经市政管网排入泾河新城第二污水处理厂进一步处理</w:t>
                  </w:r>
                </w:p>
              </w:tc>
              <w:tc>
                <w:tcPr>
                  <w:tcW w:w="621" w:type="dxa"/>
                  <w:tcBorders>
                    <w:tl2br w:val="nil"/>
                    <w:tr2bl w:val="nil"/>
                  </w:tcBorders>
                  <w:shd w:val="clear" w:color="auto" w:fill="FFFFFF"/>
                  <w:vAlign w:val="center"/>
                </w:tcPr>
                <w:p w14:paraId="63B0BD4F">
                  <w:pPr>
                    <w:adjustRightInd w:val="0"/>
                    <w:snapToGrid w:val="0"/>
                    <w:jc w:val="center"/>
                    <w:rPr>
                      <w:rFonts w:hint="default" w:eastAsia="宋体"/>
                      <w:b w:val="0"/>
                      <w:color w:val="000000"/>
                      <w:sz w:val="21"/>
                      <w:szCs w:val="21"/>
                      <w:lang w:val="en-US" w:eastAsia="zh-CN"/>
                    </w:rPr>
                  </w:pPr>
                  <w:r>
                    <w:rPr>
                      <w:rFonts w:hint="eastAsia"/>
                      <w:b w:val="0"/>
                      <w:color w:val="000000"/>
                      <w:sz w:val="21"/>
                      <w:szCs w:val="21"/>
                      <w:lang w:val="en-US" w:eastAsia="zh-CN"/>
                    </w:rPr>
                    <w:t>依托</w:t>
                  </w:r>
                </w:p>
              </w:tc>
            </w:tr>
            <w:tr w14:paraId="741B66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24E14B29">
                  <w:pPr>
                    <w:jc w:val="center"/>
                    <w:rPr>
                      <w:b w:val="0"/>
                      <w:color w:val="000000"/>
                      <w:sz w:val="21"/>
                      <w:szCs w:val="21"/>
                    </w:rPr>
                  </w:pPr>
                </w:p>
              </w:tc>
              <w:tc>
                <w:tcPr>
                  <w:tcW w:w="1186" w:type="dxa"/>
                  <w:gridSpan w:val="2"/>
                  <w:tcBorders>
                    <w:tl2br w:val="nil"/>
                    <w:tr2bl w:val="nil"/>
                  </w:tcBorders>
                  <w:shd w:val="clear" w:color="auto" w:fill="FFFFFF"/>
                  <w:vAlign w:val="center"/>
                </w:tcPr>
                <w:p w14:paraId="0F6141AB">
                  <w:pPr>
                    <w:jc w:val="center"/>
                    <w:rPr>
                      <w:b w:val="0"/>
                      <w:color w:val="000000"/>
                      <w:sz w:val="21"/>
                      <w:szCs w:val="21"/>
                    </w:rPr>
                  </w:pPr>
                  <w:r>
                    <w:rPr>
                      <w:b w:val="0"/>
                      <w:color w:val="000000"/>
                      <w:sz w:val="21"/>
                      <w:szCs w:val="21"/>
                    </w:rPr>
                    <w:t>供电</w:t>
                  </w:r>
                </w:p>
              </w:tc>
              <w:tc>
                <w:tcPr>
                  <w:tcW w:w="5563" w:type="dxa"/>
                  <w:tcBorders>
                    <w:tl2br w:val="nil"/>
                    <w:tr2bl w:val="nil"/>
                  </w:tcBorders>
                  <w:shd w:val="clear" w:color="auto" w:fill="FFFFFF"/>
                  <w:vAlign w:val="center"/>
                </w:tcPr>
                <w:p w14:paraId="680690FE">
                  <w:pPr>
                    <w:adjustRightInd w:val="0"/>
                    <w:snapToGrid w:val="0"/>
                    <w:jc w:val="both"/>
                    <w:rPr>
                      <w:b w:val="0"/>
                      <w:color w:val="000000"/>
                      <w:sz w:val="21"/>
                      <w:szCs w:val="21"/>
                    </w:rPr>
                  </w:pPr>
                  <w:r>
                    <w:rPr>
                      <w:b w:val="0"/>
                      <w:color w:val="000000"/>
                      <w:kern w:val="0"/>
                      <w:szCs w:val="21"/>
                    </w:rPr>
                    <w:t>项目供电由市政电网统一供给</w:t>
                  </w:r>
                </w:p>
              </w:tc>
              <w:tc>
                <w:tcPr>
                  <w:tcW w:w="621" w:type="dxa"/>
                  <w:tcBorders>
                    <w:tl2br w:val="nil"/>
                    <w:tr2bl w:val="nil"/>
                  </w:tcBorders>
                  <w:shd w:val="clear" w:color="auto" w:fill="FFFFFF"/>
                  <w:vAlign w:val="center"/>
                </w:tcPr>
                <w:p w14:paraId="3D42C077">
                  <w:pPr>
                    <w:adjustRightInd w:val="0"/>
                    <w:snapToGrid w:val="0"/>
                    <w:jc w:val="center"/>
                    <w:rPr>
                      <w:rFonts w:hint="eastAsia" w:eastAsia="宋体"/>
                      <w:b w:val="0"/>
                      <w:color w:val="000000"/>
                      <w:sz w:val="21"/>
                      <w:szCs w:val="21"/>
                      <w:lang w:eastAsia="zh-CN"/>
                    </w:rPr>
                  </w:pPr>
                  <w:r>
                    <w:rPr>
                      <w:rFonts w:hint="eastAsia"/>
                      <w:b w:val="0"/>
                      <w:color w:val="000000"/>
                      <w:sz w:val="21"/>
                      <w:szCs w:val="21"/>
                      <w:lang w:val="en-US" w:eastAsia="zh-CN"/>
                    </w:rPr>
                    <w:t>/</w:t>
                  </w:r>
                </w:p>
              </w:tc>
            </w:tr>
            <w:tr w14:paraId="137ADB3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05149D3E">
                  <w:pPr>
                    <w:jc w:val="center"/>
                    <w:rPr>
                      <w:b w:val="0"/>
                      <w:color w:val="000000"/>
                      <w:sz w:val="21"/>
                      <w:szCs w:val="21"/>
                    </w:rPr>
                  </w:pPr>
                </w:p>
              </w:tc>
              <w:tc>
                <w:tcPr>
                  <w:tcW w:w="1186" w:type="dxa"/>
                  <w:gridSpan w:val="2"/>
                  <w:tcBorders>
                    <w:tl2br w:val="nil"/>
                    <w:tr2bl w:val="nil"/>
                  </w:tcBorders>
                  <w:shd w:val="clear" w:color="auto" w:fill="FFFFFF"/>
                  <w:vAlign w:val="center"/>
                </w:tcPr>
                <w:p w14:paraId="6985F40F">
                  <w:pPr>
                    <w:widowControl/>
                    <w:jc w:val="center"/>
                    <w:rPr>
                      <w:b w:val="0"/>
                      <w:color w:val="000000"/>
                      <w:sz w:val="21"/>
                      <w:szCs w:val="21"/>
                    </w:rPr>
                  </w:pPr>
                  <w:r>
                    <w:rPr>
                      <w:b w:val="0"/>
                      <w:color w:val="000000"/>
                      <w:kern w:val="0"/>
                      <w:sz w:val="21"/>
                      <w:szCs w:val="21"/>
                    </w:rPr>
                    <w:t>供暖、制冷</w:t>
                  </w:r>
                </w:p>
              </w:tc>
              <w:tc>
                <w:tcPr>
                  <w:tcW w:w="5563" w:type="dxa"/>
                  <w:tcBorders>
                    <w:tl2br w:val="nil"/>
                    <w:tr2bl w:val="nil"/>
                  </w:tcBorders>
                  <w:shd w:val="clear" w:color="auto" w:fill="FFFFFF"/>
                  <w:vAlign w:val="center"/>
                </w:tcPr>
                <w:p w14:paraId="0A259D0E">
                  <w:pPr>
                    <w:tabs>
                      <w:tab w:val="left" w:pos="3255"/>
                    </w:tabs>
                    <w:spacing w:line="276" w:lineRule="auto"/>
                    <w:jc w:val="both"/>
                    <w:rPr>
                      <w:b w:val="0"/>
                      <w:color w:val="000000"/>
                      <w:sz w:val="21"/>
                      <w:szCs w:val="21"/>
                    </w:rPr>
                  </w:pPr>
                  <w:r>
                    <w:rPr>
                      <w:rFonts w:hint="eastAsia"/>
                      <w:b w:val="0"/>
                      <w:color w:val="000000"/>
                      <w:sz w:val="21"/>
                      <w:szCs w:val="21"/>
                      <w:lang w:val="en-US" w:eastAsia="zh-CN"/>
                    </w:rPr>
                    <w:t>车间不供暖制冷，</w:t>
                  </w:r>
                  <w:r>
                    <w:rPr>
                      <w:b w:val="0"/>
                      <w:color w:val="000000"/>
                      <w:sz w:val="21"/>
                      <w:szCs w:val="21"/>
                    </w:rPr>
                    <w:t>办公区供暖、制冷采用分体式空调</w:t>
                  </w:r>
                </w:p>
              </w:tc>
              <w:tc>
                <w:tcPr>
                  <w:tcW w:w="621" w:type="dxa"/>
                  <w:tcBorders>
                    <w:tl2br w:val="nil"/>
                    <w:tr2bl w:val="nil"/>
                  </w:tcBorders>
                  <w:shd w:val="clear" w:color="auto" w:fill="FFFFFF"/>
                  <w:vAlign w:val="center"/>
                </w:tcPr>
                <w:p w14:paraId="36961197">
                  <w:pPr>
                    <w:adjustRightInd w:val="0"/>
                    <w:snapToGrid w:val="0"/>
                    <w:jc w:val="center"/>
                    <w:rPr>
                      <w:rFonts w:hint="eastAsia" w:eastAsia="宋体"/>
                      <w:b w:val="0"/>
                      <w:color w:val="000000"/>
                      <w:sz w:val="21"/>
                      <w:szCs w:val="21"/>
                      <w:lang w:eastAsia="zh-CN"/>
                    </w:rPr>
                  </w:pPr>
                  <w:r>
                    <w:rPr>
                      <w:rFonts w:hint="eastAsia"/>
                      <w:b w:val="0"/>
                      <w:color w:val="000000"/>
                      <w:sz w:val="21"/>
                      <w:szCs w:val="21"/>
                      <w:lang w:val="en-US" w:eastAsia="zh-CN"/>
                    </w:rPr>
                    <w:t>新建</w:t>
                  </w:r>
                </w:p>
              </w:tc>
            </w:tr>
            <w:tr w14:paraId="5AADC8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restart"/>
                  <w:tcBorders>
                    <w:tl2br w:val="nil"/>
                    <w:tr2bl w:val="nil"/>
                  </w:tcBorders>
                  <w:shd w:val="clear" w:color="auto" w:fill="FFFFFF"/>
                  <w:vAlign w:val="center"/>
                </w:tcPr>
                <w:p w14:paraId="2F54DD56">
                  <w:pPr>
                    <w:jc w:val="center"/>
                    <w:rPr>
                      <w:b w:val="0"/>
                      <w:color w:val="000000"/>
                      <w:sz w:val="21"/>
                      <w:szCs w:val="21"/>
                    </w:rPr>
                  </w:pPr>
                  <w:r>
                    <w:rPr>
                      <w:b w:val="0"/>
                      <w:color w:val="000000"/>
                      <w:sz w:val="21"/>
                      <w:szCs w:val="21"/>
                    </w:rPr>
                    <w:t>环保工程</w:t>
                  </w:r>
                </w:p>
              </w:tc>
              <w:tc>
                <w:tcPr>
                  <w:tcW w:w="572" w:type="dxa"/>
                  <w:vMerge w:val="restart"/>
                  <w:tcBorders>
                    <w:tl2br w:val="nil"/>
                    <w:tr2bl w:val="nil"/>
                  </w:tcBorders>
                  <w:shd w:val="clear" w:color="auto" w:fill="FFFFFF"/>
                  <w:vAlign w:val="center"/>
                </w:tcPr>
                <w:p w14:paraId="3B0E2A8A">
                  <w:pPr>
                    <w:adjustRightInd w:val="0"/>
                    <w:snapToGrid w:val="0"/>
                    <w:jc w:val="center"/>
                    <w:rPr>
                      <w:rFonts w:hint="eastAsia" w:eastAsia="宋体"/>
                      <w:b w:val="0"/>
                      <w:color w:val="000000"/>
                      <w:sz w:val="21"/>
                      <w:szCs w:val="21"/>
                      <w:lang w:val="en-US" w:eastAsia="zh-CN"/>
                    </w:rPr>
                  </w:pPr>
                  <w:r>
                    <w:rPr>
                      <w:rFonts w:hint="eastAsia"/>
                      <w:b w:val="0"/>
                      <w:color w:val="000000"/>
                      <w:sz w:val="21"/>
                      <w:szCs w:val="21"/>
                      <w:lang w:val="en-US" w:eastAsia="zh-CN"/>
                    </w:rPr>
                    <w:t>废气</w:t>
                  </w:r>
                </w:p>
              </w:tc>
              <w:tc>
                <w:tcPr>
                  <w:tcW w:w="614" w:type="dxa"/>
                  <w:tcBorders>
                    <w:tl2br w:val="nil"/>
                    <w:tr2bl w:val="nil"/>
                  </w:tcBorders>
                  <w:shd w:val="clear" w:color="auto" w:fill="FFFFFF"/>
                  <w:vAlign w:val="center"/>
                </w:tcPr>
                <w:p w14:paraId="07D3284C">
                  <w:pPr>
                    <w:adjustRightInd w:val="0"/>
                    <w:snapToGrid w:val="0"/>
                    <w:jc w:val="center"/>
                    <w:rPr>
                      <w:rFonts w:hint="default"/>
                      <w:b w:val="0"/>
                      <w:color w:val="000000"/>
                      <w:szCs w:val="21"/>
                      <w:lang w:val="en-US" w:eastAsia="zh-CN"/>
                    </w:rPr>
                  </w:pPr>
                  <w:r>
                    <w:rPr>
                      <w:rFonts w:hint="eastAsia"/>
                      <w:b w:val="0"/>
                      <w:color w:val="000000"/>
                      <w:szCs w:val="21"/>
                      <w:lang w:val="en-US" w:eastAsia="zh-CN"/>
                    </w:rPr>
                    <w:t>打磨粉尘</w:t>
                  </w:r>
                </w:p>
              </w:tc>
              <w:tc>
                <w:tcPr>
                  <w:tcW w:w="5563" w:type="dxa"/>
                  <w:tcBorders>
                    <w:tl2br w:val="nil"/>
                    <w:tr2bl w:val="nil"/>
                  </w:tcBorders>
                  <w:shd w:val="clear" w:color="auto" w:fill="FFFFFF"/>
                  <w:vAlign w:val="center"/>
                </w:tcPr>
                <w:p w14:paraId="11CFC8E2">
                  <w:pPr>
                    <w:adjustRightInd w:val="0"/>
                    <w:snapToGrid w:val="0"/>
                    <w:jc w:val="both"/>
                    <w:rPr>
                      <w:rFonts w:hint="default"/>
                      <w:b w:val="0"/>
                      <w:color w:val="000000"/>
                      <w:lang w:val="en-US" w:eastAsia="zh-CN"/>
                    </w:rPr>
                  </w:pPr>
                  <w:r>
                    <w:rPr>
                      <w:rFonts w:hint="eastAsia"/>
                      <w:b w:val="0"/>
                      <w:color w:val="000000"/>
                      <w:lang w:val="en-US" w:eastAsia="zh-CN"/>
                    </w:rPr>
                    <w:t>东西两侧打磨粉尘经分别经水旋喷淋塔处理后经+15m高排气筒（DA001、DA002）排放，2座喷淋塔合用一座循环水池（27m</w:t>
                  </w:r>
                  <w:r>
                    <w:rPr>
                      <w:rFonts w:hint="eastAsia"/>
                      <w:b w:val="0"/>
                      <w:color w:val="000000"/>
                      <w:vertAlign w:val="superscript"/>
                      <w:lang w:val="en-US" w:eastAsia="zh-CN"/>
                    </w:rPr>
                    <w:t>3</w:t>
                  </w:r>
                  <w:r>
                    <w:rPr>
                      <w:rFonts w:hint="eastAsia"/>
                      <w:b w:val="0"/>
                      <w:color w:val="000000"/>
                      <w:lang w:val="en-US" w:eastAsia="zh-CN"/>
                    </w:rPr>
                    <w:t>）</w:t>
                  </w:r>
                </w:p>
              </w:tc>
              <w:tc>
                <w:tcPr>
                  <w:tcW w:w="621" w:type="dxa"/>
                  <w:tcBorders>
                    <w:tl2br w:val="nil"/>
                    <w:tr2bl w:val="nil"/>
                  </w:tcBorders>
                  <w:shd w:val="clear" w:color="auto" w:fill="FFFFFF"/>
                  <w:vAlign w:val="center"/>
                </w:tcPr>
                <w:p w14:paraId="294B1355">
                  <w:pPr>
                    <w:adjustRightInd w:val="0"/>
                    <w:snapToGrid w:val="0"/>
                    <w:jc w:val="center"/>
                    <w:rPr>
                      <w:rFonts w:hint="default" w:eastAsia="宋体"/>
                      <w:b w:val="0"/>
                      <w:color w:val="000000"/>
                      <w:sz w:val="21"/>
                      <w:szCs w:val="21"/>
                      <w:lang w:val="en-US" w:eastAsia="zh-CN"/>
                    </w:rPr>
                  </w:pPr>
                  <w:r>
                    <w:rPr>
                      <w:rFonts w:hint="eastAsia"/>
                      <w:b w:val="0"/>
                      <w:color w:val="000000"/>
                      <w:sz w:val="21"/>
                      <w:szCs w:val="21"/>
                      <w:lang w:val="en-US" w:eastAsia="zh-CN"/>
                    </w:rPr>
                    <w:t>新建</w:t>
                  </w:r>
                </w:p>
              </w:tc>
            </w:tr>
            <w:tr w14:paraId="5EC32C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5D6A6147">
                  <w:pPr>
                    <w:adjustRightInd w:val="0"/>
                    <w:snapToGrid w:val="0"/>
                    <w:jc w:val="center"/>
                    <w:rPr>
                      <w:b w:val="0"/>
                      <w:color w:val="000000"/>
                    </w:rPr>
                  </w:pPr>
                </w:p>
              </w:tc>
              <w:tc>
                <w:tcPr>
                  <w:tcW w:w="572" w:type="dxa"/>
                  <w:vMerge w:val="continue"/>
                  <w:tcBorders>
                    <w:tl2br w:val="nil"/>
                    <w:tr2bl w:val="nil"/>
                  </w:tcBorders>
                  <w:shd w:val="clear" w:color="auto" w:fill="FFFFFF"/>
                  <w:vAlign w:val="center"/>
                </w:tcPr>
                <w:p w14:paraId="52F6399E">
                  <w:pPr>
                    <w:adjustRightInd w:val="0"/>
                    <w:snapToGrid w:val="0"/>
                    <w:jc w:val="center"/>
                    <w:rPr>
                      <w:b w:val="0"/>
                      <w:color w:val="000000"/>
                    </w:rPr>
                  </w:pPr>
                </w:p>
              </w:tc>
              <w:tc>
                <w:tcPr>
                  <w:tcW w:w="614" w:type="dxa"/>
                  <w:tcBorders>
                    <w:tl2br w:val="nil"/>
                    <w:tr2bl w:val="nil"/>
                  </w:tcBorders>
                  <w:shd w:val="clear" w:color="auto" w:fill="FFFFFF"/>
                  <w:vAlign w:val="center"/>
                </w:tcPr>
                <w:p w14:paraId="3E861D3C">
                  <w:pPr>
                    <w:adjustRightInd w:val="0"/>
                    <w:snapToGrid w:val="0"/>
                    <w:jc w:val="center"/>
                    <w:rPr>
                      <w:rFonts w:hint="default"/>
                      <w:b w:val="0"/>
                      <w:color w:val="000000"/>
                      <w:szCs w:val="21"/>
                      <w:lang w:val="en-US" w:eastAsia="zh-CN"/>
                    </w:rPr>
                  </w:pPr>
                  <w:r>
                    <w:rPr>
                      <w:rFonts w:hint="eastAsia"/>
                      <w:b w:val="0"/>
                      <w:color w:val="000000"/>
                      <w:szCs w:val="21"/>
                      <w:lang w:val="en-US" w:eastAsia="zh-CN"/>
                    </w:rPr>
                    <w:t>喷砂粉尘</w:t>
                  </w:r>
                </w:p>
              </w:tc>
              <w:tc>
                <w:tcPr>
                  <w:tcW w:w="5563" w:type="dxa"/>
                  <w:tcBorders>
                    <w:tl2br w:val="nil"/>
                    <w:tr2bl w:val="nil"/>
                  </w:tcBorders>
                  <w:shd w:val="clear" w:color="auto" w:fill="FFFFFF"/>
                  <w:vAlign w:val="center"/>
                </w:tcPr>
                <w:p w14:paraId="2CEA8B39">
                  <w:pPr>
                    <w:adjustRightInd w:val="0"/>
                    <w:snapToGrid w:val="0"/>
                    <w:jc w:val="both"/>
                    <w:rPr>
                      <w:rFonts w:hint="default"/>
                      <w:b w:val="0"/>
                      <w:color w:val="000000"/>
                      <w:szCs w:val="21"/>
                      <w:lang w:val="en-US" w:eastAsia="zh-CN"/>
                    </w:rPr>
                  </w:pPr>
                  <w:r>
                    <w:rPr>
                      <w:rFonts w:hint="eastAsia"/>
                      <w:b w:val="0"/>
                      <w:color w:val="000000"/>
                      <w:highlight w:val="none"/>
                      <w:lang w:val="en-US" w:eastAsia="zh-CN"/>
                    </w:rPr>
                    <w:t>喷砂粉尘经自带袋式除尘器处理后无组织排放</w:t>
                  </w:r>
                </w:p>
              </w:tc>
              <w:tc>
                <w:tcPr>
                  <w:tcW w:w="621" w:type="dxa"/>
                  <w:tcBorders>
                    <w:tl2br w:val="nil"/>
                    <w:tr2bl w:val="nil"/>
                  </w:tcBorders>
                  <w:shd w:val="clear" w:color="auto" w:fill="FFFFFF"/>
                  <w:vAlign w:val="center"/>
                </w:tcPr>
                <w:p w14:paraId="51A76ACB">
                  <w:pPr>
                    <w:adjustRightInd w:val="0"/>
                    <w:snapToGrid w:val="0"/>
                    <w:jc w:val="center"/>
                    <w:rPr>
                      <w:rFonts w:hint="eastAsia"/>
                      <w:b w:val="0"/>
                      <w:color w:val="000000"/>
                      <w:szCs w:val="21"/>
                      <w:lang w:val="en-US" w:eastAsia="zh-CN"/>
                    </w:rPr>
                  </w:pPr>
                  <w:r>
                    <w:rPr>
                      <w:rFonts w:hint="eastAsia"/>
                      <w:b w:val="0"/>
                      <w:color w:val="000000"/>
                      <w:sz w:val="21"/>
                      <w:szCs w:val="21"/>
                      <w:lang w:val="en-US" w:eastAsia="zh-CN"/>
                    </w:rPr>
                    <w:t>新建</w:t>
                  </w:r>
                </w:p>
              </w:tc>
            </w:tr>
            <w:tr w14:paraId="68F3EB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0EE26856">
                  <w:pPr>
                    <w:jc w:val="center"/>
                    <w:rPr>
                      <w:b w:val="0"/>
                      <w:color w:val="000000"/>
                      <w:sz w:val="21"/>
                      <w:szCs w:val="21"/>
                    </w:rPr>
                  </w:pPr>
                </w:p>
              </w:tc>
              <w:tc>
                <w:tcPr>
                  <w:tcW w:w="572" w:type="dxa"/>
                  <w:vMerge w:val="restart"/>
                  <w:tcBorders>
                    <w:tl2br w:val="nil"/>
                    <w:tr2bl w:val="nil"/>
                  </w:tcBorders>
                  <w:shd w:val="clear" w:color="auto" w:fill="FFFFFF"/>
                  <w:vAlign w:val="center"/>
                </w:tcPr>
                <w:p w14:paraId="51A7DE48">
                  <w:pPr>
                    <w:adjustRightInd w:val="0"/>
                    <w:snapToGrid w:val="0"/>
                    <w:jc w:val="center"/>
                    <w:rPr>
                      <w:rFonts w:ascii="Times New Roman" w:hAnsi="Times New Roman" w:eastAsia="宋体" w:cs="Times New Roman"/>
                      <w:b w:val="0"/>
                      <w:color w:val="000000"/>
                      <w:kern w:val="2"/>
                      <w:sz w:val="21"/>
                      <w:szCs w:val="21"/>
                      <w:lang w:val="en-US" w:eastAsia="zh-CN" w:bidi="ar-SA"/>
                    </w:rPr>
                  </w:pPr>
                  <w:r>
                    <w:rPr>
                      <w:b w:val="0"/>
                      <w:color w:val="000000"/>
                      <w:sz w:val="21"/>
                      <w:szCs w:val="21"/>
                    </w:rPr>
                    <w:t>废水</w:t>
                  </w:r>
                </w:p>
              </w:tc>
              <w:tc>
                <w:tcPr>
                  <w:tcW w:w="614" w:type="dxa"/>
                  <w:tcBorders>
                    <w:tl2br w:val="nil"/>
                    <w:tr2bl w:val="nil"/>
                  </w:tcBorders>
                  <w:shd w:val="clear" w:color="auto" w:fill="FFFFFF"/>
                  <w:vAlign w:val="center"/>
                </w:tcPr>
                <w:p w14:paraId="3DDD0A0B">
                  <w:pPr>
                    <w:adjustRightInd w:val="0"/>
                    <w:snapToGrid w:val="0"/>
                    <w:jc w:val="center"/>
                    <w:rPr>
                      <w:rFonts w:hint="default" w:eastAsia="宋体"/>
                      <w:b w:val="0"/>
                      <w:color w:val="000000"/>
                      <w:sz w:val="21"/>
                      <w:szCs w:val="21"/>
                      <w:highlight w:val="yellow"/>
                      <w:lang w:val="en-US" w:eastAsia="zh-CN"/>
                    </w:rPr>
                  </w:pPr>
                  <w:r>
                    <w:rPr>
                      <w:rFonts w:hint="eastAsia"/>
                      <w:b w:val="0"/>
                      <w:color w:val="000000"/>
                      <w:sz w:val="21"/>
                      <w:szCs w:val="21"/>
                      <w:highlight w:val="none"/>
                      <w:lang w:val="en-US" w:eastAsia="zh-CN"/>
                    </w:rPr>
                    <w:t>生活污水</w:t>
                  </w:r>
                </w:p>
              </w:tc>
              <w:tc>
                <w:tcPr>
                  <w:tcW w:w="5563" w:type="dxa"/>
                  <w:tcBorders>
                    <w:tl2br w:val="nil"/>
                    <w:tr2bl w:val="nil"/>
                  </w:tcBorders>
                  <w:shd w:val="clear" w:color="auto" w:fill="FFFFFF"/>
                  <w:vAlign w:val="center"/>
                </w:tcPr>
                <w:p w14:paraId="23F13256">
                  <w:pPr>
                    <w:adjustRightInd w:val="0"/>
                    <w:snapToGrid w:val="0"/>
                    <w:jc w:val="both"/>
                    <w:rPr>
                      <w:b w:val="0"/>
                      <w:color w:val="000000"/>
                      <w:sz w:val="21"/>
                      <w:szCs w:val="21"/>
                      <w:highlight w:val="yellow"/>
                    </w:rPr>
                  </w:pPr>
                  <w:r>
                    <w:rPr>
                      <w:rFonts w:hint="eastAsia"/>
                      <w:b w:val="0"/>
                      <w:bCs/>
                      <w:color w:val="000000"/>
                      <w:szCs w:val="21"/>
                      <w:highlight w:val="none"/>
                      <w:lang w:val="en-US" w:eastAsia="zh-CN"/>
                    </w:rPr>
                    <w:t>生活污水依托现有化粪池（20m</w:t>
                  </w:r>
                  <w:r>
                    <w:rPr>
                      <w:rFonts w:hint="eastAsia"/>
                      <w:b w:val="0"/>
                      <w:bCs/>
                      <w:color w:val="000000"/>
                      <w:szCs w:val="21"/>
                      <w:highlight w:val="none"/>
                      <w:vertAlign w:val="superscript"/>
                      <w:lang w:val="en-US" w:eastAsia="zh-CN"/>
                    </w:rPr>
                    <w:t>3</w:t>
                  </w:r>
                  <w:r>
                    <w:rPr>
                      <w:rFonts w:hint="eastAsia"/>
                      <w:b w:val="0"/>
                      <w:bCs/>
                      <w:color w:val="000000"/>
                      <w:szCs w:val="21"/>
                      <w:highlight w:val="none"/>
                      <w:lang w:val="en-US" w:eastAsia="zh-CN"/>
                    </w:rPr>
                    <w:t>）处理后经市政管网排入泾河新城第二污水处理厂进一步处理</w:t>
                  </w:r>
                </w:p>
              </w:tc>
              <w:tc>
                <w:tcPr>
                  <w:tcW w:w="621" w:type="dxa"/>
                  <w:tcBorders>
                    <w:tl2br w:val="nil"/>
                    <w:tr2bl w:val="nil"/>
                  </w:tcBorders>
                  <w:shd w:val="clear" w:color="auto" w:fill="FFFFFF"/>
                  <w:vAlign w:val="center"/>
                </w:tcPr>
                <w:p w14:paraId="147EAE02">
                  <w:pPr>
                    <w:adjustRightInd w:val="0"/>
                    <w:snapToGrid w:val="0"/>
                    <w:jc w:val="center"/>
                    <w:rPr>
                      <w:rFonts w:hint="eastAsia" w:eastAsia="宋体"/>
                      <w:b w:val="0"/>
                      <w:color w:val="000000"/>
                      <w:sz w:val="21"/>
                      <w:szCs w:val="21"/>
                      <w:lang w:val="en-US" w:eastAsia="zh-CN"/>
                    </w:rPr>
                  </w:pPr>
                  <w:r>
                    <w:rPr>
                      <w:rFonts w:hint="eastAsia"/>
                      <w:b w:val="0"/>
                      <w:color w:val="000000"/>
                      <w:sz w:val="21"/>
                      <w:szCs w:val="21"/>
                      <w:lang w:val="en-US" w:eastAsia="zh-CN"/>
                    </w:rPr>
                    <w:t>依托</w:t>
                  </w:r>
                </w:p>
              </w:tc>
            </w:tr>
            <w:tr w14:paraId="4C81E9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1A42D2FD">
                  <w:pPr>
                    <w:adjustRightInd w:val="0"/>
                    <w:snapToGrid w:val="0"/>
                    <w:jc w:val="center"/>
                    <w:rPr>
                      <w:b w:val="0"/>
                      <w:color w:val="000000"/>
                    </w:rPr>
                  </w:pPr>
                </w:p>
              </w:tc>
              <w:tc>
                <w:tcPr>
                  <w:tcW w:w="572" w:type="dxa"/>
                  <w:vMerge w:val="continue"/>
                  <w:tcBorders>
                    <w:tl2br w:val="nil"/>
                    <w:tr2bl w:val="nil"/>
                  </w:tcBorders>
                  <w:shd w:val="clear" w:color="auto" w:fill="FFFFFF"/>
                  <w:vAlign w:val="center"/>
                </w:tcPr>
                <w:p w14:paraId="186D37DF">
                  <w:pPr>
                    <w:adjustRightInd w:val="0"/>
                    <w:snapToGrid w:val="0"/>
                    <w:jc w:val="center"/>
                    <w:rPr>
                      <w:rFonts w:ascii="Times New Roman" w:hAnsi="Times New Roman" w:eastAsia="宋体" w:cs="Times New Roman"/>
                      <w:b w:val="0"/>
                      <w:color w:val="000000"/>
                      <w:kern w:val="2"/>
                      <w:sz w:val="21"/>
                      <w:szCs w:val="21"/>
                      <w:lang w:val="en-US" w:eastAsia="zh-CN" w:bidi="ar-SA"/>
                    </w:rPr>
                  </w:pPr>
                </w:p>
              </w:tc>
              <w:tc>
                <w:tcPr>
                  <w:tcW w:w="614" w:type="dxa"/>
                  <w:tcBorders>
                    <w:tl2br w:val="nil"/>
                    <w:tr2bl w:val="nil"/>
                  </w:tcBorders>
                  <w:shd w:val="clear" w:color="auto" w:fill="FFFFFF"/>
                  <w:vAlign w:val="center"/>
                </w:tcPr>
                <w:p w14:paraId="1988EE68">
                  <w:pPr>
                    <w:adjustRightInd w:val="0"/>
                    <w:snapToGrid w:val="0"/>
                    <w:jc w:val="center"/>
                    <w:rPr>
                      <w:rFonts w:hint="default" w:ascii="Times New Roman" w:hAnsi="Times New Roman" w:eastAsia="宋体" w:cs="Times New Roman"/>
                      <w:b w:val="0"/>
                      <w:color w:val="000000"/>
                      <w:kern w:val="2"/>
                      <w:sz w:val="21"/>
                      <w:szCs w:val="21"/>
                      <w:lang w:val="en-US" w:eastAsia="zh-CN" w:bidi="ar-SA"/>
                    </w:rPr>
                  </w:pPr>
                  <w:r>
                    <w:rPr>
                      <w:rFonts w:hint="eastAsia" w:cs="Times New Roman"/>
                      <w:b w:val="0"/>
                      <w:color w:val="000000"/>
                      <w:kern w:val="2"/>
                      <w:sz w:val="21"/>
                      <w:szCs w:val="21"/>
                      <w:lang w:val="en-US" w:eastAsia="zh-CN" w:bidi="ar-SA"/>
                    </w:rPr>
                    <w:t>生产废水</w:t>
                  </w:r>
                </w:p>
              </w:tc>
              <w:tc>
                <w:tcPr>
                  <w:tcW w:w="5563" w:type="dxa"/>
                  <w:tcBorders>
                    <w:tl2br w:val="nil"/>
                    <w:tr2bl w:val="nil"/>
                  </w:tcBorders>
                  <w:shd w:val="clear" w:color="auto" w:fill="FFFFFF"/>
                  <w:vAlign w:val="center"/>
                </w:tcPr>
                <w:p w14:paraId="48B6ACB3">
                  <w:pPr>
                    <w:adjustRightInd w:val="0"/>
                    <w:snapToGrid w:val="0"/>
                    <w:jc w:val="both"/>
                    <w:rPr>
                      <w:b w:val="0"/>
                      <w:color w:val="000000"/>
                    </w:rPr>
                  </w:pPr>
                  <w:r>
                    <w:rPr>
                      <w:rFonts w:hint="eastAsia"/>
                      <w:b w:val="0"/>
                      <w:bCs/>
                      <w:color w:val="000000"/>
                      <w:szCs w:val="21"/>
                      <w:lang w:val="en-US" w:eastAsia="zh-CN"/>
                    </w:rPr>
                    <w:t>除尘废水循环使用不外排，循环水池（27m</w:t>
                  </w:r>
                  <w:r>
                    <w:rPr>
                      <w:rFonts w:hint="eastAsia"/>
                      <w:b w:val="0"/>
                      <w:bCs/>
                      <w:color w:val="000000"/>
                      <w:szCs w:val="21"/>
                      <w:vertAlign w:val="superscript"/>
                      <w:lang w:val="en-US" w:eastAsia="zh-CN"/>
                    </w:rPr>
                    <w:t>3</w:t>
                  </w:r>
                  <w:r>
                    <w:rPr>
                      <w:rFonts w:hint="eastAsia"/>
                      <w:b w:val="0"/>
                      <w:bCs/>
                      <w:color w:val="000000"/>
                      <w:szCs w:val="21"/>
                      <w:lang w:val="en-US" w:eastAsia="zh-CN"/>
                    </w:rPr>
                    <w:t>）定期清理</w:t>
                  </w:r>
                </w:p>
              </w:tc>
              <w:tc>
                <w:tcPr>
                  <w:tcW w:w="621" w:type="dxa"/>
                  <w:tcBorders>
                    <w:tl2br w:val="nil"/>
                    <w:tr2bl w:val="nil"/>
                  </w:tcBorders>
                  <w:shd w:val="clear" w:color="auto" w:fill="FFFFFF"/>
                  <w:vAlign w:val="center"/>
                </w:tcPr>
                <w:p w14:paraId="4030F132">
                  <w:pPr>
                    <w:adjustRightInd w:val="0"/>
                    <w:snapToGrid w:val="0"/>
                    <w:jc w:val="center"/>
                    <w:rPr>
                      <w:rFonts w:hint="default"/>
                      <w:b w:val="0"/>
                      <w:color w:val="000000"/>
                      <w:sz w:val="21"/>
                      <w:szCs w:val="21"/>
                      <w:lang w:val="en-US" w:eastAsia="zh-CN"/>
                    </w:rPr>
                  </w:pPr>
                  <w:r>
                    <w:rPr>
                      <w:rFonts w:hint="eastAsia"/>
                      <w:b w:val="0"/>
                      <w:color w:val="000000"/>
                      <w:sz w:val="21"/>
                      <w:szCs w:val="21"/>
                      <w:lang w:val="en-US" w:eastAsia="zh-CN"/>
                    </w:rPr>
                    <w:t>新建</w:t>
                  </w:r>
                </w:p>
              </w:tc>
            </w:tr>
            <w:tr w14:paraId="351B54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0E8554EC">
                  <w:pPr>
                    <w:jc w:val="center"/>
                    <w:rPr>
                      <w:b w:val="0"/>
                      <w:color w:val="000000"/>
                      <w:sz w:val="21"/>
                      <w:szCs w:val="21"/>
                    </w:rPr>
                  </w:pPr>
                </w:p>
              </w:tc>
              <w:tc>
                <w:tcPr>
                  <w:tcW w:w="1186" w:type="dxa"/>
                  <w:gridSpan w:val="2"/>
                  <w:tcBorders>
                    <w:tl2br w:val="nil"/>
                    <w:tr2bl w:val="nil"/>
                  </w:tcBorders>
                  <w:shd w:val="clear" w:color="auto" w:fill="FFFFFF"/>
                  <w:vAlign w:val="center"/>
                </w:tcPr>
                <w:p w14:paraId="592DEAEC">
                  <w:pPr>
                    <w:adjustRightInd w:val="0"/>
                    <w:snapToGrid w:val="0"/>
                    <w:jc w:val="center"/>
                    <w:rPr>
                      <w:b w:val="0"/>
                      <w:color w:val="000000"/>
                      <w:sz w:val="21"/>
                      <w:szCs w:val="21"/>
                    </w:rPr>
                  </w:pPr>
                  <w:r>
                    <w:rPr>
                      <w:b w:val="0"/>
                      <w:color w:val="000000"/>
                      <w:sz w:val="21"/>
                      <w:szCs w:val="21"/>
                    </w:rPr>
                    <w:t>噪声</w:t>
                  </w:r>
                </w:p>
              </w:tc>
              <w:tc>
                <w:tcPr>
                  <w:tcW w:w="5563" w:type="dxa"/>
                  <w:tcBorders>
                    <w:tl2br w:val="nil"/>
                    <w:tr2bl w:val="nil"/>
                  </w:tcBorders>
                  <w:shd w:val="clear" w:color="auto" w:fill="FFFFFF"/>
                  <w:vAlign w:val="center"/>
                </w:tcPr>
                <w:p w14:paraId="3ACC6C2B">
                  <w:pPr>
                    <w:adjustRightInd w:val="0"/>
                    <w:snapToGrid w:val="0"/>
                    <w:jc w:val="both"/>
                    <w:rPr>
                      <w:b w:val="0"/>
                      <w:color w:val="000000"/>
                      <w:sz w:val="21"/>
                      <w:szCs w:val="21"/>
                    </w:rPr>
                  </w:pPr>
                  <w:r>
                    <w:rPr>
                      <w:b w:val="0"/>
                      <w:color w:val="000000"/>
                      <w:sz w:val="21"/>
                      <w:szCs w:val="21"/>
                    </w:rPr>
                    <w:t>选择低</w:t>
                  </w:r>
                  <w:r>
                    <w:rPr>
                      <w:rFonts w:hint="eastAsia"/>
                      <w:b w:val="0"/>
                      <w:color w:val="000000"/>
                      <w:sz w:val="21"/>
                      <w:szCs w:val="21"/>
                      <w:lang w:eastAsia="zh-CN"/>
                    </w:rPr>
                    <w:t>噪声</w:t>
                  </w:r>
                  <w:r>
                    <w:rPr>
                      <w:b w:val="0"/>
                      <w:color w:val="000000"/>
                      <w:sz w:val="21"/>
                      <w:szCs w:val="21"/>
                    </w:rPr>
                    <w:t>设备</w:t>
                  </w:r>
                  <w:r>
                    <w:rPr>
                      <w:rFonts w:hint="eastAsia"/>
                      <w:b w:val="0"/>
                      <w:color w:val="000000"/>
                      <w:sz w:val="21"/>
                      <w:szCs w:val="21"/>
                      <w:lang w:eastAsia="zh-CN"/>
                    </w:rPr>
                    <w:t>，</w:t>
                  </w:r>
                  <w:r>
                    <w:rPr>
                      <w:rFonts w:hint="eastAsia"/>
                      <w:b w:val="0"/>
                      <w:color w:val="000000"/>
                      <w:sz w:val="21"/>
                      <w:szCs w:val="21"/>
                      <w:lang w:val="en-US" w:eastAsia="zh-CN"/>
                    </w:rPr>
                    <w:t>采取</w:t>
                  </w:r>
                  <w:r>
                    <w:rPr>
                      <w:b w:val="0"/>
                      <w:color w:val="000000"/>
                      <w:sz w:val="21"/>
                      <w:szCs w:val="21"/>
                    </w:rPr>
                    <w:t>基础减振</w:t>
                  </w:r>
                  <w:r>
                    <w:rPr>
                      <w:rFonts w:hint="eastAsia"/>
                      <w:b w:val="0"/>
                      <w:color w:val="000000"/>
                      <w:sz w:val="21"/>
                      <w:szCs w:val="21"/>
                      <w:lang w:eastAsia="zh-CN"/>
                    </w:rPr>
                    <w:t>、</w:t>
                  </w:r>
                  <w:r>
                    <w:rPr>
                      <w:b w:val="0"/>
                      <w:color w:val="000000"/>
                      <w:sz w:val="21"/>
                      <w:szCs w:val="21"/>
                    </w:rPr>
                    <w:t>厂房隔声等</w:t>
                  </w:r>
                  <w:r>
                    <w:rPr>
                      <w:rFonts w:hint="eastAsia"/>
                      <w:b w:val="0"/>
                      <w:color w:val="000000"/>
                      <w:sz w:val="21"/>
                      <w:szCs w:val="21"/>
                      <w:lang w:val="en-US" w:eastAsia="zh-CN"/>
                    </w:rPr>
                    <w:t>措施</w:t>
                  </w:r>
                </w:p>
              </w:tc>
              <w:tc>
                <w:tcPr>
                  <w:tcW w:w="621" w:type="dxa"/>
                  <w:tcBorders>
                    <w:tl2br w:val="nil"/>
                    <w:tr2bl w:val="nil"/>
                  </w:tcBorders>
                  <w:shd w:val="clear" w:color="auto" w:fill="FFFFFF"/>
                  <w:vAlign w:val="center"/>
                </w:tcPr>
                <w:p w14:paraId="224BBE23">
                  <w:pPr>
                    <w:tabs>
                      <w:tab w:val="left" w:pos="571"/>
                    </w:tabs>
                    <w:adjustRightInd w:val="0"/>
                    <w:snapToGrid w:val="0"/>
                    <w:jc w:val="center"/>
                    <w:rPr>
                      <w:b w:val="0"/>
                      <w:color w:val="000000"/>
                      <w:sz w:val="21"/>
                      <w:szCs w:val="21"/>
                    </w:rPr>
                  </w:pPr>
                  <w:r>
                    <w:rPr>
                      <w:rFonts w:hint="eastAsia"/>
                      <w:b w:val="0"/>
                      <w:color w:val="000000"/>
                      <w:sz w:val="21"/>
                      <w:szCs w:val="21"/>
                      <w:lang w:val="en-US" w:eastAsia="zh-CN"/>
                    </w:rPr>
                    <w:t>新建</w:t>
                  </w:r>
                </w:p>
              </w:tc>
            </w:tr>
            <w:tr w14:paraId="602166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55496D7B">
                  <w:pPr>
                    <w:jc w:val="center"/>
                    <w:rPr>
                      <w:b w:val="0"/>
                      <w:color w:val="000000"/>
                      <w:sz w:val="21"/>
                      <w:szCs w:val="21"/>
                    </w:rPr>
                  </w:pPr>
                </w:p>
              </w:tc>
              <w:tc>
                <w:tcPr>
                  <w:tcW w:w="572" w:type="dxa"/>
                  <w:vMerge w:val="restart"/>
                  <w:tcBorders>
                    <w:tl2br w:val="nil"/>
                    <w:tr2bl w:val="nil"/>
                  </w:tcBorders>
                  <w:shd w:val="clear" w:color="auto" w:fill="FFFFFF"/>
                  <w:vAlign w:val="center"/>
                </w:tcPr>
                <w:p w14:paraId="20808CDA">
                  <w:pPr>
                    <w:jc w:val="center"/>
                    <w:rPr>
                      <w:b w:val="0"/>
                      <w:color w:val="000000"/>
                      <w:sz w:val="21"/>
                      <w:szCs w:val="21"/>
                    </w:rPr>
                  </w:pPr>
                  <w:r>
                    <w:rPr>
                      <w:b w:val="0"/>
                      <w:color w:val="000000"/>
                      <w:sz w:val="21"/>
                      <w:szCs w:val="21"/>
                    </w:rPr>
                    <w:t>固体废物</w:t>
                  </w:r>
                </w:p>
              </w:tc>
              <w:tc>
                <w:tcPr>
                  <w:tcW w:w="614" w:type="dxa"/>
                  <w:tcBorders>
                    <w:tl2br w:val="nil"/>
                    <w:tr2bl w:val="nil"/>
                  </w:tcBorders>
                  <w:shd w:val="clear" w:color="auto" w:fill="FFFFFF"/>
                  <w:vAlign w:val="center"/>
                </w:tcPr>
                <w:p w14:paraId="79786030">
                  <w:pPr>
                    <w:jc w:val="center"/>
                    <w:rPr>
                      <w:b w:val="0"/>
                      <w:color w:val="000000"/>
                      <w:sz w:val="21"/>
                      <w:szCs w:val="21"/>
                    </w:rPr>
                  </w:pPr>
                  <w:r>
                    <w:rPr>
                      <w:b w:val="0"/>
                      <w:color w:val="000000"/>
                      <w:sz w:val="21"/>
                      <w:szCs w:val="21"/>
                    </w:rPr>
                    <w:t>生活垃圾</w:t>
                  </w:r>
                </w:p>
              </w:tc>
              <w:tc>
                <w:tcPr>
                  <w:tcW w:w="5563" w:type="dxa"/>
                  <w:tcBorders>
                    <w:tl2br w:val="nil"/>
                    <w:tr2bl w:val="nil"/>
                  </w:tcBorders>
                  <w:shd w:val="clear" w:color="auto" w:fill="FFFFFF"/>
                  <w:vAlign w:val="center"/>
                </w:tcPr>
                <w:p w14:paraId="5C87196E">
                  <w:pPr>
                    <w:jc w:val="both"/>
                    <w:rPr>
                      <w:rFonts w:hint="default"/>
                      <w:b w:val="0"/>
                      <w:color w:val="000000"/>
                      <w:sz w:val="21"/>
                      <w:szCs w:val="21"/>
                      <w:lang w:val="en-US"/>
                    </w:rPr>
                  </w:pPr>
                  <w:r>
                    <w:rPr>
                      <w:rFonts w:hint="default" w:ascii="Times New Roman" w:hAnsi="Times New Roman" w:cs="Times New Roman"/>
                      <w:b w:val="0"/>
                      <w:color w:val="000000"/>
                      <w:sz w:val="21"/>
                      <w:szCs w:val="21"/>
                      <w:highlight w:val="none"/>
                      <w:lang w:eastAsia="zh-CN"/>
                    </w:rPr>
                    <w:t>分类收集</w:t>
                  </w:r>
                  <w:r>
                    <w:rPr>
                      <w:rFonts w:hint="eastAsia" w:ascii="Times New Roman" w:hAnsi="Times New Roman" w:cs="Times New Roman"/>
                      <w:b w:val="0"/>
                      <w:color w:val="000000"/>
                      <w:sz w:val="21"/>
                      <w:szCs w:val="21"/>
                      <w:highlight w:val="none"/>
                      <w:lang w:eastAsia="zh-CN"/>
                    </w:rPr>
                    <w:t>，</w:t>
                  </w:r>
                  <w:r>
                    <w:rPr>
                      <w:rFonts w:hint="eastAsia" w:cs="Times New Roman"/>
                      <w:b w:val="0"/>
                      <w:color w:val="000000"/>
                      <w:sz w:val="21"/>
                      <w:szCs w:val="21"/>
                      <w:highlight w:val="none"/>
                      <w:lang w:val="en-US" w:eastAsia="zh-CN"/>
                    </w:rPr>
                    <w:t>交环卫部门进行处理</w:t>
                  </w:r>
                </w:p>
              </w:tc>
              <w:tc>
                <w:tcPr>
                  <w:tcW w:w="621" w:type="dxa"/>
                  <w:tcBorders>
                    <w:tl2br w:val="nil"/>
                    <w:tr2bl w:val="nil"/>
                  </w:tcBorders>
                  <w:shd w:val="clear" w:color="auto" w:fill="FFFFFF"/>
                  <w:vAlign w:val="center"/>
                </w:tcPr>
                <w:p w14:paraId="4AB7A91C">
                  <w:pPr>
                    <w:adjustRightInd w:val="0"/>
                    <w:snapToGrid w:val="0"/>
                    <w:jc w:val="center"/>
                    <w:rPr>
                      <w:b w:val="0"/>
                      <w:color w:val="000000"/>
                      <w:sz w:val="21"/>
                      <w:szCs w:val="21"/>
                    </w:rPr>
                  </w:pPr>
                  <w:r>
                    <w:rPr>
                      <w:rFonts w:hint="eastAsia"/>
                      <w:b w:val="0"/>
                      <w:color w:val="000000"/>
                      <w:sz w:val="21"/>
                      <w:szCs w:val="21"/>
                      <w:lang w:val="en-US" w:eastAsia="zh-CN"/>
                    </w:rPr>
                    <w:t>新建</w:t>
                  </w:r>
                </w:p>
              </w:tc>
            </w:tr>
            <w:tr w14:paraId="109F3C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1074" w:type="dxa"/>
                  <w:vMerge w:val="continue"/>
                  <w:tcBorders>
                    <w:tl2br w:val="nil"/>
                    <w:tr2bl w:val="nil"/>
                  </w:tcBorders>
                  <w:shd w:val="clear" w:color="auto" w:fill="FFFFFF"/>
                  <w:vAlign w:val="center"/>
                </w:tcPr>
                <w:p w14:paraId="62BC4FF5">
                  <w:pPr>
                    <w:jc w:val="center"/>
                    <w:rPr>
                      <w:b w:val="0"/>
                      <w:color w:val="000000"/>
                      <w:sz w:val="21"/>
                      <w:szCs w:val="21"/>
                    </w:rPr>
                  </w:pPr>
                </w:p>
              </w:tc>
              <w:tc>
                <w:tcPr>
                  <w:tcW w:w="572" w:type="dxa"/>
                  <w:vMerge w:val="continue"/>
                  <w:tcBorders>
                    <w:tl2br w:val="nil"/>
                    <w:tr2bl w:val="nil"/>
                  </w:tcBorders>
                  <w:shd w:val="clear" w:color="auto" w:fill="FFFFFF"/>
                  <w:vAlign w:val="center"/>
                </w:tcPr>
                <w:p w14:paraId="6781A80C">
                  <w:pPr>
                    <w:jc w:val="center"/>
                    <w:rPr>
                      <w:b w:val="0"/>
                      <w:color w:val="000000"/>
                      <w:sz w:val="21"/>
                      <w:szCs w:val="21"/>
                    </w:rPr>
                  </w:pPr>
                </w:p>
              </w:tc>
              <w:tc>
                <w:tcPr>
                  <w:tcW w:w="614" w:type="dxa"/>
                  <w:tcBorders>
                    <w:tl2br w:val="nil"/>
                    <w:tr2bl w:val="nil"/>
                  </w:tcBorders>
                  <w:shd w:val="clear" w:color="auto" w:fill="FFFFFF"/>
                  <w:vAlign w:val="center"/>
                </w:tcPr>
                <w:p w14:paraId="544AF71B">
                  <w:pPr>
                    <w:jc w:val="center"/>
                    <w:rPr>
                      <w:rFonts w:hint="eastAsia" w:eastAsia="宋体"/>
                      <w:b w:val="0"/>
                      <w:color w:val="000000"/>
                      <w:sz w:val="21"/>
                      <w:szCs w:val="21"/>
                      <w:lang w:val="en-US" w:eastAsia="zh-CN"/>
                    </w:rPr>
                  </w:pPr>
                  <w:r>
                    <w:rPr>
                      <w:b w:val="0"/>
                      <w:color w:val="000000"/>
                      <w:sz w:val="21"/>
                      <w:szCs w:val="21"/>
                    </w:rPr>
                    <w:t>一般固废</w:t>
                  </w:r>
                </w:p>
              </w:tc>
              <w:tc>
                <w:tcPr>
                  <w:tcW w:w="5563" w:type="dxa"/>
                  <w:tcBorders>
                    <w:tl2br w:val="nil"/>
                    <w:tr2bl w:val="nil"/>
                  </w:tcBorders>
                  <w:shd w:val="clear" w:color="auto" w:fill="FFFFFF"/>
                  <w:vAlign w:val="center"/>
                </w:tcPr>
                <w:p w14:paraId="5145EBD0">
                  <w:pPr>
                    <w:jc w:val="both"/>
                    <w:rPr>
                      <w:rFonts w:hint="default" w:eastAsia="宋体"/>
                      <w:b w:val="0"/>
                      <w:color w:val="000000"/>
                      <w:sz w:val="21"/>
                      <w:szCs w:val="21"/>
                      <w:lang w:val="en-US" w:eastAsia="zh-CN"/>
                    </w:rPr>
                  </w:pPr>
                  <w:r>
                    <w:rPr>
                      <w:rFonts w:hint="eastAsia"/>
                      <w:b w:val="0"/>
                      <w:color w:val="000000"/>
                      <w:sz w:val="21"/>
                      <w:szCs w:val="21"/>
                      <w:lang w:val="en-US" w:eastAsia="zh-CN"/>
                    </w:rPr>
                    <w:t>废砂轮、废陶瓷壳、除尘灰、废沉渣、废布袋等</w:t>
                  </w:r>
                  <w:r>
                    <w:rPr>
                      <w:b w:val="0"/>
                      <w:color w:val="000000"/>
                      <w:sz w:val="21"/>
                      <w:szCs w:val="21"/>
                    </w:rPr>
                    <w:t>暂存于</w:t>
                  </w:r>
                  <w:r>
                    <w:rPr>
                      <w:rFonts w:hint="eastAsia"/>
                      <w:b w:val="0"/>
                      <w:color w:val="000000"/>
                      <w:sz w:val="21"/>
                      <w:szCs w:val="21"/>
                      <w:lang w:val="en-US" w:eastAsia="zh-CN"/>
                    </w:rPr>
                    <w:t>一般固废暂存区</w:t>
                  </w:r>
                  <w:r>
                    <w:rPr>
                      <w:rFonts w:hint="eastAsia"/>
                      <w:b w:val="0"/>
                      <w:color w:val="000000"/>
                      <w:szCs w:val="21"/>
                      <w:lang w:val="en-US" w:eastAsia="zh-CN"/>
                    </w:rPr>
                    <w:t>（车间西侧中部，面积</w:t>
                  </w:r>
                  <w:r>
                    <w:rPr>
                      <w:rFonts w:hint="eastAsia"/>
                      <w:b w:val="0"/>
                      <w:color w:val="000000"/>
                      <w:szCs w:val="21"/>
                      <w:highlight w:val="none"/>
                      <w:lang w:val="en-US" w:eastAsia="zh-CN"/>
                    </w:rPr>
                    <w:t>50</w:t>
                  </w:r>
                  <w:r>
                    <w:rPr>
                      <w:rFonts w:hint="eastAsia"/>
                      <w:b w:val="0"/>
                      <w:color w:val="000000"/>
                      <w:szCs w:val="21"/>
                      <w:lang w:val="en-US" w:eastAsia="zh-CN"/>
                    </w:rPr>
                    <w:t>m</w:t>
                  </w:r>
                  <w:r>
                    <w:rPr>
                      <w:rFonts w:hint="eastAsia"/>
                      <w:b w:val="0"/>
                      <w:color w:val="000000"/>
                      <w:szCs w:val="21"/>
                      <w:vertAlign w:val="superscript"/>
                      <w:lang w:val="en-US" w:eastAsia="zh-CN"/>
                    </w:rPr>
                    <w:t>2</w:t>
                  </w:r>
                  <w:r>
                    <w:rPr>
                      <w:rFonts w:hint="eastAsia"/>
                      <w:b w:val="0"/>
                      <w:color w:val="000000"/>
                      <w:szCs w:val="21"/>
                      <w:lang w:val="en-US" w:eastAsia="zh-CN"/>
                    </w:rPr>
                    <w:t>）</w:t>
                  </w:r>
                  <w:r>
                    <w:rPr>
                      <w:b w:val="0"/>
                      <w:color w:val="000000"/>
                      <w:szCs w:val="21"/>
                    </w:rPr>
                    <w:t>，外售</w:t>
                  </w:r>
                  <w:r>
                    <w:rPr>
                      <w:rFonts w:hint="eastAsia"/>
                      <w:b w:val="0"/>
                      <w:color w:val="000000"/>
                      <w:szCs w:val="21"/>
                      <w:lang w:eastAsia="zh-CN"/>
                    </w:rPr>
                    <w:t>给回收单位</w:t>
                  </w:r>
                  <w:r>
                    <w:rPr>
                      <w:b w:val="0"/>
                      <w:color w:val="000000"/>
                      <w:szCs w:val="21"/>
                    </w:rPr>
                    <w:t>处置</w:t>
                  </w:r>
                  <w:r>
                    <w:rPr>
                      <w:rFonts w:hint="eastAsia"/>
                      <w:b w:val="0"/>
                      <w:color w:val="000000"/>
                      <w:szCs w:val="21"/>
                      <w:lang w:eastAsia="zh-CN"/>
                    </w:rPr>
                    <w:t>；</w:t>
                  </w:r>
                  <w:r>
                    <w:rPr>
                      <w:rFonts w:hint="eastAsia"/>
                      <w:b w:val="0"/>
                      <w:color w:val="000000"/>
                      <w:szCs w:val="21"/>
                      <w:lang w:val="en-US" w:eastAsia="zh-CN"/>
                    </w:rPr>
                    <w:t>废油类、废油桶、含油手套抹布暂存于危废贮存库，定期交有资质单位进行处置。</w:t>
                  </w:r>
                </w:p>
              </w:tc>
              <w:tc>
                <w:tcPr>
                  <w:tcW w:w="621" w:type="dxa"/>
                  <w:tcBorders>
                    <w:tl2br w:val="nil"/>
                    <w:tr2bl w:val="nil"/>
                  </w:tcBorders>
                  <w:shd w:val="clear" w:color="auto" w:fill="FFFFFF"/>
                  <w:vAlign w:val="center"/>
                </w:tcPr>
                <w:p w14:paraId="47E8C692">
                  <w:pPr>
                    <w:adjustRightInd w:val="0"/>
                    <w:snapToGrid w:val="0"/>
                    <w:jc w:val="center"/>
                    <w:rPr>
                      <w:b w:val="0"/>
                      <w:color w:val="000000"/>
                      <w:sz w:val="21"/>
                      <w:szCs w:val="21"/>
                    </w:rPr>
                  </w:pPr>
                  <w:r>
                    <w:rPr>
                      <w:rFonts w:hint="eastAsia"/>
                      <w:b w:val="0"/>
                      <w:color w:val="000000"/>
                      <w:sz w:val="21"/>
                      <w:szCs w:val="21"/>
                      <w:lang w:val="en-US" w:eastAsia="zh-CN"/>
                    </w:rPr>
                    <w:t>新建</w:t>
                  </w:r>
                </w:p>
              </w:tc>
            </w:tr>
          </w:tbl>
          <w:p w14:paraId="09355374">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leftChars="0"/>
              <w:textAlignment w:val="auto"/>
              <w:rPr>
                <w:rFonts w:hint="default" w:ascii="Times New Roman" w:hAnsi="Times New Roman" w:eastAsia="宋体" w:cs="Times New Roman"/>
                <w:b/>
                <w:color w:val="auto"/>
                <w:kern w:val="0"/>
                <w:sz w:val="24"/>
                <w:szCs w:val="20"/>
                <w:lang w:val="en-US" w:eastAsia="zh-CN"/>
              </w:rPr>
            </w:pPr>
            <w:r>
              <w:rPr>
                <w:rFonts w:hint="eastAsia" w:ascii="Times New Roman" w:hAnsi="Times New Roman" w:eastAsia="宋体" w:cs="Times New Roman"/>
                <w:b/>
                <w:color w:val="auto"/>
                <w:kern w:val="0"/>
                <w:sz w:val="24"/>
                <w:szCs w:val="20"/>
                <w:lang w:val="en-US" w:eastAsia="zh-CN"/>
              </w:rPr>
              <w:t>4、项目产能</w:t>
            </w:r>
          </w:p>
          <w:p w14:paraId="3539179A">
            <w:pPr>
              <w:spacing w:line="360" w:lineRule="auto"/>
              <w:ind w:firstLine="480" w:firstLineChars="200"/>
              <w:rPr>
                <w:color w:val="auto"/>
                <w:kern w:val="0"/>
                <w:sz w:val="24"/>
                <w:szCs w:val="20"/>
              </w:rPr>
            </w:pPr>
            <w:r>
              <w:rPr>
                <w:rFonts w:hint="eastAsia"/>
                <w:color w:val="auto"/>
                <w:kern w:val="0"/>
                <w:sz w:val="24"/>
                <w:szCs w:val="20"/>
                <w:lang w:val="en-US" w:eastAsia="zh-CN"/>
              </w:rPr>
              <w:t>本项目产品方案</w:t>
            </w:r>
            <w:r>
              <w:rPr>
                <w:color w:val="auto"/>
                <w:kern w:val="0"/>
                <w:sz w:val="24"/>
                <w:szCs w:val="20"/>
              </w:rPr>
              <w:t>见表</w:t>
            </w:r>
            <w:r>
              <w:rPr>
                <w:rFonts w:hint="eastAsia"/>
                <w:color w:val="auto"/>
                <w:kern w:val="0"/>
                <w:sz w:val="24"/>
                <w:szCs w:val="20"/>
              </w:rPr>
              <w:t>2-2</w:t>
            </w:r>
            <w:r>
              <w:rPr>
                <w:color w:val="auto"/>
                <w:kern w:val="0"/>
                <w:sz w:val="24"/>
                <w:szCs w:val="20"/>
              </w:rPr>
              <w:t>。</w:t>
            </w:r>
          </w:p>
          <w:p w14:paraId="5688B2C8">
            <w:pPr>
              <w:autoSpaceDE w:val="0"/>
              <w:autoSpaceDN w:val="0"/>
              <w:jc w:val="center"/>
              <w:rPr>
                <w:rFonts w:hint="default" w:eastAsia="宋体"/>
                <w:b/>
                <w:color w:val="auto"/>
                <w:szCs w:val="21"/>
                <w:lang w:val="en-US" w:eastAsia="zh-CN"/>
              </w:rPr>
            </w:pPr>
            <w:r>
              <w:rPr>
                <w:b/>
                <w:color w:val="auto"/>
                <w:szCs w:val="21"/>
              </w:rPr>
              <w:t>表</w:t>
            </w:r>
            <w:r>
              <w:rPr>
                <w:rFonts w:hint="eastAsia"/>
                <w:b/>
                <w:color w:val="auto"/>
                <w:szCs w:val="21"/>
              </w:rPr>
              <w:t xml:space="preserve">2-2   </w:t>
            </w:r>
            <w:r>
              <w:rPr>
                <w:rFonts w:hint="eastAsia"/>
                <w:b/>
                <w:color w:val="auto"/>
                <w:szCs w:val="21"/>
                <w:lang w:val="en-US" w:eastAsia="zh-CN"/>
              </w:rPr>
              <w:t>产品方案一览表</w:t>
            </w:r>
          </w:p>
          <w:tbl>
            <w:tblPr>
              <w:tblStyle w:val="24"/>
              <w:tblW w:w="4998" w:type="pct"/>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04"/>
              <w:gridCol w:w="1747"/>
              <w:gridCol w:w="667"/>
              <w:gridCol w:w="1130"/>
              <w:gridCol w:w="4020"/>
            </w:tblGrid>
            <w:tr w14:paraId="50A9C4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80" w:type="pct"/>
                  <w:tcBorders>
                    <w:tl2br w:val="nil"/>
                    <w:tr2bl w:val="nil"/>
                  </w:tcBorders>
                  <w:shd w:val="clear" w:color="auto" w:fill="FFFFFF"/>
                  <w:vAlign w:val="center"/>
                </w:tcPr>
                <w:p w14:paraId="31909EC6">
                  <w:pPr>
                    <w:snapToGrid w:val="0"/>
                    <w:jc w:val="center"/>
                    <w:rPr>
                      <w:rFonts w:hint="eastAsia" w:eastAsia="宋体"/>
                      <w:b w:val="0"/>
                      <w:color w:val="000000"/>
                      <w:kern w:val="0"/>
                      <w:sz w:val="21"/>
                      <w:szCs w:val="21"/>
                      <w:lang w:val="en-US" w:eastAsia="zh-CN"/>
                    </w:rPr>
                  </w:pPr>
                  <w:r>
                    <w:rPr>
                      <w:rFonts w:hint="eastAsia"/>
                      <w:b w:val="0"/>
                      <w:color w:val="000000"/>
                      <w:kern w:val="0"/>
                      <w:sz w:val="21"/>
                      <w:szCs w:val="21"/>
                      <w:lang w:val="en-US" w:eastAsia="zh-CN"/>
                    </w:rPr>
                    <w:t>序号</w:t>
                  </w:r>
                </w:p>
              </w:tc>
              <w:tc>
                <w:tcPr>
                  <w:tcW w:w="1043" w:type="pct"/>
                  <w:tcBorders>
                    <w:tl2br w:val="nil"/>
                    <w:tr2bl w:val="nil"/>
                  </w:tcBorders>
                  <w:shd w:val="clear" w:color="auto" w:fill="FFFFFF"/>
                  <w:vAlign w:val="center"/>
                </w:tcPr>
                <w:p w14:paraId="40B5B37E">
                  <w:pPr>
                    <w:snapToGrid w:val="0"/>
                    <w:jc w:val="center"/>
                    <w:rPr>
                      <w:b w:val="0"/>
                      <w:color w:val="000000"/>
                      <w:kern w:val="0"/>
                      <w:sz w:val="21"/>
                      <w:szCs w:val="21"/>
                    </w:rPr>
                  </w:pPr>
                  <w:r>
                    <w:rPr>
                      <w:b w:val="0"/>
                      <w:color w:val="000000"/>
                      <w:kern w:val="0"/>
                      <w:sz w:val="21"/>
                      <w:szCs w:val="21"/>
                    </w:rPr>
                    <w:t>产品名称</w:t>
                  </w:r>
                </w:p>
              </w:tc>
              <w:tc>
                <w:tcPr>
                  <w:tcW w:w="398" w:type="pct"/>
                  <w:tcBorders>
                    <w:tl2br w:val="nil"/>
                    <w:tr2bl w:val="nil"/>
                  </w:tcBorders>
                  <w:shd w:val="clear" w:color="auto" w:fill="FFFFFF"/>
                  <w:vAlign w:val="center"/>
                </w:tcPr>
                <w:p w14:paraId="354EC56D">
                  <w:pPr>
                    <w:snapToGrid w:val="0"/>
                    <w:jc w:val="center"/>
                    <w:rPr>
                      <w:b w:val="0"/>
                      <w:color w:val="000000"/>
                      <w:kern w:val="0"/>
                      <w:sz w:val="21"/>
                      <w:szCs w:val="21"/>
                    </w:rPr>
                  </w:pPr>
                  <w:r>
                    <w:rPr>
                      <w:b w:val="0"/>
                      <w:color w:val="000000"/>
                      <w:kern w:val="0"/>
                      <w:sz w:val="21"/>
                      <w:szCs w:val="21"/>
                    </w:rPr>
                    <w:t>单位</w:t>
                  </w:r>
                </w:p>
              </w:tc>
              <w:tc>
                <w:tcPr>
                  <w:tcW w:w="675" w:type="pct"/>
                  <w:tcBorders>
                    <w:tl2br w:val="nil"/>
                    <w:tr2bl w:val="nil"/>
                  </w:tcBorders>
                  <w:shd w:val="clear" w:color="auto" w:fill="FFFFFF"/>
                  <w:vAlign w:val="center"/>
                </w:tcPr>
                <w:p w14:paraId="1588B106">
                  <w:pPr>
                    <w:snapToGrid w:val="0"/>
                    <w:jc w:val="center"/>
                    <w:rPr>
                      <w:rFonts w:hint="default" w:eastAsia="宋体"/>
                      <w:b w:val="0"/>
                      <w:color w:val="000000"/>
                      <w:kern w:val="0"/>
                      <w:sz w:val="21"/>
                      <w:szCs w:val="21"/>
                      <w:lang w:val="en-US" w:eastAsia="zh-CN"/>
                    </w:rPr>
                  </w:pPr>
                  <w:r>
                    <w:rPr>
                      <w:rFonts w:hint="eastAsia"/>
                      <w:b w:val="0"/>
                      <w:color w:val="000000"/>
                      <w:kern w:val="0"/>
                      <w:sz w:val="21"/>
                      <w:szCs w:val="21"/>
                      <w:lang w:val="en-US" w:eastAsia="zh-CN"/>
                    </w:rPr>
                    <w:t>年产量</w:t>
                  </w:r>
                </w:p>
              </w:tc>
              <w:tc>
                <w:tcPr>
                  <w:tcW w:w="2402" w:type="pct"/>
                  <w:tcBorders>
                    <w:tl2br w:val="nil"/>
                    <w:tr2bl w:val="nil"/>
                  </w:tcBorders>
                  <w:shd w:val="clear" w:color="auto" w:fill="FFFFFF"/>
                  <w:vAlign w:val="center"/>
                </w:tcPr>
                <w:p w14:paraId="01714608">
                  <w:pPr>
                    <w:snapToGrid w:val="0"/>
                    <w:jc w:val="center"/>
                    <w:rPr>
                      <w:rFonts w:hint="default"/>
                      <w:b w:val="0"/>
                      <w:color w:val="000000"/>
                      <w:kern w:val="0"/>
                      <w:sz w:val="21"/>
                      <w:szCs w:val="21"/>
                      <w:lang w:val="en-US" w:eastAsia="zh-CN"/>
                    </w:rPr>
                  </w:pPr>
                  <w:r>
                    <w:rPr>
                      <w:rFonts w:hint="eastAsia"/>
                      <w:b w:val="0"/>
                      <w:color w:val="000000"/>
                      <w:kern w:val="0"/>
                      <w:sz w:val="21"/>
                      <w:szCs w:val="21"/>
                      <w:lang w:val="en-US" w:eastAsia="zh-CN"/>
                    </w:rPr>
                    <w:t>规格</w:t>
                  </w:r>
                </w:p>
              </w:tc>
            </w:tr>
            <w:tr w14:paraId="2FB566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80" w:type="pct"/>
                  <w:tcBorders>
                    <w:tl2br w:val="nil"/>
                    <w:tr2bl w:val="nil"/>
                  </w:tcBorders>
                  <w:shd w:val="clear" w:color="auto" w:fill="FFFFFF"/>
                  <w:vAlign w:val="center"/>
                </w:tcPr>
                <w:p w14:paraId="2EB0328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color w:val="000000"/>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1</w:t>
                  </w:r>
                </w:p>
              </w:tc>
              <w:tc>
                <w:tcPr>
                  <w:tcW w:w="1043" w:type="pct"/>
                  <w:tcBorders>
                    <w:tl2br w:val="nil"/>
                    <w:tr2bl w:val="nil"/>
                  </w:tcBorders>
                  <w:shd w:val="clear" w:color="auto" w:fill="FFFFFF"/>
                  <w:vAlign w:val="center"/>
                </w:tcPr>
                <w:p w14:paraId="5BF3DBE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color w:val="000000"/>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钛及钛合金板坯</w:t>
                  </w:r>
                </w:p>
              </w:tc>
              <w:tc>
                <w:tcPr>
                  <w:tcW w:w="398" w:type="pct"/>
                  <w:tcBorders>
                    <w:tl2br w:val="nil"/>
                    <w:tr2bl w:val="nil"/>
                  </w:tcBorders>
                  <w:shd w:val="clear" w:color="auto" w:fill="FFFFFF"/>
                  <w:vAlign w:val="center"/>
                </w:tcPr>
                <w:p w14:paraId="64EF19FC">
                  <w:pPr>
                    <w:keepNext w:val="0"/>
                    <w:keepLines w:val="0"/>
                    <w:pageBreakBefore w:val="0"/>
                    <w:kinsoku/>
                    <w:wordWrap/>
                    <w:overflowPunct/>
                    <w:topLinePunct w:val="0"/>
                    <w:bidi w:val="0"/>
                    <w:spacing w:line="240" w:lineRule="auto"/>
                    <w:ind w:firstLine="0" w:firstLineChars="0"/>
                    <w:jc w:val="center"/>
                    <w:rPr>
                      <w:b w:val="0"/>
                      <w:color w:val="000000"/>
                      <w:kern w:val="0"/>
                      <w:sz w:val="21"/>
                      <w:szCs w:val="21"/>
                    </w:rPr>
                  </w:pPr>
                  <w:r>
                    <w:rPr>
                      <w:rFonts w:hint="eastAsia" w:cs="Times New Roman"/>
                      <w:b w:val="0"/>
                      <w:bCs w:val="0"/>
                      <w:color w:val="000000"/>
                      <w:kern w:val="24"/>
                      <w:sz w:val="21"/>
                      <w:szCs w:val="21"/>
                      <w:lang w:val="en-US" w:eastAsia="zh-CN"/>
                    </w:rPr>
                    <w:t>t</w:t>
                  </w:r>
                  <w:r>
                    <w:rPr>
                      <w:rFonts w:hint="eastAsia" w:ascii="Times New Roman" w:hAnsi="Times New Roman" w:eastAsia="宋体" w:cs="Times New Roman"/>
                      <w:b w:val="0"/>
                      <w:bCs w:val="0"/>
                      <w:color w:val="000000"/>
                      <w:kern w:val="24"/>
                      <w:sz w:val="21"/>
                      <w:szCs w:val="21"/>
                      <w:lang w:val="en-US" w:eastAsia="zh-CN"/>
                    </w:rPr>
                    <w:t>/a</w:t>
                  </w:r>
                </w:p>
              </w:tc>
              <w:tc>
                <w:tcPr>
                  <w:tcW w:w="675" w:type="pct"/>
                  <w:tcBorders>
                    <w:tl2br w:val="nil"/>
                    <w:tr2bl w:val="nil"/>
                  </w:tcBorders>
                  <w:shd w:val="clear" w:color="auto" w:fill="FFFFFF"/>
                  <w:vAlign w:val="center"/>
                </w:tcPr>
                <w:p w14:paraId="09798DF3">
                  <w:pPr>
                    <w:keepNext w:val="0"/>
                    <w:keepLines w:val="0"/>
                    <w:pageBreakBefore w:val="0"/>
                    <w:kinsoku/>
                    <w:wordWrap/>
                    <w:overflowPunct/>
                    <w:topLinePunct w:val="0"/>
                    <w:bidi w:val="0"/>
                    <w:spacing w:line="240" w:lineRule="auto"/>
                    <w:ind w:firstLine="0" w:firstLineChars="0"/>
                    <w:jc w:val="center"/>
                    <w:rPr>
                      <w:rFonts w:hint="default" w:eastAsia="宋体"/>
                      <w:b w:val="0"/>
                      <w:color w:val="000000"/>
                      <w:kern w:val="0"/>
                      <w:sz w:val="21"/>
                      <w:szCs w:val="21"/>
                      <w:lang w:val="en-US" w:eastAsia="zh-CN"/>
                    </w:rPr>
                  </w:pPr>
                  <w:r>
                    <w:rPr>
                      <w:rFonts w:hint="eastAsia"/>
                      <w:b w:val="0"/>
                      <w:color w:val="000000"/>
                      <w:kern w:val="0"/>
                      <w:sz w:val="21"/>
                      <w:szCs w:val="21"/>
                      <w:lang w:val="en-US" w:eastAsia="zh-CN"/>
                    </w:rPr>
                    <w:t>2200</w:t>
                  </w:r>
                </w:p>
              </w:tc>
              <w:tc>
                <w:tcPr>
                  <w:tcW w:w="2402" w:type="pct"/>
                  <w:tcBorders>
                    <w:tl2br w:val="nil"/>
                    <w:tr2bl w:val="nil"/>
                  </w:tcBorders>
                  <w:shd w:val="clear" w:color="auto" w:fill="FFFFFF"/>
                  <w:vAlign w:val="center"/>
                </w:tcPr>
                <w:p w14:paraId="06ACD7A9">
                  <w:pPr>
                    <w:keepNext w:val="0"/>
                    <w:keepLines w:val="0"/>
                    <w:pageBreakBefore w:val="0"/>
                    <w:kinsoku/>
                    <w:wordWrap/>
                    <w:overflowPunct/>
                    <w:topLinePunct w:val="0"/>
                    <w:bidi w:val="0"/>
                    <w:spacing w:line="240" w:lineRule="auto"/>
                    <w:ind w:firstLine="0" w:firstLineChars="0"/>
                    <w:jc w:val="center"/>
                    <w:rPr>
                      <w:rFonts w:hint="default"/>
                      <w:b w:val="0"/>
                      <w:color w:val="000000"/>
                      <w:kern w:val="0"/>
                      <w:sz w:val="21"/>
                      <w:szCs w:val="21"/>
                      <w:lang w:val="en-US"/>
                    </w:rPr>
                  </w:pPr>
                  <w:r>
                    <w:rPr>
                      <w:rFonts w:hint="eastAsia" w:ascii="Times New Roman" w:hAnsi="Times New Roman" w:eastAsia="宋体" w:cs="Times New Roman"/>
                      <w:b w:val="0"/>
                      <w:bCs w:val="0"/>
                      <w:color w:val="000000"/>
                      <w:kern w:val="24"/>
                      <w:sz w:val="21"/>
                      <w:szCs w:val="21"/>
                      <w:lang w:val="en-US" w:eastAsia="zh-CN"/>
                    </w:rPr>
                    <w:t>尺寸（长×宽）：5.5</w:t>
                  </w:r>
                  <w:r>
                    <w:rPr>
                      <w:rFonts w:hint="eastAsia" w:cs="Times New Roman"/>
                      <w:b w:val="0"/>
                      <w:bCs w:val="0"/>
                      <w:color w:val="000000"/>
                      <w:kern w:val="24"/>
                      <w:sz w:val="21"/>
                      <w:szCs w:val="21"/>
                      <w:lang w:val="en-US" w:eastAsia="zh-CN"/>
                    </w:rPr>
                    <w:t>～</w:t>
                  </w:r>
                  <w:r>
                    <w:rPr>
                      <w:rFonts w:hint="eastAsia" w:ascii="Times New Roman" w:hAnsi="Times New Roman" w:eastAsia="宋体" w:cs="Times New Roman"/>
                      <w:b w:val="0"/>
                      <w:bCs w:val="0"/>
                      <w:color w:val="000000"/>
                      <w:kern w:val="24"/>
                      <w:sz w:val="21"/>
                      <w:szCs w:val="21"/>
                      <w:lang w:val="en-US" w:eastAsia="zh-CN"/>
                    </w:rPr>
                    <w:t>6.5</w:t>
                  </w:r>
                  <w:r>
                    <w:rPr>
                      <w:rFonts w:hint="eastAsia" w:cs="Times New Roman"/>
                      <w:b w:val="0"/>
                      <w:bCs w:val="0"/>
                      <w:color w:val="000000"/>
                      <w:kern w:val="24"/>
                      <w:sz w:val="21"/>
                      <w:szCs w:val="21"/>
                      <w:lang w:val="en-US" w:eastAsia="zh-CN"/>
                    </w:rPr>
                    <w:t>m</w:t>
                  </w:r>
                  <w:r>
                    <w:rPr>
                      <w:rFonts w:hint="eastAsia" w:ascii="Times New Roman" w:hAnsi="Times New Roman" w:eastAsia="宋体" w:cs="Times New Roman"/>
                      <w:b w:val="0"/>
                      <w:bCs w:val="0"/>
                      <w:color w:val="000000"/>
                      <w:kern w:val="24"/>
                      <w:sz w:val="21"/>
                      <w:szCs w:val="21"/>
                      <w:lang w:val="en-US" w:eastAsia="zh-CN"/>
                    </w:rPr>
                    <w:t>×1.2</w:t>
                  </w:r>
                  <w:r>
                    <w:rPr>
                      <w:rFonts w:hint="eastAsia" w:cs="Times New Roman"/>
                      <w:b w:val="0"/>
                      <w:bCs w:val="0"/>
                      <w:color w:val="000000"/>
                      <w:kern w:val="24"/>
                      <w:sz w:val="21"/>
                      <w:szCs w:val="21"/>
                      <w:lang w:val="en-US" w:eastAsia="zh-CN"/>
                    </w:rPr>
                    <w:t>m</w:t>
                  </w:r>
                </w:p>
              </w:tc>
            </w:tr>
            <w:tr w14:paraId="0E2A30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80" w:type="pct"/>
                  <w:tcBorders>
                    <w:tl2br w:val="nil"/>
                    <w:tr2bl w:val="nil"/>
                  </w:tcBorders>
                  <w:shd w:val="clear" w:color="auto" w:fill="FFFFFF"/>
                  <w:vAlign w:val="center"/>
                </w:tcPr>
                <w:p w14:paraId="72C28B8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color w:val="000000"/>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2</w:t>
                  </w:r>
                </w:p>
              </w:tc>
              <w:tc>
                <w:tcPr>
                  <w:tcW w:w="1043" w:type="pct"/>
                  <w:tcBorders>
                    <w:tl2br w:val="nil"/>
                    <w:tr2bl w:val="nil"/>
                  </w:tcBorders>
                  <w:shd w:val="clear" w:color="auto" w:fill="FFFFFF"/>
                  <w:vAlign w:val="center"/>
                </w:tcPr>
                <w:p w14:paraId="224F4DF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color w:val="000000"/>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钛棒</w:t>
                  </w:r>
                </w:p>
              </w:tc>
              <w:tc>
                <w:tcPr>
                  <w:tcW w:w="398" w:type="pct"/>
                  <w:tcBorders>
                    <w:tl2br w:val="nil"/>
                    <w:tr2bl w:val="nil"/>
                  </w:tcBorders>
                  <w:shd w:val="clear" w:color="auto" w:fill="FFFFFF"/>
                  <w:vAlign w:val="center"/>
                </w:tcPr>
                <w:p w14:paraId="4AE0033F">
                  <w:pPr>
                    <w:keepNext w:val="0"/>
                    <w:keepLines w:val="0"/>
                    <w:pageBreakBefore w:val="0"/>
                    <w:kinsoku/>
                    <w:wordWrap/>
                    <w:overflowPunct/>
                    <w:topLinePunct w:val="0"/>
                    <w:bidi w:val="0"/>
                    <w:spacing w:line="240" w:lineRule="auto"/>
                    <w:ind w:firstLine="0" w:firstLineChars="0"/>
                    <w:jc w:val="center"/>
                    <w:rPr>
                      <w:rFonts w:hint="eastAsia" w:cs="Times New Roman"/>
                      <w:b w:val="0"/>
                      <w:color w:val="000000"/>
                      <w:sz w:val="21"/>
                      <w:szCs w:val="21"/>
                      <w:lang w:val="en-US" w:eastAsia="zh-CN"/>
                    </w:rPr>
                  </w:pPr>
                  <w:r>
                    <w:rPr>
                      <w:rFonts w:hint="eastAsia" w:cs="Times New Roman"/>
                      <w:b w:val="0"/>
                      <w:bCs w:val="0"/>
                      <w:color w:val="000000"/>
                      <w:kern w:val="24"/>
                      <w:sz w:val="21"/>
                      <w:szCs w:val="21"/>
                      <w:lang w:val="en-US" w:eastAsia="zh-CN"/>
                    </w:rPr>
                    <w:t>t</w:t>
                  </w:r>
                  <w:r>
                    <w:rPr>
                      <w:rFonts w:hint="eastAsia" w:ascii="Times New Roman" w:hAnsi="Times New Roman" w:eastAsia="宋体" w:cs="Times New Roman"/>
                      <w:b w:val="0"/>
                      <w:bCs w:val="0"/>
                      <w:color w:val="000000"/>
                      <w:kern w:val="24"/>
                      <w:sz w:val="21"/>
                      <w:szCs w:val="21"/>
                      <w:lang w:val="en-US" w:eastAsia="zh-CN"/>
                    </w:rPr>
                    <w:t>/a</w:t>
                  </w:r>
                </w:p>
              </w:tc>
              <w:tc>
                <w:tcPr>
                  <w:tcW w:w="675" w:type="pct"/>
                  <w:tcBorders>
                    <w:tl2br w:val="nil"/>
                    <w:tr2bl w:val="nil"/>
                  </w:tcBorders>
                  <w:shd w:val="clear" w:color="auto" w:fill="FFFFFF"/>
                  <w:vAlign w:val="center"/>
                </w:tcPr>
                <w:p w14:paraId="6F9C09E4">
                  <w:pPr>
                    <w:keepNext w:val="0"/>
                    <w:keepLines w:val="0"/>
                    <w:pageBreakBefore w:val="0"/>
                    <w:kinsoku/>
                    <w:wordWrap/>
                    <w:overflowPunct/>
                    <w:topLinePunct w:val="0"/>
                    <w:bidi w:val="0"/>
                    <w:spacing w:line="240" w:lineRule="auto"/>
                    <w:ind w:firstLine="0" w:firstLineChars="0"/>
                    <w:jc w:val="center"/>
                    <w:rPr>
                      <w:rFonts w:hint="default" w:cs="Times New Roman"/>
                      <w:b w:val="0"/>
                      <w:color w:val="000000"/>
                      <w:sz w:val="21"/>
                      <w:szCs w:val="21"/>
                      <w:lang w:val="en-US" w:eastAsia="zh-CN"/>
                    </w:rPr>
                  </w:pPr>
                  <w:r>
                    <w:rPr>
                      <w:rFonts w:hint="eastAsia" w:cs="Times New Roman"/>
                      <w:b w:val="0"/>
                      <w:color w:val="000000"/>
                      <w:sz w:val="21"/>
                      <w:szCs w:val="21"/>
                      <w:lang w:val="en-US" w:eastAsia="zh-CN"/>
                    </w:rPr>
                    <w:t>2200</w:t>
                  </w:r>
                </w:p>
              </w:tc>
              <w:tc>
                <w:tcPr>
                  <w:tcW w:w="2402" w:type="pct"/>
                  <w:tcBorders>
                    <w:tl2br w:val="nil"/>
                    <w:tr2bl w:val="nil"/>
                  </w:tcBorders>
                  <w:shd w:val="clear" w:color="auto" w:fill="FFFFFF"/>
                  <w:vAlign w:val="center"/>
                </w:tcPr>
                <w:p w14:paraId="5B24A4F7">
                  <w:pPr>
                    <w:keepNext w:val="0"/>
                    <w:keepLines w:val="0"/>
                    <w:pageBreakBefore w:val="0"/>
                    <w:kinsoku/>
                    <w:wordWrap/>
                    <w:overflowPunct/>
                    <w:topLinePunct w:val="0"/>
                    <w:bidi w:val="0"/>
                    <w:spacing w:line="240" w:lineRule="auto"/>
                    <w:ind w:firstLine="0" w:firstLineChars="0"/>
                    <w:jc w:val="center"/>
                    <w:rPr>
                      <w:rFonts w:hint="eastAsia" w:cs="Times New Roman"/>
                      <w:b w:val="0"/>
                      <w:color w:val="000000"/>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尺寸（长×直径）：3.5</w:t>
                  </w:r>
                  <w:r>
                    <w:rPr>
                      <w:rFonts w:hint="eastAsia" w:cs="Times New Roman"/>
                      <w:b w:val="0"/>
                      <w:bCs w:val="0"/>
                      <w:color w:val="000000"/>
                      <w:kern w:val="24"/>
                      <w:sz w:val="21"/>
                      <w:szCs w:val="21"/>
                      <w:lang w:val="en-US" w:eastAsia="zh-CN"/>
                    </w:rPr>
                    <w:t>～</w:t>
                  </w:r>
                  <w:r>
                    <w:rPr>
                      <w:rFonts w:hint="eastAsia" w:ascii="Times New Roman" w:hAnsi="Times New Roman" w:eastAsia="宋体" w:cs="Times New Roman"/>
                      <w:b w:val="0"/>
                      <w:bCs w:val="0"/>
                      <w:color w:val="000000"/>
                      <w:kern w:val="24"/>
                      <w:sz w:val="21"/>
                      <w:szCs w:val="21"/>
                      <w:lang w:val="en-US" w:eastAsia="zh-CN"/>
                    </w:rPr>
                    <w:t>5</w:t>
                  </w:r>
                  <w:r>
                    <w:rPr>
                      <w:rFonts w:hint="eastAsia" w:cs="Times New Roman"/>
                      <w:b w:val="0"/>
                      <w:bCs w:val="0"/>
                      <w:color w:val="000000"/>
                      <w:kern w:val="24"/>
                      <w:sz w:val="21"/>
                      <w:szCs w:val="21"/>
                      <w:lang w:val="en-US" w:eastAsia="zh-CN"/>
                    </w:rPr>
                    <w:t>m</w:t>
                  </w:r>
                  <w:r>
                    <w:rPr>
                      <w:rFonts w:hint="eastAsia" w:ascii="Times New Roman" w:hAnsi="Times New Roman" w:eastAsia="宋体" w:cs="Times New Roman"/>
                      <w:b w:val="0"/>
                      <w:bCs w:val="0"/>
                      <w:color w:val="000000"/>
                      <w:kern w:val="24"/>
                      <w:sz w:val="21"/>
                      <w:szCs w:val="21"/>
                      <w:lang w:val="en-US" w:eastAsia="zh-CN"/>
                    </w:rPr>
                    <w:t>×1.2</w:t>
                  </w:r>
                  <w:r>
                    <w:rPr>
                      <w:rFonts w:hint="eastAsia" w:cs="Times New Roman"/>
                      <w:b w:val="0"/>
                      <w:bCs w:val="0"/>
                      <w:color w:val="000000"/>
                      <w:kern w:val="24"/>
                      <w:sz w:val="21"/>
                      <w:szCs w:val="21"/>
                      <w:lang w:val="en-US" w:eastAsia="zh-CN"/>
                    </w:rPr>
                    <w:t>～</w:t>
                  </w:r>
                  <w:r>
                    <w:rPr>
                      <w:rFonts w:hint="eastAsia" w:ascii="Times New Roman" w:hAnsi="Times New Roman" w:eastAsia="宋体" w:cs="Times New Roman"/>
                      <w:b w:val="0"/>
                      <w:bCs w:val="0"/>
                      <w:color w:val="000000"/>
                      <w:kern w:val="24"/>
                      <w:sz w:val="21"/>
                      <w:szCs w:val="21"/>
                      <w:lang w:val="en-US" w:eastAsia="zh-CN"/>
                    </w:rPr>
                    <w:t>0.4</w:t>
                  </w:r>
                  <w:r>
                    <w:rPr>
                      <w:rFonts w:hint="eastAsia" w:cs="Times New Roman"/>
                      <w:b w:val="0"/>
                      <w:bCs w:val="0"/>
                      <w:color w:val="000000"/>
                      <w:kern w:val="24"/>
                      <w:sz w:val="21"/>
                      <w:szCs w:val="21"/>
                      <w:lang w:val="en-US" w:eastAsia="zh-CN"/>
                    </w:rPr>
                    <w:t>m</w:t>
                  </w:r>
                </w:p>
              </w:tc>
            </w:tr>
            <w:tr w14:paraId="790652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80" w:type="pct"/>
                  <w:tcBorders>
                    <w:tl2br w:val="nil"/>
                    <w:tr2bl w:val="nil"/>
                  </w:tcBorders>
                  <w:shd w:val="clear" w:color="auto" w:fill="FFFFFF"/>
                  <w:vAlign w:val="center"/>
                </w:tcPr>
                <w:p w14:paraId="604F7849">
                  <w:pPr>
                    <w:jc w:val="center"/>
                    <w:rPr>
                      <w:rFonts w:hint="default" w:ascii="Times New Roman" w:hAnsi="Times New Roman" w:eastAsia="宋体" w:cs="Times New Roman"/>
                      <w:b w:val="0"/>
                      <w:color w:val="000000"/>
                      <w:sz w:val="21"/>
                      <w:szCs w:val="21"/>
                      <w:lang w:val="en-US" w:eastAsia="zh-CN"/>
                    </w:rPr>
                  </w:pPr>
                  <w:r>
                    <w:rPr>
                      <w:rFonts w:hint="eastAsia" w:cs="Times New Roman"/>
                      <w:b w:val="0"/>
                      <w:color w:val="000000"/>
                      <w:sz w:val="21"/>
                      <w:szCs w:val="21"/>
                      <w:lang w:val="en-US" w:eastAsia="zh-CN"/>
                    </w:rPr>
                    <w:t>3</w:t>
                  </w:r>
                </w:p>
              </w:tc>
              <w:tc>
                <w:tcPr>
                  <w:tcW w:w="1043" w:type="pct"/>
                  <w:tcBorders>
                    <w:tl2br w:val="nil"/>
                    <w:tr2bl w:val="nil"/>
                  </w:tcBorders>
                  <w:shd w:val="clear" w:color="auto" w:fill="FFFFFF"/>
                  <w:vAlign w:val="center"/>
                </w:tcPr>
                <w:p w14:paraId="72EA5F53">
                  <w:pPr>
                    <w:jc w:val="center"/>
                    <w:rPr>
                      <w:rFonts w:hint="default" w:ascii="Times New Roman" w:hAnsi="Times New Roman" w:eastAsia="宋体" w:cs="Times New Roman"/>
                      <w:b w:val="0"/>
                      <w:color w:val="000000"/>
                      <w:sz w:val="21"/>
                      <w:szCs w:val="21"/>
                      <w:lang w:val="en-US" w:eastAsia="zh-CN"/>
                    </w:rPr>
                  </w:pPr>
                  <w:r>
                    <w:rPr>
                      <w:rFonts w:hint="eastAsia" w:cs="Times New Roman"/>
                      <w:b w:val="0"/>
                      <w:color w:val="000000"/>
                      <w:sz w:val="21"/>
                      <w:szCs w:val="21"/>
                      <w:lang w:val="en-US" w:eastAsia="zh-CN"/>
                    </w:rPr>
                    <w:t>钛铸件</w:t>
                  </w:r>
                </w:p>
              </w:tc>
              <w:tc>
                <w:tcPr>
                  <w:tcW w:w="398" w:type="pct"/>
                  <w:tcBorders>
                    <w:tl2br w:val="nil"/>
                    <w:tr2bl w:val="nil"/>
                  </w:tcBorders>
                  <w:shd w:val="clear" w:color="auto" w:fill="FFFFFF"/>
                  <w:vAlign w:val="center"/>
                </w:tcPr>
                <w:p w14:paraId="3480DA3F">
                  <w:pPr>
                    <w:snapToGrid w:val="0"/>
                    <w:jc w:val="center"/>
                    <w:rPr>
                      <w:rFonts w:hint="default" w:cs="Times New Roman"/>
                      <w:b w:val="0"/>
                      <w:color w:val="000000"/>
                      <w:sz w:val="21"/>
                      <w:szCs w:val="21"/>
                      <w:lang w:val="en-US" w:eastAsia="zh-CN"/>
                    </w:rPr>
                  </w:pPr>
                  <w:r>
                    <w:rPr>
                      <w:rFonts w:hint="eastAsia" w:cs="Times New Roman"/>
                      <w:b w:val="0"/>
                      <w:color w:val="000000"/>
                      <w:sz w:val="21"/>
                      <w:szCs w:val="21"/>
                      <w:lang w:val="en-US" w:eastAsia="zh-CN"/>
                    </w:rPr>
                    <w:t>t/a</w:t>
                  </w:r>
                </w:p>
              </w:tc>
              <w:tc>
                <w:tcPr>
                  <w:tcW w:w="675" w:type="pct"/>
                  <w:tcBorders>
                    <w:tl2br w:val="nil"/>
                    <w:tr2bl w:val="nil"/>
                  </w:tcBorders>
                  <w:shd w:val="clear" w:color="auto" w:fill="FFFFFF"/>
                  <w:vAlign w:val="center"/>
                </w:tcPr>
                <w:p w14:paraId="32A991FF">
                  <w:pPr>
                    <w:jc w:val="center"/>
                    <w:rPr>
                      <w:rFonts w:hint="default" w:cs="Times New Roman"/>
                      <w:b w:val="0"/>
                      <w:color w:val="000000"/>
                      <w:sz w:val="21"/>
                      <w:szCs w:val="21"/>
                      <w:lang w:val="en-US" w:eastAsia="zh-CN"/>
                    </w:rPr>
                  </w:pPr>
                  <w:r>
                    <w:rPr>
                      <w:rFonts w:hint="eastAsia" w:cs="Times New Roman"/>
                      <w:b w:val="0"/>
                      <w:color w:val="000000"/>
                      <w:sz w:val="21"/>
                      <w:szCs w:val="21"/>
                      <w:lang w:val="en-US" w:eastAsia="zh-CN"/>
                    </w:rPr>
                    <w:t>330</w:t>
                  </w:r>
                </w:p>
              </w:tc>
              <w:tc>
                <w:tcPr>
                  <w:tcW w:w="2402" w:type="pct"/>
                  <w:tcBorders>
                    <w:tl2br w:val="nil"/>
                    <w:tr2bl w:val="nil"/>
                  </w:tcBorders>
                  <w:shd w:val="clear" w:color="auto" w:fill="FFFFFF"/>
                  <w:vAlign w:val="center"/>
                </w:tcPr>
                <w:p w14:paraId="07E77B90">
                  <w:pPr>
                    <w:jc w:val="center"/>
                    <w:rPr>
                      <w:rFonts w:hint="default" w:cs="Times New Roman"/>
                      <w:b w:val="0"/>
                      <w:color w:val="000000"/>
                      <w:sz w:val="21"/>
                      <w:szCs w:val="21"/>
                      <w:lang w:val="en-US" w:eastAsia="zh-CN"/>
                    </w:rPr>
                  </w:pPr>
                  <w:r>
                    <w:rPr>
                      <w:rFonts w:hint="eastAsia" w:cs="Times New Roman"/>
                      <w:b w:val="0"/>
                      <w:color w:val="000000"/>
                      <w:sz w:val="21"/>
                      <w:szCs w:val="21"/>
                      <w:lang w:val="en-US" w:eastAsia="zh-CN"/>
                    </w:rPr>
                    <w:t>/</w:t>
                  </w:r>
                </w:p>
              </w:tc>
            </w:tr>
          </w:tbl>
          <w:p w14:paraId="686C448F">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leftChars="0"/>
              <w:textAlignment w:val="auto"/>
              <w:rPr>
                <w:rFonts w:hint="eastAsia" w:ascii="Times New Roman" w:hAnsi="Times New Roman" w:eastAsia="宋体" w:cs="Times New Roman"/>
                <w:b/>
                <w:color w:val="auto"/>
                <w:kern w:val="0"/>
                <w:sz w:val="24"/>
                <w:szCs w:val="20"/>
                <w:lang w:val="en-US" w:eastAsia="zh-CN"/>
              </w:rPr>
            </w:pPr>
            <w:r>
              <w:rPr>
                <w:rFonts w:hint="eastAsia" w:ascii="Times New Roman" w:hAnsi="Times New Roman" w:eastAsia="宋体" w:cs="Times New Roman"/>
                <w:b/>
                <w:color w:val="auto"/>
                <w:kern w:val="0"/>
                <w:sz w:val="24"/>
                <w:szCs w:val="20"/>
                <w:lang w:val="en-US" w:eastAsia="zh-CN"/>
              </w:rPr>
              <w:t>5、原辅材料用量</w:t>
            </w:r>
          </w:p>
          <w:p w14:paraId="19D12474">
            <w:pPr>
              <w:autoSpaceDE w:val="0"/>
              <w:autoSpaceDN w:val="0"/>
              <w:spacing w:line="360" w:lineRule="auto"/>
              <w:ind w:firstLine="480" w:firstLineChars="200"/>
              <w:jc w:val="left"/>
              <w:rPr>
                <w:b/>
                <w:color w:val="auto"/>
                <w:kern w:val="0"/>
                <w:sz w:val="24"/>
                <w:szCs w:val="20"/>
              </w:rPr>
            </w:pPr>
            <w:r>
              <w:rPr>
                <w:color w:val="auto"/>
                <w:kern w:val="0"/>
                <w:sz w:val="24"/>
                <w:szCs w:val="20"/>
              </w:rPr>
              <w:t>项目主要原材料用量</w:t>
            </w:r>
            <w:r>
              <w:rPr>
                <w:rFonts w:hint="eastAsia"/>
                <w:color w:val="auto"/>
                <w:kern w:val="0"/>
                <w:sz w:val="24"/>
                <w:szCs w:val="20"/>
                <w:lang w:val="en-US" w:eastAsia="zh-CN"/>
              </w:rPr>
              <w:t>及变化情况</w:t>
            </w:r>
            <w:r>
              <w:rPr>
                <w:color w:val="auto"/>
                <w:kern w:val="0"/>
                <w:sz w:val="24"/>
                <w:szCs w:val="20"/>
              </w:rPr>
              <w:t>见表</w:t>
            </w:r>
            <w:r>
              <w:rPr>
                <w:rFonts w:hint="eastAsia"/>
                <w:color w:val="auto"/>
                <w:kern w:val="0"/>
                <w:sz w:val="24"/>
                <w:szCs w:val="20"/>
              </w:rPr>
              <w:t>2-3</w:t>
            </w:r>
            <w:r>
              <w:rPr>
                <w:color w:val="auto"/>
                <w:kern w:val="0"/>
                <w:sz w:val="24"/>
                <w:szCs w:val="20"/>
              </w:rPr>
              <w:t>。</w:t>
            </w:r>
          </w:p>
          <w:p w14:paraId="75251FA9">
            <w:pPr>
              <w:autoSpaceDE w:val="0"/>
              <w:autoSpaceDN w:val="0"/>
              <w:jc w:val="center"/>
              <w:rPr>
                <w:b/>
                <w:color w:val="auto"/>
                <w:szCs w:val="21"/>
              </w:rPr>
            </w:pPr>
            <w:r>
              <w:rPr>
                <w:b/>
                <w:color w:val="auto"/>
                <w:szCs w:val="21"/>
              </w:rPr>
              <w:t>表</w:t>
            </w:r>
            <w:r>
              <w:rPr>
                <w:rFonts w:hint="eastAsia"/>
                <w:b/>
                <w:color w:val="auto"/>
                <w:szCs w:val="21"/>
              </w:rPr>
              <w:t xml:space="preserve">2-3   </w:t>
            </w:r>
            <w:r>
              <w:rPr>
                <w:b/>
                <w:color w:val="auto"/>
                <w:szCs w:val="21"/>
              </w:rPr>
              <w:t>主要原材料一览表</w:t>
            </w:r>
          </w:p>
          <w:tbl>
            <w:tblPr>
              <w:tblStyle w:val="24"/>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87"/>
              <w:gridCol w:w="1901"/>
              <w:gridCol w:w="1130"/>
              <w:gridCol w:w="1111"/>
              <w:gridCol w:w="3738"/>
            </w:tblGrid>
            <w:tr w14:paraId="64AD41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427" w:type="pct"/>
                  <w:gridSpan w:val="2"/>
                  <w:tcBorders>
                    <w:tl2br w:val="nil"/>
                    <w:tr2bl w:val="nil"/>
                  </w:tcBorders>
                  <w:shd w:val="clear" w:color="auto" w:fill="FFFFFF"/>
                  <w:vAlign w:val="center"/>
                </w:tcPr>
                <w:p w14:paraId="4D41D887">
                  <w:pPr>
                    <w:snapToGrid w:val="0"/>
                    <w:spacing w:line="240" w:lineRule="auto"/>
                    <w:jc w:val="center"/>
                    <w:rPr>
                      <w:rFonts w:hint="default" w:ascii="Times New Roman" w:hAnsi="Times New Roman" w:cs="Times New Roman"/>
                      <w:b w:val="0"/>
                      <w:color w:val="000000"/>
                      <w:sz w:val="21"/>
                      <w:szCs w:val="21"/>
                    </w:rPr>
                  </w:pPr>
                  <w:r>
                    <w:rPr>
                      <w:rFonts w:hint="default" w:ascii="Times New Roman" w:hAnsi="Times New Roman" w:cs="Times New Roman"/>
                      <w:b w:val="0"/>
                      <w:color w:val="000000"/>
                      <w:sz w:val="21"/>
                      <w:szCs w:val="21"/>
                    </w:rPr>
                    <w:t>名称</w:t>
                  </w:r>
                </w:p>
              </w:tc>
              <w:tc>
                <w:tcPr>
                  <w:tcW w:w="675" w:type="pct"/>
                  <w:tcBorders>
                    <w:tl2br w:val="nil"/>
                    <w:tr2bl w:val="nil"/>
                  </w:tcBorders>
                  <w:shd w:val="clear" w:color="auto" w:fill="FFFFFF"/>
                  <w:vAlign w:val="center"/>
                </w:tcPr>
                <w:p w14:paraId="11409E62">
                  <w:pPr>
                    <w:snapToGrid w:val="0"/>
                    <w:spacing w:line="240" w:lineRule="auto"/>
                    <w:jc w:val="center"/>
                    <w:rPr>
                      <w:rFonts w:hint="default" w:ascii="Times New Roman" w:hAnsi="Times New Roman" w:cs="Times New Roman"/>
                      <w:b w:val="0"/>
                      <w:color w:val="000000"/>
                      <w:sz w:val="21"/>
                      <w:szCs w:val="21"/>
                    </w:rPr>
                  </w:pPr>
                  <w:r>
                    <w:rPr>
                      <w:rFonts w:hint="default" w:ascii="Times New Roman" w:hAnsi="Times New Roman" w:cs="Times New Roman"/>
                      <w:b w:val="0"/>
                      <w:color w:val="000000"/>
                      <w:sz w:val="21"/>
                      <w:szCs w:val="21"/>
                    </w:rPr>
                    <w:t>单位</w:t>
                  </w:r>
                </w:p>
              </w:tc>
              <w:tc>
                <w:tcPr>
                  <w:tcW w:w="663" w:type="pct"/>
                  <w:tcBorders>
                    <w:tl2br w:val="nil"/>
                    <w:tr2bl w:val="nil"/>
                  </w:tcBorders>
                  <w:shd w:val="clear" w:color="auto" w:fill="FFFFFF"/>
                  <w:vAlign w:val="center"/>
                </w:tcPr>
                <w:p w14:paraId="33B152F8">
                  <w:pPr>
                    <w:snapToGrid w:val="0"/>
                    <w:spacing w:line="240" w:lineRule="auto"/>
                    <w:jc w:val="center"/>
                    <w:rPr>
                      <w:rFonts w:hint="eastAsia" w:ascii="Times New Roman" w:hAnsi="Times New Roman" w:eastAsia="宋体" w:cs="Times New Roman"/>
                      <w:b w:val="0"/>
                      <w:color w:val="000000"/>
                      <w:sz w:val="21"/>
                      <w:szCs w:val="21"/>
                      <w:lang w:eastAsia="zh-CN"/>
                    </w:rPr>
                  </w:pPr>
                  <w:r>
                    <w:rPr>
                      <w:rFonts w:hint="eastAsia" w:cs="Times New Roman"/>
                      <w:b w:val="0"/>
                      <w:color w:val="000000"/>
                      <w:sz w:val="21"/>
                      <w:szCs w:val="21"/>
                      <w:lang w:val="en-US" w:eastAsia="zh-CN"/>
                    </w:rPr>
                    <w:t>年用量</w:t>
                  </w:r>
                </w:p>
              </w:tc>
              <w:tc>
                <w:tcPr>
                  <w:tcW w:w="2233" w:type="pct"/>
                  <w:tcBorders>
                    <w:tl2br w:val="nil"/>
                    <w:tr2bl w:val="nil"/>
                  </w:tcBorders>
                  <w:shd w:val="clear" w:color="auto" w:fill="FFFFFF"/>
                  <w:vAlign w:val="center"/>
                </w:tcPr>
                <w:p w14:paraId="4D6189D2">
                  <w:pPr>
                    <w:snapToGrid w:val="0"/>
                    <w:spacing w:line="240" w:lineRule="auto"/>
                    <w:jc w:val="center"/>
                    <w:rPr>
                      <w:rFonts w:hint="default" w:ascii="Times New Roman" w:hAnsi="Times New Roman" w:eastAsia="宋体" w:cs="Times New Roman"/>
                      <w:b w:val="0"/>
                      <w:color w:val="000000"/>
                      <w:sz w:val="21"/>
                      <w:szCs w:val="21"/>
                      <w:lang w:eastAsia="zh-CN"/>
                    </w:rPr>
                  </w:pPr>
                  <w:r>
                    <w:rPr>
                      <w:rFonts w:hint="eastAsia" w:cs="Times New Roman"/>
                      <w:b w:val="0"/>
                      <w:color w:val="000000"/>
                      <w:sz w:val="21"/>
                      <w:szCs w:val="21"/>
                      <w:lang w:val="en-US" w:eastAsia="zh-CN"/>
                    </w:rPr>
                    <w:t>规格</w:t>
                  </w:r>
                </w:p>
              </w:tc>
            </w:tr>
            <w:tr w14:paraId="4AE6D0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restart"/>
                  <w:tcBorders>
                    <w:tl2br w:val="nil"/>
                    <w:tr2bl w:val="nil"/>
                  </w:tcBorders>
                  <w:shd w:val="clear" w:color="auto" w:fill="FFFFFF"/>
                  <w:vAlign w:val="center"/>
                </w:tcPr>
                <w:p w14:paraId="2503FB9B">
                  <w:pPr>
                    <w:keepNext w:val="0"/>
                    <w:keepLines w:val="0"/>
                    <w:widowControl/>
                    <w:suppressLineNumbers w:val="0"/>
                    <w:spacing w:line="240" w:lineRule="auto"/>
                    <w:jc w:val="center"/>
                    <w:textAlignment w:val="center"/>
                    <w:rPr>
                      <w:rFonts w:hint="default" w:ascii="Times New Roman" w:hAnsi="Times New Roman" w:cs="Times New Roman"/>
                      <w:b w:val="0"/>
                      <w:color w:val="000000"/>
                      <w:sz w:val="21"/>
                      <w:szCs w:val="21"/>
                    </w:rPr>
                  </w:pPr>
                  <w:r>
                    <w:rPr>
                      <w:rFonts w:hint="default" w:ascii="Times New Roman" w:hAnsi="Times New Roman" w:eastAsia="宋体" w:cs="Times New Roman"/>
                      <w:b w:val="0"/>
                      <w:i w:val="0"/>
                      <w:iCs w:val="0"/>
                      <w:color w:val="000000"/>
                      <w:kern w:val="0"/>
                      <w:sz w:val="21"/>
                      <w:szCs w:val="21"/>
                      <w:u w:val="none"/>
                      <w:lang w:val="en-US" w:eastAsia="zh-CN" w:bidi="ar"/>
                    </w:rPr>
                    <w:t>原辅料</w:t>
                  </w:r>
                </w:p>
              </w:tc>
              <w:tc>
                <w:tcPr>
                  <w:tcW w:w="1136" w:type="pct"/>
                  <w:tcBorders>
                    <w:tl2br w:val="nil"/>
                    <w:tr2bl w:val="nil"/>
                  </w:tcBorders>
                  <w:shd w:val="clear" w:color="auto" w:fill="FFFFFF"/>
                  <w:vAlign w:val="center"/>
                </w:tcPr>
                <w:p w14:paraId="58F85DD3">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color w:val="000000"/>
                      <w:sz w:val="21"/>
                      <w:szCs w:val="21"/>
                      <w:lang w:val="en-US" w:eastAsia="zh-CN" w:bidi="ar-SA"/>
                    </w:rPr>
                    <w:t>钛及钛合金板坯</w:t>
                  </w:r>
                </w:p>
              </w:tc>
              <w:tc>
                <w:tcPr>
                  <w:tcW w:w="675" w:type="pct"/>
                  <w:tcBorders>
                    <w:tl2br w:val="nil"/>
                    <w:tr2bl w:val="nil"/>
                  </w:tcBorders>
                  <w:shd w:val="clear" w:color="auto" w:fill="FFFFFF"/>
                  <w:vAlign w:val="center"/>
                </w:tcPr>
                <w:p w14:paraId="7D7AE7CD">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cs="Times New Roman"/>
                      <w:b w:val="0"/>
                      <w:bCs w:val="0"/>
                      <w:color w:val="000000"/>
                      <w:kern w:val="24"/>
                      <w:sz w:val="21"/>
                      <w:szCs w:val="21"/>
                      <w:lang w:val="en-US" w:eastAsia="zh-CN"/>
                    </w:rPr>
                    <w:t>t</w:t>
                  </w:r>
                  <w:r>
                    <w:rPr>
                      <w:rFonts w:hint="eastAsia" w:ascii="Times New Roman" w:hAnsi="Times New Roman" w:eastAsia="宋体" w:cs="Times New Roman"/>
                      <w:b w:val="0"/>
                      <w:color w:val="000000"/>
                      <w:sz w:val="21"/>
                      <w:szCs w:val="21"/>
                      <w:lang w:val="en-US" w:eastAsia="zh-CN" w:bidi="ar-SA"/>
                    </w:rPr>
                    <w:t>/a</w:t>
                  </w:r>
                </w:p>
              </w:tc>
              <w:tc>
                <w:tcPr>
                  <w:tcW w:w="663" w:type="pct"/>
                  <w:tcBorders>
                    <w:tl2br w:val="nil"/>
                    <w:tr2bl w:val="nil"/>
                  </w:tcBorders>
                  <w:shd w:val="clear" w:color="auto" w:fill="FFFFFF"/>
                  <w:vAlign w:val="center"/>
                </w:tcPr>
                <w:p w14:paraId="05CBFF4C">
                  <w:pPr>
                    <w:pStyle w:val="45"/>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eastAsia="宋体" w:cs="Times New Roman"/>
                      <w:b w:val="0"/>
                      <w:i w:val="0"/>
                      <w:iCs w:val="0"/>
                      <w:color w:val="000000"/>
                      <w:kern w:val="2"/>
                      <w:sz w:val="21"/>
                      <w:szCs w:val="21"/>
                      <w:u w:val="none"/>
                      <w:lang w:val="en-US" w:eastAsia="zh-CN" w:bidi="ar-SA"/>
                    </w:rPr>
                    <w:t>2204</w:t>
                  </w:r>
                </w:p>
              </w:tc>
              <w:tc>
                <w:tcPr>
                  <w:tcW w:w="2233" w:type="pct"/>
                  <w:tcBorders>
                    <w:tl2br w:val="nil"/>
                    <w:tr2bl w:val="nil"/>
                  </w:tcBorders>
                  <w:shd w:val="clear" w:color="auto" w:fill="FFFFFF"/>
                  <w:vAlign w:val="center"/>
                </w:tcPr>
                <w:p w14:paraId="40E7950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b w:val="0"/>
                      <w:color w:val="000000"/>
                      <w:sz w:val="21"/>
                      <w:szCs w:val="21"/>
                      <w:lang w:val="en-US" w:eastAsia="zh-CN" w:bidi="ar-SA"/>
                    </w:rPr>
                  </w:pPr>
                  <w:r>
                    <w:rPr>
                      <w:rFonts w:hint="eastAsia" w:ascii="Times New Roman" w:hAnsi="Times New Roman" w:eastAsia="宋体" w:cs="Times New Roman"/>
                      <w:b w:val="0"/>
                      <w:color w:val="000000"/>
                      <w:sz w:val="21"/>
                      <w:szCs w:val="21"/>
                      <w:lang w:val="en-US" w:eastAsia="zh-CN" w:bidi="ar-SA"/>
                    </w:rPr>
                    <w:t>大板材：宽5.5</w:t>
                  </w:r>
                  <w:r>
                    <w:rPr>
                      <w:rFonts w:hint="eastAsia" w:cs="Times New Roman"/>
                      <w:b w:val="0"/>
                      <w:color w:val="000000"/>
                      <w:sz w:val="21"/>
                      <w:szCs w:val="21"/>
                      <w:lang w:val="en-US" w:eastAsia="zh-CN" w:bidi="ar-SA"/>
                    </w:rPr>
                    <w:t>～</w:t>
                  </w:r>
                  <w:r>
                    <w:rPr>
                      <w:rFonts w:hint="eastAsia" w:ascii="Times New Roman" w:hAnsi="Times New Roman" w:eastAsia="宋体" w:cs="Times New Roman"/>
                      <w:b w:val="0"/>
                      <w:color w:val="000000"/>
                      <w:sz w:val="21"/>
                      <w:szCs w:val="21"/>
                      <w:lang w:val="en-US" w:eastAsia="zh-CN" w:bidi="ar-SA"/>
                    </w:rPr>
                    <w:t>6.2m</w:t>
                  </w:r>
                  <w:r>
                    <w:rPr>
                      <w:rFonts w:hint="eastAsia" w:cs="Times New Roman"/>
                      <w:b w:val="0"/>
                      <w:color w:val="000000"/>
                      <w:sz w:val="21"/>
                      <w:szCs w:val="21"/>
                      <w:lang w:val="en-US" w:eastAsia="zh-CN" w:bidi="ar-SA"/>
                    </w:rPr>
                    <w:t>、</w:t>
                  </w:r>
                  <w:r>
                    <w:rPr>
                      <w:rFonts w:hint="eastAsia" w:ascii="Times New Roman" w:hAnsi="Times New Roman" w:eastAsia="宋体" w:cs="Times New Roman"/>
                      <w:b w:val="0"/>
                      <w:color w:val="000000"/>
                      <w:sz w:val="21"/>
                      <w:szCs w:val="21"/>
                      <w:lang w:val="en-US" w:eastAsia="zh-CN" w:bidi="ar-SA"/>
                    </w:rPr>
                    <w:t>长12</w:t>
                  </w:r>
                  <w:r>
                    <w:rPr>
                      <w:rFonts w:hint="eastAsia" w:cs="Times New Roman"/>
                      <w:b w:val="0"/>
                      <w:color w:val="000000"/>
                      <w:sz w:val="21"/>
                      <w:szCs w:val="21"/>
                      <w:lang w:val="en-US" w:eastAsia="zh-CN" w:bidi="ar-SA"/>
                    </w:rPr>
                    <w:t>～20m</w:t>
                  </w:r>
                </w:p>
                <w:p w14:paraId="2D875A6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color w:val="000000"/>
                      <w:sz w:val="21"/>
                      <w:szCs w:val="21"/>
                      <w:lang w:val="en-US" w:eastAsia="zh-CN" w:bidi="ar-SA"/>
                    </w:rPr>
                    <w:t>小板材：宽0.3m</w:t>
                  </w:r>
                  <w:r>
                    <w:rPr>
                      <w:rFonts w:hint="eastAsia" w:cs="Times New Roman"/>
                      <w:b w:val="0"/>
                      <w:color w:val="000000"/>
                      <w:sz w:val="21"/>
                      <w:szCs w:val="21"/>
                      <w:lang w:val="en-US" w:eastAsia="zh-CN" w:bidi="ar-SA"/>
                    </w:rPr>
                    <w:t>、</w:t>
                  </w:r>
                  <w:r>
                    <w:rPr>
                      <w:rFonts w:hint="eastAsia" w:ascii="Times New Roman" w:hAnsi="Times New Roman" w:eastAsia="宋体" w:cs="Times New Roman"/>
                      <w:b w:val="0"/>
                      <w:color w:val="000000"/>
                      <w:sz w:val="21"/>
                      <w:szCs w:val="21"/>
                      <w:lang w:val="en-US" w:eastAsia="zh-CN" w:bidi="ar-SA"/>
                    </w:rPr>
                    <w:t>长0.3m</w:t>
                  </w:r>
                </w:p>
              </w:tc>
            </w:tr>
            <w:tr w14:paraId="7DF884A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continue"/>
                  <w:tcBorders>
                    <w:tl2br w:val="nil"/>
                    <w:tr2bl w:val="nil"/>
                  </w:tcBorders>
                  <w:shd w:val="clear" w:color="auto" w:fill="FFFFFF"/>
                  <w:vAlign w:val="center"/>
                </w:tcPr>
                <w:p w14:paraId="3D851FFE">
                  <w:pPr>
                    <w:keepNext w:val="0"/>
                    <w:keepLines w:val="0"/>
                    <w:widowControl/>
                    <w:suppressLineNumbers w:val="0"/>
                    <w:spacing w:line="240" w:lineRule="auto"/>
                    <w:jc w:val="center"/>
                    <w:textAlignment w:val="center"/>
                    <w:rPr>
                      <w:rFonts w:hint="default" w:ascii="Times New Roman" w:hAnsi="Times New Roman" w:eastAsia="宋体" w:cs="Times New Roman"/>
                      <w:b w:val="0"/>
                      <w:i w:val="0"/>
                      <w:iCs w:val="0"/>
                      <w:color w:val="000000"/>
                      <w:kern w:val="0"/>
                      <w:sz w:val="21"/>
                      <w:szCs w:val="21"/>
                      <w:u w:val="none"/>
                      <w:lang w:val="en-US" w:eastAsia="zh-CN" w:bidi="ar"/>
                    </w:rPr>
                  </w:pPr>
                </w:p>
              </w:tc>
              <w:tc>
                <w:tcPr>
                  <w:tcW w:w="1136" w:type="pct"/>
                  <w:tcBorders>
                    <w:tl2br w:val="nil"/>
                    <w:tr2bl w:val="nil"/>
                  </w:tcBorders>
                  <w:shd w:val="clear" w:color="auto" w:fill="FFFFFF"/>
                  <w:vAlign w:val="center"/>
                </w:tcPr>
                <w:p w14:paraId="14864C29">
                  <w:pPr>
                    <w:keepNext w:val="0"/>
                    <w:keepLines w:val="0"/>
                    <w:pageBreakBefore w:val="0"/>
                    <w:kinsoku/>
                    <w:wordWrap/>
                    <w:overflowPunct/>
                    <w:topLinePunct w:val="0"/>
                    <w:autoSpaceDE/>
                    <w:bidi w:val="0"/>
                    <w:adjustRightInd w:val="0"/>
                    <w:snapToGrid w:val="0"/>
                    <w:spacing w:line="240" w:lineRule="auto"/>
                    <w:jc w:val="center"/>
                    <w:rPr>
                      <w:rFonts w:hint="eastAsia"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color w:val="000000"/>
                      <w:sz w:val="21"/>
                      <w:szCs w:val="21"/>
                      <w:lang w:val="en-US" w:eastAsia="zh-CN" w:bidi="ar-SA"/>
                    </w:rPr>
                    <w:t>钛棒</w:t>
                  </w:r>
                </w:p>
              </w:tc>
              <w:tc>
                <w:tcPr>
                  <w:tcW w:w="675" w:type="pct"/>
                  <w:tcBorders>
                    <w:tl2br w:val="nil"/>
                    <w:tr2bl w:val="nil"/>
                  </w:tcBorders>
                  <w:shd w:val="clear" w:color="auto" w:fill="FFFFFF"/>
                  <w:vAlign w:val="center"/>
                </w:tcPr>
                <w:p w14:paraId="490B0259">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cs="Times New Roman"/>
                      <w:b w:val="0"/>
                      <w:i w:val="0"/>
                      <w:iCs w:val="0"/>
                      <w:color w:val="000000"/>
                      <w:kern w:val="0"/>
                      <w:sz w:val="21"/>
                      <w:szCs w:val="21"/>
                      <w:u w:val="none"/>
                      <w:lang w:val="en-US" w:eastAsia="zh-CN" w:bidi="ar"/>
                    </w:rPr>
                  </w:pPr>
                  <w:r>
                    <w:rPr>
                      <w:rFonts w:hint="eastAsia" w:cs="Times New Roman"/>
                      <w:b w:val="0"/>
                      <w:bCs w:val="0"/>
                      <w:color w:val="000000"/>
                      <w:kern w:val="24"/>
                      <w:sz w:val="21"/>
                      <w:szCs w:val="21"/>
                      <w:lang w:val="en-US" w:eastAsia="zh-CN"/>
                    </w:rPr>
                    <w:t>t</w:t>
                  </w:r>
                  <w:r>
                    <w:rPr>
                      <w:rFonts w:hint="eastAsia" w:ascii="Times New Roman" w:hAnsi="Times New Roman" w:eastAsia="宋体" w:cs="Times New Roman"/>
                      <w:b w:val="0"/>
                      <w:color w:val="000000"/>
                      <w:sz w:val="21"/>
                      <w:szCs w:val="21"/>
                      <w:lang w:val="en-US" w:eastAsia="zh-CN" w:bidi="ar-SA"/>
                    </w:rPr>
                    <w:t>/a</w:t>
                  </w:r>
                </w:p>
              </w:tc>
              <w:tc>
                <w:tcPr>
                  <w:tcW w:w="663" w:type="pct"/>
                  <w:tcBorders>
                    <w:tl2br w:val="nil"/>
                    <w:tr2bl w:val="nil"/>
                  </w:tcBorders>
                  <w:shd w:val="clear" w:color="auto" w:fill="FFFFFF"/>
                  <w:vAlign w:val="center"/>
                </w:tcPr>
                <w:p w14:paraId="09AC8D5D">
                  <w:pPr>
                    <w:pStyle w:val="45"/>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b w:val="0"/>
                      <w:i w:val="0"/>
                      <w:iCs w:val="0"/>
                      <w:color w:val="000000"/>
                      <w:kern w:val="0"/>
                      <w:sz w:val="21"/>
                      <w:szCs w:val="21"/>
                      <w:u w:val="none"/>
                      <w:lang w:val="en-US" w:eastAsia="zh-CN" w:bidi="ar"/>
                    </w:rPr>
                  </w:pPr>
                  <w:r>
                    <w:rPr>
                      <w:rFonts w:hint="eastAsia" w:eastAsia="宋体" w:cs="Times New Roman"/>
                      <w:b w:val="0"/>
                      <w:i w:val="0"/>
                      <w:iCs w:val="0"/>
                      <w:color w:val="000000"/>
                      <w:kern w:val="0"/>
                      <w:sz w:val="21"/>
                      <w:szCs w:val="21"/>
                      <w:u w:val="none"/>
                      <w:lang w:val="en-US" w:eastAsia="zh-CN" w:bidi="ar"/>
                    </w:rPr>
                    <w:t>2204</w:t>
                  </w:r>
                </w:p>
              </w:tc>
              <w:tc>
                <w:tcPr>
                  <w:tcW w:w="2233" w:type="pct"/>
                  <w:tcBorders>
                    <w:tl2br w:val="nil"/>
                    <w:tr2bl w:val="nil"/>
                  </w:tcBorders>
                  <w:shd w:val="clear" w:color="auto" w:fill="FFFFFF"/>
                  <w:vAlign w:val="center"/>
                </w:tcPr>
                <w:p w14:paraId="4560EF6D">
                  <w:pPr>
                    <w:keepNext w:val="0"/>
                    <w:keepLines w:val="0"/>
                    <w:pageBreakBefore w:val="0"/>
                    <w:kinsoku/>
                    <w:wordWrap/>
                    <w:overflowPunct/>
                    <w:topLinePunct w:val="0"/>
                    <w:bidi w:val="0"/>
                    <w:spacing w:line="240" w:lineRule="auto"/>
                    <w:ind w:firstLine="0" w:firstLineChars="0"/>
                    <w:jc w:val="center"/>
                    <w:rPr>
                      <w:rFonts w:hint="default"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bCs w:val="0"/>
                      <w:color w:val="000000"/>
                      <w:kern w:val="24"/>
                      <w:sz w:val="21"/>
                      <w:szCs w:val="21"/>
                      <w:lang w:val="en-US" w:eastAsia="zh-CN"/>
                    </w:rPr>
                    <w:t>尺寸（长×直径）：3.5-5M*1.2-0.4M</w:t>
                  </w:r>
                </w:p>
              </w:tc>
            </w:tr>
            <w:tr w14:paraId="5FBFC6B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continue"/>
                  <w:tcBorders>
                    <w:tl2br w:val="nil"/>
                    <w:tr2bl w:val="nil"/>
                  </w:tcBorders>
                  <w:shd w:val="clear" w:color="auto" w:fill="FFFFFF"/>
                  <w:vAlign w:val="center"/>
                </w:tcPr>
                <w:p w14:paraId="5D1F9E71">
                  <w:pPr>
                    <w:snapToGrid w:val="0"/>
                    <w:spacing w:line="240" w:lineRule="auto"/>
                    <w:jc w:val="center"/>
                    <w:rPr>
                      <w:rFonts w:hint="default" w:ascii="Times New Roman" w:hAnsi="Times New Roman" w:cs="Times New Roman"/>
                      <w:b w:val="0"/>
                      <w:color w:val="000000"/>
                      <w:sz w:val="21"/>
                      <w:szCs w:val="21"/>
                    </w:rPr>
                  </w:pPr>
                </w:p>
              </w:tc>
              <w:tc>
                <w:tcPr>
                  <w:tcW w:w="1136" w:type="pct"/>
                  <w:tcBorders>
                    <w:tl2br w:val="nil"/>
                    <w:tr2bl w:val="nil"/>
                  </w:tcBorders>
                  <w:shd w:val="clear" w:color="auto" w:fill="FFFFFF"/>
                  <w:vAlign w:val="center"/>
                </w:tcPr>
                <w:p w14:paraId="2C9A38E3">
                  <w:pPr>
                    <w:jc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cs="Times New Roman"/>
                      <w:b w:val="0"/>
                      <w:i w:val="0"/>
                      <w:iCs w:val="0"/>
                      <w:color w:val="000000"/>
                      <w:kern w:val="2"/>
                      <w:sz w:val="21"/>
                      <w:szCs w:val="21"/>
                      <w:u w:val="none"/>
                      <w:lang w:val="en-US" w:eastAsia="zh-CN" w:bidi="ar-SA"/>
                    </w:rPr>
                    <w:t>钛铸件</w:t>
                  </w:r>
                </w:p>
              </w:tc>
              <w:tc>
                <w:tcPr>
                  <w:tcW w:w="675" w:type="pct"/>
                  <w:tcBorders>
                    <w:tl2br w:val="nil"/>
                    <w:tr2bl w:val="nil"/>
                  </w:tcBorders>
                  <w:shd w:val="clear" w:color="auto" w:fill="FFFFFF"/>
                  <w:vAlign w:val="center"/>
                </w:tcPr>
                <w:p w14:paraId="4C662343">
                  <w:pPr>
                    <w:keepNext w:val="0"/>
                    <w:keepLines w:val="0"/>
                    <w:widowControl/>
                    <w:suppressLineNumbers w:val="0"/>
                    <w:spacing w:line="240" w:lineRule="auto"/>
                    <w:jc w:val="center"/>
                    <w:textAlignment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cs="Times New Roman"/>
                      <w:b w:val="0"/>
                      <w:i w:val="0"/>
                      <w:iCs w:val="0"/>
                      <w:color w:val="000000"/>
                      <w:kern w:val="0"/>
                      <w:sz w:val="21"/>
                      <w:szCs w:val="21"/>
                      <w:u w:val="none"/>
                      <w:lang w:val="en-US" w:eastAsia="zh-CN" w:bidi="ar"/>
                    </w:rPr>
                    <w:t>t</w:t>
                  </w:r>
                  <w:r>
                    <w:rPr>
                      <w:rFonts w:hint="default" w:ascii="Times New Roman" w:hAnsi="Times New Roman" w:eastAsia="宋体" w:cs="Times New Roman"/>
                      <w:b w:val="0"/>
                      <w:i w:val="0"/>
                      <w:iCs w:val="0"/>
                      <w:color w:val="000000"/>
                      <w:kern w:val="0"/>
                      <w:sz w:val="21"/>
                      <w:szCs w:val="21"/>
                      <w:u w:val="none"/>
                      <w:lang w:val="en-US" w:eastAsia="zh-CN" w:bidi="ar"/>
                    </w:rPr>
                    <w:t>/</w:t>
                  </w:r>
                  <w:r>
                    <w:rPr>
                      <w:rStyle w:val="39"/>
                      <w:rFonts w:hint="default" w:ascii="Times New Roman" w:hAnsi="Times New Roman" w:cs="Times New Roman"/>
                      <w:b w:val="0"/>
                      <w:color w:val="000000"/>
                      <w:sz w:val="21"/>
                      <w:szCs w:val="21"/>
                      <w:lang w:val="en-US" w:eastAsia="zh-CN" w:bidi="ar"/>
                    </w:rPr>
                    <w:t>a</w:t>
                  </w:r>
                </w:p>
              </w:tc>
              <w:tc>
                <w:tcPr>
                  <w:tcW w:w="663" w:type="pct"/>
                  <w:tcBorders>
                    <w:tl2br w:val="nil"/>
                    <w:tr2bl w:val="nil"/>
                  </w:tcBorders>
                  <w:shd w:val="clear" w:color="auto" w:fill="FFFFFF"/>
                  <w:vAlign w:val="center"/>
                </w:tcPr>
                <w:p w14:paraId="74252187">
                  <w:pPr>
                    <w:keepNext w:val="0"/>
                    <w:keepLines w:val="0"/>
                    <w:widowControl/>
                    <w:suppressLineNumbers w:val="0"/>
                    <w:spacing w:line="240" w:lineRule="auto"/>
                    <w:jc w:val="center"/>
                    <w:textAlignment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cs="Times New Roman"/>
                      <w:b w:val="0"/>
                      <w:i w:val="0"/>
                      <w:iCs w:val="0"/>
                      <w:color w:val="000000"/>
                      <w:kern w:val="2"/>
                      <w:sz w:val="21"/>
                      <w:szCs w:val="21"/>
                      <w:u w:val="none"/>
                      <w:lang w:val="en-US" w:eastAsia="zh-CN" w:bidi="ar-SA"/>
                    </w:rPr>
                    <w:t>340</w:t>
                  </w:r>
                </w:p>
              </w:tc>
              <w:tc>
                <w:tcPr>
                  <w:tcW w:w="2233" w:type="pct"/>
                  <w:tcBorders>
                    <w:tl2br w:val="nil"/>
                    <w:tr2bl w:val="nil"/>
                  </w:tcBorders>
                  <w:shd w:val="clear" w:color="auto" w:fill="FFFFFF"/>
                  <w:vAlign w:val="center"/>
                </w:tcPr>
                <w:p w14:paraId="5CABB62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bCs w:val="0"/>
                      <w:color w:val="000000"/>
                      <w:kern w:val="24"/>
                      <w:sz w:val="21"/>
                      <w:szCs w:val="21"/>
                      <w:lang w:val="en-US" w:eastAsia="zh-CN"/>
                    </w:rPr>
                    <w:t>外部包裹有一层陶瓷</w:t>
                  </w:r>
                  <w:r>
                    <w:rPr>
                      <w:rFonts w:hint="eastAsia" w:cs="Times New Roman"/>
                      <w:b w:val="0"/>
                      <w:bCs w:val="0"/>
                      <w:color w:val="000000"/>
                      <w:kern w:val="24"/>
                      <w:sz w:val="21"/>
                      <w:szCs w:val="21"/>
                      <w:lang w:val="en-US" w:eastAsia="zh-CN"/>
                    </w:rPr>
                    <w:t>外壳</w:t>
                  </w:r>
                </w:p>
              </w:tc>
            </w:tr>
            <w:tr w14:paraId="113BC2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continue"/>
                  <w:tcBorders>
                    <w:tl2br w:val="nil"/>
                    <w:tr2bl w:val="nil"/>
                  </w:tcBorders>
                  <w:shd w:val="clear" w:color="auto" w:fill="FFFFFF"/>
                  <w:vAlign w:val="center"/>
                </w:tcPr>
                <w:p w14:paraId="76CEE38F">
                  <w:pPr>
                    <w:snapToGrid w:val="0"/>
                    <w:spacing w:line="240" w:lineRule="auto"/>
                    <w:jc w:val="center"/>
                    <w:rPr>
                      <w:rFonts w:hint="default" w:ascii="Times New Roman" w:hAnsi="Times New Roman" w:cs="Times New Roman"/>
                      <w:b w:val="0"/>
                      <w:color w:val="000000"/>
                      <w:sz w:val="21"/>
                      <w:szCs w:val="21"/>
                    </w:rPr>
                  </w:pPr>
                </w:p>
              </w:tc>
              <w:tc>
                <w:tcPr>
                  <w:tcW w:w="1136" w:type="pct"/>
                  <w:tcBorders>
                    <w:tl2br w:val="nil"/>
                    <w:tr2bl w:val="nil"/>
                  </w:tcBorders>
                  <w:shd w:val="clear" w:color="auto" w:fill="FFFFFF"/>
                  <w:vAlign w:val="center"/>
                </w:tcPr>
                <w:p w14:paraId="46E66FAE">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color w:val="000000"/>
                      <w:sz w:val="21"/>
                      <w:szCs w:val="21"/>
                      <w:lang w:val="en-US" w:eastAsia="zh-CN" w:bidi="ar-SA"/>
                    </w:rPr>
                    <w:t>千叶轮</w:t>
                  </w:r>
                </w:p>
              </w:tc>
              <w:tc>
                <w:tcPr>
                  <w:tcW w:w="675" w:type="pct"/>
                  <w:tcBorders>
                    <w:tl2br w:val="nil"/>
                    <w:tr2bl w:val="nil"/>
                  </w:tcBorders>
                  <w:shd w:val="clear" w:color="auto" w:fill="FFFFFF"/>
                  <w:vAlign w:val="center"/>
                </w:tcPr>
                <w:p w14:paraId="187FB04B">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color w:val="000000"/>
                      <w:sz w:val="21"/>
                      <w:szCs w:val="21"/>
                      <w:lang w:val="en-US" w:eastAsia="zh-CN" w:bidi="ar-SA"/>
                    </w:rPr>
                    <w:t>个</w:t>
                  </w:r>
                  <w:r>
                    <w:rPr>
                      <w:rFonts w:hint="eastAsia" w:cs="Times New Roman"/>
                      <w:b w:val="0"/>
                      <w:color w:val="000000"/>
                      <w:sz w:val="21"/>
                      <w:szCs w:val="21"/>
                      <w:lang w:val="en-US" w:eastAsia="zh-CN" w:bidi="ar-SA"/>
                    </w:rPr>
                    <w:t>/a</w:t>
                  </w:r>
                </w:p>
              </w:tc>
              <w:tc>
                <w:tcPr>
                  <w:tcW w:w="663" w:type="pct"/>
                  <w:tcBorders>
                    <w:tl2br w:val="nil"/>
                    <w:tr2bl w:val="nil"/>
                  </w:tcBorders>
                  <w:shd w:val="clear" w:color="auto" w:fill="FFFFFF"/>
                  <w:vAlign w:val="center"/>
                </w:tcPr>
                <w:p w14:paraId="40BE5008">
                  <w:pPr>
                    <w:pStyle w:val="45"/>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eastAsia="宋体" w:cs="Times New Roman"/>
                      <w:b w:val="0"/>
                      <w:i w:val="0"/>
                      <w:iCs w:val="0"/>
                      <w:color w:val="000000"/>
                      <w:kern w:val="2"/>
                      <w:sz w:val="21"/>
                      <w:szCs w:val="21"/>
                      <w:u w:val="none"/>
                      <w:lang w:val="en-US" w:eastAsia="zh-CN" w:bidi="ar-SA"/>
                    </w:rPr>
                    <w:t>300</w:t>
                  </w:r>
                </w:p>
              </w:tc>
              <w:tc>
                <w:tcPr>
                  <w:tcW w:w="2233" w:type="pct"/>
                  <w:tcBorders>
                    <w:tl2br w:val="nil"/>
                    <w:tr2bl w:val="nil"/>
                  </w:tcBorders>
                  <w:shd w:val="clear" w:color="auto" w:fill="FFFFFF"/>
                  <w:vAlign w:val="center"/>
                </w:tcPr>
                <w:p w14:paraId="44AB556B">
                  <w:pPr>
                    <w:pStyle w:val="46"/>
                    <w:keepNext w:val="0"/>
                    <w:keepLines w:val="0"/>
                    <w:pageBreakBefore w:val="0"/>
                    <w:kinsoku/>
                    <w:wordWrap/>
                    <w:overflowPunct/>
                    <w:topLinePunct w:val="0"/>
                    <w:autoSpaceDE/>
                    <w:bidi w:val="0"/>
                    <w:spacing w:line="240" w:lineRule="auto"/>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cs="Times New Roman"/>
                      <w:b w:val="0"/>
                      <w:color w:val="000000"/>
                      <w:sz w:val="21"/>
                      <w:szCs w:val="21"/>
                      <w:lang w:val="en-US" w:eastAsia="zh-CN" w:bidi="ar-SA"/>
                    </w:rPr>
                    <w:t>单片重1.5kg</w:t>
                  </w:r>
                </w:p>
              </w:tc>
            </w:tr>
            <w:tr w14:paraId="1DB9F8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continue"/>
                  <w:tcBorders>
                    <w:tl2br w:val="nil"/>
                    <w:tr2bl w:val="nil"/>
                  </w:tcBorders>
                  <w:shd w:val="clear" w:color="auto" w:fill="FFFFFF"/>
                  <w:vAlign w:val="center"/>
                </w:tcPr>
                <w:p w14:paraId="002017FF">
                  <w:pPr>
                    <w:snapToGrid w:val="0"/>
                    <w:spacing w:line="240" w:lineRule="auto"/>
                    <w:jc w:val="center"/>
                    <w:rPr>
                      <w:rFonts w:hint="default" w:ascii="Times New Roman" w:hAnsi="Times New Roman" w:cs="Times New Roman"/>
                      <w:b w:val="0"/>
                      <w:color w:val="000000"/>
                      <w:sz w:val="21"/>
                      <w:szCs w:val="21"/>
                    </w:rPr>
                  </w:pPr>
                </w:p>
              </w:tc>
              <w:tc>
                <w:tcPr>
                  <w:tcW w:w="1136" w:type="pct"/>
                  <w:tcBorders>
                    <w:tl2br w:val="nil"/>
                    <w:tr2bl w:val="nil"/>
                  </w:tcBorders>
                  <w:shd w:val="clear" w:color="auto" w:fill="FFFFFF"/>
                  <w:vAlign w:val="center"/>
                </w:tcPr>
                <w:p w14:paraId="35C9B6D5">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b w:val="0"/>
                      <w:color w:val="000000"/>
                      <w:sz w:val="21"/>
                      <w:szCs w:val="21"/>
                      <w:lang w:val="en-US" w:eastAsia="zh-CN" w:bidi="ar-SA"/>
                    </w:rPr>
                  </w:pPr>
                  <w:r>
                    <w:rPr>
                      <w:rFonts w:hint="eastAsia" w:cs="Times New Roman"/>
                      <w:b w:val="0"/>
                      <w:color w:val="000000"/>
                      <w:sz w:val="21"/>
                      <w:szCs w:val="21"/>
                      <w:lang w:val="en-US" w:eastAsia="zh-CN" w:bidi="ar-SA"/>
                    </w:rPr>
                    <w:t>砂轮</w:t>
                  </w:r>
                </w:p>
              </w:tc>
              <w:tc>
                <w:tcPr>
                  <w:tcW w:w="675" w:type="pct"/>
                  <w:tcBorders>
                    <w:tl2br w:val="nil"/>
                    <w:tr2bl w:val="nil"/>
                  </w:tcBorders>
                  <w:shd w:val="clear" w:color="auto" w:fill="FFFFFF"/>
                  <w:vAlign w:val="center"/>
                </w:tcPr>
                <w:p w14:paraId="1C75B643">
                  <w:pPr>
                    <w:keepNext w:val="0"/>
                    <w:keepLines w:val="0"/>
                    <w:pageBreakBefore w:val="0"/>
                    <w:kinsoku/>
                    <w:wordWrap/>
                    <w:overflowPunct/>
                    <w:topLinePunct w:val="0"/>
                    <w:autoSpaceDE/>
                    <w:bidi w:val="0"/>
                    <w:adjustRightInd w:val="0"/>
                    <w:snapToGrid w:val="0"/>
                    <w:spacing w:line="240" w:lineRule="auto"/>
                    <w:jc w:val="center"/>
                    <w:rPr>
                      <w:rFonts w:hint="eastAsia" w:ascii="Times New Roman" w:hAnsi="Times New Roman" w:eastAsia="宋体" w:cs="Times New Roman"/>
                      <w:b w:val="0"/>
                      <w:color w:val="000000"/>
                      <w:sz w:val="21"/>
                      <w:szCs w:val="21"/>
                      <w:lang w:val="en-US" w:eastAsia="zh-CN" w:bidi="ar-SA"/>
                    </w:rPr>
                  </w:pPr>
                  <w:r>
                    <w:rPr>
                      <w:rFonts w:hint="eastAsia" w:ascii="Times New Roman" w:hAnsi="Times New Roman" w:eastAsia="宋体" w:cs="Times New Roman"/>
                      <w:b w:val="0"/>
                      <w:color w:val="000000"/>
                      <w:sz w:val="21"/>
                      <w:szCs w:val="21"/>
                      <w:lang w:val="en-US" w:eastAsia="zh-CN" w:bidi="ar-SA"/>
                    </w:rPr>
                    <w:t>个</w:t>
                  </w:r>
                  <w:r>
                    <w:rPr>
                      <w:rFonts w:hint="eastAsia" w:cs="Times New Roman"/>
                      <w:b w:val="0"/>
                      <w:color w:val="000000"/>
                      <w:sz w:val="21"/>
                      <w:szCs w:val="21"/>
                      <w:lang w:val="en-US" w:eastAsia="zh-CN" w:bidi="ar-SA"/>
                    </w:rPr>
                    <w:t>/a</w:t>
                  </w:r>
                </w:p>
              </w:tc>
              <w:tc>
                <w:tcPr>
                  <w:tcW w:w="663" w:type="pct"/>
                  <w:tcBorders>
                    <w:tl2br w:val="nil"/>
                    <w:tr2bl w:val="nil"/>
                  </w:tcBorders>
                  <w:shd w:val="clear" w:color="auto" w:fill="FFFFFF"/>
                  <w:vAlign w:val="center"/>
                </w:tcPr>
                <w:p w14:paraId="4C1BC33D">
                  <w:pPr>
                    <w:pStyle w:val="45"/>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b w:val="0"/>
                      <w:color w:val="000000"/>
                      <w:sz w:val="21"/>
                      <w:szCs w:val="21"/>
                      <w:lang w:val="en-US" w:eastAsia="zh-CN" w:bidi="ar-SA"/>
                    </w:rPr>
                  </w:pPr>
                  <w:r>
                    <w:rPr>
                      <w:rFonts w:hint="eastAsia" w:eastAsia="宋体" w:cs="Times New Roman"/>
                      <w:b w:val="0"/>
                      <w:color w:val="000000"/>
                      <w:sz w:val="21"/>
                      <w:szCs w:val="21"/>
                      <w:lang w:val="en-US" w:eastAsia="zh-CN" w:bidi="ar-SA"/>
                    </w:rPr>
                    <w:t>4700</w:t>
                  </w:r>
                </w:p>
              </w:tc>
              <w:tc>
                <w:tcPr>
                  <w:tcW w:w="2233" w:type="pct"/>
                  <w:tcBorders>
                    <w:tl2br w:val="nil"/>
                    <w:tr2bl w:val="nil"/>
                  </w:tcBorders>
                  <w:shd w:val="clear" w:color="auto" w:fill="FFFFFF"/>
                  <w:vAlign w:val="center"/>
                </w:tcPr>
                <w:p w14:paraId="18B16912">
                  <w:pPr>
                    <w:pStyle w:val="46"/>
                    <w:keepNext w:val="0"/>
                    <w:keepLines w:val="0"/>
                    <w:pageBreakBefore w:val="0"/>
                    <w:kinsoku/>
                    <w:wordWrap/>
                    <w:overflowPunct/>
                    <w:topLinePunct w:val="0"/>
                    <w:autoSpaceDE/>
                    <w:bidi w:val="0"/>
                    <w:spacing w:line="240" w:lineRule="auto"/>
                    <w:rPr>
                      <w:rFonts w:hint="default" w:cs="Times New Roman"/>
                      <w:b w:val="0"/>
                      <w:color w:val="000000"/>
                      <w:sz w:val="21"/>
                      <w:szCs w:val="21"/>
                      <w:lang w:val="en-US" w:eastAsia="zh-CN" w:bidi="ar-SA"/>
                    </w:rPr>
                  </w:pPr>
                  <w:r>
                    <w:rPr>
                      <w:rFonts w:hint="eastAsia" w:cs="Times New Roman"/>
                      <w:b w:val="0"/>
                      <w:color w:val="000000"/>
                      <w:sz w:val="21"/>
                      <w:szCs w:val="21"/>
                      <w:lang w:val="en-US" w:eastAsia="zh-CN" w:bidi="ar-SA"/>
                    </w:rPr>
                    <w:t>/</w:t>
                  </w:r>
                </w:p>
              </w:tc>
            </w:tr>
            <w:tr w14:paraId="62365F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continue"/>
                  <w:tcBorders>
                    <w:tl2br w:val="nil"/>
                    <w:tr2bl w:val="nil"/>
                  </w:tcBorders>
                  <w:shd w:val="clear" w:color="auto" w:fill="FFFFFF"/>
                  <w:vAlign w:val="center"/>
                </w:tcPr>
                <w:p w14:paraId="6A5031A6">
                  <w:pPr>
                    <w:pStyle w:val="46"/>
                    <w:keepNext w:val="0"/>
                    <w:keepLines w:val="0"/>
                    <w:pageBreakBefore w:val="0"/>
                    <w:kinsoku/>
                    <w:wordWrap/>
                    <w:overflowPunct/>
                    <w:topLinePunct w:val="0"/>
                    <w:autoSpaceDE/>
                    <w:bidi w:val="0"/>
                    <w:spacing w:line="240" w:lineRule="auto"/>
                    <w:rPr>
                      <w:b w:val="0"/>
                      <w:color w:val="000000"/>
                    </w:rPr>
                  </w:pPr>
                </w:p>
              </w:tc>
              <w:tc>
                <w:tcPr>
                  <w:tcW w:w="1136" w:type="pct"/>
                  <w:tcBorders>
                    <w:tl2br w:val="nil"/>
                    <w:tr2bl w:val="nil"/>
                  </w:tcBorders>
                  <w:shd w:val="clear" w:color="auto" w:fill="FFFFFF"/>
                  <w:vAlign w:val="center"/>
                </w:tcPr>
                <w:p w14:paraId="430DE89D">
                  <w:pPr>
                    <w:pStyle w:val="46"/>
                    <w:keepNext w:val="0"/>
                    <w:keepLines w:val="0"/>
                    <w:pageBreakBefore w:val="0"/>
                    <w:kinsoku/>
                    <w:wordWrap/>
                    <w:overflowPunct/>
                    <w:topLinePunct w:val="0"/>
                    <w:autoSpaceDE/>
                    <w:bidi w:val="0"/>
                    <w:spacing w:line="240" w:lineRule="auto"/>
                    <w:rPr>
                      <w:rFonts w:hint="default" w:ascii="Times New Roman" w:hAnsi="Times New Roman" w:eastAsia="宋体" w:cs="Times New Roman"/>
                      <w:b w:val="0"/>
                      <w:color w:val="000000"/>
                      <w:sz w:val="21"/>
                      <w:szCs w:val="21"/>
                      <w:lang w:val="en-US" w:eastAsia="zh-CN" w:bidi="ar-SA"/>
                    </w:rPr>
                  </w:pPr>
                  <w:r>
                    <w:rPr>
                      <w:rFonts w:hint="eastAsia" w:cs="Times New Roman"/>
                      <w:b w:val="0"/>
                      <w:color w:val="000000"/>
                      <w:sz w:val="21"/>
                      <w:szCs w:val="21"/>
                      <w:lang w:val="en-US" w:eastAsia="zh-CN" w:bidi="ar-SA"/>
                    </w:rPr>
                    <w:t>砂</w:t>
                  </w:r>
                </w:p>
              </w:tc>
              <w:tc>
                <w:tcPr>
                  <w:tcW w:w="675" w:type="pct"/>
                  <w:tcBorders>
                    <w:tl2br w:val="nil"/>
                    <w:tr2bl w:val="nil"/>
                  </w:tcBorders>
                  <w:shd w:val="clear" w:color="auto" w:fill="FFFFFF"/>
                  <w:vAlign w:val="center"/>
                </w:tcPr>
                <w:p w14:paraId="1DDBC3BF">
                  <w:pPr>
                    <w:pStyle w:val="46"/>
                    <w:keepNext w:val="0"/>
                    <w:keepLines w:val="0"/>
                    <w:pageBreakBefore w:val="0"/>
                    <w:kinsoku/>
                    <w:wordWrap/>
                    <w:overflowPunct/>
                    <w:topLinePunct w:val="0"/>
                    <w:autoSpaceDE/>
                    <w:bidi w:val="0"/>
                    <w:spacing w:line="240" w:lineRule="auto"/>
                    <w:rPr>
                      <w:rFonts w:hint="default" w:ascii="Times New Roman" w:hAnsi="Times New Roman" w:eastAsia="宋体" w:cs="Times New Roman"/>
                      <w:b w:val="0"/>
                      <w:color w:val="000000"/>
                      <w:sz w:val="21"/>
                      <w:szCs w:val="21"/>
                      <w:lang w:val="en-US" w:eastAsia="zh-CN" w:bidi="ar-SA"/>
                    </w:rPr>
                  </w:pPr>
                  <w:r>
                    <w:rPr>
                      <w:rFonts w:hint="eastAsia" w:cs="Times New Roman"/>
                      <w:b w:val="0"/>
                      <w:color w:val="000000"/>
                      <w:sz w:val="21"/>
                      <w:szCs w:val="21"/>
                      <w:lang w:val="en-US" w:eastAsia="zh-CN" w:bidi="ar-SA"/>
                    </w:rPr>
                    <w:t>t/a</w:t>
                  </w:r>
                </w:p>
              </w:tc>
              <w:tc>
                <w:tcPr>
                  <w:tcW w:w="663" w:type="pct"/>
                  <w:tcBorders>
                    <w:tl2br w:val="nil"/>
                    <w:tr2bl w:val="nil"/>
                  </w:tcBorders>
                  <w:shd w:val="clear" w:color="auto" w:fill="FFFFFF"/>
                  <w:vAlign w:val="center"/>
                </w:tcPr>
                <w:p w14:paraId="152C6463">
                  <w:pPr>
                    <w:pStyle w:val="46"/>
                    <w:keepNext w:val="0"/>
                    <w:keepLines w:val="0"/>
                    <w:pageBreakBefore w:val="0"/>
                    <w:kinsoku/>
                    <w:wordWrap/>
                    <w:overflowPunct/>
                    <w:topLinePunct w:val="0"/>
                    <w:autoSpaceDE/>
                    <w:bidi w:val="0"/>
                    <w:spacing w:line="240" w:lineRule="auto"/>
                    <w:rPr>
                      <w:rFonts w:hint="default" w:ascii="Times New Roman" w:hAnsi="Times New Roman" w:eastAsia="宋体" w:cs="Times New Roman"/>
                      <w:b w:val="0"/>
                      <w:color w:val="000000"/>
                      <w:sz w:val="21"/>
                      <w:szCs w:val="21"/>
                      <w:lang w:val="en-US" w:eastAsia="zh-CN" w:bidi="ar-SA"/>
                    </w:rPr>
                  </w:pPr>
                  <w:r>
                    <w:rPr>
                      <w:rFonts w:hint="eastAsia" w:cs="Times New Roman"/>
                      <w:b w:val="0"/>
                      <w:color w:val="000000"/>
                      <w:sz w:val="21"/>
                      <w:szCs w:val="21"/>
                      <w:lang w:val="en-US" w:eastAsia="zh-CN" w:bidi="ar-SA"/>
                    </w:rPr>
                    <w:t>0.5</w:t>
                  </w:r>
                </w:p>
              </w:tc>
              <w:tc>
                <w:tcPr>
                  <w:tcW w:w="2233" w:type="pct"/>
                  <w:tcBorders>
                    <w:tl2br w:val="nil"/>
                    <w:tr2bl w:val="nil"/>
                  </w:tcBorders>
                  <w:shd w:val="clear" w:color="auto" w:fill="FFFFFF"/>
                  <w:vAlign w:val="center"/>
                </w:tcPr>
                <w:p w14:paraId="7C8D3D5D">
                  <w:pPr>
                    <w:pStyle w:val="46"/>
                    <w:keepNext w:val="0"/>
                    <w:keepLines w:val="0"/>
                    <w:pageBreakBefore w:val="0"/>
                    <w:kinsoku/>
                    <w:wordWrap/>
                    <w:overflowPunct/>
                    <w:topLinePunct w:val="0"/>
                    <w:autoSpaceDE/>
                    <w:bidi w:val="0"/>
                    <w:spacing w:line="240" w:lineRule="auto"/>
                    <w:rPr>
                      <w:rFonts w:hint="default" w:ascii="Times New Roman" w:hAnsi="Times New Roman" w:eastAsia="宋体" w:cs="Times New Roman"/>
                      <w:b w:val="0"/>
                      <w:color w:val="000000"/>
                      <w:sz w:val="21"/>
                      <w:szCs w:val="21"/>
                      <w:lang w:val="en-US" w:eastAsia="zh-CN" w:bidi="ar-SA"/>
                    </w:rPr>
                  </w:pPr>
                  <w:r>
                    <w:rPr>
                      <w:rFonts w:hint="eastAsia" w:cs="Times New Roman"/>
                      <w:b w:val="0"/>
                      <w:color w:val="000000"/>
                      <w:sz w:val="21"/>
                      <w:szCs w:val="21"/>
                      <w:lang w:val="en-US" w:eastAsia="zh-CN" w:bidi="ar-SA"/>
                    </w:rPr>
                    <w:t>/</w:t>
                  </w:r>
                </w:p>
              </w:tc>
            </w:tr>
            <w:tr w14:paraId="386BF1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continue"/>
                  <w:tcBorders>
                    <w:tl2br w:val="nil"/>
                    <w:tr2bl w:val="nil"/>
                  </w:tcBorders>
                  <w:shd w:val="clear" w:color="auto" w:fill="FFFFFF"/>
                  <w:vAlign w:val="center"/>
                </w:tcPr>
                <w:p w14:paraId="7E9E37B7">
                  <w:pPr>
                    <w:pStyle w:val="46"/>
                    <w:keepNext w:val="0"/>
                    <w:keepLines w:val="0"/>
                    <w:pageBreakBefore w:val="0"/>
                    <w:kinsoku/>
                    <w:wordWrap/>
                    <w:overflowPunct/>
                    <w:topLinePunct w:val="0"/>
                    <w:autoSpaceDE/>
                    <w:bidi w:val="0"/>
                    <w:spacing w:line="240" w:lineRule="auto"/>
                    <w:rPr>
                      <w:b w:val="0"/>
                      <w:color w:val="000000"/>
                    </w:rPr>
                  </w:pPr>
                </w:p>
              </w:tc>
              <w:tc>
                <w:tcPr>
                  <w:tcW w:w="1136" w:type="pct"/>
                  <w:tcBorders>
                    <w:tl2br w:val="nil"/>
                    <w:tr2bl w:val="nil"/>
                  </w:tcBorders>
                  <w:shd w:val="clear" w:color="auto" w:fill="FFFFFF"/>
                  <w:vAlign w:val="center"/>
                </w:tcPr>
                <w:p w14:paraId="65B015EE">
                  <w:pPr>
                    <w:pStyle w:val="46"/>
                    <w:keepNext w:val="0"/>
                    <w:keepLines w:val="0"/>
                    <w:pageBreakBefore w:val="0"/>
                    <w:kinsoku/>
                    <w:wordWrap/>
                    <w:overflowPunct/>
                    <w:topLinePunct w:val="0"/>
                    <w:autoSpaceDE/>
                    <w:bidi w:val="0"/>
                    <w:spacing w:line="240" w:lineRule="auto"/>
                    <w:rPr>
                      <w:rFonts w:hint="default" w:cs="Times New Roman"/>
                      <w:b w:val="0"/>
                      <w:color w:val="000000"/>
                      <w:sz w:val="21"/>
                      <w:szCs w:val="21"/>
                      <w:lang w:val="en-US" w:eastAsia="zh-CN" w:bidi="ar-SA"/>
                    </w:rPr>
                  </w:pPr>
                  <w:r>
                    <w:rPr>
                      <w:rFonts w:hint="eastAsia" w:cs="Times New Roman"/>
                      <w:b w:val="0"/>
                      <w:color w:val="000000"/>
                      <w:sz w:val="21"/>
                      <w:szCs w:val="21"/>
                      <w:lang w:val="en-US" w:eastAsia="zh-CN" w:bidi="ar-SA"/>
                    </w:rPr>
                    <w:t>润滑油</w:t>
                  </w:r>
                </w:p>
              </w:tc>
              <w:tc>
                <w:tcPr>
                  <w:tcW w:w="675" w:type="pct"/>
                  <w:tcBorders>
                    <w:tl2br w:val="nil"/>
                    <w:tr2bl w:val="nil"/>
                  </w:tcBorders>
                  <w:shd w:val="clear" w:color="auto" w:fill="FFFFFF"/>
                  <w:vAlign w:val="center"/>
                </w:tcPr>
                <w:p w14:paraId="07250945">
                  <w:pPr>
                    <w:pStyle w:val="46"/>
                    <w:keepNext w:val="0"/>
                    <w:keepLines w:val="0"/>
                    <w:pageBreakBefore w:val="0"/>
                    <w:kinsoku/>
                    <w:wordWrap/>
                    <w:overflowPunct/>
                    <w:topLinePunct w:val="0"/>
                    <w:autoSpaceDE/>
                    <w:bidi w:val="0"/>
                    <w:spacing w:line="240" w:lineRule="auto"/>
                    <w:rPr>
                      <w:rFonts w:hint="eastAsia" w:cs="Times New Roman"/>
                      <w:b w:val="0"/>
                      <w:color w:val="000000"/>
                      <w:sz w:val="21"/>
                      <w:szCs w:val="21"/>
                      <w:lang w:val="en-US" w:eastAsia="zh-CN" w:bidi="ar-SA"/>
                    </w:rPr>
                  </w:pPr>
                  <w:r>
                    <w:rPr>
                      <w:rFonts w:hint="eastAsia" w:cs="Times New Roman"/>
                      <w:b w:val="0"/>
                      <w:color w:val="000000"/>
                      <w:sz w:val="21"/>
                      <w:szCs w:val="21"/>
                      <w:lang w:val="en-US" w:eastAsia="zh-CN" w:bidi="ar-SA"/>
                    </w:rPr>
                    <w:t>t/a</w:t>
                  </w:r>
                </w:p>
              </w:tc>
              <w:tc>
                <w:tcPr>
                  <w:tcW w:w="663" w:type="pct"/>
                  <w:tcBorders>
                    <w:tl2br w:val="nil"/>
                    <w:tr2bl w:val="nil"/>
                  </w:tcBorders>
                  <w:shd w:val="clear" w:color="auto" w:fill="FFFFFF"/>
                  <w:vAlign w:val="center"/>
                </w:tcPr>
                <w:p w14:paraId="7B7BD10D">
                  <w:pPr>
                    <w:pStyle w:val="46"/>
                    <w:keepNext w:val="0"/>
                    <w:keepLines w:val="0"/>
                    <w:pageBreakBefore w:val="0"/>
                    <w:kinsoku/>
                    <w:wordWrap/>
                    <w:overflowPunct/>
                    <w:topLinePunct w:val="0"/>
                    <w:autoSpaceDE/>
                    <w:bidi w:val="0"/>
                    <w:spacing w:line="240" w:lineRule="auto"/>
                    <w:rPr>
                      <w:rFonts w:hint="default" w:cs="Times New Roman"/>
                      <w:b w:val="0"/>
                      <w:color w:val="000000"/>
                      <w:sz w:val="21"/>
                      <w:szCs w:val="21"/>
                      <w:lang w:val="en-US" w:eastAsia="zh-CN" w:bidi="ar-SA"/>
                    </w:rPr>
                  </w:pPr>
                  <w:r>
                    <w:rPr>
                      <w:rFonts w:hint="eastAsia" w:cs="Times New Roman"/>
                      <w:b w:val="0"/>
                      <w:color w:val="000000"/>
                      <w:sz w:val="21"/>
                      <w:szCs w:val="21"/>
                      <w:lang w:val="en-US" w:eastAsia="zh-CN" w:bidi="ar-SA"/>
                    </w:rPr>
                    <w:t>0.5</w:t>
                  </w:r>
                </w:p>
              </w:tc>
              <w:tc>
                <w:tcPr>
                  <w:tcW w:w="2233" w:type="pct"/>
                  <w:tcBorders>
                    <w:tl2br w:val="nil"/>
                    <w:tr2bl w:val="nil"/>
                  </w:tcBorders>
                  <w:shd w:val="clear" w:color="auto" w:fill="FFFFFF"/>
                  <w:vAlign w:val="center"/>
                </w:tcPr>
                <w:p w14:paraId="2BE2D444">
                  <w:pPr>
                    <w:pStyle w:val="46"/>
                    <w:keepNext w:val="0"/>
                    <w:keepLines w:val="0"/>
                    <w:pageBreakBefore w:val="0"/>
                    <w:kinsoku/>
                    <w:wordWrap/>
                    <w:overflowPunct/>
                    <w:topLinePunct w:val="0"/>
                    <w:autoSpaceDE/>
                    <w:bidi w:val="0"/>
                    <w:spacing w:line="240" w:lineRule="auto"/>
                    <w:rPr>
                      <w:rFonts w:hint="eastAsia" w:cs="Times New Roman"/>
                      <w:b w:val="0"/>
                      <w:color w:val="000000"/>
                      <w:sz w:val="21"/>
                      <w:szCs w:val="21"/>
                      <w:lang w:val="en-US" w:eastAsia="zh-CN" w:bidi="ar-SA"/>
                    </w:rPr>
                  </w:pPr>
                </w:p>
              </w:tc>
            </w:tr>
            <w:tr w14:paraId="39A5D4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restart"/>
                  <w:tcBorders>
                    <w:tl2br w:val="nil"/>
                    <w:tr2bl w:val="nil"/>
                  </w:tcBorders>
                  <w:shd w:val="clear" w:color="auto" w:fill="FFFFFF"/>
                  <w:vAlign w:val="center"/>
                </w:tcPr>
                <w:p w14:paraId="500E76AF">
                  <w:pPr>
                    <w:snapToGrid w:val="0"/>
                    <w:spacing w:line="240" w:lineRule="auto"/>
                    <w:jc w:val="center"/>
                    <w:rPr>
                      <w:rFonts w:hint="default" w:ascii="Times New Roman" w:hAnsi="Times New Roman" w:cs="Times New Roman"/>
                      <w:b w:val="0"/>
                      <w:color w:val="000000"/>
                      <w:sz w:val="21"/>
                      <w:szCs w:val="21"/>
                    </w:rPr>
                  </w:pPr>
                  <w:r>
                    <w:rPr>
                      <w:rFonts w:hint="default" w:ascii="Times New Roman" w:hAnsi="Times New Roman" w:cs="Times New Roman"/>
                      <w:b w:val="0"/>
                      <w:color w:val="000000"/>
                      <w:sz w:val="21"/>
                      <w:szCs w:val="21"/>
                    </w:rPr>
                    <w:t>能源</w:t>
                  </w:r>
                </w:p>
              </w:tc>
              <w:tc>
                <w:tcPr>
                  <w:tcW w:w="1136" w:type="pct"/>
                  <w:tcBorders>
                    <w:tl2br w:val="nil"/>
                    <w:tr2bl w:val="nil"/>
                  </w:tcBorders>
                  <w:shd w:val="clear" w:color="auto" w:fill="FFFFFF"/>
                  <w:vAlign w:val="center"/>
                </w:tcPr>
                <w:p w14:paraId="3CCE41FD">
                  <w:pPr>
                    <w:snapToGrid w:val="0"/>
                    <w:spacing w:line="240" w:lineRule="auto"/>
                    <w:jc w:val="center"/>
                    <w:rPr>
                      <w:rFonts w:hint="default" w:ascii="Times New Roman" w:hAnsi="Times New Roman" w:cs="Times New Roman"/>
                      <w:b w:val="0"/>
                      <w:color w:val="000000"/>
                      <w:sz w:val="21"/>
                      <w:szCs w:val="21"/>
                      <w:highlight w:val="none"/>
                    </w:rPr>
                  </w:pPr>
                  <w:r>
                    <w:rPr>
                      <w:rFonts w:hint="default" w:ascii="Times New Roman" w:hAnsi="Times New Roman" w:cs="Times New Roman"/>
                      <w:b w:val="0"/>
                      <w:color w:val="000000"/>
                      <w:sz w:val="21"/>
                      <w:szCs w:val="21"/>
                      <w:highlight w:val="none"/>
                    </w:rPr>
                    <w:t>水</w:t>
                  </w:r>
                </w:p>
              </w:tc>
              <w:tc>
                <w:tcPr>
                  <w:tcW w:w="675" w:type="pct"/>
                  <w:tcBorders>
                    <w:tl2br w:val="nil"/>
                    <w:tr2bl w:val="nil"/>
                  </w:tcBorders>
                  <w:shd w:val="clear" w:color="auto" w:fill="FFFFFF"/>
                  <w:vAlign w:val="center"/>
                </w:tcPr>
                <w:p w14:paraId="33F402CA">
                  <w:pPr>
                    <w:snapToGrid w:val="0"/>
                    <w:spacing w:line="240" w:lineRule="auto"/>
                    <w:jc w:val="center"/>
                    <w:rPr>
                      <w:rFonts w:hint="default" w:ascii="Times New Roman" w:hAnsi="Times New Roman" w:cs="Times New Roman" w:eastAsiaTheme="minorEastAsia"/>
                      <w:b w:val="0"/>
                      <w:color w:val="000000"/>
                      <w:sz w:val="21"/>
                      <w:szCs w:val="21"/>
                      <w:highlight w:val="none"/>
                      <w:lang w:eastAsia="zh-CN"/>
                    </w:rPr>
                  </w:pPr>
                  <w:r>
                    <w:rPr>
                      <w:rFonts w:hint="eastAsia" w:cs="Times New Roman"/>
                      <w:b w:val="0"/>
                      <w:i w:val="0"/>
                      <w:iCs w:val="0"/>
                      <w:color w:val="000000"/>
                      <w:kern w:val="0"/>
                      <w:sz w:val="21"/>
                      <w:szCs w:val="21"/>
                      <w:highlight w:val="none"/>
                      <w:u w:val="none"/>
                      <w:lang w:val="en-US" w:eastAsia="zh-CN" w:bidi="ar"/>
                    </w:rPr>
                    <w:t>m</w:t>
                  </w:r>
                  <w:r>
                    <w:rPr>
                      <w:rFonts w:hint="eastAsia" w:cs="Times New Roman"/>
                      <w:b w:val="0"/>
                      <w:i w:val="0"/>
                      <w:iCs w:val="0"/>
                      <w:color w:val="000000"/>
                      <w:kern w:val="0"/>
                      <w:sz w:val="21"/>
                      <w:szCs w:val="21"/>
                      <w:highlight w:val="none"/>
                      <w:u w:val="none"/>
                      <w:vertAlign w:val="superscript"/>
                      <w:lang w:val="en-US" w:eastAsia="zh-CN" w:bidi="ar"/>
                    </w:rPr>
                    <w:t>3</w:t>
                  </w:r>
                  <w:r>
                    <w:rPr>
                      <w:rFonts w:hint="default" w:ascii="Times New Roman" w:hAnsi="Times New Roman" w:eastAsia="宋体" w:cs="Times New Roman"/>
                      <w:b w:val="0"/>
                      <w:i w:val="0"/>
                      <w:iCs w:val="0"/>
                      <w:color w:val="000000"/>
                      <w:kern w:val="0"/>
                      <w:sz w:val="21"/>
                      <w:szCs w:val="21"/>
                      <w:highlight w:val="none"/>
                      <w:u w:val="none"/>
                      <w:lang w:val="en-US" w:eastAsia="zh-CN" w:bidi="ar"/>
                    </w:rPr>
                    <w:t>/</w:t>
                  </w:r>
                  <w:r>
                    <w:rPr>
                      <w:rStyle w:val="39"/>
                      <w:rFonts w:hint="default" w:ascii="Times New Roman" w:hAnsi="Times New Roman" w:cs="Times New Roman"/>
                      <w:b w:val="0"/>
                      <w:color w:val="000000"/>
                      <w:sz w:val="21"/>
                      <w:szCs w:val="21"/>
                      <w:highlight w:val="none"/>
                      <w:lang w:val="en-US" w:eastAsia="zh-CN" w:bidi="ar"/>
                    </w:rPr>
                    <w:t>a</w:t>
                  </w:r>
                </w:p>
              </w:tc>
              <w:tc>
                <w:tcPr>
                  <w:tcW w:w="663" w:type="pct"/>
                  <w:tcBorders>
                    <w:tl2br w:val="nil"/>
                    <w:tr2bl w:val="nil"/>
                  </w:tcBorders>
                  <w:shd w:val="clear" w:color="auto" w:fill="FFFFFF"/>
                  <w:vAlign w:val="center"/>
                </w:tcPr>
                <w:p w14:paraId="0E99B733">
                  <w:pPr>
                    <w:snapToGrid w:val="0"/>
                    <w:spacing w:line="240" w:lineRule="auto"/>
                    <w:jc w:val="center"/>
                    <w:rPr>
                      <w:rFonts w:hint="default" w:ascii="Times New Roman" w:hAnsi="Times New Roman" w:eastAsia="宋体" w:cs="Times New Roman"/>
                      <w:b w:val="0"/>
                      <w:color w:val="000000"/>
                      <w:sz w:val="21"/>
                      <w:szCs w:val="21"/>
                      <w:highlight w:val="none"/>
                      <w:lang w:val="en-US" w:eastAsia="zh-CN"/>
                    </w:rPr>
                  </w:pPr>
                  <w:r>
                    <w:rPr>
                      <w:rFonts w:hint="eastAsia" w:cs="Times New Roman"/>
                      <w:b w:val="0"/>
                      <w:color w:val="000000"/>
                      <w:sz w:val="21"/>
                      <w:szCs w:val="21"/>
                      <w:highlight w:val="none"/>
                      <w:lang w:val="en-US" w:eastAsia="zh-CN"/>
                    </w:rPr>
                    <w:t>1380</w:t>
                  </w:r>
                </w:p>
              </w:tc>
              <w:tc>
                <w:tcPr>
                  <w:tcW w:w="2233" w:type="pct"/>
                  <w:tcBorders>
                    <w:tl2br w:val="nil"/>
                    <w:tr2bl w:val="nil"/>
                  </w:tcBorders>
                  <w:shd w:val="clear" w:color="auto" w:fill="FFFFFF"/>
                  <w:vAlign w:val="center"/>
                </w:tcPr>
                <w:p w14:paraId="2D5E8638">
                  <w:pPr>
                    <w:snapToGrid w:val="0"/>
                    <w:spacing w:line="240" w:lineRule="auto"/>
                    <w:jc w:val="center"/>
                    <w:rPr>
                      <w:rFonts w:hint="default" w:ascii="Times New Roman" w:hAnsi="Times New Roman" w:cs="Times New Roman"/>
                      <w:b w:val="0"/>
                      <w:color w:val="000000"/>
                      <w:sz w:val="21"/>
                      <w:szCs w:val="21"/>
                      <w:lang w:val="en-US" w:eastAsia="zh-CN"/>
                    </w:rPr>
                  </w:pPr>
                  <w:r>
                    <w:rPr>
                      <w:rFonts w:hint="eastAsia" w:cs="Times New Roman"/>
                      <w:b w:val="0"/>
                      <w:color w:val="000000"/>
                      <w:sz w:val="21"/>
                      <w:szCs w:val="21"/>
                      <w:lang w:val="en-US" w:eastAsia="zh-CN"/>
                    </w:rPr>
                    <w:t>/</w:t>
                  </w:r>
                </w:p>
              </w:tc>
            </w:tr>
            <w:tr w14:paraId="567873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91" w:type="pct"/>
                  <w:vMerge w:val="continue"/>
                  <w:tcBorders>
                    <w:tl2br w:val="nil"/>
                    <w:tr2bl w:val="nil"/>
                  </w:tcBorders>
                  <w:shd w:val="clear" w:color="auto" w:fill="FFFFFF"/>
                  <w:vAlign w:val="center"/>
                </w:tcPr>
                <w:p w14:paraId="52A6EF4F">
                  <w:pPr>
                    <w:snapToGrid w:val="0"/>
                    <w:spacing w:line="240" w:lineRule="auto"/>
                    <w:jc w:val="center"/>
                    <w:rPr>
                      <w:b w:val="0"/>
                      <w:color w:val="000000"/>
                    </w:rPr>
                  </w:pPr>
                </w:p>
              </w:tc>
              <w:tc>
                <w:tcPr>
                  <w:tcW w:w="1136" w:type="pct"/>
                  <w:tcBorders>
                    <w:tl2br w:val="nil"/>
                    <w:tr2bl w:val="nil"/>
                  </w:tcBorders>
                  <w:shd w:val="clear" w:color="auto" w:fill="FFFFFF"/>
                  <w:vAlign w:val="center"/>
                </w:tcPr>
                <w:p w14:paraId="19684747">
                  <w:pPr>
                    <w:snapToGrid w:val="0"/>
                    <w:spacing w:line="240" w:lineRule="auto"/>
                    <w:jc w:val="center"/>
                    <w:rPr>
                      <w:rFonts w:hint="default" w:ascii="Times New Roman" w:hAnsi="Times New Roman" w:cs="Times New Roman"/>
                      <w:b w:val="0"/>
                      <w:color w:val="000000"/>
                      <w:sz w:val="21"/>
                      <w:szCs w:val="21"/>
                      <w:highlight w:val="none"/>
                    </w:rPr>
                  </w:pPr>
                  <w:r>
                    <w:rPr>
                      <w:rFonts w:hint="default" w:ascii="Times New Roman" w:hAnsi="Times New Roman" w:cs="Times New Roman"/>
                      <w:b w:val="0"/>
                      <w:color w:val="000000"/>
                      <w:sz w:val="21"/>
                      <w:szCs w:val="21"/>
                      <w:highlight w:val="none"/>
                    </w:rPr>
                    <w:t>电</w:t>
                  </w:r>
                </w:p>
              </w:tc>
              <w:tc>
                <w:tcPr>
                  <w:tcW w:w="675" w:type="pct"/>
                  <w:tcBorders>
                    <w:tl2br w:val="nil"/>
                    <w:tr2bl w:val="nil"/>
                  </w:tcBorders>
                  <w:shd w:val="clear" w:color="auto" w:fill="FFFFFF"/>
                  <w:vAlign w:val="center"/>
                </w:tcPr>
                <w:p w14:paraId="1F17BE23">
                  <w:pPr>
                    <w:snapToGrid w:val="0"/>
                    <w:spacing w:line="240" w:lineRule="auto"/>
                    <w:jc w:val="center"/>
                    <w:rPr>
                      <w:rFonts w:hint="default" w:ascii="Times New Roman" w:hAnsi="Times New Roman" w:cs="Times New Roman"/>
                      <w:b w:val="0"/>
                      <w:color w:val="000000"/>
                      <w:sz w:val="21"/>
                      <w:szCs w:val="21"/>
                      <w:highlight w:val="none"/>
                    </w:rPr>
                  </w:pPr>
                  <w:r>
                    <w:rPr>
                      <w:rFonts w:hint="eastAsia" w:cs="Times New Roman"/>
                      <w:b w:val="0"/>
                      <w:color w:val="000000"/>
                      <w:sz w:val="21"/>
                      <w:szCs w:val="21"/>
                      <w:highlight w:val="none"/>
                      <w:lang w:val="en-US" w:eastAsia="zh-CN"/>
                    </w:rPr>
                    <w:t>万</w:t>
                  </w:r>
                  <w:r>
                    <w:rPr>
                      <w:rFonts w:hint="default" w:ascii="Times New Roman" w:hAnsi="Times New Roman" w:cs="Times New Roman"/>
                      <w:b w:val="0"/>
                      <w:color w:val="000000"/>
                      <w:sz w:val="21"/>
                      <w:szCs w:val="21"/>
                      <w:highlight w:val="none"/>
                    </w:rPr>
                    <w:t>度/年</w:t>
                  </w:r>
                </w:p>
              </w:tc>
              <w:tc>
                <w:tcPr>
                  <w:tcW w:w="663" w:type="pct"/>
                  <w:tcBorders>
                    <w:tl2br w:val="nil"/>
                    <w:tr2bl w:val="nil"/>
                  </w:tcBorders>
                  <w:shd w:val="clear" w:color="auto" w:fill="FFFFFF"/>
                  <w:vAlign w:val="center"/>
                </w:tcPr>
                <w:p w14:paraId="53BEEFF9">
                  <w:pPr>
                    <w:snapToGrid w:val="0"/>
                    <w:spacing w:line="240" w:lineRule="auto"/>
                    <w:jc w:val="center"/>
                    <w:rPr>
                      <w:rFonts w:hint="default" w:ascii="Times New Roman" w:hAnsi="Times New Roman" w:eastAsia="宋体" w:cs="Times New Roman"/>
                      <w:b w:val="0"/>
                      <w:color w:val="000000"/>
                      <w:sz w:val="21"/>
                      <w:szCs w:val="21"/>
                      <w:highlight w:val="yellow"/>
                      <w:lang w:val="en-US" w:eastAsia="zh-CN"/>
                    </w:rPr>
                  </w:pPr>
                  <w:r>
                    <w:rPr>
                      <w:rFonts w:hint="eastAsia" w:cs="Times New Roman"/>
                      <w:b w:val="0"/>
                      <w:color w:val="000000"/>
                      <w:sz w:val="21"/>
                      <w:szCs w:val="21"/>
                      <w:lang w:val="en-US" w:eastAsia="zh-CN"/>
                    </w:rPr>
                    <w:t>95</w:t>
                  </w:r>
                </w:p>
              </w:tc>
              <w:tc>
                <w:tcPr>
                  <w:tcW w:w="2233" w:type="pct"/>
                  <w:tcBorders>
                    <w:tl2br w:val="nil"/>
                    <w:tr2bl w:val="nil"/>
                  </w:tcBorders>
                  <w:shd w:val="clear" w:color="auto" w:fill="FFFFFF"/>
                  <w:vAlign w:val="center"/>
                </w:tcPr>
                <w:p w14:paraId="568A0372">
                  <w:pPr>
                    <w:snapToGrid w:val="0"/>
                    <w:spacing w:line="240" w:lineRule="auto"/>
                    <w:jc w:val="center"/>
                    <w:rPr>
                      <w:rFonts w:hint="default" w:ascii="Times New Roman" w:hAnsi="Times New Roman" w:eastAsia="宋体" w:cs="Times New Roman"/>
                      <w:b w:val="0"/>
                      <w:color w:val="000000"/>
                      <w:sz w:val="21"/>
                      <w:szCs w:val="21"/>
                      <w:lang w:val="en-US" w:eastAsia="zh-CN"/>
                    </w:rPr>
                  </w:pPr>
                  <w:r>
                    <w:rPr>
                      <w:rFonts w:hint="eastAsia" w:cs="Times New Roman"/>
                      <w:b w:val="0"/>
                      <w:color w:val="000000"/>
                      <w:sz w:val="21"/>
                      <w:szCs w:val="21"/>
                      <w:lang w:val="en-US" w:eastAsia="zh-CN"/>
                    </w:rPr>
                    <w:t>/</w:t>
                  </w:r>
                </w:p>
              </w:tc>
            </w:tr>
          </w:tbl>
          <w:p w14:paraId="1E724EFC">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leftChars="0"/>
              <w:textAlignment w:val="auto"/>
              <w:rPr>
                <w:rFonts w:hint="eastAsia" w:ascii="Times New Roman" w:hAnsi="Times New Roman" w:eastAsia="宋体" w:cs="Times New Roman"/>
                <w:b/>
                <w:color w:val="auto"/>
                <w:kern w:val="0"/>
                <w:sz w:val="24"/>
                <w:szCs w:val="20"/>
                <w:lang w:val="en-US" w:eastAsia="zh-CN"/>
              </w:rPr>
            </w:pPr>
            <w:r>
              <w:rPr>
                <w:rFonts w:hint="eastAsia" w:ascii="Times New Roman" w:hAnsi="Times New Roman" w:eastAsia="宋体" w:cs="Times New Roman"/>
                <w:b/>
                <w:color w:val="auto"/>
                <w:kern w:val="0"/>
                <w:sz w:val="24"/>
                <w:szCs w:val="20"/>
                <w:lang w:val="en-US" w:eastAsia="zh-CN"/>
              </w:rPr>
              <w:t>6、主要工艺设备</w:t>
            </w:r>
          </w:p>
          <w:p w14:paraId="3ECE41D4">
            <w:pPr>
              <w:spacing w:line="360" w:lineRule="auto"/>
              <w:ind w:firstLine="480" w:firstLineChars="200"/>
              <w:rPr>
                <w:color w:val="auto"/>
                <w:kern w:val="0"/>
                <w:sz w:val="24"/>
                <w:szCs w:val="20"/>
              </w:rPr>
            </w:pPr>
            <w:r>
              <w:rPr>
                <w:color w:val="auto"/>
                <w:kern w:val="0"/>
                <w:sz w:val="24"/>
                <w:szCs w:val="20"/>
              </w:rPr>
              <w:t>本项目主要设备清单见下表</w:t>
            </w:r>
            <w:r>
              <w:rPr>
                <w:rFonts w:hint="eastAsia"/>
                <w:color w:val="auto"/>
                <w:kern w:val="0"/>
                <w:sz w:val="24"/>
                <w:szCs w:val="20"/>
              </w:rPr>
              <w:t>2-</w:t>
            </w:r>
            <w:r>
              <w:rPr>
                <w:rFonts w:hint="eastAsia"/>
                <w:color w:val="auto"/>
                <w:kern w:val="0"/>
                <w:sz w:val="24"/>
                <w:szCs w:val="20"/>
                <w:lang w:val="en-US" w:eastAsia="zh-CN"/>
              </w:rPr>
              <w:t>4</w:t>
            </w:r>
            <w:r>
              <w:rPr>
                <w:color w:val="auto"/>
                <w:kern w:val="0"/>
                <w:sz w:val="24"/>
                <w:szCs w:val="20"/>
              </w:rPr>
              <w:t>。</w:t>
            </w:r>
          </w:p>
          <w:p w14:paraId="4D698C7F">
            <w:pPr>
              <w:autoSpaceDE w:val="0"/>
              <w:autoSpaceDN w:val="0"/>
              <w:jc w:val="center"/>
              <w:rPr>
                <w:b/>
                <w:color w:val="auto"/>
                <w:szCs w:val="21"/>
                <w:lang w:val="zh-CN"/>
              </w:rPr>
            </w:pPr>
            <w:r>
              <w:rPr>
                <w:b/>
                <w:color w:val="auto"/>
                <w:szCs w:val="21"/>
                <w:lang w:val="zh-CN"/>
              </w:rPr>
              <w:t>表</w:t>
            </w:r>
            <w:r>
              <w:rPr>
                <w:rFonts w:hint="eastAsia"/>
                <w:b/>
                <w:color w:val="auto"/>
                <w:szCs w:val="21"/>
              </w:rPr>
              <w:t>2-</w:t>
            </w:r>
            <w:r>
              <w:rPr>
                <w:rFonts w:hint="eastAsia"/>
                <w:b/>
                <w:color w:val="auto"/>
                <w:szCs w:val="21"/>
                <w:lang w:val="en-US" w:eastAsia="zh-CN"/>
              </w:rPr>
              <w:t>4</w:t>
            </w:r>
            <w:r>
              <w:rPr>
                <w:rFonts w:hint="eastAsia"/>
                <w:b/>
                <w:color w:val="auto"/>
                <w:szCs w:val="21"/>
              </w:rPr>
              <w:t xml:space="preserve">   </w:t>
            </w:r>
            <w:r>
              <w:rPr>
                <w:b/>
                <w:color w:val="auto"/>
                <w:szCs w:val="21"/>
                <w:lang w:val="zh-CN"/>
              </w:rPr>
              <w:t>主要生产设备清单</w:t>
            </w:r>
          </w:p>
          <w:tbl>
            <w:tblPr>
              <w:tblStyle w:val="25"/>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61"/>
              <w:gridCol w:w="2084"/>
              <w:gridCol w:w="1992"/>
              <w:gridCol w:w="1018"/>
              <w:gridCol w:w="2412"/>
            </w:tblGrid>
            <w:tr w14:paraId="364974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200ED17C">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序号</w:t>
                  </w:r>
                </w:p>
              </w:tc>
              <w:tc>
                <w:tcPr>
                  <w:tcW w:w="1245" w:type="pct"/>
                  <w:tcBorders>
                    <w:tl2br w:val="nil"/>
                    <w:tr2bl w:val="nil"/>
                  </w:tcBorders>
                  <w:shd w:val="clear" w:color="auto" w:fill="FFFFFF"/>
                  <w:vAlign w:val="center"/>
                </w:tcPr>
                <w:p w14:paraId="04097609">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设备名称</w:t>
                  </w:r>
                </w:p>
              </w:tc>
              <w:tc>
                <w:tcPr>
                  <w:tcW w:w="1190" w:type="pct"/>
                  <w:tcBorders>
                    <w:tl2br w:val="nil"/>
                    <w:tr2bl w:val="nil"/>
                  </w:tcBorders>
                  <w:shd w:val="clear" w:color="auto" w:fill="FFFFFF"/>
                  <w:vAlign w:val="center"/>
                </w:tcPr>
                <w:p w14:paraId="6806CCA2">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数量</w:t>
                  </w:r>
                </w:p>
              </w:tc>
              <w:tc>
                <w:tcPr>
                  <w:tcW w:w="608" w:type="pct"/>
                  <w:tcBorders>
                    <w:tl2br w:val="nil"/>
                    <w:tr2bl w:val="nil"/>
                  </w:tcBorders>
                  <w:shd w:val="clear" w:color="auto" w:fill="FFFFFF"/>
                  <w:vAlign w:val="center"/>
                </w:tcPr>
                <w:p w14:paraId="1B9A938D">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单位</w:t>
                  </w:r>
                </w:p>
              </w:tc>
              <w:tc>
                <w:tcPr>
                  <w:tcW w:w="1440" w:type="pct"/>
                  <w:tcBorders>
                    <w:tl2br w:val="nil"/>
                    <w:tr2bl w:val="nil"/>
                  </w:tcBorders>
                  <w:shd w:val="clear" w:color="auto" w:fill="FFFFFF"/>
                  <w:vAlign w:val="center"/>
                </w:tcPr>
                <w:p w14:paraId="03D140DB">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rPr>
                    <w:t>主要生产设施参数</w:t>
                  </w:r>
                </w:p>
              </w:tc>
            </w:tr>
            <w:tr w14:paraId="57A2AFC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6A292297">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1</w:t>
                  </w:r>
                </w:p>
              </w:tc>
              <w:tc>
                <w:tcPr>
                  <w:tcW w:w="1245" w:type="pct"/>
                  <w:tcBorders>
                    <w:tl2br w:val="nil"/>
                    <w:tr2bl w:val="nil"/>
                  </w:tcBorders>
                  <w:shd w:val="clear" w:color="auto" w:fill="FFFFFF"/>
                  <w:vAlign w:val="center"/>
                </w:tcPr>
                <w:p w14:paraId="64B76847">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color w:val="000000"/>
                      <w:sz w:val="21"/>
                      <w:szCs w:val="21"/>
                      <w:lang w:val="en-US" w:eastAsia="zh-CN"/>
                    </w:rPr>
                    <w:t>打磨砂轮机</w:t>
                  </w:r>
                </w:p>
              </w:tc>
              <w:tc>
                <w:tcPr>
                  <w:tcW w:w="1190" w:type="pct"/>
                  <w:tcBorders>
                    <w:tl2br w:val="nil"/>
                    <w:tr2bl w:val="nil"/>
                  </w:tcBorders>
                  <w:shd w:val="clear" w:color="auto" w:fill="FFFFFF"/>
                  <w:vAlign w:val="center"/>
                </w:tcPr>
                <w:p w14:paraId="08AF51D7">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22</w:t>
                  </w:r>
                </w:p>
              </w:tc>
              <w:tc>
                <w:tcPr>
                  <w:tcW w:w="608" w:type="pct"/>
                  <w:tcBorders>
                    <w:tl2br w:val="nil"/>
                    <w:tr2bl w:val="nil"/>
                  </w:tcBorders>
                  <w:shd w:val="clear" w:color="auto" w:fill="FFFFFF"/>
                  <w:vAlign w:val="center"/>
                </w:tcPr>
                <w:p w14:paraId="7B96F9C5">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台</w:t>
                  </w:r>
                </w:p>
              </w:tc>
              <w:tc>
                <w:tcPr>
                  <w:tcW w:w="1440" w:type="pct"/>
                  <w:tcBorders>
                    <w:tl2br w:val="nil"/>
                    <w:tr2bl w:val="nil"/>
                  </w:tcBorders>
                  <w:shd w:val="clear" w:color="auto" w:fill="FFFFFF"/>
                  <w:vAlign w:val="center"/>
                </w:tcPr>
                <w:p w14:paraId="2D192586">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Cs w:val="21"/>
                      <w:lang w:val="en-US" w:eastAsia="zh-CN"/>
                    </w:rPr>
                    <w:t>功率：</w:t>
                  </w:r>
                  <w:r>
                    <w:rPr>
                      <w:rFonts w:hint="eastAsia" w:cs="Times New Roman"/>
                      <w:b w:val="0"/>
                      <w:color w:val="000000"/>
                      <w:szCs w:val="21"/>
                      <w:lang w:val="en-US" w:eastAsia="zh-CN"/>
                    </w:rPr>
                    <w:t>5</w:t>
                  </w:r>
                  <w:r>
                    <w:rPr>
                      <w:rFonts w:hint="eastAsia" w:ascii="Times New Roman" w:hAnsi="Times New Roman" w:eastAsia="宋体" w:cs="Times New Roman"/>
                      <w:b w:val="0"/>
                      <w:color w:val="000000"/>
                      <w:szCs w:val="21"/>
                      <w:lang w:val="en-US" w:eastAsia="zh-CN"/>
                    </w:rPr>
                    <w:t>.5</w:t>
                  </w:r>
                  <w:r>
                    <w:rPr>
                      <w:rFonts w:hint="eastAsia" w:cs="Times New Roman"/>
                      <w:b w:val="0"/>
                      <w:color w:val="000000"/>
                      <w:szCs w:val="21"/>
                      <w:lang w:val="en-US" w:eastAsia="zh-CN"/>
                    </w:rPr>
                    <w:t>kW</w:t>
                  </w:r>
                </w:p>
              </w:tc>
            </w:tr>
            <w:tr w14:paraId="4C335D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1DE04DCC">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2</w:t>
                  </w:r>
                </w:p>
              </w:tc>
              <w:tc>
                <w:tcPr>
                  <w:tcW w:w="1245" w:type="pct"/>
                  <w:tcBorders>
                    <w:tl2br w:val="nil"/>
                    <w:tr2bl w:val="nil"/>
                  </w:tcBorders>
                  <w:shd w:val="clear" w:color="auto" w:fill="FFFFFF"/>
                  <w:vAlign w:val="center"/>
                </w:tcPr>
                <w:p w14:paraId="19E87263">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color w:val="000000"/>
                      <w:sz w:val="21"/>
                      <w:szCs w:val="21"/>
                      <w:lang w:val="en-US" w:eastAsia="zh-CN"/>
                    </w:rPr>
                    <w:t>行车</w:t>
                  </w:r>
                </w:p>
              </w:tc>
              <w:tc>
                <w:tcPr>
                  <w:tcW w:w="1190" w:type="pct"/>
                  <w:tcBorders>
                    <w:tl2br w:val="nil"/>
                    <w:tr2bl w:val="nil"/>
                  </w:tcBorders>
                  <w:shd w:val="clear" w:color="auto" w:fill="FFFFFF"/>
                  <w:vAlign w:val="center"/>
                </w:tcPr>
                <w:p w14:paraId="3A0A6C54">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2</w:t>
                  </w:r>
                </w:p>
              </w:tc>
              <w:tc>
                <w:tcPr>
                  <w:tcW w:w="608" w:type="pct"/>
                  <w:tcBorders>
                    <w:tl2br w:val="nil"/>
                    <w:tr2bl w:val="nil"/>
                  </w:tcBorders>
                  <w:shd w:val="clear" w:color="auto" w:fill="FFFFFF"/>
                  <w:vAlign w:val="center"/>
                </w:tcPr>
                <w:p w14:paraId="3813A6B5">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台</w:t>
                  </w:r>
                </w:p>
              </w:tc>
              <w:tc>
                <w:tcPr>
                  <w:tcW w:w="1440" w:type="pct"/>
                  <w:tcBorders>
                    <w:tl2br w:val="nil"/>
                    <w:tr2bl w:val="nil"/>
                  </w:tcBorders>
                  <w:shd w:val="clear" w:color="auto" w:fill="FFFFFF"/>
                  <w:vAlign w:val="center"/>
                </w:tcPr>
                <w:p w14:paraId="58E35FFF">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color w:val="000000"/>
                      <w:sz w:val="21"/>
                      <w:szCs w:val="21"/>
                      <w:lang w:val="en-US" w:eastAsia="zh-CN"/>
                    </w:rPr>
                    <w:t>高度：</w:t>
                  </w:r>
                  <w:r>
                    <w:rPr>
                      <w:rFonts w:hint="eastAsia" w:cs="Times New Roman"/>
                      <w:b w:val="0"/>
                      <w:color w:val="000000"/>
                      <w:sz w:val="21"/>
                      <w:szCs w:val="21"/>
                      <w:lang w:val="en-US" w:eastAsia="zh-CN"/>
                    </w:rPr>
                    <w:t>5.8</w:t>
                  </w:r>
                  <w:r>
                    <w:rPr>
                      <w:rFonts w:hint="eastAsia" w:ascii="Times New Roman" w:hAnsi="Times New Roman" w:eastAsia="宋体" w:cs="Times New Roman"/>
                      <w:b w:val="0"/>
                      <w:color w:val="000000"/>
                      <w:sz w:val="21"/>
                      <w:szCs w:val="21"/>
                      <w:lang w:val="en-US" w:eastAsia="zh-CN"/>
                    </w:rPr>
                    <w:t>m</w:t>
                  </w:r>
                </w:p>
              </w:tc>
            </w:tr>
            <w:tr w14:paraId="39C67E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24E6D7FD">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3</w:t>
                  </w:r>
                </w:p>
              </w:tc>
              <w:tc>
                <w:tcPr>
                  <w:tcW w:w="1245" w:type="pct"/>
                  <w:tcBorders>
                    <w:tl2br w:val="nil"/>
                    <w:tr2bl w:val="nil"/>
                  </w:tcBorders>
                  <w:shd w:val="clear" w:color="auto" w:fill="FFFFFF"/>
                  <w:vAlign w:val="center"/>
                </w:tcPr>
                <w:p w14:paraId="633B0E76">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振壳机</w:t>
                  </w:r>
                </w:p>
              </w:tc>
              <w:tc>
                <w:tcPr>
                  <w:tcW w:w="1190" w:type="pct"/>
                  <w:tcBorders>
                    <w:tl2br w:val="nil"/>
                    <w:tr2bl w:val="nil"/>
                  </w:tcBorders>
                  <w:shd w:val="clear" w:color="auto" w:fill="FFFFFF"/>
                  <w:vAlign w:val="center"/>
                </w:tcPr>
                <w:p w14:paraId="285D0036">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2</w:t>
                  </w:r>
                </w:p>
              </w:tc>
              <w:tc>
                <w:tcPr>
                  <w:tcW w:w="608" w:type="pct"/>
                  <w:tcBorders>
                    <w:tl2br w:val="nil"/>
                    <w:tr2bl w:val="nil"/>
                  </w:tcBorders>
                  <w:shd w:val="clear" w:color="auto" w:fill="FFFFFF"/>
                  <w:vAlign w:val="center"/>
                </w:tcPr>
                <w:p w14:paraId="6AA8B533">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台</w:t>
                  </w:r>
                </w:p>
              </w:tc>
              <w:tc>
                <w:tcPr>
                  <w:tcW w:w="1440" w:type="pct"/>
                  <w:tcBorders>
                    <w:tl2br w:val="nil"/>
                    <w:tr2bl w:val="nil"/>
                  </w:tcBorders>
                  <w:shd w:val="clear" w:color="auto" w:fill="FFFFFF"/>
                  <w:vAlign w:val="center"/>
                </w:tcPr>
                <w:p w14:paraId="5C003AFB">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w:t>
                  </w:r>
                </w:p>
              </w:tc>
            </w:tr>
            <w:tr w14:paraId="43AF5B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3D6FFC52">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4</w:t>
                  </w:r>
                </w:p>
              </w:tc>
              <w:tc>
                <w:tcPr>
                  <w:tcW w:w="1245" w:type="pct"/>
                  <w:tcBorders>
                    <w:tl2br w:val="nil"/>
                    <w:tr2bl w:val="nil"/>
                  </w:tcBorders>
                  <w:shd w:val="clear" w:color="auto" w:fill="FFFFFF"/>
                  <w:vAlign w:val="center"/>
                </w:tcPr>
                <w:p w14:paraId="206F37E9">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喷砂机</w:t>
                  </w:r>
                </w:p>
              </w:tc>
              <w:tc>
                <w:tcPr>
                  <w:tcW w:w="1190" w:type="pct"/>
                  <w:tcBorders>
                    <w:tl2br w:val="nil"/>
                    <w:tr2bl w:val="nil"/>
                  </w:tcBorders>
                  <w:shd w:val="clear" w:color="auto" w:fill="FFFFFF"/>
                  <w:vAlign w:val="center"/>
                </w:tcPr>
                <w:p w14:paraId="2E5342BD">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2</w:t>
                  </w:r>
                </w:p>
              </w:tc>
              <w:tc>
                <w:tcPr>
                  <w:tcW w:w="608" w:type="pct"/>
                  <w:tcBorders>
                    <w:tl2br w:val="nil"/>
                    <w:tr2bl w:val="nil"/>
                  </w:tcBorders>
                  <w:shd w:val="clear" w:color="auto" w:fill="FFFFFF"/>
                  <w:vAlign w:val="center"/>
                </w:tcPr>
                <w:p w14:paraId="50F5754F">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台</w:t>
                  </w:r>
                </w:p>
              </w:tc>
              <w:tc>
                <w:tcPr>
                  <w:tcW w:w="1440" w:type="pct"/>
                  <w:tcBorders>
                    <w:tl2br w:val="nil"/>
                    <w:tr2bl w:val="nil"/>
                  </w:tcBorders>
                  <w:shd w:val="clear" w:color="auto" w:fill="FFFFFF"/>
                  <w:vAlign w:val="center"/>
                </w:tcPr>
                <w:p w14:paraId="46D742FC">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w:t>
                  </w:r>
                </w:p>
              </w:tc>
            </w:tr>
            <w:tr w14:paraId="553E29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56EAF170">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5</w:t>
                  </w:r>
                </w:p>
              </w:tc>
              <w:tc>
                <w:tcPr>
                  <w:tcW w:w="1245" w:type="pct"/>
                  <w:tcBorders>
                    <w:tl2br w:val="nil"/>
                    <w:tr2bl w:val="nil"/>
                  </w:tcBorders>
                  <w:shd w:val="clear" w:color="auto" w:fill="FFFFFF"/>
                  <w:vAlign w:val="center"/>
                </w:tcPr>
                <w:p w14:paraId="7C8D587C">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水旋喷淋塔</w:t>
                  </w:r>
                </w:p>
              </w:tc>
              <w:tc>
                <w:tcPr>
                  <w:tcW w:w="1190" w:type="pct"/>
                  <w:tcBorders>
                    <w:tl2br w:val="nil"/>
                    <w:tr2bl w:val="nil"/>
                  </w:tcBorders>
                  <w:shd w:val="clear" w:color="auto" w:fill="FFFFFF"/>
                  <w:vAlign w:val="center"/>
                </w:tcPr>
                <w:p w14:paraId="7F70448E">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2</w:t>
                  </w:r>
                </w:p>
              </w:tc>
              <w:tc>
                <w:tcPr>
                  <w:tcW w:w="608" w:type="pct"/>
                  <w:tcBorders>
                    <w:tl2br w:val="nil"/>
                    <w:tr2bl w:val="nil"/>
                  </w:tcBorders>
                  <w:shd w:val="clear" w:color="auto" w:fill="FFFFFF"/>
                  <w:vAlign w:val="center"/>
                </w:tcPr>
                <w:p w14:paraId="172B4921">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台</w:t>
                  </w:r>
                </w:p>
              </w:tc>
              <w:tc>
                <w:tcPr>
                  <w:tcW w:w="1440" w:type="pct"/>
                  <w:tcBorders>
                    <w:tl2br w:val="nil"/>
                    <w:tr2bl w:val="nil"/>
                  </w:tcBorders>
                  <w:shd w:val="clear" w:color="auto" w:fill="FFFFFF"/>
                  <w:vAlign w:val="center"/>
                </w:tcPr>
                <w:p w14:paraId="645A82F7">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lang w:val="en-US" w:eastAsia="zh-CN"/>
                    </w:rPr>
                  </w:pPr>
                </w:p>
              </w:tc>
            </w:tr>
            <w:tr w14:paraId="3FD11B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425B3A04">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6</w:t>
                  </w:r>
                </w:p>
              </w:tc>
              <w:tc>
                <w:tcPr>
                  <w:tcW w:w="1245" w:type="pct"/>
                  <w:tcBorders>
                    <w:tl2br w:val="nil"/>
                    <w:tr2bl w:val="nil"/>
                  </w:tcBorders>
                  <w:shd w:val="clear" w:color="auto" w:fill="FFFFFF"/>
                  <w:vAlign w:val="center"/>
                </w:tcPr>
                <w:p w14:paraId="6183D9EB">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000000"/>
                      <w:sz w:val="21"/>
                      <w:szCs w:val="21"/>
                      <w:lang w:val="en-US" w:eastAsia="zh-CN"/>
                    </w:rPr>
                  </w:pPr>
                  <w:r>
                    <w:rPr>
                      <w:rFonts w:hint="eastAsia" w:cs="Times New Roman"/>
                      <w:b w:val="0"/>
                      <w:bCs w:val="0"/>
                      <w:color w:val="000000"/>
                      <w:sz w:val="21"/>
                      <w:szCs w:val="21"/>
                      <w:lang w:val="en-US" w:eastAsia="zh-CN"/>
                    </w:rPr>
                    <w:t>袋式除尘器</w:t>
                  </w:r>
                </w:p>
              </w:tc>
              <w:tc>
                <w:tcPr>
                  <w:tcW w:w="1190" w:type="pct"/>
                  <w:tcBorders>
                    <w:tl2br w:val="nil"/>
                    <w:tr2bl w:val="nil"/>
                  </w:tcBorders>
                  <w:shd w:val="clear" w:color="auto" w:fill="FFFFFF"/>
                  <w:vAlign w:val="center"/>
                </w:tcPr>
                <w:p w14:paraId="12326187">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000000"/>
                      <w:sz w:val="21"/>
                      <w:szCs w:val="21"/>
                      <w:lang w:val="en-US" w:eastAsia="zh-CN"/>
                    </w:rPr>
                  </w:pPr>
                  <w:r>
                    <w:rPr>
                      <w:rFonts w:hint="eastAsia" w:cs="Times New Roman"/>
                      <w:b w:val="0"/>
                      <w:bCs w:val="0"/>
                      <w:color w:val="000000"/>
                      <w:sz w:val="21"/>
                      <w:szCs w:val="21"/>
                      <w:lang w:val="en-US" w:eastAsia="zh-CN"/>
                    </w:rPr>
                    <w:t>2（喷砂自带）</w:t>
                  </w:r>
                </w:p>
              </w:tc>
              <w:tc>
                <w:tcPr>
                  <w:tcW w:w="608" w:type="pct"/>
                  <w:tcBorders>
                    <w:tl2br w:val="nil"/>
                    <w:tr2bl w:val="nil"/>
                  </w:tcBorders>
                  <w:shd w:val="clear" w:color="auto" w:fill="FFFFFF"/>
                  <w:vAlign w:val="center"/>
                </w:tcPr>
                <w:p w14:paraId="18070103">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台</w:t>
                  </w:r>
                </w:p>
              </w:tc>
              <w:tc>
                <w:tcPr>
                  <w:tcW w:w="1440" w:type="pct"/>
                  <w:tcBorders>
                    <w:tl2br w:val="nil"/>
                    <w:tr2bl w:val="nil"/>
                  </w:tcBorders>
                  <w:shd w:val="clear" w:color="auto" w:fill="FFFFFF"/>
                  <w:vAlign w:val="center"/>
                </w:tcPr>
                <w:p w14:paraId="4C696DED">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000000"/>
                      <w:sz w:val="21"/>
                      <w:szCs w:val="21"/>
                      <w:lang w:val="en-US" w:eastAsia="zh-CN"/>
                    </w:rPr>
                  </w:pPr>
                  <w:r>
                    <w:rPr>
                      <w:rFonts w:hint="eastAsia" w:cs="Times New Roman"/>
                      <w:b w:val="0"/>
                      <w:bCs w:val="0"/>
                      <w:color w:val="000000"/>
                      <w:sz w:val="21"/>
                      <w:szCs w:val="21"/>
                      <w:lang w:val="en-US" w:eastAsia="zh-CN"/>
                    </w:rPr>
                    <w:t>/</w:t>
                  </w:r>
                </w:p>
              </w:tc>
            </w:tr>
            <w:tr w14:paraId="6E6503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32C68084">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7</w:t>
                  </w:r>
                </w:p>
              </w:tc>
              <w:tc>
                <w:tcPr>
                  <w:tcW w:w="1245" w:type="pct"/>
                  <w:tcBorders>
                    <w:tl2br w:val="nil"/>
                    <w:tr2bl w:val="nil"/>
                  </w:tcBorders>
                  <w:shd w:val="clear" w:color="auto" w:fill="FFFFFF"/>
                  <w:vAlign w:val="center"/>
                </w:tcPr>
                <w:p w14:paraId="0DFD03BB">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循环水池</w:t>
                  </w:r>
                </w:p>
              </w:tc>
              <w:tc>
                <w:tcPr>
                  <w:tcW w:w="1190" w:type="pct"/>
                  <w:tcBorders>
                    <w:tl2br w:val="nil"/>
                    <w:tr2bl w:val="nil"/>
                  </w:tcBorders>
                  <w:shd w:val="clear" w:color="auto" w:fill="FFFFFF"/>
                  <w:vAlign w:val="center"/>
                </w:tcPr>
                <w:p w14:paraId="64A40495">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1</w:t>
                  </w:r>
                </w:p>
              </w:tc>
              <w:tc>
                <w:tcPr>
                  <w:tcW w:w="608" w:type="pct"/>
                  <w:tcBorders>
                    <w:tl2br w:val="nil"/>
                    <w:tr2bl w:val="nil"/>
                  </w:tcBorders>
                  <w:shd w:val="clear" w:color="auto" w:fill="FFFFFF"/>
                  <w:vAlign w:val="center"/>
                </w:tcPr>
                <w:p w14:paraId="27190FDD">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000000"/>
                      <w:sz w:val="21"/>
                      <w:szCs w:val="21"/>
                      <w:lang w:eastAsia="zh-CN"/>
                    </w:rPr>
                  </w:pPr>
                  <w:r>
                    <w:rPr>
                      <w:rFonts w:hint="eastAsia" w:cs="Times New Roman"/>
                      <w:b w:val="0"/>
                      <w:bCs w:val="0"/>
                      <w:color w:val="000000"/>
                      <w:sz w:val="21"/>
                      <w:szCs w:val="21"/>
                      <w:lang w:val="en-US" w:eastAsia="zh-CN"/>
                    </w:rPr>
                    <w:t>个</w:t>
                  </w:r>
                </w:p>
              </w:tc>
              <w:tc>
                <w:tcPr>
                  <w:tcW w:w="1440" w:type="pct"/>
                  <w:tcBorders>
                    <w:tl2br w:val="nil"/>
                    <w:tr2bl w:val="nil"/>
                  </w:tcBorders>
                  <w:shd w:val="clear" w:color="auto" w:fill="FFFFFF"/>
                  <w:vAlign w:val="center"/>
                </w:tcPr>
                <w:p w14:paraId="5B7F5B2C">
                  <w:pPr>
                    <w:keepNext w:val="0"/>
                    <w:keepLines w:val="0"/>
                    <w:widowControl/>
                    <w:suppressLineNumbers w:val="0"/>
                    <w:jc w:val="center"/>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3.4×4×2=27m</w:t>
                  </w:r>
                  <w:r>
                    <w:rPr>
                      <w:rFonts w:hint="eastAsia" w:cs="Times New Roman"/>
                      <w:b w:val="0"/>
                      <w:bCs w:val="0"/>
                      <w:color w:val="000000"/>
                      <w:sz w:val="21"/>
                      <w:szCs w:val="21"/>
                      <w:vertAlign w:val="superscript"/>
                      <w:lang w:val="en-US" w:eastAsia="zh-CN"/>
                    </w:rPr>
                    <w:t>3</w:t>
                  </w:r>
                </w:p>
              </w:tc>
            </w:tr>
            <w:tr w14:paraId="64248D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4" w:type="pct"/>
                  <w:tcBorders>
                    <w:tl2br w:val="nil"/>
                    <w:tr2bl w:val="nil"/>
                  </w:tcBorders>
                  <w:shd w:val="clear" w:color="auto" w:fill="FFFFFF"/>
                  <w:vAlign w:val="center"/>
                </w:tcPr>
                <w:p w14:paraId="2F2777C1">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000000"/>
                      <w:sz w:val="21"/>
                      <w:szCs w:val="21"/>
                      <w:lang w:val="en-US" w:eastAsia="zh-CN"/>
                    </w:rPr>
                  </w:pPr>
                  <w:r>
                    <w:rPr>
                      <w:rFonts w:hint="eastAsia" w:cs="Times New Roman"/>
                      <w:b w:val="0"/>
                      <w:bCs w:val="0"/>
                      <w:color w:val="000000"/>
                      <w:sz w:val="21"/>
                      <w:szCs w:val="21"/>
                      <w:lang w:val="en-US" w:eastAsia="zh-CN"/>
                    </w:rPr>
                    <w:t>8</w:t>
                  </w:r>
                </w:p>
              </w:tc>
              <w:tc>
                <w:tcPr>
                  <w:tcW w:w="1245" w:type="pct"/>
                  <w:tcBorders>
                    <w:tl2br w:val="nil"/>
                    <w:tr2bl w:val="nil"/>
                  </w:tcBorders>
                  <w:shd w:val="clear" w:color="auto" w:fill="FFFFFF"/>
                  <w:vAlign w:val="center"/>
                </w:tcPr>
                <w:p w14:paraId="227BE10E">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000000"/>
                      <w:sz w:val="21"/>
                      <w:szCs w:val="21"/>
                      <w:lang w:val="en-US" w:eastAsia="zh-CN"/>
                    </w:rPr>
                  </w:pPr>
                  <w:r>
                    <w:rPr>
                      <w:rFonts w:hint="eastAsia" w:cs="Times New Roman"/>
                      <w:b w:val="0"/>
                      <w:bCs w:val="0"/>
                      <w:color w:val="000000"/>
                      <w:sz w:val="21"/>
                      <w:szCs w:val="21"/>
                      <w:lang w:val="en-US" w:eastAsia="zh-CN"/>
                    </w:rPr>
                    <w:t>水泵</w:t>
                  </w:r>
                </w:p>
              </w:tc>
              <w:tc>
                <w:tcPr>
                  <w:tcW w:w="1190" w:type="pct"/>
                  <w:tcBorders>
                    <w:tl2br w:val="nil"/>
                    <w:tr2bl w:val="nil"/>
                  </w:tcBorders>
                  <w:shd w:val="clear" w:color="auto" w:fill="FFFFFF"/>
                  <w:vAlign w:val="center"/>
                </w:tcPr>
                <w:p w14:paraId="258B6D24">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000000"/>
                      <w:sz w:val="21"/>
                      <w:szCs w:val="21"/>
                      <w:lang w:val="en-US" w:eastAsia="zh-CN"/>
                    </w:rPr>
                  </w:pPr>
                  <w:r>
                    <w:rPr>
                      <w:rFonts w:hint="eastAsia" w:cs="Times New Roman"/>
                      <w:b w:val="0"/>
                      <w:bCs w:val="0"/>
                      <w:color w:val="000000"/>
                      <w:sz w:val="21"/>
                      <w:szCs w:val="21"/>
                      <w:lang w:val="en-US" w:eastAsia="zh-CN"/>
                    </w:rPr>
                    <w:t>2</w:t>
                  </w:r>
                </w:p>
              </w:tc>
              <w:tc>
                <w:tcPr>
                  <w:tcW w:w="608" w:type="pct"/>
                  <w:tcBorders>
                    <w:tl2br w:val="nil"/>
                    <w:tr2bl w:val="nil"/>
                  </w:tcBorders>
                  <w:shd w:val="clear" w:color="auto" w:fill="FFFFFF"/>
                  <w:vAlign w:val="center"/>
                </w:tcPr>
                <w:p w14:paraId="662D7503">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b w:val="0"/>
                      <w:bCs w:val="0"/>
                      <w:color w:val="000000"/>
                      <w:sz w:val="21"/>
                      <w:szCs w:val="21"/>
                      <w:lang w:val="en-US" w:eastAsia="zh-CN"/>
                    </w:rPr>
                  </w:pPr>
                  <w:r>
                    <w:rPr>
                      <w:rFonts w:hint="eastAsia" w:cs="Times New Roman"/>
                      <w:b w:val="0"/>
                      <w:bCs w:val="0"/>
                      <w:color w:val="000000"/>
                      <w:sz w:val="21"/>
                      <w:szCs w:val="21"/>
                      <w:lang w:val="en-US" w:eastAsia="zh-CN"/>
                    </w:rPr>
                    <w:t>台</w:t>
                  </w:r>
                </w:p>
              </w:tc>
              <w:tc>
                <w:tcPr>
                  <w:tcW w:w="1440" w:type="pct"/>
                  <w:tcBorders>
                    <w:tl2br w:val="nil"/>
                    <w:tr2bl w:val="nil"/>
                  </w:tcBorders>
                  <w:shd w:val="clear" w:color="auto" w:fill="FFFFFF"/>
                  <w:vAlign w:val="center"/>
                </w:tcPr>
                <w:p w14:paraId="3FE35CE6">
                  <w:pPr>
                    <w:keepNext w:val="0"/>
                    <w:keepLines w:val="0"/>
                    <w:widowControl/>
                    <w:suppressLineNumbers w:val="0"/>
                    <w:jc w:val="center"/>
                    <w:rPr>
                      <w:rFonts w:hint="eastAsia" w:cs="Times New Roman"/>
                      <w:b w:val="0"/>
                      <w:bCs w:val="0"/>
                      <w:color w:val="000000"/>
                      <w:sz w:val="21"/>
                      <w:szCs w:val="21"/>
                      <w:lang w:val="en-US" w:eastAsia="zh-CN"/>
                    </w:rPr>
                  </w:pPr>
                </w:p>
              </w:tc>
            </w:tr>
          </w:tbl>
          <w:p w14:paraId="2450F30A">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leftChars="0"/>
              <w:textAlignment w:val="auto"/>
              <w:rPr>
                <w:b/>
                <w:color w:val="auto"/>
                <w:kern w:val="0"/>
                <w:sz w:val="24"/>
                <w:szCs w:val="20"/>
              </w:rPr>
            </w:pPr>
            <w:r>
              <w:rPr>
                <w:rFonts w:hint="eastAsia"/>
                <w:b/>
                <w:color w:val="auto"/>
                <w:kern w:val="0"/>
                <w:sz w:val="24"/>
                <w:szCs w:val="20"/>
                <w:lang w:val="en-US" w:eastAsia="zh-CN"/>
              </w:rPr>
              <w:t>7</w:t>
            </w:r>
            <w:r>
              <w:rPr>
                <w:b/>
                <w:color w:val="auto"/>
                <w:kern w:val="0"/>
                <w:sz w:val="24"/>
                <w:szCs w:val="20"/>
              </w:rPr>
              <w:t>、</w:t>
            </w:r>
            <w:bookmarkStart w:id="2" w:name="_Toc200961231"/>
            <w:bookmarkStart w:id="3" w:name="_Toc200961391"/>
            <w:bookmarkStart w:id="4" w:name="_Toc177024663"/>
            <w:bookmarkStart w:id="5" w:name="_Toc177024812"/>
            <w:r>
              <w:rPr>
                <w:rFonts w:hint="eastAsia" w:ascii="Times New Roman" w:hAnsi="Times New Roman" w:eastAsia="宋体" w:cs="Times New Roman"/>
                <w:b/>
                <w:color w:val="auto"/>
                <w:kern w:val="0"/>
                <w:sz w:val="24"/>
                <w:szCs w:val="20"/>
                <w:lang w:val="en-US" w:eastAsia="zh-CN"/>
              </w:rPr>
              <w:t>公用</w:t>
            </w:r>
            <w:r>
              <w:rPr>
                <w:b/>
                <w:color w:val="auto"/>
                <w:kern w:val="0"/>
                <w:sz w:val="24"/>
                <w:szCs w:val="20"/>
              </w:rPr>
              <w:t>工程</w:t>
            </w:r>
          </w:p>
          <w:bookmarkEnd w:id="2"/>
          <w:bookmarkEnd w:id="3"/>
          <w:bookmarkEnd w:id="4"/>
          <w:bookmarkEnd w:id="5"/>
          <w:p w14:paraId="66E5FE9A">
            <w:pPr>
              <w:spacing w:line="360" w:lineRule="auto"/>
              <w:ind w:firstLine="480" w:firstLineChars="200"/>
              <w:rPr>
                <w:color w:val="auto"/>
                <w:kern w:val="0"/>
                <w:sz w:val="24"/>
                <w:szCs w:val="22"/>
              </w:rPr>
            </w:pPr>
            <w:r>
              <w:rPr>
                <w:color w:val="auto"/>
                <w:kern w:val="0"/>
                <w:sz w:val="24"/>
                <w:szCs w:val="22"/>
              </w:rPr>
              <w:t>（1）给水</w:t>
            </w:r>
          </w:p>
          <w:p w14:paraId="4EA2D8C8">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本项目用水主要为生活用水</w:t>
            </w:r>
            <w:r>
              <w:rPr>
                <w:rFonts w:hint="default" w:ascii="Times New Roman" w:hAnsi="Times New Roman" w:cs="Times New Roman"/>
                <w:color w:val="auto"/>
                <w:kern w:val="0"/>
                <w:sz w:val="24"/>
                <w:lang w:eastAsia="zh-CN"/>
              </w:rPr>
              <w:t>、</w:t>
            </w:r>
            <w:r>
              <w:rPr>
                <w:rFonts w:hint="eastAsia" w:cs="Times New Roman"/>
                <w:color w:val="auto"/>
                <w:kern w:val="0"/>
                <w:sz w:val="24"/>
                <w:lang w:val="en-US" w:eastAsia="zh-CN"/>
              </w:rPr>
              <w:t>喷淋塔补充</w:t>
            </w:r>
            <w:r>
              <w:rPr>
                <w:rFonts w:hint="default" w:ascii="Times New Roman" w:hAnsi="Times New Roman" w:cs="Times New Roman"/>
                <w:color w:val="auto"/>
                <w:kern w:val="0"/>
                <w:sz w:val="24"/>
                <w:lang w:val="en-US" w:eastAsia="zh-CN"/>
              </w:rPr>
              <w:t>水</w:t>
            </w:r>
            <w:r>
              <w:rPr>
                <w:rFonts w:hint="eastAsia" w:cs="Times New Roman"/>
                <w:color w:val="auto"/>
                <w:kern w:val="0"/>
                <w:sz w:val="24"/>
                <w:lang w:val="en-US" w:eastAsia="zh-CN"/>
              </w:rPr>
              <w:t>，</w:t>
            </w:r>
            <w:r>
              <w:rPr>
                <w:rFonts w:hint="default" w:ascii="Times New Roman" w:hAnsi="Times New Roman" w:cs="Times New Roman"/>
                <w:color w:val="auto"/>
                <w:kern w:val="0"/>
                <w:sz w:val="24"/>
                <w:szCs w:val="22"/>
              </w:rPr>
              <w:t>由市政</w:t>
            </w:r>
            <w:r>
              <w:rPr>
                <w:rFonts w:hint="default" w:ascii="Times New Roman" w:hAnsi="Times New Roman" w:cs="Times New Roman"/>
                <w:color w:val="auto"/>
                <w:kern w:val="0"/>
                <w:sz w:val="24"/>
                <w:szCs w:val="22"/>
                <w:lang w:val="zh-TW"/>
              </w:rPr>
              <w:t>给水管网统一供给</w:t>
            </w:r>
            <w:r>
              <w:rPr>
                <w:rFonts w:hint="default" w:ascii="Times New Roman" w:hAnsi="Times New Roman" w:cs="Times New Roman"/>
                <w:color w:val="auto"/>
                <w:kern w:val="0"/>
                <w:sz w:val="24"/>
              </w:rPr>
              <w:t>。</w:t>
            </w:r>
          </w:p>
          <w:p w14:paraId="6776B60F">
            <w:pPr>
              <w:spacing w:line="360" w:lineRule="auto"/>
              <w:ind w:firstLine="480" w:firstLineChars="200"/>
              <w:rPr>
                <w:rFonts w:hint="default" w:ascii="Times New Roman" w:hAnsi="Times New Roman" w:cs="Times New Roman"/>
                <w:color w:val="auto"/>
                <w:kern w:val="0"/>
                <w:sz w:val="24"/>
                <w:lang w:val="en-US" w:eastAsia="zh-CN"/>
              </w:rPr>
            </w:pPr>
            <w:r>
              <w:rPr>
                <w:rFonts w:hint="default" w:ascii="Times New Roman" w:hAnsi="Times New Roman" w:cs="Times New Roman"/>
                <w:color w:val="auto"/>
                <w:kern w:val="0"/>
                <w:sz w:val="24"/>
                <w:lang w:val="en-US" w:eastAsia="zh-CN"/>
              </w:rPr>
              <w:t>①</w:t>
            </w:r>
            <w:r>
              <w:rPr>
                <w:rFonts w:hint="eastAsia" w:ascii="Times New Roman" w:hAnsi="Times New Roman" w:cs="Times New Roman"/>
                <w:color w:val="auto"/>
                <w:kern w:val="0"/>
                <w:sz w:val="24"/>
                <w:lang w:val="en-US" w:eastAsia="zh-CN"/>
              </w:rPr>
              <w:t>生活用水</w:t>
            </w:r>
          </w:p>
          <w:p w14:paraId="49DD6D52">
            <w:pPr>
              <w:spacing w:line="360" w:lineRule="auto"/>
              <w:ind w:firstLine="480" w:firstLineChars="200"/>
              <w:rPr>
                <w:color w:val="auto"/>
                <w:kern w:val="0"/>
                <w:sz w:val="24"/>
              </w:rPr>
            </w:pPr>
            <w:r>
              <w:rPr>
                <w:rFonts w:hint="eastAsia"/>
                <w:color w:val="auto"/>
                <w:kern w:val="0"/>
                <w:sz w:val="24"/>
                <w:lang w:val="en-US" w:eastAsia="zh-CN"/>
              </w:rPr>
              <w:t>本</w:t>
            </w:r>
            <w:r>
              <w:rPr>
                <w:color w:val="auto"/>
                <w:kern w:val="0"/>
                <w:sz w:val="24"/>
              </w:rPr>
              <w:t>项目</w:t>
            </w:r>
            <w:r>
              <w:rPr>
                <w:rFonts w:hint="eastAsia"/>
                <w:color w:val="auto"/>
                <w:kern w:val="0"/>
                <w:sz w:val="24"/>
                <w:lang w:val="en-US" w:eastAsia="zh-CN"/>
              </w:rPr>
              <w:t>建成后</w:t>
            </w:r>
            <w:r>
              <w:rPr>
                <w:color w:val="auto"/>
                <w:kern w:val="0"/>
                <w:sz w:val="24"/>
              </w:rPr>
              <w:t>劳动定员</w:t>
            </w:r>
            <w:r>
              <w:rPr>
                <w:rFonts w:hint="eastAsia"/>
                <w:color w:val="auto"/>
                <w:kern w:val="0"/>
                <w:sz w:val="24"/>
                <w:lang w:val="en-US" w:eastAsia="zh-CN"/>
              </w:rPr>
              <w:t>30</w:t>
            </w:r>
            <w:r>
              <w:rPr>
                <w:color w:val="auto"/>
                <w:kern w:val="0"/>
                <w:sz w:val="24"/>
              </w:rPr>
              <w:t>人，</w:t>
            </w:r>
            <w:r>
              <w:rPr>
                <w:rFonts w:hint="eastAsia"/>
                <w:color w:val="auto"/>
                <w:kern w:val="0"/>
                <w:sz w:val="24"/>
                <w:lang w:val="en-US" w:eastAsia="zh-CN"/>
              </w:rPr>
              <w:t>在厂内住宿，但厂内不设置食堂；</w:t>
            </w:r>
            <w:r>
              <w:rPr>
                <w:rFonts w:hint="default" w:ascii="Times New Roman" w:hAnsi="Times New Roman" w:cs="Times New Roman"/>
                <w:color w:val="auto"/>
                <w:kern w:val="0"/>
                <w:sz w:val="24"/>
              </w:rPr>
              <w:t>根据《行业用水定额》（DB61/T943-2020），</w:t>
            </w:r>
            <w:r>
              <w:rPr>
                <w:color w:val="auto"/>
                <w:kern w:val="0"/>
                <w:sz w:val="24"/>
                <w:highlight w:val="none"/>
              </w:rPr>
              <w:t>生活用水量</w:t>
            </w:r>
            <w:r>
              <w:rPr>
                <w:rFonts w:hint="eastAsia"/>
                <w:color w:val="auto"/>
                <w:kern w:val="0"/>
                <w:sz w:val="24"/>
                <w:highlight w:val="none"/>
                <w:lang w:val="en-US" w:eastAsia="zh-CN"/>
              </w:rPr>
              <w:t>按</w:t>
            </w:r>
            <w:r>
              <w:rPr>
                <w:rFonts w:hint="eastAsia"/>
                <w:color w:val="auto"/>
                <w:sz w:val="24"/>
                <w:highlight w:val="none"/>
                <w:lang w:val="en-US" w:eastAsia="zh-CN"/>
              </w:rPr>
              <w:t>100L</w:t>
            </w:r>
            <w:r>
              <w:rPr>
                <w:color w:val="auto"/>
                <w:sz w:val="24"/>
                <w:highlight w:val="none"/>
              </w:rPr>
              <w:t>/（人·</w:t>
            </w:r>
            <w:r>
              <w:rPr>
                <w:rFonts w:hint="eastAsia"/>
                <w:color w:val="auto"/>
                <w:sz w:val="24"/>
                <w:highlight w:val="none"/>
                <w:lang w:val="en-US" w:eastAsia="zh-CN"/>
              </w:rPr>
              <w:t>d</w:t>
            </w:r>
            <w:r>
              <w:rPr>
                <w:color w:val="auto"/>
                <w:sz w:val="24"/>
                <w:highlight w:val="none"/>
              </w:rPr>
              <w:t>）计</w:t>
            </w:r>
            <w:r>
              <w:rPr>
                <w:rFonts w:hint="eastAsia"/>
                <w:color w:val="auto"/>
                <w:kern w:val="0"/>
                <w:sz w:val="24"/>
                <w:lang w:eastAsia="zh-CN"/>
              </w:rPr>
              <w:t>，</w:t>
            </w:r>
            <w:r>
              <w:rPr>
                <w:color w:val="auto"/>
                <w:kern w:val="0"/>
                <w:sz w:val="24"/>
              </w:rPr>
              <w:t>年工作日</w:t>
            </w:r>
            <w:r>
              <w:rPr>
                <w:rFonts w:hint="eastAsia"/>
                <w:color w:val="auto"/>
                <w:kern w:val="0"/>
                <w:sz w:val="24"/>
                <w:lang w:val="en-US" w:eastAsia="zh-CN"/>
              </w:rPr>
              <w:t>300d</w:t>
            </w:r>
            <w:r>
              <w:rPr>
                <w:color w:val="auto"/>
                <w:kern w:val="0"/>
                <w:sz w:val="24"/>
              </w:rPr>
              <w:t>，则项目生活用水量为</w:t>
            </w:r>
            <w:r>
              <w:rPr>
                <w:rFonts w:hint="eastAsia"/>
                <w:color w:val="auto"/>
                <w:kern w:val="0"/>
                <w:sz w:val="24"/>
                <w:lang w:val="en-US" w:eastAsia="zh-CN"/>
              </w:rPr>
              <w:t>900</w:t>
            </w:r>
            <w:r>
              <w:rPr>
                <w:color w:val="auto"/>
                <w:kern w:val="0"/>
                <w:sz w:val="24"/>
              </w:rPr>
              <w:t>m</w:t>
            </w:r>
            <w:r>
              <w:rPr>
                <w:color w:val="auto"/>
                <w:kern w:val="0"/>
                <w:sz w:val="24"/>
                <w:vertAlign w:val="superscript"/>
              </w:rPr>
              <w:t>3</w:t>
            </w:r>
            <w:r>
              <w:rPr>
                <w:color w:val="auto"/>
                <w:kern w:val="0"/>
                <w:sz w:val="24"/>
              </w:rPr>
              <w:t>/a</w:t>
            </w:r>
            <w:r>
              <w:rPr>
                <w:rFonts w:hint="eastAsia"/>
                <w:color w:val="auto"/>
                <w:kern w:val="0"/>
                <w:sz w:val="24"/>
                <w:lang w:eastAsia="zh-CN"/>
              </w:rPr>
              <w:t>（</w:t>
            </w:r>
            <w:r>
              <w:rPr>
                <w:rFonts w:hint="eastAsia"/>
                <w:color w:val="auto"/>
                <w:kern w:val="0"/>
                <w:sz w:val="24"/>
                <w:lang w:val="en-US" w:eastAsia="zh-CN"/>
              </w:rPr>
              <w:t>3m</w:t>
            </w:r>
            <w:r>
              <w:rPr>
                <w:rFonts w:hint="eastAsia"/>
                <w:color w:val="auto"/>
                <w:kern w:val="0"/>
                <w:sz w:val="24"/>
                <w:vertAlign w:val="superscript"/>
                <w:lang w:val="en-US" w:eastAsia="zh-CN"/>
              </w:rPr>
              <w:t>3</w:t>
            </w:r>
            <w:r>
              <w:rPr>
                <w:rFonts w:hint="eastAsia"/>
                <w:color w:val="auto"/>
                <w:kern w:val="0"/>
                <w:sz w:val="24"/>
                <w:lang w:val="en-US" w:eastAsia="zh-CN"/>
              </w:rPr>
              <w:t>/d</w:t>
            </w:r>
            <w:r>
              <w:rPr>
                <w:rFonts w:hint="eastAsia"/>
                <w:color w:val="auto"/>
                <w:kern w:val="0"/>
                <w:sz w:val="24"/>
                <w:lang w:eastAsia="zh-CN"/>
              </w:rPr>
              <w:t>）</w:t>
            </w:r>
            <w:r>
              <w:rPr>
                <w:rFonts w:hint="default" w:ascii="Times New Roman" w:hAnsi="Times New Roman" w:cs="Times New Roman"/>
                <w:color w:val="auto"/>
                <w:kern w:val="0"/>
                <w:sz w:val="24"/>
              </w:rPr>
              <w:t>。</w:t>
            </w:r>
          </w:p>
          <w:p w14:paraId="495BE1A3">
            <w:pPr>
              <w:spacing w:line="360" w:lineRule="auto"/>
              <w:ind w:firstLine="480" w:firstLineChars="200"/>
              <w:rPr>
                <w:rFonts w:hint="default" w:ascii="Times New Roman" w:hAnsi="Times New Roman" w:cs="Times New Roman"/>
                <w:color w:val="auto"/>
                <w:kern w:val="0"/>
                <w:sz w:val="24"/>
                <w:lang w:val="en-US" w:eastAsia="zh-CN"/>
              </w:rPr>
            </w:pPr>
            <w:r>
              <w:rPr>
                <w:rFonts w:hint="default" w:ascii="Times New Roman" w:hAnsi="Times New Roman" w:cs="Times New Roman"/>
                <w:color w:val="auto"/>
                <w:kern w:val="0"/>
                <w:sz w:val="24"/>
                <w:lang w:val="en-US" w:eastAsia="zh-CN"/>
              </w:rPr>
              <w:t>②</w:t>
            </w:r>
            <w:r>
              <w:rPr>
                <w:rFonts w:hint="eastAsia" w:ascii="Times New Roman" w:hAnsi="Times New Roman" w:cs="Times New Roman"/>
                <w:color w:val="auto"/>
                <w:kern w:val="0"/>
                <w:sz w:val="24"/>
                <w:lang w:val="en-US" w:eastAsia="zh-CN"/>
              </w:rPr>
              <w:t>除尘用水</w:t>
            </w:r>
          </w:p>
          <w:p w14:paraId="470D74EA">
            <w:pPr>
              <w:spacing w:line="360" w:lineRule="auto"/>
              <w:ind w:firstLine="480" w:firstLineChars="200"/>
              <w:rPr>
                <w:color w:val="auto"/>
                <w:kern w:val="0"/>
                <w:sz w:val="24"/>
              </w:rPr>
            </w:pPr>
            <w:r>
              <w:rPr>
                <w:rFonts w:hint="eastAsia"/>
                <w:color w:val="auto"/>
                <w:kern w:val="0"/>
                <w:sz w:val="24"/>
                <w:lang w:val="en-US" w:eastAsia="zh-CN"/>
              </w:rPr>
              <w:t>本项目打磨工序采用水旋喷淋塔进行除尘，项目区域设置1个27m</w:t>
            </w:r>
            <w:r>
              <w:rPr>
                <w:rFonts w:hint="eastAsia"/>
                <w:color w:val="auto"/>
                <w:kern w:val="0"/>
                <w:sz w:val="24"/>
                <w:vertAlign w:val="superscript"/>
                <w:lang w:val="en-US" w:eastAsia="zh-CN"/>
              </w:rPr>
              <w:t>3</w:t>
            </w:r>
            <w:r>
              <w:rPr>
                <w:rFonts w:hint="eastAsia"/>
                <w:color w:val="auto"/>
                <w:kern w:val="0"/>
                <w:sz w:val="24"/>
                <w:lang w:val="en-US" w:eastAsia="zh-CN"/>
              </w:rPr>
              <w:t>循环水池。根据建设单位提供资料，</w:t>
            </w:r>
            <w:r>
              <w:rPr>
                <w:rFonts w:hint="eastAsia"/>
                <w:color w:val="auto"/>
                <w:sz w:val="24"/>
                <w:lang w:val="en-US" w:eastAsia="zh-CN"/>
              </w:rPr>
              <w:t>本项目</w:t>
            </w:r>
            <w:r>
              <w:rPr>
                <w:rFonts w:hint="eastAsia"/>
                <w:color w:val="auto"/>
                <w:kern w:val="0"/>
                <w:sz w:val="24"/>
                <w:lang w:val="en-US" w:eastAsia="zh-CN"/>
              </w:rPr>
              <w:t>打磨砂轮机除尘用水在水池内循环使用，</w:t>
            </w:r>
            <w:r>
              <w:rPr>
                <w:rFonts w:hint="eastAsia"/>
                <w:color w:val="auto"/>
                <w:sz w:val="24"/>
                <w:lang w:val="en-US" w:eastAsia="zh-CN"/>
              </w:rPr>
              <w:t>循环水量约5m³/h，需定期补水，补水量为循环水量的2%，则项目需补充水量为1.6m³/d，480m³/a</w:t>
            </w:r>
            <w:r>
              <w:rPr>
                <w:rFonts w:hint="eastAsia"/>
                <w:color w:val="auto"/>
                <w:kern w:val="0"/>
                <w:sz w:val="24"/>
                <w:lang w:val="en-US" w:eastAsia="zh-CN"/>
              </w:rPr>
              <w:t>。</w:t>
            </w:r>
          </w:p>
          <w:p w14:paraId="0BCF0BF6">
            <w:pPr>
              <w:spacing w:line="360" w:lineRule="auto"/>
              <w:ind w:firstLine="480" w:firstLineChars="200"/>
              <w:rPr>
                <w:color w:val="auto"/>
                <w:kern w:val="0"/>
                <w:sz w:val="24"/>
              </w:rPr>
            </w:pPr>
            <w:r>
              <w:rPr>
                <w:color w:val="auto"/>
                <w:kern w:val="0"/>
                <w:sz w:val="24"/>
              </w:rPr>
              <w:t>（2）排水</w:t>
            </w:r>
          </w:p>
          <w:p w14:paraId="0082C867">
            <w:pPr>
              <w:spacing w:line="360" w:lineRule="auto"/>
              <w:ind w:firstLine="480" w:firstLineChars="200"/>
              <w:rPr>
                <w:color w:val="FF0000"/>
                <w:kern w:val="0"/>
                <w:sz w:val="24"/>
                <w:highlight w:val="none"/>
              </w:rPr>
            </w:pPr>
            <w:r>
              <w:rPr>
                <w:color w:val="auto"/>
                <w:kern w:val="0"/>
                <w:sz w:val="24"/>
                <w:highlight w:val="none"/>
              </w:rPr>
              <w:t>生活污水</w:t>
            </w:r>
            <w:r>
              <w:rPr>
                <w:rFonts w:hint="eastAsia"/>
                <w:color w:val="auto"/>
                <w:kern w:val="0"/>
                <w:sz w:val="24"/>
                <w:highlight w:val="none"/>
                <w:lang w:val="en-US" w:eastAsia="zh-CN"/>
              </w:rPr>
              <w:t>依托现有化粪池处理后排入市政污水管网，进入泾河新城第二污水处理厂进一步处理</w:t>
            </w:r>
            <w:r>
              <w:rPr>
                <w:color w:val="auto"/>
                <w:kern w:val="0"/>
                <w:sz w:val="24"/>
                <w:highlight w:val="none"/>
              </w:rPr>
              <w:t>。</w:t>
            </w:r>
          </w:p>
          <w:p w14:paraId="632860A9">
            <w:pPr>
              <w:spacing w:line="360" w:lineRule="auto"/>
              <w:ind w:firstLine="480" w:firstLineChars="200"/>
              <w:rPr>
                <w:color w:val="auto"/>
                <w:kern w:val="0"/>
                <w:sz w:val="24"/>
              </w:rPr>
            </w:pPr>
            <w:r>
              <w:rPr>
                <w:color w:val="auto"/>
                <w:kern w:val="0"/>
                <w:sz w:val="24"/>
              </w:rPr>
              <w:t>由上述分析可知，</w:t>
            </w:r>
            <w:r>
              <w:rPr>
                <w:rFonts w:hint="eastAsia"/>
                <w:color w:val="auto"/>
                <w:kern w:val="0"/>
                <w:sz w:val="24"/>
                <w:lang w:val="en-US" w:eastAsia="zh-CN"/>
              </w:rPr>
              <w:t>本</w:t>
            </w:r>
            <w:r>
              <w:rPr>
                <w:color w:val="auto"/>
                <w:kern w:val="0"/>
                <w:sz w:val="24"/>
              </w:rPr>
              <w:t>项目年工作日</w:t>
            </w:r>
            <w:r>
              <w:rPr>
                <w:rFonts w:hint="eastAsia"/>
                <w:color w:val="auto"/>
                <w:kern w:val="0"/>
                <w:sz w:val="24"/>
                <w:lang w:val="en-US" w:eastAsia="zh-CN"/>
              </w:rPr>
              <w:t>300</w:t>
            </w:r>
            <w:r>
              <w:rPr>
                <w:color w:val="auto"/>
                <w:kern w:val="0"/>
                <w:sz w:val="24"/>
              </w:rPr>
              <w:t>天，</w:t>
            </w:r>
            <w:r>
              <w:rPr>
                <w:rFonts w:hint="eastAsia"/>
                <w:color w:val="auto"/>
                <w:kern w:val="0"/>
                <w:sz w:val="24"/>
                <w:lang w:val="en-US" w:eastAsia="zh-CN"/>
              </w:rPr>
              <w:t>生活</w:t>
            </w:r>
            <w:r>
              <w:rPr>
                <w:color w:val="auto"/>
                <w:kern w:val="0"/>
                <w:sz w:val="24"/>
              </w:rPr>
              <w:t>污水产生量按照用水量的80%计算，则</w:t>
            </w:r>
            <w:r>
              <w:rPr>
                <w:rFonts w:hint="default" w:ascii="Times New Roman" w:hAnsi="Times New Roman" w:cs="Times New Roman"/>
                <w:color w:val="auto"/>
                <w:kern w:val="0"/>
                <w:sz w:val="24"/>
              </w:rPr>
              <w:t>生活</w:t>
            </w:r>
            <w:r>
              <w:rPr>
                <w:rFonts w:hint="eastAsia" w:ascii="Times New Roman" w:hAnsi="Times New Roman" w:cs="Times New Roman"/>
                <w:color w:val="auto"/>
                <w:kern w:val="0"/>
                <w:sz w:val="24"/>
                <w:lang w:val="en-US" w:eastAsia="zh-CN"/>
              </w:rPr>
              <w:t>污水</w:t>
            </w:r>
            <w:r>
              <w:rPr>
                <w:rFonts w:hint="eastAsia" w:cs="Times New Roman"/>
                <w:color w:val="auto"/>
                <w:kern w:val="0"/>
                <w:sz w:val="24"/>
                <w:lang w:val="en-US" w:eastAsia="zh-CN"/>
              </w:rPr>
              <w:t>产生</w:t>
            </w:r>
            <w:r>
              <w:rPr>
                <w:rFonts w:hint="default" w:ascii="Times New Roman" w:hAnsi="Times New Roman" w:cs="Times New Roman"/>
                <w:color w:val="auto"/>
                <w:kern w:val="0"/>
                <w:sz w:val="24"/>
              </w:rPr>
              <w:t>量为</w:t>
            </w:r>
            <w:r>
              <w:rPr>
                <w:rFonts w:hint="eastAsia" w:cs="Times New Roman"/>
                <w:color w:val="auto"/>
                <w:kern w:val="0"/>
                <w:sz w:val="24"/>
                <w:lang w:val="en-US" w:eastAsia="zh-CN"/>
              </w:rPr>
              <w:t>720</w:t>
            </w:r>
            <w:r>
              <w:rPr>
                <w:rFonts w:hint="default" w:ascii="Times New Roman" w:hAnsi="Times New Roman" w:cs="Times New Roman"/>
                <w:color w:val="auto"/>
                <w:kern w:val="0"/>
                <w:sz w:val="24"/>
              </w:rPr>
              <w:t>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/a</w:t>
            </w:r>
            <w:r>
              <w:rPr>
                <w:rFonts w:hint="eastAsia" w:cs="Times New Roman"/>
                <w:color w:val="auto"/>
                <w:kern w:val="0"/>
                <w:sz w:val="24"/>
                <w:lang w:val="en-US" w:eastAsia="zh-CN"/>
              </w:rPr>
              <w:t>（2.4</w:t>
            </w:r>
            <w:r>
              <w:rPr>
                <w:rFonts w:hint="default" w:ascii="Times New Roman" w:hAnsi="Times New Roman" w:cs="Times New Roman"/>
                <w:color w:val="auto"/>
                <w:kern w:val="0"/>
                <w:sz w:val="24"/>
              </w:rPr>
              <w:t>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w:t>
            </w:r>
            <w:r>
              <w:rPr>
                <w:rFonts w:hint="eastAsia" w:cs="Times New Roman"/>
                <w:color w:val="auto"/>
                <w:kern w:val="0"/>
                <w:sz w:val="24"/>
                <w:lang w:val="en-US" w:eastAsia="zh-CN"/>
              </w:rPr>
              <w:t>d）</w:t>
            </w:r>
            <w:r>
              <w:rPr>
                <w:color w:val="auto"/>
                <w:kern w:val="0"/>
                <w:sz w:val="24"/>
              </w:rPr>
              <w:t>。</w:t>
            </w:r>
          </w:p>
          <w:p w14:paraId="3694D265">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具体用水及排水情况</w:t>
            </w:r>
            <w:r>
              <w:rPr>
                <w:rFonts w:hint="eastAsia" w:cs="Times New Roman"/>
                <w:color w:val="auto"/>
                <w:sz w:val="24"/>
                <w:lang w:val="en-US" w:eastAsia="zh-CN"/>
              </w:rPr>
              <w:t>见</w:t>
            </w:r>
            <w:r>
              <w:rPr>
                <w:rFonts w:hint="eastAsia" w:ascii="Times New Roman" w:hAnsi="Times New Roman" w:eastAsia="宋体" w:cs="Times New Roman"/>
                <w:color w:val="auto"/>
                <w:sz w:val="24"/>
                <w:lang w:val="en-US" w:eastAsia="zh-CN"/>
              </w:rPr>
              <w:t>下表。</w:t>
            </w:r>
          </w:p>
          <w:p w14:paraId="6D7E29AA">
            <w:pPr>
              <w:jc w:val="center"/>
              <w:rPr>
                <w:b/>
                <w:color w:val="auto"/>
                <w:kern w:val="0"/>
                <w:szCs w:val="21"/>
              </w:rPr>
            </w:pPr>
            <w:r>
              <w:rPr>
                <w:b/>
                <w:color w:val="auto"/>
                <w:kern w:val="0"/>
                <w:szCs w:val="21"/>
              </w:rPr>
              <w:t>表</w:t>
            </w:r>
            <w:r>
              <w:rPr>
                <w:rFonts w:hint="eastAsia"/>
                <w:b/>
                <w:color w:val="auto"/>
                <w:kern w:val="0"/>
                <w:szCs w:val="21"/>
              </w:rPr>
              <w:t>2-</w:t>
            </w:r>
            <w:r>
              <w:rPr>
                <w:rFonts w:hint="eastAsia"/>
                <w:b/>
                <w:color w:val="auto"/>
                <w:kern w:val="0"/>
                <w:szCs w:val="21"/>
                <w:lang w:val="en-US" w:eastAsia="zh-CN"/>
              </w:rPr>
              <w:t>5</w:t>
            </w:r>
            <w:r>
              <w:rPr>
                <w:rFonts w:hint="eastAsia"/>
                <w:b/>
                <w:color w:val="auto"/>
                <w:kern w:val="0"/>
                <w:szCs w:val="21"/>
              </w:rPr>
              <w:t xml:space="preserve">   </w:t>
            </w:r>
            <w:r>
              <w:rPr>
                <w:rFonts w:hint="eastAsia"/>
                <w:b/>
                <w:color w:val="auto"/>
                <w:kern w:val="0"/>
                <w:szCs w:val="21"/>
                <w:lang w:val="en-US" w:eastAsia="zh-CN"/>
              </w:rPr>
              <w:t>本</w:t>
            </w:r>
            <w:r>
              <w:rPr>
                <w:b/>
                <w:color w:val="auto"/>
                <w:kern w:val="0"/>
                <w:szCs w:val="21"/>
              </w:rPr>
              <w:t>项目用水及排水情况一览表</w:t>
            </w:r>
            <w:r>
              <w:rPr>
                <w:rFonts w:hint="eastAsia"/>
                <w:b/>
                <w:color w:val="auto"/>
                <w:kern w:val="0"/>
                <w:szCs w:val="21"/>
                <w:lang w:val="en-US" w:eastAsia="zh-CN"/>
              </w:rPr>
              <w:t xml:space="preserve">  </w:t>
            </w:r>
            <w:r>
              <w:rPr>
                <w:b/>
                <w:color w:val="auto"/>
              </w:rPr>
              <w:t>单位：</w:t>
            </w:r>
            <w:r>
              <w:rPr>
                <w:rFonts w:eastAsia="Times New Roman"/>
                <w:b/>
                <w:color w:val="auto"/>
              </w:rPr>
              <w:t>m</w:t>
            </w:r>
            <w:r>
              <w:rPr>
                <w:rFonts w:eastAsia="Times New Roman"/>
                <w:b/>
                <w:color w:val="auto"/>
                <w:vertAlign w:val="superscript"/>
              </w:rPr>
              <w:t>3</w:t>
            </w:r>
            <w:r>
              <w:rPr>
                <w:rFonts w:eastAsia="Times New Roman"/>
                <w:b/>
                <w:color w:val="auto"/>
              </w:rPr>
              <w:t>/</w:t>
            </w:r>
            <w:r>
              <w:rPr>
                <w:rFonts w:eastAsiaTheme="minorEastAsia"/>
                <w:b/>
                <w:color w:val="auto"/>
              </w:rPr>
              <w:t>d</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4"/>
              <w:gridCol w:w="1527"/>
              <w:gridCol w:w="945"/>
              <w:gridCol w:w="1005"/>
              <w:gridCol w:w="959"/>
              <w:gridCol w:w="1003"/>
              <w:gridCol w:w="2315"/>
            </w:tblGrid>
            <w:tr w14:paraId="36272C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14:paraId="57112158">
                  <w:pPr>
                    <w:spacing w:line="280" w:lineRule="exact"/>
                    <w:jc w:val="center"/>
                    <w:rPr>
                      <w:b/>
                      <w:color w:val="auto"/>
                      <w:szCs w:val="21"/>
                    </w:rPr>
                  </w:pPr>
                  <w:r>
                    <w:rPr>
                      <w:b/>
                      <w:color w:val="auto"/>
                      <w:szCs w:val="21"/>
                    </w:rPr>
                    <w:t>序号</w:t>
                  </w:r>
                </w:p>
              </w:tc>
              <w:tc>
                <w:tcPr>
                  <w:tcW w:w="912" w:type="pct"/>
                  <w:vAlign w:val="center"/>
                </w:tcPr>
                <w:p w14:paraId="45939274">
                  <w:pPr>
                    <w:spacing w:line="280" w:lineRule="exact"/>
                    <w:jc w:val="center"/>
                    <w:rPr>
                      <w:b/>
                      <w:color w:val="auto"/>
                      <w:szCs w:val="21"/>
                    </w:rPr>
                  </w:pPr>
                  <w:r>
                    <w:rPr>
                      <w:b/>
                      <w:color w:val="auto"/>
                      <w:szCs w:val="21"/>
                    </w:rPr>
                    <w:t>用水分类</w:t>
                  </w:r>
                </w:p>
              </w:tc>
              <w:tc>
                <w:tcPr>
                  <w:tcW w:w="564" w:type="pct"/>
                  <w:vAlign w:val="center"/>
                </w:tcPr>
                <w:p w14:paraId="2B7FE195">
                  <w:pPr>
                    <w:spacing w:line="280" w:lineRule="exact"/>
                    <w:jc w:val="center"/>
                    <w:rPr>
                      <w:b/>
                      <w:color w:val="auto"/>
                      <w:szCs w:val="21"/>
                    </w:rPr>
                  </w:pPr>
                  <w:r>
                    <w:rPr>
                      <w:b/>
                      <w:color w:val="auto"/>
                      <w:szCs w:val="21"/>
                    </w:rPr>
                    <w:t>用水</w:t>
                  </w:r>
                </w:p>
                <w:p w14:paraId="18BB72B6">
                  <w:pPr>
                    <w:spacing w:line="280" w:lineRule="exact"/>
                    <w:jc w:val="center"/>
                    <w:rPr>
                      <w:b/>
                      <w:color w:val="auto"/>
                      <w:szCs w:val="21"/>
                    </w:rPr>
                  </w:pPr>
                  <w:r>
                    <w:rPr>
                      <w:b/>
                      <w:color w:val="auto"/>
                      <w:szCs w:val="21"/>
                    </w:rPr>
                    <w:t>标准</w:t>
                  </w:r>
                </w:p>
              </w:tc>
              <w:tc>
                <w:tcPr>
                  <w:tcW w:w="600" w:type="pct"/>
                  <w:vAlign w:val="center"/>
                </w:tcPr>
                <w:p w14:paraId="21C01285">
                  <w:pPr>
                    <w:spacing w:line="280" w:lineRule="exact"/>
                    <w:jc w:val="center"/>
                    <w:rPr>
                      <w:b/>
                      <w:color w:val="auto"/>
                      <w:szCs w:val="21"/>
                    </w:rPr>
                  </w:pPr>
                  <w:r>
                    <w:rPr>
                      <w:b/>
                      <w:color w:val="auto"/>
                      <w:szCs w:val="21"/>
                    </w:rPr>
                    <w:t>新鲜</w:t>
                  </w:r>
                </w:p>
                <w:p w14:paraId="5AB1EF0B">
                  <w:pPr>
                    <w:spacing w:line="280" w:lineRule="exact"/>
                    <w:jc w:val="center"/>
                    <w:rPr>
                      <w:b/>
                      <w:color w:val="auto"/>
                      <w:szCs w:val="21"/>
                    </w:rPr>
                  </w:pPr>
                  <w:r>
                    <w:rPr>
                      <w:b/>
                      <w:color w:val="auto"/>
                      <w:szCs w:val="21"/>
                    </w:rPr>
                    <w:t>用水量</w:t>
                  </w:r>
                </w:p>
              </w:tc>
              <w:tc>
                <w:tcPr>
                  <w:tcW w:w="573" w:type="pct"/>
                  <w:vAlign w:val="center"/>
                </w:tcPr>
                <w:p w14:paraId="34B169BF">
                  <w:pPr>
                    <w:spacing w:line="280" w:lineRule="exact"/>
                    <w:jc w:val="center"/>
                    <w:rPr>
                      <w:b/>
                      <w:color w:val="auto"/>
                      <w:szCs w:val="21"/>
                    </w:rPr>
                  </w:pPr>
                  <w:r>
                    <w:rPr>
                      <w:b/>
                      <w:color w:val="auto"/>
                      <w:szCs w:val="21"/>
                    </w:rPr>
                    <w:t>损耗量</w:t>
                  </w:r>
                </w:p>
              </w:tc>
              <w:tc>
                <w:tcPr>
                  <w:tcW w:w="599" w:type="pct"/>
                  <w:vAlign w:val="center"/>
                </w:tcPr>
                <w:p w14:paraId="0951BC50">
                  <w:pPr>
                    <w:spacing w:line="280" w:lineRule="exact"/>
                    <w:jc w:val="center"/>
                    <w:rPr>
                      <w:b/>
                      <w:color w:val="auto"/>
                      <w:szCs w:val="21"/>
                    </w:rPr>
                  </w:pPr>
                  <w:r>
                    <w:rPr>
                      <w:b/>
                      <w:color w:val="auto"/>
                      <w:szCs w:val="21"/>
                    </w:rPr>
                    <w:t>排水量</w:t>
                  </w:r>
                </w:p>
              </w:tc>
              <w:tc>
                <w:tcPr>
                  <w:tcW w:w="1383" w:type="pct"/>
                  <w:vAlign w:val="center"/>
                </w:tcPr>
                <w:p w14:paraId="08D1DA83">
                  <w:pPr>
                    <w:spacing w:line="280" w:lineRule="exact"/>
                    <w:jc w:val="center"/>
                    <w:rPr>
                      <w:b/>
                      <w:color w:val="auto"/>
                      <w:szCs w:val="21"/>
                    </w:rPr>
                  </w:pPr>
                  <w:r>
                    <w:rPr>
                      <w:rFonts w:hint="eastAsia"/>
                      <w:b/>
                      <w:color w:val="auto"/>
                      <w:szCs w:val="21"/>
                    </w:rPr>
                    <w:t>排放去向</w:t>
                  </w:r>
                </w:p>
              </w:tc>
            </w:tr>
            <w:tr w14:paraId="6B1131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14:paraId="2E503BA3">
                  <w:pPr>
                    <w:spacing w:line="280" w:lineRule="exact"/>
                    <w:jc w:val="center"/>
                    <w:rPr>
                      <w:color w:val="auto"/>
                      <w:szCs w:val="21"/>
                    </w:rPr>
                  </w:pPr>
                  <w:r>
                    <w:rPr>
                      <w:color w:val="auto"/>
                      <w:szCs w:val="21"/>
                    </w:rPr>
                    <w:t>1</w:t>
                  </w:r>
                </w:p>
              </w:tc>
              <w:tc>
                <w:tcPr>
                  <w:tcW w:w="912" w:type="pct"/>
                  <w:vAlign w:val="center"/>
                </w:tcPr>
                <w:p w14:paraId="14A44AB7">
                  <w:pPr>
                    <w:spacing w:line="280" w:lineRule="exact"/>
                    <w:jc w:val="center"/>
                    <w:rPr>
                      <w:color w:val="auto"/>
                      <w:szCs w:val="21"/>
                    </w:rPr>
                  </w:pPr>
                  <w:r>
                    <w:rPr>
                      <w:rFonts w:hint="eastAsia" w:cs="Times New Roman"/>
                      <w:color w:val="auto"/>
                      <w:szCs w:val="21"/>
                      <w:lang w:val="en-US" w:eastAsia="zh-CN"/>
                    </w:rPr>
                    <w:t>喷淋塔</w:t>
                  </w:r>
                  <w:r>
                    <w:rPr>
                      <w:rFonts w:hint="eastAsia" w:ascii="Times New Roman" w:hAnsi="Times New Roman" w:cs="Times New Roman"/>
                      <w:color w:val="auto"/>
                      <w:szCs w:val="21"/>
                      <w:lang w:val="en-US" w:eastAsia="zh-CN"/>
                    </w:rPr>
                    <w:t>补充水</w:t>
                  </w:r>
                </w:p>
              </w:tc>
              <w:tc>
                <w:tcPr>
                  <w:tcW w:w="564" w:type="pct"/>
                  <w:vAlign w:val="center"/>
                </w:tcPr>
                <w:p w14:paraId="13758E4F">
                  <w:pPr>
                    <w:spacing w:line="280" w:lineRule="exact"/>
                    <w:jc w:val="center"/>
                    <w:rPr>
                      <w:rFonts w:hint="default" w:eastAsia="宋体"/>
                      <w:color w:val="auto"/>
                      <w:szCs w:val="21"/>
                      <w:lang w:val="en-US" w:eastAsia="zh-CN"/>
                    </w:rPr>
                  </w:pPr>
                  <w:r>
                    <w:rPr>
                      <w:rFonts w:hint="eastAsia"/>
                      <w:color w:val="auto"/>
                      <w:kern w:val="0"/>
                      <w:szCs w:val="21"/>
                      <w:lang w:val="en-US" w:eastAsia="zh-CN"/>
                    </w:rPr>
                    <w:t>2%</w:t>
                  </w:r>
                </w:p>
              </w:tc>
              <w:tc>
                <w:tcPr>
                  <w:tcW w:w="600" w:type="pct"/>
                  <w:vAlign w:val="center"/>
                </w:tcPr>
                <w:p w14:paraId="54AE35EA">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1.6</w:t>
                  </w:r>
                </w:p>
              </w:tc>
              <w:tc>
                <w:tcPr>
                  <w:tcW w:w="573" w:type="pct"/>
                  <w:vAlign w:val="center"/>
                </w:tcPr>
                <w:p w14:paraId="52490AF0">
                  <w:pPr>
                    <w:widowControl/>
                    <w:jc w:val="center"/>
                    <w:textAlignment w:val="center"/>
                    <w:rPr>
                      <w:rFonts w:hint="default"/>
                      <w:color w:val="auto"/>
                      <w:kern w:val="0"/>
                      <w:szCs w:val="21"/>
                      <w:lang w:val="en-US" w:bidi="ar"/>
                    </w:rPr>
                  </w:pPr>
                  <w:r>
                    <w:rPr>
                      <w:rFonts w:hint="eastAsia"/>
                      <w:color w:val="auto"/>
                      <w:kern w:val="0"/>
                      <w:szCs w:val="21"/>
                      <w:lang w:val="en-US" w:eastAsia="zh-CN" w:bidi="ar"/>
                    </w:rPr>
                    <w:t>1.6</w:t>
                  </w:r>
                </w:p>
              </w:tc>
              <w:tc>
                <w:tcPr>
                  <w:tcW w:w="599" w:type="pct"/>
                  <w:vAlign w:val="center"/>
                </w:tcPr>
                <w:p w14:paraId="48DCE593">
                  <w:pPr>
                    <w:widowControl/>
                    <w:jc w:val="center"/>
                    <w:textAlignment w:val="center"/>
                    <w:rPr>
                      <w:color w:val="auto"/>
                      <w:kern w:val="0"/>
                      <w:szCs w:val="21"/>
                      <w:lang w:bidi="ar"/>
                    </w:rPr>
                  </w:pPr>
                  <w:r>
                    <w:rPr>
                      <w:color w:val="auto"/>
                      <w:kern w:val="0"/>
                      <w:szCs w:val="21"/>
                      <w:lang w:bidi="ar"/>
                    </w:rPr>
                    <w:t>0</w:t>
                  </w:r>
                </w:p>
              </w:tc>
              <w:tc>
                <w:tcPr>
                  <w:tcW w:w="1383" w:type="pct"/>
                  <w:vAlign w:val="center"/>
                </w:tcPr>
                <w:p w14:paraId="614FAFFE">
                  <w:pPr>
                    <w:spacing w:line="280" w:lineRule="exact"/>
                    <w:jc w:val="center"/>
                    <w:rPr>
                      <w:rFonts w:hint="default" w:eastAsia="宋体"/>
                      <w:color w:val="auto"/>
                      <w:szCs w:val="21"/>
                      <w:lang w:val="en-US" w:eastAsia="zh-CN"/>
                    </w:rPr>
                  </w:pPr>
                  <w:r>
                    <w:rPr>
                      <w:rFonts w:hint="eastAsia"/>
                      <w:color w:val="auto"/>
                      <w:szCs w:val="21"/>
                      <w:lang w:val="en-US" w:eastAsia="zh-CN"/>
                    </w:rPr>
                    <w:t>损耗</w:t>
                  </w:r>
                </w:p>
              </w:tc>
            </w:tr>
            <w:tr w14:paraId="19D51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14:paraId="066DCB40">
                  <w:pPr>
                    <w:spacing w:line="280" w:lineRule="exact"/>
                    <w:jc w:val="center"/>
                    <w:rPr>
                      <w:color w:val="auto"/>
                      <w:szCs w:val="21"/>
                    </w:rPr>
                  </w:pPr>
                  <w:r>
                    <w:rPr>
                      <w:color w:val="auto"/>
                      <w:szCs w:val="21"/>
                    </w:rPr>
                    <w:t>2</w:t>
                  </w:r>
                </w:p>
              </w:tc>
              <w:tc>
                <w:tcPr>
                  <w:tcW w:w="912" w:type="pct"/>
                  <w:shd w:val="clear" w:color="auto" w:fill="auto"/>
                  <w:vAlign w:val="center"/>
                </w:tcPr>
                <w:p w14:paraId="4486B370">
                  <w:pPr>
                    <w:spacing w:line="280" w:lineRule="exact"/>
                    <w:jc w:val="center"/>
                    <w:rPr>
                      <w:rFonts w:hint="eastAsia" w:ascii="Times New Roman" w:hAnsi="Times New Roman" w:eastAsia="宋体" w:cs="Times New Roman"/>
                      <w:color w:val="auto"/>
                      <w:kern w:val="2"/>
                      <w:sz w:val="21"/>
                      <w:szCs w:val="21"/>
                      <w:lang w:val="en-US" w:eastAsia="zh-CN" w:bidi="ar-SA"/>
                    </w:rPr>
                  </w:pPr>
                  <w:r>
                    <w:rPr>
                      <w:color w:val="auto"/>
                      <w:szCs w:val="21"/>
                    </w:rPr>
                    <w:t>生活用水</w:t>
                  </w:r>
                </w:p>
              </w:tc>
              <w:tc>
                <w:tcPr>
                  <w:tcW w:w="564" w:type="pct"/>
                  <w:shd w:val="clear" w:color="auto" w:fill="auto"/>
                  <w:vAlign w:val="center"/>
                </w:tcPr>
                <w:p w14:paraId="694A8E26">
                  <w:pPr>
                    <w:widowControl/>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100L</w:t>
                  </w:r>
                  <w:r>
                    <w:rPr>
                      <w:rFonts w:ascii="Times New Roman" w:hAnsi="Times New Roman" w:eastAsia="宋体" w:cs="Times New Roman"/>
                      <w:color w:val="auto"/>
                      <w:kern w:val="0"/>
                      <w:szCs w:val="21"/>
                      <w:lang w:bidi="ar"/>
                    </w:rPr>
                    <w:t>/（人·</w:t>
                  </w:r>
                  <w:r>
                    <w:rPr>
                      <w:rFonts w:hint="eastAsia" w:ascii="Times New Roman" w:hAnsi="Times New Roman" w:eastAsia="宋体" w:cs="Times New Roman"/>
                      <w:color w:val="auto"/>
                      <w:kern w:val="0"/>
                      <w:szCs w:val="21"/>
                      <w:lang w:val="en-US" w:eastAsia="zh-CN" w:bidi="ar"/>
                    </w:rPr>
                    <w:t>d</w:t>
                  </w:r>
                  <w:r>
                    <w:rPr>
                      <w:rFonts w:ascii="Times New Roman" w:hAnsi="Times New Roman" w:eastAsia="宋体" w:cs="Times New Roman"/>
                      <w:color w:val="auto"/>
                      <w:kern w:val="0"/>
                      <w:szCs w:val="21"/>
                      <w:lang w:bidi="ar"/>
                    </w:rPr>
                    <w:t>）</w:t>
                  </w:r>
                </w:p>
              </w:tc>
              <w:tc>
                <w:tcPr>
                  <w:tcW w:w="600" w:type="pct"/>
                  <w:shd w:val="clear" w:color="auto" w:fill="auto"/>
                  <w:vAlign w:val="center"/>
                </w:tcPr>
                <w:p w14:paraId="2EF47D1E">
                  <w:pPr>
                    <w:widowControl/>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3</w:t>
                  </w:r>
                </w:p>
              </w:tc>
              <w:tc>
                <w:tcPr>
                  <w:tcW w:w="573" w:type="pct"/>
                  <w:shd w:val="clear" w:color="auto" w:fill="auto"/>
                  <w:vAlign w:val="center"/>
                </w:tcPr>
                <w:p w14:paraId="31B321E3">
                  <w:pPr>
                    <w:widowControl/>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0.6</w:t>
                  </w:r>
                </w:p>
              </w:tc>
              <w:tc>
                <w:tcPr>
                  <w:tcW w:w="599" w:type="pct"/>
                  <w:shd w:val="clear" w:color="auto" w:fill="auto"/>
                  <w:vAlign w:val="center"/>
                </w:tcPr>
                <w:p w14:paraId="5662C1DA">
                  <w:pPr>
                    <w:widowControl/>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2.4</w:t>
                  </w:r>
                </w:p>
              </w:tc>
              <w:tc>
                <w:tcPr>
                  <w:tcW w:w="1383" w:type="pct"/>
                  <w:shd w:val="clear" w:color="auto" w:fill="auto"/>
                  <w:vAlign w:val="center"/>
                </w:tcPr>
                <w:p w14:paraId="058552D3">
                  <w:pPr>
                    <w:spacing w:line="280" w:lineRule="exact"/>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rPr>
                    <w:t>化粪池</w:t>
                  </w:r>
                  <w:r>
                    <w:rPr>
                      <w:rFonts w:hint="eastAsia"/>
                      <w:color w:val="auto"/>
                      <w:szCs w:val="21"/>
                      <w:lang w:val="en-US" w:eastAsia="zh-CN"/>
                    </w:rPr>
                    <w:t>收集</w:t>
                  </w:r>
                  <w:r>
                    <w:rPr>
                      <w:rFonts w:hint="eastAsia" w:ascii="Times New Roman" w:hAnsi="Times New Roman" w:cs="Times New Roman"/>
                      <w:color w:val="auto"/>
                      <w:szCs w:val="21"/>
                      <w:lang w:val="en-US" w:eastAsia="zh-CN"/>
                    </w:rPr>
                    <w:t>，排入市政污水管网</w:t>
                  </w:r>
                </w:p>
              </w:tc>
            </w:tr>
            <w:tr w14:paraId="4FCFE5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43" w:type="pct"/>
                  <w:gridSpan w:val="3"/>
                  <w:vAlign w:val="center"/>
                </w:tcPr>
                <w:p w14:paraId="3520B3F2">
                  <w:pPr>
                    <w:spacing w:line="280" w:lineRule="exact"/>
                    <w:jc w:val="center"/>
                    <w:rPr>
                      <w:color w:val="auto"/>
                      <w:szCs w:val="21"/>
                    </w:rPr>
                  </w:pPr>
                  <w:r>
                    <w:rPr>
                      <w:color w:val="auto"/>
                      <w:szCs w:val="21"/>
                    </w:rPr>
                    <w:t>合计</w:t>
                  </w:r>
                </w:p>
              </w:tc>
              <w:tc>
                <w:tcPr>
                  <w:tcW w:w="600" w:type="pct"/>
                  <w:vAlign w:val="center"/>
                </w:tcPr>
                <w:p w14:paraId="4D53F621">
                  <w:pPr>
                    <w:keepNext w:val="0"/>
                    <w:keepLines w:val="0"/>
                    <w:widowControl/>
                    <w:suppressLineNumbers w:val="0"/>
                    <w:jc w:val="center"/>
                    <w:textAlignment w:val="center"/>
                    <w:rPr>
                      <w:rFonts w:hint="default"/>
                      <w:color w:val="auto"/>
                      <w:kern w:val="0"/>
                      <w:szCs w:val="21"/>
                      <w:lang w:val="en-US" w:bidi="ar"/>
                    </w:rPr>
                  </w:pPr>
                  <w:r>
                    <w:rPr>
                      <w:rFonts w:hint="eastAsia" w:cs="Times New Roman"/>
                      <w:i w:val="0"/>
                      <w:iCs w:val="0"/>
                      <w:color w:val="auto"/>
                      <w:kern w:val="0"/>
                      <w:sz w:val="21"/>
                      <w:szCs w:val="21"/>
                      <w:u w:val="none"/>
                      <w:lang w:val="en-US" w:eastAsia="zh-CN" w:bidi="ar"/>
                    </w:rPr>
                    <w:t>4.6</w:t>
                  </w:r>
                </w:p>
              </w:tc>
              <w:tc>
                <w:tcPr>
                  <w:tcW w:w="573" w:type="pct"/>
                  <w:vAlign w:val="center"/>
                </w:tcPr>
                <w:p w14:paraId="5A6BEE53">
                  <w:pPr>
                    <w:keepNext w:val="0"/>
                    <w:keepLines w:val="0"/>
                    <w:widowControl/>
                    <w:suppressLineNumbers w:val="0"/>
                    <w:jc w:val="center"/>
                    <w:textAlignment w:val="center"/>
                    <w:rPr>
                      <w:rFonts w:hint="default"/>
                      <w:color w:val="auto"/>
                      <w:kern w:val="0"/>
                      <w:szCs w:val="21"/>
                      <w:lang w:val="en-US" w:bidi="ar"/>
                    </w:rPr>
                  </w:pPr>
                  <w:r>
                    <w:rPr>
                      <w:rFonts w:hint="eastAsia" w:cs="Times New Roman"/>
                      <w:i w:val="0"/>
                      <w:iCs w:val="0"/>
                      <w:color w:val="auto"/>
                      <w:kern w:val="0"/>
                      <w:sz w:val="21"/>
                      <w:szCs w:val="21"/>
                      <w:u w:val="none"/>
                      <w:lang w:val="en-US" w:eastAsia="zh-CN" w:bidi="ar"/>
                    </w:rPr>
                    <w:t>2.2</w:t>
                  </w:r>
                </w:p>
              </w:tc>
              <w:tc>
                <w:tcPr>
                  <w:tcW w:w="599" w:type="pct"/>
                  <w:vAlign w:val="center"/>
                </w:tcPr>
                <w:p w14:paraId="1D67FAB1">
                  <w:pPr>
                    <w:keepNext w:val="0"/>
                    <w:keepLines w:val="0"/>
                    <w:widowControl/>
                    <w:suppressLineNumbers w:val="0"/>
                    <w:jc w:val="center"/>
                    <w:textAlignment w:val="center"/>
                    <w:rPr>
                      <w:rFonts w:hint="default"/>
                      <w:color w:val="auto"/>
                      <w:kern w:val="0"/>
                      <w:szCs w:val="21"/>
                      <w:lang w:val="en-US" w:bidi="ar"/>
                    </w:rPr>
                  </w:pPr>
                  <w:r>
                    <w:rPr>
                      <w:rFonts w:hint="eastAsia" w:cs="Times New Roman"/>
                      <w:i w:val="0"/>
                      <w:iCs w:val="0"/>
                      <w:color w:val="auto"/>
                      <w:kern w:val="0"/>
                      <w:sz w:val="21"/>
                      <w:szCs w:val="21"/>
                      <w:u w:val="none"/>
                      <w:lang w:val="en-US" w:eastAsia="zh-CN" w:bidi="ar"/>
                    </w:rPr>
                    <w:t>2.4</w:t>
                  </w:r>
                </w:p>
              </w:tc>
              <w:tc>
                <w:tcPr>
                  <w:tcW w:w="1383" w:type="pct"/>
                  <w:vAlign w:val="center"/>
                </w:tcPr>
                <w:p w14:paraId="65CF62C4">
                  <w:pPr>
                    <w:spacing w:line="280" w:lineRule="exact"/>
                    <w:jc w:val="center"/>
                    <w:rPr>
                      <w:color w:val="auto"/>
                      <w:szCs w:val="21"/>
                    </w:rPr>
                  </w:pPr>
                </w:p>
              </w:tc>
            </w:tr>
          </w:tbl>
          <w:p w14:paraId="1176D2FC">
            <w:pPr>
              <w:keepNext w:val="0"/>
              <w:keepLines w:val="0"/>
              <w:pageBreakBefore w:val="0"/>
              <w:widowControl w:val="0"/>
              <w:kinsoku/>
              <w:wordWrap/>
              <w:overflowPunct/>
              <w:topLinePunct w:val="0"/>
              <w:autoSpaceDE/>
              <w:autoSpaceDN w:val="0"/>
              <w:bidi w:val="0"/>
              <w:adjustRightInd/>
              <w:snapToGrid/>
              <w:spacing w:line="360" w:lineRule="auto"/>
              <w:jc w:val="center"/>
              <w:textAlignment w:val="auto"/>
              <w:rPr>
                <w:rFonts w:hint="eastAsia" w:eastAsia="宋体"/>
                <w:color w:val="auto"/>
                <w:kern w:val="0"/>
                <w:sz w:val="24"/>
                <w:szCs w:val="20"/>
                <w:lang w:eastAsia="zh-CN"/>
              </w:rPr>
            </w:pPr>
            <w:r>
              <w:rPr>
                <w:color w:val="0000FF"/>
              </w:rPr>
              <mc:AlternateContent>
                <mc:Choice Requires="wpc">
                  <w:drawing>
                    <wp:inline distT="0" distB="0" distL="0" distR="0">
                      <wp:extent cx="4968240" cy="1618615"/>
                      <wp:effectExtent l="0" t="0" r="0" b="0"/>
                      <wp:docPr id="264" name="画布 264"/>
                      <wp:cNvGraphicFramePr/>
                      <a:graphic xmlns:a="http://schemas.openxmlformats.org/drawingml/2006/main">
                        <a:graphicData uri="http://schemas.microsoft.com/office/word/2010/wordprocessingCanvas">
                          <wpc:wpc>
                            <wpc:bg>
                              <a:noFill/>
                            </wpc:bg>
                            <wpc:whole>
                              <a:ln>
                                <a:noFill/>
                              </a:ln>
                            </wpc:whole>
                            <wps:wsp>
                              <wps:cNvPr id="84" name="矩形 280"/>
                              <wps:cNvSpPr>
                                <a:spLocks noChangeArrowheads="1"/>
                              </wps:cNvSpPr>
                              <wps:spPr bwMode="auto">
                                <a:xfrm>
                                  <a:off x="136525" y="581025"/>
                                  <a:ext cx="305435" cy="612140"/>
                                </a:xfrm>
                                <a:prstGeom prst="rect">
                                  <a:avLst/>
                                </a:prstGeom>
                                <a:solidFill>
                                  <a:srgbClr val="FFFFFF"/>
                                </a:solidFill>
                                <a:ln w="9525">
                                  <a:noFill/>
                                  <a:miter lim="800000"/>
                                </a:ln>
                              </wps:spPr>
                              <wps:txbx>
                                <w:txbxContent>
                                  <w:p w14:paraId="2D2DC07F">
                                    <w:pPr>
                                      <w:rPr>
                                        <w:b/>
                                        <w:szCs w:val="21"/>
                                      </w:rPr>
                                    </w:pPr>
                                    <w:r>
                                      <w:rPr>
                                        <w:rFonts w:hint="eastAsia"/>
                                        <w:b/>
                                        <w:szCs w:val="21"/>
                                      </w:rPr>
                                      <w:t>新鲜水</w:t>
                                    </w:r>
                                  </w:p>
                                </w:txbxContent>
                              </wps:txbx>
                              <wps:bodyPr rot="0" vert="horz" wrap="square" lIns="91440" tIns="45720" rIns="91440" bIns="45720" anchor="t" anchorCtr="0" upright="1">
                                <a:noAutofit/>
                              </wps:bodyPr>
                            </wps:wsp>
                            <wps:wsp>
                              <wps:cNvPr id="85" name="直线 282"/>
                              <wps:cNvCnPr>
                                <a:cxnSpLocks noChangeShapeType="1"/>
                              </wps:cNvCnPr>
                              <wps:spPr bwMode="auto">
                                <a:xfrm>
                                  <a:off x="942975" y="434975"/>
                                  <a:ext cx="0" cy="951865"/>
                                </a:xfrm>
                                <a:prstGeom prst="line">
                                  <a:avLst/>
                                </a:prstGeom>
                                <a:noFill/>
                                <a:ln w="9525">
                                  <a:solidFill>
                                    <a:srgbClr val="000000"/>
                                  </a:solidFill>
                                  <a:round/>
                                </a:ln>
                              </wps:spPr>
                              <wps:bodyPr/>
                            </wps:wsp>
                            <wps:wsp>
                              <wps:cNvPr id="86" name="直线 283"/>
                              <wps:cNvCnPr>
                                <a:cxnSpLocks noChangeShapeType="1"/>
                              </wps:cNvCnPr>
                              <wps:spPr bwMode="auto">
                                <a:xfrm>
                                  <a:off x="952500" y="1377315"/>
                                  <a:ext cx="419100" cy="635"/>
                                </a:xfrm>
                                <a:prstGeom prst="line">
                                  <a:avLst/>
                                </a:prstGeom>
                                <a:noFill/>
                                <a:ln w="9525">
                                  <a:solidFill>
                                    <a:srgbClr val="000000"/>
                                  </a:solidFill>
                                  <a:round/>
                                  <a:tailEnd type="triangle" w="med" len="med"/>
                                </a:ln>
                              </wps:spPr>
                              <wps:bodyPr/>
                            </wps:wsp>
                            <wps:wsp>
                              <wps:cNvPr id="88" name="直线 286"/>
                              <wps:cNvCnPr>
                                <a:cxnSpLocks noChangeShapeType="1"/>
                              </wps:cNvCnPr>
                              <wps:spPr bwMode="auto">
                                <a:xfrm>
                                  <a:off x="3213100" y="1401445"/>
                                  <a:ext cx="504190" cy="0"/>
                                </a:xfrm>
                                <a:prstGeom prst="line">
                                  <a:avLst/>
                                </a:prstGeom>
                                <a:noFill/>
                                <a:ln w="9525">
                                  <a:solidFill>
                                    <a:srgbClr val="000000"/>
                                  </a:solidFill>
                                  <a:round/>
                                  <a:tailEnd type="triangle" w="med" len="med"/>
                                </a:ln>
                              </wps:spPr>
                              <wps:bodyPr/>
                            </wps:wsp>
                            <wps:wsp>
                              <wps:cNvPr id="89" name="矩形 288"/>
                              <wps:cNvSpPr>
                                <a:spLocks noChangeArrowheads="1"/>
                              </wps:cNvSpPr>
                              <wps:spPr bwMode="auto">
                                <a:xfrm>
                                  <a:off x="2588260" y="1249045"/>
                                  <a:ext cx="601345" cy="266700"/>
                                </a:xfrm>
                                <a:prstGeom prst="rect">
                                  <a:avLst/>
                                </a:prstGeom>
                                <a:solidFill>
                                  <a:srgbClr val="FFFFFF"/>
                                </a:solidFill>
                                <a:ln w="9525">
                                  <a:solidFill>
                                    <a:srgbClr val="000000"/>
                                  </a:solidFill>
                                  <a:miter lim="800000"/>
                                </a:ln>
                              </wps:spPr>
                              <wps:txbx>
                                <w:txbxContent>
                                  <w:p w14:paraId="1846E72C">
                                    <w:pPr>
                                      <w:rPr>
                                        <w:szCs w:val="21"/>
                                      </w:rPr>
                                    </w:pPr>
                                    <w:r>
                                      <w:rPr>
                                        <w:rFonts w:hint="eastAsia"/>
                                        <w:szCs w:val="21"/>
                                      </w:rPr>
                                      <w:t>化粪池</w:t>
                                    </w:r>
                                  </w:p>
                                </w:txbxContent>
                              </wps:txbx>
                              <wps:bodyPr rot="0" vert="horz" wrap="square" lIns="91440" tIns="45720" rIns="91440" bIns="45720" anchor="t" anchorCtr="0" upright="1">
                                <a:noAutofit/>
                              </wps:bodyPr>
                            </wps:wsp>
                            <wps:wsp>
                              <wps:cNvPr id="90" name="文本框 194"/>
                              <wps:cNvSpPr txBox="1">
                                <a:spLocks noChangeArrowheads="1"/>
                              </wps:cNvSpPr>
                              <wps:spPr bwMode="auto">
                                <a:xfrm>
                                  <a:off x="913765" y="1164590"/>
                                  <a:ext cx="457200" cy="192405"/>
                                </a:xfrm>
                                <a:prstGeom prst="rect">
                                  <a:avLst/>
                                </a:prstGeom>
                                <a:solidFill>
                                  <a:srgbClr val="FFFFFF">
                                    <a:alpha val="0"/>
                                  </a:srgbClr>
                                </a:solidFill>
                                <a:ln>
                                  <a:noFill/>
                                </a:ln>
                              </wps:spPr>
                              <wps:txbx>
                                <w:txbxContent>
                                  <w:p w14:paraId="07C8AE52">
                                    <w:pPr>
                                      <w:jc w:val="center"/>
                                      <w:rPr>
                                        <w:rFonts w:hint="default" w:eastAsia="宋体"/>
                                        <w:szCs w:val="21"/>
                                        <w:lang w:val="en-US" w:eastAsia="zh-CN"/>
                                      </w:rPr>
                                    </w:pPr>
                                    <w:r>
                                      <w:rPr>
                                        <w:rFonts w:hint="eastAsia" w:eastAsia="宋体"/>
                                        <w:szCs w:val="21"/>
                                        <w:lang w:val="en-US" w:eastAsia="zh-CN"/>
                                      </w:rPr>
                                      <w:t>3.0</w:t>
                                    </w:r>
                                  </w:p>
                                </w:txbxContent>
                              </wps:txbx>
                              <wps:bodyPr rot="0" vert="horz" wrap="square" lIns="0" tIns="0" rIns="0" bIns="0" anchor="t" anchorCtr="0" upright="1">
                                <a:noAutofit/>
                              </wps:bodyPr>
                            </wps:wsp>
                            <wps:wsp>
                              <wps:cNvPr id="91" name="文本框 84"/>
                              <wps:cNvSpPr txBox="1">
                                <a:spLocks noChangeArrowheads="1"/>
                              </wps:cNvSpPr>
                              <wps:spPr bwMode="auto">
                                <a:xfrm>
                                  <a:off x="1711325" y="990600"/>
                                  <a:ext cx="495300" cy="228600"/>
                                </a:xfrm>
                                <a:prstGeom prst="rect">
                                  <a:avLst/>
                                </a:prstGeom>
                                <a:solidFill>
                                  <a:srgbClr val="FFFFFF">
                                    <a:alpha val="3137"/>
                                  </a:srgbClr>
                                </a:solidFill>
                                <a:ln>
                                  <a:noFill/>
                                </a:ln>
                              </wps:spPr>
                              <wps:txbx>
                                <w:txbxContent>
                                  <w:p w14:paraId="19AE5EE1">
                                    <w:pPr>
                                      <w:ind w:firstLine="210" w:firstLineChars="100"/>
                                      <w:rPr>
                                        <w:rFonts w:hint="default" w:eastAsia="宋体"/>
                                        <w:szCs w:val="21"/>
                                        <w:lang w:val="en-US" w:eastAsia="zh-CN"/>
                                      </w:rPr>
                                    </w:pPr>
                                    <w:r>
                                      <w:rPr>
                                        <w:rFonts w:hint="eastAsia"/>
                                        <w:szCs w:val="21"/>
                                      </w:rPr>
                                      <w:t>0.</w:t>
                                    </w:r>
                                    <w:r>
                                      <w:rPr>
                                        <w:rFonts w:hint="eastAsia"/>
                                        <w:szCs w:val="21"/>
                                        <w:lang w:val="en-US" w:eastAsia="zh-CN"/>
                                      </w:rPr>
                                      <w:t>6</w:t>
                                    </w:r>
                                  </w:p>
                                </w:txbxContent>
                              </wps:txbx>
                              <wps:bodyPr rot="0" vert="horz" wrap="square" lIns="0" tIns="0" rIns="0" bIns="0" anchor="t" anchorCtr="0" upright="1">
                                <a:noAutofit/>
                              </wps:bodyPr>
                            </wps:wsp>
                            <wps:wsp>
                              <wps:cNvPr id="93" name="文本框 202"/>
                              <wps:cNvSpPr txBox="1">
                                <a:spLocks noChangeArrowheads="1"/>
                              </wps:cNvSpPr>
                              <wps:spPr bwMode="auto">
                                <a:xfrm>
                                  <a:off x="3303905" y="1213485"/>
                                  <a:ext cx="373380" cy="228600"/>
                                </a:xfrm>
                                <a:prstGeom prst="rect">
                                  <a:avLst/>
                                </a:prstGeom>
                                <a:solidFill>
                                  <a:srgbClr val="FFFFFF">
                                    <a:alpha val="3137"/>
                                  </a:srgbClr>
                                </a:solidFill>
                                <a:ln>
                                  <a:noFill/>
                                </a:ln>
                              </wps:spPr>
                              <wps:txbx>
                                <w:txbxContent>
                                  <w:p w14:paraId="5381F17D">
                                    <w:pPr>
                                      <w:keepNext w:val="0"/>
                                      <w:keepLines w:val="0"/>
                                      <w:pageBreakBefore w:val="0"/>
                                      <w:widowControl w:val="0"/>
                                      <w:kinsoku/>
                                      <w:wordWrap/>
                                      <w:overflowPunct/>
                                      <w:topLinePunct w:val="0"/>
                                      <w:bidi w:val="0"/>
                                      <w:adjustRightInd/>
                                      <w:snapToGrid/>
                                      <w:ind w:firstLine="0" w:firstLineChars="0"/>
                                      <w:textAlignment w:val="auto"/>
                                      <w:rPr>
                                        <w:rFonts w:hint="default" w:eastAsia="宋体"/>
                                        <w:szCs w:val="21"/>
                                        <w:lang w:val="en-US" w:eastAsia="zh-CN"/>
                                      </w:rPr>
                                    </w:pPr>
                                    <w:r>
                                      <w:rPr>
                                        <w:rFonts w:hint="eastAsia"/>
                                        <w:szCs w:val="21"/>
                                        <w:lang w:val="en-US" w:eastAsia="zh-CN"/>
                                      </w:rPr>
                                      <w:t>2.4</w:t>
                                    </w:r>
                                  </w:p>
                                </w:txbxContent>
                              </wps:txbx>
                              <wps:bodyPr rot="0" vert="horz" wrap="square" lIns="0" tIns="0" rIns="0" bIns="0" anchor="t" anchorCtr="0" upright="1">
                                <a:noAutofit/>
                              </wps:bodyPr>
                            </wps:wsp>
                            <wps:wsp>
                              <wps:cNvPr id="94" name="直线 197"/>
                              <wps:cNvCnPr>
                                <a:cxnSpLocks noChangeShapeType="1"/>
                              </wps:cNvCnPr>
                              <wps:spPr bwMode="auto">
                                <a:xfrm flipV="1">
                                  <a:off x="1588135" y="1068705"/>
                                  <a:ext cx="228600" cy="190500"/>
                                </a:xfrm>
                                <a:prstGeom prst="line">
                                  <a:avLst/>
                                </a:prstGeom>
                                <a:noFill/>
                                <a:ln w="9525">
                                  <a:solidFill>
                                    <a:srgbClr val="000000"/>
                                  </a:solidFill>
                                  <a:prstDash val="dash"/>
                                  <a:round/>
                                  <a:tailEnd type="triangle" w="med" len="med"/>
                                </a:ln>
                              </wps:spPr>
                              <wps:bodyPr/>
                            </wps:wsp>
                            <wps:wsp>
                              <wps:cNvPr id="95" name="直线 299"/>
                              <wps:cNvCnPr>
                                <a:cxnSpLocks noChangeShapeType="1"/>
                              </wps:cNvCnPr>
                              <wps:spPr bwMode="auto">
                                <a:xfrm>
                                  <a:off x="950595" y="441960"/>
                                  <a:ext cx="419100" cy="0"/>
                                </a:xfrm>
                                <a:prstGeom prst="line">
                                  <a:avLst/>
                                </a:prstGeom>
                                <a:noFill/>
                                <a:ln w="9525">
                                  <a:solidFill>
                                    <a:srgbClr val="000000"/>
                                  </a:solidFill>
                                  <a:round/>
                                  <a:tailEnd type="triangle" w="med" len="med"/>
                                </a:ln>
                              </wps:spPr>
                              <wps:bodyPr/>
                            </wps:wsp>
                            <wps:wsp>
                              <wps:cNvPr id="98" name="文本框 194"/>
                              <wps:cNvSpPr txBox="1">
                                <a:spLocks noChangeArrowheads="1"/>
                              </wps:cNvSpPr>
                              <wps:spPr bwMode="auto">
                                <a:xfrm>
                                  <a:off x="885825" y="281940"/>
                                  <a:ext cx="457200" cy="184785"/>
                                </a:xfrm>
                                <a:prstGeom prst="rect">
                                  <a:avLst/>
                                </a:prstGeom>
                                <a:solidFill>
                                  <a:srgbClr val="FFFFFF">
                                    <a:alpha val="0"/>
                                  </a:srgbClr>
                                </a:solidFill>
                                <a:ln>
                                  <a:noFill/>
                                </a:ln>
                              </wps:spPr>
                              <wps:txbx>
                                <w:txbxContent>
                                  <w:p w14:paraId="765C41B4">
                                    <w:pPr>
                                      <w:jc w:val="center"/>
                                      <w:rPr>
                                        <w:rFonts w:hint="default" w:eastAsia="宋体"/>
                                        <w:szCs w:val="21"/>
                                        <w:lang w:val="en-US" w:eastAsia="zh-CN"/>
                                      </w:rPr>
                                    </w:pPr>
                                    <w:r>
                                      <w:rPr>
                                        <w:rFonts w:hint="eastAsia"/>
                                        <w:szCs w:val="21"/>
                                        <w:lang w:val="en-US" w:eastAsia="zh-CN"/>
                                      </w:rPr>
                                      <w:t>1.6</w:t>
                                    </w:r>
                                  </w:p>
                                </w:txbxContent>
                              </wps:txbx>
                              <wps:bodyPr rot="0" vert="horz" wrap="square" lIns="0" tIns="0" rIns="0" bIns="0" anchor="t" anchorCtr="0" upright="1">
                                <a:noAutofit/>
                              </wps:bodyPr>
                            </wps:wsp>
                            <wps:wsp>
                              <wps:cNvPr id="100" name="文本框 202"/>
                              <wps:cNvSpPr txBox="1">
                                <a:spLocks noChangeArrowheads="1"/>
                              </wps:cNvSpPr>
                              <wps:spPr bwMode="auto">
                                <a:xfrm>
                                  <a:off x="559435" y="725805"/>
                                  <a:ext cx="258445" cy="170180"/>
                                </a:xfrm>
                                <a:prstGeom prst="rect">
                                  <a:avLst/>
                                </a:prstGeom>
                                <a:solidFill>
                                  <a:srgbClr val="FFFFFF">
                                    <a:alpha val="3137"/>
                                  </a:srgbClr>
                                </a:solidFill>
                                <a:ln>
                                  <a:noFill/>
                                </a:ln>
                              </wps:spPr>
                              <wps:txbx>
                                <w:txbxContent>
                                  <w:p w14:paraId="5F617520">
                                    <w:pPr>
                                      <w:rPr>
                                        <w:rFonts w:hint="default" w:eastAsia="宋体"/>
                                        <w:szCs w:val="21"/>
                                        <w:lang w:val="en-US" w:eastAsia="zh-CN"/>
                                      </w:rPr>
                                    </w:pPr>
                                    <w:r>
                                      <w:rPr>
                                        <w:rFonts w:hint="eastAsia"/>
                                        <w:szCs w:val="21"/>
                                        <w:lang w:val="en-US" w:eastAsia="zh-CN"/>
                                      </w:rPr>
                                      <w:t>4.6</w:t>
                                    </w:r>
                                  </w:p>
                                </w:txbxContent>
                              </wps:txbx>
                              <wps:bodyPr rot="0" vert="horz" wrap="square" lIns="0" tIns="0" rIns="0" bIns="0" anchor="t" anchorCtr="0" upright="1">
                                <a:noAutofit/>
                              </wps:bodyPr>
                            </wps:wsp>
                            <wps:wsp>
                              <wps:cNvPr id="101" name="矩形 110"/>
                              <wps:cNvSpPr>
                                <a:spLocks noChangeArrowheads="1"/>
                              </wps:cNvSpPr>
                              <wps:spPr bwMode="auto">
                                <a:xfrm>
                                  <a:off x="1399540" y="319405"/>
                                  <a:ext cx="886460" cy="266065"/>
                                </a:xfrm>
                                <a:prstGeom prst="rect">
                                  <a:avLst/>
                                </a:prstGeom>
                                <a:solidFill>
                                  <a:srgbClr val="FFFFFF"/>
                                </a:solidFill>
                                <a:ln w="9525">
                                  <a:solidFill>
                                    <a:srgbClr val="000000"/>
                                  </a:solidFill>
                                  <a:miter lim="800000"/>
                                </a:ln>
                              </wps:spPr>
                              <wps:txbx>
                                <w:txbxContent>
                                  <w:p w14:paraId="4F8D54A8">
                                    <w:pPr>
                                      <w:pStyle w:val="20"/>
                                      <w:spacing w:before="0" w:beforeAutospacing="0" w:after="0" w:afterAutospacing="0"/>
                                      <w:jc w:val="center"/>
                                      <w:rPr>
                                        <w:rFonts w:hint="default" w:eastAsia="宋体"/>
                                        <w:color w:val="000000"/>
                                        <w:szCs w:val="24"/>
                                        <w:lang w:val="en-US" w:eastAsia="zh-CN"/>
                                      </w:rPr>
                                    </w:pPr>
                                    <w:r>
                                      <w:rPr>
                                        <w:rFonts w:hint="eastAsia" w:ascii="Times New Roman"/>
                                        <w:color w:val="000000"/>
                                        <w:kern w:val="2"/>
                                        <w:sz w:val="21"/>
                                        <w:szCs w:val="21"/>
                                        <w:lang w:val="en-US" w:eastAsia="zh-CN"/>
                                      </w:rPr>
                                      <w:t>循环冷却水</w:t>
                                    </w:r>
                                  </w:p>
                                </w:txbxContent>
                              </wps:txbx>
                              <wps:bodyPr rot="0" vert="horz" wrap="square" lIns="91440" tIns="45720" rIns="91440" bIns="45720" anchor="t" anchorCtr="0" upright="1">
                                <a:noAutofit/>
                              </wps:bodyPr>
                            </wps:wsp>
                            <wps:wsp>
                              <wps:cNvPr id="102" name="直接连接符 112"/>
                              <wps:cNvCnPr>
                                <a:cxnSpLocks noChangeShapeType="1"/>
                              </wps:cNvCnPr>
                              <wps:spPr bwMode="auto">
                                <a:xfrm>
                                  <a:off x="447675" y="922020"/>
                                  <a:ext cx="484505" cy="0"/>
                                </a:xfrm>
                                <a:prstGeom prst="line">
                                  <a:avLst/>
                                </a:prstGeom>
                                <a:noFill/>
                                <a:ln w="12700" cap="flat" cmpd="sng" algn="ctr">
                                  <a:solidFill>
                                    <a:srgbClr val="000000"/>
                                  </a:solidFill>
                                  <a:prstDash val="solid"/>
                                  <a:miter lim="800000"/>
                                  <a:tailEnd type="none" w="med" len="med"/>
                                </a:ln>
                              </wps:spPr>
                              <wps:bodyPr/>
                            </wps:wsp>
                            <wps:wsp>
                              <wps:cNvPr id="124" name="直线 283"/>
                              <wps:cNvCnPr>
                                <a:cxnSpLocks noChangeShapeType="1"/>
                              </wps:cNvCnPr>
                              <wps:spPr bwMode="auto">
                                <a:xfrm>
                                  <a:off x="2109470" y="1397000"/>
                                  <a:ext cx="467995" cy="635"/>
                                </a:xfrm>
                                <a:prstGeom prst="line">
                                  <a:avLst/>
                                </a:prstGeom>
                                <a:noFill/>
                                <a:ln w="9525">
                                  <a:solidFill>
                                    <a:srgbClr val="000000"/>
                                  </a:solidFill>
                                  <a:round/>
                                  <a:tailEnd type="triangle" w="med" len="med"/>
                                </a:ln>
                              </wps:spPr>
                              <wps:bodyPr/>
                            </wps:wsp>
                            <wps:wsp>
                              <wps:cNvPr id="125" name="矩形 259"/>
                              <wps:cNvSpPr>
                                <a:spLocks noChangeArrowheads="1"/>
                              </wps:cNvSpPr>
                              <wps:spPr bwMode="auto">
                                <a:xfrm>
                                  <a:off x="3731895" y="1137920"/>
                                  <a:ext cx="1201420" cy="438785"/>
                                </a:xfrm>
                                <a:prstGeom prst="rect">
                                  <a:avLst/>
                                </a:prstGeom>
                                <a:solidFill>
                                  <a:srgbClr val="FFFFFF"/>
                                </a:solidFill>
                                <a:ln w="9525">
                                  <a:noFill/>
                                  <a:miter lim="800000"/>
                                </a:ln>
                              </wps:spPr>
                              <wps:txbx>
                                <w:txbxContent>
                                  <w:p w14:paraId="00BFAA66">
                                    <w:pPr>
                                      <w:pStyle w:val="20"/>
                                      <w:spacing w:before="0" w:beforeAutospacing="0" w:after="0" w:afterAutospacing="0"/>
                                      <w:rPr>
                                        <w:rFonts w:hint="default" w:eastAsia="宋体"/>
                                        <w:szCs w:val="24"/>
                                        <w:lang w:val="en-US" w:eastAsia="zh-CN"/>
                                      </w:rPr>
                                    </w:pPr>
                                    <w:r>
                                      <w:rPr>
                                        <w:rFonts w:hint="eastAsia" w:ascii="Times New Roman"/>
                                        <w:color w:val="000000"/>
                                        <w:kern w:val="2"/>
                                        <w:sz w:val="21"/>
                                        <w:szCs w:val="21"/>
                                        <w:lang w:val="en-US" w:eastAsia="zh-CN"/>
                                      </w:rPr>
                                      <w:t>泾河新城第二污水处理厂</w:t>
                                    </w:r>
                                  </w:p>
                                </w:txbxContent>
                              </wps:txbx>
                              <wps:bodyPr rot="0" vert="horz" wrap="square" lIns="91440" tIns="45720" rIns="91440" bIns="45720" anchor="t" anchorCtr="0" upright="1">
                                <a:noAutofit/>
                              </wps:bodyPr>
                            </wps:wsp>
                            <wps:wsp>
                              <wps:cNvPr id="176" name="文本框 202"/>
                              <wps:cNvSpPr txBox="1">
                                <a:spLocks noChangeArrowheads="1"/>
                              </wps:cNvSpPr>
                              <wps:spPr bwMode="auto">
                                <a:xfrm>
                                  <a:off x="2222500" y="1226820"/>
                                  <a:ext cx="361950" cy="228600"/>
                                </a:xfrm>
                                <a:prstGeom prst="rect">
                                  <a:avLst/>
                                </a:prstGeom>
                                <a:solidFill>
                                  <a:srgbClr val="FFFFFF">
                                    <a:alpha val="3137"/>
                                  </a:srgbClr>
                                </a:solidFill>
                                <a:ln>
                                  <a:noFill/>
                                </a:ln>
                              </wps:spPr>
                              <wps:txbx>
                                <w:txbxContent>
                                  <w:p w14:paraId="2611BA48">
                                    <w:pPr>
                                      <w:keepNext w:val="0"/>
                                      <w:keepLines w:val="0"/>
                                      <w:pageBreakBefore w:val="0"/>
                                      <w:widowControl w:val="0"/>
                                      <w:kinsoku/>
                                      <w:wordWrap/>
                                      <w:overflowPunct/>
                                      <w:topLinePunct w:val="0"/>
                                      <w:bidi w:val="0"/>
                                      <w:adjustRightInd/>
                                      <w:snapToGrid/>
                                      <w:ind w:firstLine="0" w:firstLineChars="0"/>
                                      <w:textAlignment w:val="auto"/>
                                      <w:rPr>
                                        <w:rFonts w:hint="default" w:eastAsia="宋体"/>
                                        <w:szCs w:val="21"/>
                                        <w:lang w:val="en-US" w:eastAsia="zh-CN"/>
                                      </w:rPr>
                                    </w:pPr>
                                    <w:r>
                                      <w:rPr>
                                        <w:rFonts w:hint="eastAsia"/>
                                        <w:szCs w:val="21"/>
                                        <w:lang w:val="en-US" w:eastAsia="zh-CN"/>
                                      </w:rPr>
                                      <w:t>2.4</w:t>
                                    </w:r>
                                  </w:p>
                                </w:txbxContent>
                              </wps:txbx>
                              <wps:bodyPr rot="0" vert="horz" wrap="square" lIns="0" tIns="0" rIns="0" bIns="0" anchor="t" anchorCtr="0" upright="1">
                                <a:noAutofit/>
                              </wps:bodyPr>
                            </wps:wsp>
                            <wps:wsp>
                              <wps:cNvPr id="177" name="矩形 257"/>
                              <wps:cNvSpPr>
                                <a:spLocks noChangeArrowheads="1"/>
                              </wps:cNvSpPr>
                              <wps:spPr bwMode="auto">
                                <a:xfrm>
                                  <a:off x="1386840" y="1236980"/>
                                  <a:ext cx="734695" cy="265430"/>
                                </a:xfrm>
                                <a:prstGeom prst="rect">
                                  <a:avLst/>
                                </a:prstGeom>
                                <a:solidFill>
                                  <a:srgbClr val="FFFFFF"/>
                                </a:solidFill>
                                <a:ln w="9525">
                                  <a:solidFill>
                                    <a:srgbClr val="000000"/>
                                  </a:solidFill>
                                  <a:miter lim="800000"/>
                                </a:ln>
                              </wps:spPr>
                              <wps:txbx>
                                <w:txbxContent>
                                  <w:p w14:paraId="4E5F1134">
                                    <w:pPr>
                                      <w:pStyle w:val="20"/>
                                      <w:spacing w:before="0" w:beforeAutospacing="0" w:after="0" w:afterAutospacing="0"/>
                                      <w:jc w:val="both"/>
                                      <w:rPr>
                                        <w:szCs w:val="24"/>
                                      </w:rPr>
                                    </w:pPr>
                                    <w:r>
                                      <w:rPr>
                                        <w:rFonts w:hint="eastAsia" w:ascii="Times New Roman"/>
                                        <w:kern w:val="2"/>
                                        <w:sz w:val="21"/>
                                        <w:szCs w:val="21"/>
                                      </w:rPr>
                                      <w:t>生活用水</w:t>
                                    </w:r>
                                  </w:p>
                                </w:txbxContent>
                              </wps:txbx>
                              <wps:bodyPr rot="0" vert="horz" wrap="square" lIns="91440" tIns="45720" rIns="91440" bIns="45720" anchor="t" anchorCtr="0" upright="1">
                                <a:noAutofit/>
                              </wps:bodyPr>
                            </wps:wsp>
                            <wps:wsp>
                              <wps:cNvPr id="96" name="直线 197"/>
                              <wps:cNvCnPr>
                                <a:cxnSpLocks noChangeShapeType="1"/>
                              </wps:cNvCnPr>
                              <wps:spPr bwMode="auto">
                                <a:xfrm flipV="1">
                                  <a:off x="1737360" y="134620"/>
                                  <a:ext cx="228600" cy="190500"/>
                                </a:xfrm>
                                <a:prstGeom prst="line">
                                  <a:avLst/>
                                </a:prstGeom>
                                <a:noFill/>
                                <a:ln w="9525">
                                  <a:solidFill>
                                    <a:srgbClr val="000000"/>
                                  </a:solidFill>
                                  <a:prstDash val="dash"/>
                                  <a:round/>
                                  <a:tailEnd type="triangle" w="med" len="med"/>
                                </a:ln>
                              </wps:spPr>
                              <wps:bodyPr/>
                            </wps:wsp>
                            <wps:wsp>
                              <wps:cNvPr id="97" name="文本框 194"/>
                              <wps:cNvSpPr txBox="1">
                                <a:spLocks noChangeArrowheads="1"/>
                              </wps:cNvSpPr>
                              <wps:spPr bwMode="auto">
                                <a:xfrm>
                                  <a:off x="1884045" y="60960"/>
                                  <a:ext cx="457200" cy="184785"/>
                                </a:xfrm>
                                <a:prstGeom prst="rect">
                                  <a:avLst/>
                                </a:prstGeom>
                                <a:solidFill>
                                  <a:srgbClr val="FFFFFF">
                                    <a:alpha val="0"/>
                                  </a:srgbClr>
                                </a:solidFill>
                                <a:ln>
                                  <a:noFill/>
                                </a:ln>
                              </wps:spPr>
                              <wps:txbx>
                                <w:txbxContent>
                                  <w:p w14:paraId="72D5AE9D">
                                    <w:pPr>
                                      <w:jc w:val="center"/>
                                      <w:rPr>
                                        <w:rFonts w:hint="default" w:eastAsia="宋体"/>
                                        <w:szCs w:val="21"/>
                                        <w:lang w:val="en-US" w:eastAsia="zh-CN"/>
                                      </w:rPr>
                                    </w:pPr>
                                    <w:r>
                                      <w:rPr>
                                        <w:rFonts w:hint="eastAsia"/>
                                        <w:szCs w:val="21"/>
                                        <w:lang w:val="en-US" w:eastAsia="zh-CN"/>
                                      </w:rPr>
                                      <w:t>1.6</w:t>
                                    </w:r>
                                  </w:p>
                                </w:txbxContent>
                              </wps:txbx>
                              <wps:bodyPr rot="0" vert="horz" wrap="square" lIns="0" tIns="0" rIns="0" bIns="0" anchor="t" anchorCtr="0" upright="1">
                                <a:noAutofit/>
                              </wps:bodyPr>
                            </wps:wsp>
                            <wps:wsp>
                              <wps:cNvPr id="10" name="肘形连接符 10"/>
                              <wps:cNvCnPr>
                                <a:stCxn id="101" idx="3"/>
                                <a:endCxn id="101" idx="2"/>
                              </wps:cNvCnPr>
                              <wps:spPr>
                                <a:xfrm flipH="1">
                                  <a:off x="1842770" y="452755"/>
                                  <a:ext cx="443230" cy="132715"/>
                                </a:xfrm>
                                <a:prstGeom prst="bentConnector4">
                                  <a:avLst>
                                    <a:gd name="adj1" fmla="val -118194"/>
                                    <a:gd name="adj2" fmla="val 207655"/>
                                  </a:avLst>
                                </a:prstGeom>
                                <a:ln w="6350">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1" name="文本框 194"/>
                              <wps:cNvSpPr txBox="1">
                                <a:spLocks noChangeArrowheads="1"/>
                              </wps:cNvSpPr>
                              <wps:spPr bwMode="auto">
                                <a:xfrm>
                                  <a:off x="2399030" y="541655"/>
                                  <a:ext cx="324485" cy="184785"/>
                                </a:xfrm>
                                <a:prstGeom prst="rect">
                                  <a:avLst/>
                                </a:prstGeom>
                                <a:solidFill>
                                  <a:srgbClr val="FFFFFF">
                                    <a:alpha val="0"/>
                                  </a:srgbClr>
                                </a:solidFill>
                                <a:ln>
                                  <a:noFill/>
                                </a:ln>
                              </wps:spPr>
                              <wps:txbx>
                                <w:txbxContent>
                                  <w:p w14:paraId="31D1169E">
                                    <w:pPr>
                                      <w:jc w:val="center"/>
                                      <w:rPr>
                                        <w:rFonts w:hint="default" w:eastAsia="宋体"/>
                                        <w:szCs w:val="21"/>
                                        <w:lang w:val="en-US" w:eastAsia="zh-CN"/>
                                      </w:rPr>
                                    </w:pPr>
                                    <w:r>
                                      <w:rPr>
                                        <w:rFonts w:hint="eastAsia"/>
                                        <w:szCs w:val="21"/>
                                        <w:lang w:val="en-US" w:eastAsia="zh-CN"/>
                                      </w:rPr>
                                      <w:t>80</w:t>
                                    </w:r>
                                  </w:p>
                                </w:txbxContent>
                              </wps:txbx>
                              <wps:bodyPr rot="0" vert="horz" wrap="square" lIns="0" tIns="0" rIns="0" bIns="0" anchor="t" anchorCtr="0" upright="1">
                                <a:noAutofit/>
                              </wps:bodyPr>
                            </wps:wsp>
                          </wpc:wpc>
                        </a:graphicData>
                      </a:graphic>
                    </wp:inline>
                  </w:drawing>
                </mc:Choice>
                <mc:Fallback>
                  <w:pict>
                    <v:group id="_x0000_s1026" o:spid="_x0000_s1026" o:spt="203" style="height:127.45pt;width:391.2pt;" coordsize="4968240,1618615" editas="canvas" o:gfxdata="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">
                      <o:lock v:ext="edit" aspectratio="f"/>
                      <v:shape id="_x0000_s1026" o:spid="_x0000_s1026" style="position:absolute;left:0;top:0;height:1618615;width:4968240;" filled="f" stroked="f" coordsize="21600,21600" o:gfxdata="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">
                        <v:fill on="f" focussize="0,0"/>
                        <v:stroke on="f"/>
                        <v:imagedata o:title=""/>
                        <o:lock v:ext="edit" aspectratio="f"/>
                      </v:shape>
                      <v:rect id="矩形 280" o:spid="_x0000_s1026" o:spt="1" style="position:absolute;left:136525;top:581025;height:612140;width:305435;" fillcolor="#FFFFFF" filled="t" stroked="f" coordsize="21600,21600" o:gfxdata="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ebnCcdUAAAAFAQAADwAAAAAAAAABACAAAAAiAAAAZHJz&#10;L2Rvd25yZXYueG1sUEsBAhQAFAAAAAgAh07iQPXuJbVAAgAAXQQAAA4AAAAAAAAAAQAgAAAAJAEA&#10;AGRycy9lMm9Eb2MueG1sUEsFBgAAAAAGAAYAWQEAANYFAAAAAA==&#10;">
                        <v:fill on="t" focussize="0,0"/>
                        <v:stroke on="f" miterlimit="8" joinstyle="miter"/>
                        <v:imagedata o:title=""/>
                        <o:lock v:ext="edit" aspectratio="f"/>
                        <v:textbox>
                          <w:txbxContent>
                            <w:p w14:paraId="2D2DC07F">
                              <w:pPr>
                                <w:rPr>
                                  <w:b/>
                                  <w:szCs w:val="21"/>
                                </w:rPr>
                              </w:pPr>
                              <w:r>
                                <w:rPr>
                                  <w:rFonts w:hint="eastAsia"/>
                                  <w:b/>
                                  <w:szCs w:val="21"/>
                                </w:rPr>
                                <w:t>新鲜水</w:t>
                              </w:r>
                            </w:p>
                          </w:txbxContent>
                        </v:textbox>
                      </v:rect>
                      <v:line id="直线 282" o:spid="_x0000_s1026" o:spt="20" style="position:absolute;left:942975;top:434975;height:951865;width:0;" filled="f" stroked="t" coordsize="21600,21600" o:gfxdata="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gkKYXVAAAABQEA&#10;AA8AAAAAAAAAAQAgAAAAIgAAAGRycy9kb3ducmV2LnhtbFBLAQIUABQAAAAIAIdO4kANMyNS5AEA&#10;AK0DAAAOAAAAAAAAAAEAIAAAACQBAABkcnMvZTJvRG9jLnhtbFBLBQYAAAAABgAGAFkBAAB6BQAA&#10;AAA=&#10;">
                        <v:fill on="f" focussize="0,0"/>
                        <v:stroke color="#000000" joinstyle="round"/>
                        <v:imagedata o:title=""/>
                        <o:lock v:ext="edit" aspectratio="f"/>
                      </v:line>
                      <v:line id="直线 283" o:spid="_x0000_s1026" o:spt="20" style="position:absolute;left:952500;top:1377315;height:635;width:419100;" filled="f" stroked="t" coordsize="21600,21600" o:gfxdata="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1CK5dcAAAAFAQAADwAAAAAAAAABACAAAAAiAAAAZHJzL2Rvd25y&#10;ZXYueG1sUEsBAhQAFAAAAAgAh07iQCPLGur/AQAA3gMAAA4AAAAAAAAAAQAgAAAAJgEAAGRycy9l&#10;Mm9Eb2MueG1sUEsFBgAAAAAGAAYAWQEAAJcFAAAAAA==&#10;">
                        <v:fill on="f" focussize="0,0"/>
                        <v:stroke color="#000000" joinstyle="round" endarrow="block"/>
                        <v:imagedata o:title=""/>
                        <o:lock v:ext="edit" aspectratio="f"/>
                      </v:line>
                      <v:line id="直线 286" o:spid="_x0000_s1026" o:spt="20" style="position:absolute;left:3213100;top:1401445;height:0;width:504190;" filled="f" stroked="t" coordsize="21600,21600" o:gfxdata="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7UIrl1wAAAAUBAAAPAAAAAAAAAAEAIAAAACIAAABkcnMvZG93&#10;bnJldi54bWxQSwECFAAUAAAACACHTuJAIcqX8wECAADdAwAADgAAAAAAAAABACAAAAAmAQAAZHJz&#10;L2Uyb0RvYy54bWxQSwUGAAAAAAYABgBZAQAAmQUAAAAA&#10;">
                        <v:fill on="f" focussize="0,0"/>
                        <v:stroke color="#000000" joinstyle="round" endarrow="block"/>
                        <v:imagedata o:title=""/>
                        <o:lock v:ext="edit" aspectratio="f"/>
                      </v:line>
                      <v:rect id="矩形 288" o:spid="_x0000_s1026" o:spt="1" style="position:absolute;left:2588260;top:1249045;height:266700;width:601345;" fillcolor="#FFFFFF" filled="t" stroked="t" coordsize="21600,21600" o:gfxdata="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zQA0v1QAAAAUBAAAPAAAAAAAAAAEAIAAA&#10;ACIAAABkcnMvZG93bnJldi54bWxQSwECFAAUAAAACACHTuJA3wV73kgCAACIBAAADgAAAAAAAAAB&#10;ACAAAAAkAQAAZHJzL2Uyb0RvYy54bWxQSwUGAAAAAAYABgBZAQAA3gUAAAAA&#10;">
                        <v:fill on="t" focussize="0,0"/>
                        <v:stroke color="#000000" miterlimit="8" joinstyle="miter"/>
                        <v:imagedata o:title=""/>
                        <o:lock v:ext="edit" aspectratio="f"/>
                        <v:textbox>
                          <w:txbxContent>
                            <w:p w14:paraId="1846E72C">
                              <w:pPr>
                                <w:rPr>
                                  <w:szCs w:val="21"/>
                                </w:rPr>
                              </w:pPr>
                              <w:r>
                                <w:rPr>
                                  <w:rFonts w:hint="eastAsia"/>
                                  <w:szCs w:val="21"/>
                                </w:rPr>
                                <w:t>化粪池</w:t>
                              </w:r>
                            </w:p>
                          </w:txbxContent>
                        </v:textbox>
                      </v:rect>
                      <v:shape id="文本框 194" o:spid="_x0000_s1026" o:spt="202" type="#_x0000_t202" style="position:absolute;left:913765;top:1164590;height:192405;width:457200;" fillcolor="#FFFFFF" filled="t" stroked="f" coordsize="21600,21600" o:gfxdata="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Ye0PytQAAAAFAQAADwAAAAAAAAABACAAAAAiAAAAZHJzL2Rvd25y&#10;ZXYueG1sUEsBAhQAFAAAAAgAh07iQLxUzRA7AgAAWAQAAA4AAAAAAAAAAQAgAAAAIwEAAGRycy9l&#10;Mm9Eb2MueG1sUEsFBgAAAAAGAAYAWQEAANAFAAAAAA==&#10;">
                        <v:fill on="t" opacity="0f" focussize="0,0"/>
                        <v:stroke on="f"/>
                        <v:imagedata o:title=""/>
                        <o:lock v:ext="edit" aspectratio="f"/>
                        <v:textbox inset="0mm,0mm,0mm,0mm">
                          <w:txbxContent>
                            <w:p w14:paraId="07C8AE52">
                              <w:pPr>
                                <w:jc w:val="center"/>
                                <w:rPr>
                                  <w:rFonts w:hint="default" w:eastAsia="宋体"/>
                                  <w:szCs w:val="21"/>
                                  <w:lang w:val="en-US" w:eastAsia="zh-CN"/>
                                </w:rPr>
                              </w:pPr>
                              <w:r>
                                <w:rPr>
                                  <w:rFonts w:hint="eastAsia" w:eastAsia="宋体"/>
                                  <w:szCs w:val="21"/>
                                  <w:lang w:val="en-US" w:eastAsia="zh-CN"/>
                                </w:rPr>
                                <w:t>3.0</w:t>
                              </w:r>
                            </w:p>
                          </w:txbxContent>
                        </v:textbox>
                      </v:shape>
                      <v:shape id="文本框 84" o:spid="_x0000_s1026" o:spt="202" type="#_x0000_t202" style="position:absolute;left:1711325;top:990600;height:228600;width:495300;" fillcolor="#FFFFFF" filled="t" stroked="f" coordsize="21600,21600" o:gfxdata="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fxpt7WAAAABQEAAA8AAAAAAAAAAQAgAAAAIgAAAGRycy9kb3du&#10;cmV2LnhtbFBLAQIUABQAAAAIAIdO4kC1ZDA8OgIAAFoEAAAOAAAAAAAAAAEAIAAAACUBAABkcnMv&#10;ZTJvRG9jLnhtbFBLBQYAAAAABgAGAFkBAADRBQAAAAA=&#10;">
                        <v:fill on="t" opacity="2055f" focussize="0,0"/>
                        <v:stroke on="f"/>
                        <v:imagedata o:title=""/>
                        <o:lock v:ext="edit" aspectratio="f"/>
                        <v:textbox inset="0mm,0mm,0mm,0mm">
                          <w:txbxContent>
                            <w:p w14:paraId="19AE5EE1">
                              <w:pPr>
                                <w:ind w:firstLine="210" w:firstLineChars="100"/>
                                <w:rPr>
                                  <w:rFonts w:hint="default" w:eastAsia="宋体"/>
                                  <w:szCs w:val="21"/>
                                  <w:lang w:val="en-US" w:eastAsia="zh-CN"/>
                                </w:rPr>
                              </w:pPr>
                              <w:r>
                                <w:rPr>
                                  <w:rFonts w:hint="eastAsia"/>
                                  <w:szCs w:val="21"/>
                                </w:rPr>
                                <w:t>0.</w:t>
                              </w:r>
                              <w:r>
                                <w:rPr>
                                  <w:rFonts w:hint="eastAsia"/>
                                  <w:szCs w:val="21"/>
                                  <w:lang w:val="en-US" w:eastAsia="zh-CN"/>
                                </w:rPr>
                                <w:t>6</w:t>
                              </w:r>
                            </w:p>
                          </w:txbxContent>
                        </v:textbox>
                      </v:shape>
                      <v:shape id="文本框 202" o:spid="_x0000_s1026" o:spt="202" type="#_x0000_t202" style="position:absolute;left:3303905;top:1213485;height:228600;width:373380;" fillcolor="#FFFFFF" filled="t" stroked="f" coordsize="21600,21600" o:gfxdata="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&#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fxpt7WAAAABQEAAA8AAAAAAAAAAQAgAAAAIgAAAGRy&#10;cy9kb3ducmV2LnhtbFBLAQIUABQAAAAIAIdO4kCMt9A7QAIAAFwEAAAOAAAAAAAAAAEAIAAAACUB&#10;AABkcnMvZTJvRG9jLnhtbFBLBQYAAAAABgAGAFkBAADXBQAAAAA=&#10;">
                        <v:fill on="t" opacity="2055f" focussize="0,0"/>
                        <v:stroke on="f"/>
                        <v:imagedata o:title=""/>
                        <o:lock v:ext="edit" aspectratio="f"/>
                        <v:textbox inset="0mm,0mm,0mm,0mm">
                          <w:txbxContent>
                            <w:p w14:paraId="5381F17D">
                              <w:pPr>
                                <w:keepNext w:val="0"/>
                                <w:keepLines w:val="0"/>
                                <w:pageBreakBefore w:val="0"/>
                                <w:widowControl w:val="0"/>
                                <w:kinsoku/>
                                <w:wordWrap/>
                                <w:overflowPunct/>
                                <w:topLinePunct w:val="0"/>
                                <w:bidi w:val="0"/>
                                <w:adjustRightInd/>
                                <w:snapToGrid/>
                                <w:ind w:firstLine="0" w:firstLineChars="0"/>
                                <w:textAlignment w:val="auto"/>
                                <w:rPr>
                                  <w:rFonts w:hint="default" w:eastAsia="宋体"/>
                                  <w:szCs w:val="21"/>
                                  <w:lang w:val="en-US" w:eastAsia="zh-CN"/>
                                </w:rPr>
                              </w:pPr>
                              <w:r>
                                <w:rPr>
                                  <w:rFonts w:hint="eastAsia"/>
                                  <w:szCs w:val="21"/>
                                  <w:lang w:val="en-US" w:eastAsia="zh-CN"/>
                                </w:rPr>
                                <w:t>2.4</w:t>
                              </w:r>
                            </w:p>
                          </w:txbxContent>
                        </v:textbox>
                      </v:shape>
                      <v:line id="直线 197" o:spid="_x0000_s1026" o:spt="20" style="position:absolute;left:1588135;top:1068705;flip:y;height:190500;width:228600;" filled="f" stroked="t" coordsize="21600,21600" o:gfxdata="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Iuq+M9QAAAAFAQAADwAAAAAAAAAB&#10;ACAAAAAiAAAAZHJzL2Rvd25yZXYueG1sUEsBAhQAFAAAAAgAh07iQKaCipsUAgAABAQAAA4AAAAA&#10;AAAAAQAgAAAAIwEAAGRycy9lMm9Eb2MueG1sUEsFBgAAAAAGAAYAWQEAAKkFAAAAAA==&#10;">
                        <v:fill on="f" focussize="0,0"/>
                        <v:stroke color="#000000" joinstyle="round" dashstyle="dash" endarrow="block"/>
                        <v:imagedata o:title=""/>
                        <o:lock v:ext="edit" aspectratio="f"/>
                      </v:line>
                      <v:line id="直线 299" o:spid="_x0000_s1026" o:spt="20" style="position:absolute;left:950595;top:441960;height:0;width:419100;" filled="f" stroked="t" coordsize="21600,21600" o:gfxdata="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tQiuXXAAAABQEAAA8AAAAAAAAAAQAgAAAAIgAAAGRycy9kb3ducmV2Lnht&#10;bFBLAQIUABQAAAAIAIdO4kBP98p3+gEAANsDAAAOAAAAAAAAAAEAIAAAACYBAABkcnMvZTJvRG9j&#10;LnhtbFBLBQYAAAAABgAGAFkBAACSBQAAAAA=&#10;">
                        <v:fill on="f" focussize="0,0"/>
                        <v:stroke color="#000000" joinstyle="round" endarrow="block"/>
                        <v:imagedata o:title=""/>
                        <o:lock v:ext="edit" aspectratio="f"/>
                      </v:line>
                      <v:shape id="文本框 194" o:spid="_x0000_s1026" o:spt="202" type="#_x0000_t202" style="position:absolute;left:885825;top:281940;height:184785;width:457200;" fillcolor="#FFFFFF" filled="t" stroked="f" coordsize="21600,21600" o:gfxdata="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h7Q/K1AAAAAUBAAAPAAAAAAAAAAEAIAAAACIAAABkcnMvZG93bnJl&#10;di54bWxQSwECFAAUAAAACACHTuJA4tuKDzoCAABXBAAADgAAAAAAAAABACAAAAAjAQAAZHJzL2Uy&#10;b0RvYy54bWxQSwUGAAAAAAYABgBZAQAAzwUAAAAA&#10;">
                        <v:fill on="t" opacity="0f" focussize="0,0"/>
                        <v:stroke on="f"/>
                        <v:imagedata o:title=""/>
                        <o:lock v:ext="edit" aspectratio="f"/>
                        <v:textbox inset="0mm,0mm,0mm,0mm">
                          <w:txbxContent>
                            <w:p w14:paraId="765C41B4">
                              <w:pPr>
                                <w:jc w:val="center"/>
                                <w:rPr>
                                  <w:rFonts w:hint="default" w:eastAsia="宋体"/>
                                  <w:szCs w:val="21"/>
                                  <w:lang w:val="en-US" w:eastAsia="zh-CN"/>
                                </w:rPr>
                              </w:pPr>
                              <w:r>
                                <w:rPr>
                                  <w:rFonts w:hint="eastAsia"/>
                                  <w:szCs w:val="21"/>
                                  <w:lang w:val="en-US" w:eastAsia="zh-CN"/>
                                </w:rPr>
                                <w:t>1.6</w:t>
                              </w:r>
                            </w:p>
                          </w:txbxContent>
                        </v:textbox>
                      </v:shape>
                      <v:shape id="文本框 202" o:spid="_x0000_s1026" o:spt="202" type="#_x0000_t202" style="position:absolute;left:559435;top:725805;height:170180;width:258445;" fillcolor="#FFFFFF" filled="t" stroked="f" coordsize="21600,21600" o:gfxdata="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fxpt7WAAAABQEAAA8AAAAAAAAAAQAgAAAAIgAAAGRycy9k&#10;b3ducmV2LnhtbFBLAQIUABQAAAAIAIdO4kCaIjuQPQIAAFsEAAAOAAAAAAAAAAEAIAAAACUBAABk&#10;cnMvZTJvRG9jLnhtbFBLBQYAAAAABgAGAFkBAADUBQAAAAA=&#10;">
                        <v:fill on="t" opacity="2055f" focussize="0,0"/>
                        <v:stroke on="f"/>
                        <v:imagedata o:title=""/>
                        <o:lock v:ext="edit" aspectratio="f"/>
                        <v:textbox inset="0mm,0mm,0mm,0mm">
                          <w:txbxContent>
                            <w:p w14:paraId="5F617520">
                              <w:pPr>
                                <w:rPr>
                                  <w:rFonts w:hint="default" w:eastAsia="宋体"/>
                                  <w:szCs w:val="21"/>
                                  <w:lang w:val="en-US" w:eastAsia="zh-CN"/>
                                </w:rPr>
                              </w:pPr>
                              <w:r>
                                <w:rPr>
                                  <w:rFonts w:hint="eastAsia"/>
                                  <w:szCs w:val="21"/>
                                  <w:lang w:val="en-US" w:eastAsia="zh-CN"/>
                                </w:rPr>
                                <w:t>4.6</w:t>
                              </w:r>
                            </w:p>
                          </w:txbxContent>
                        </v:textbox>
                      </v:shape>
                      <v:rect id="矩形 110" o:spid="_x0000_s1026" o:spt="1" style="position:absolute;left:1399540;top:319405;height:266065;width:886460;" fillcolor="#FFFFFF" filled="t" stroked="t" coordsize="21600,21600" o:gfxdata="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c0ANL9UAAAAFAQAADwAAAAAAAAABACAAAAAi&#10;AAAAZHJzL2Rvd25yZXYueG1sUEsBAhQAFAAAAAgAh07iQD7XunFGAgAAiAQAAA4AAAAAAAAAAQAg&#10;AAAAJAEAAGRycy9lMm9Eb2MueG1sUEsFBgAAAAAGAAYAWQEAANwFAAAAAA==&#10;">
                        <v:fill on="t" focussize="0,0"/>
                        <v:stroke color="#000000" miterlimit="8" joinstyle="miter"/>
                        <v:imagedata o:title=""/>
                        <o:lock v:ext="edit" aspectratio="f"/>
                        <v:textbox>
                          <w:txbxContent>
                            <w:p w14:paraId="4F8D54A8">
                              <w:pPr>
                                <w:pStyle w:val="20"/>
                                <w:spacing w:before="0" w:beforeAutospacing="0" w:after="0" w:afterAutospacing="0"/>
                                <w:jc w:val="center"/>
                                <w:rPr>
                                  <w:rFonts w:hint="default" w:eastAsia="宋体"/>
                                  <w:color w:val="000000"/>
                                  <w:szCs w:val="24"/>
                                  <w:lang w:val="en-US" w:eastAsia="zh-CN"/>
                                </w:rPr>
                              </w:pPr>
                              <w:r>
                                <w:rPr>
                                  <w:rFonts w:hint="eastAsia" w:ascii="Times New Roman"/>
                                  <w:color w:val="000000"/>
                                  <w:kern w:val="2"/>
                                  <w:sz w:val="21"/>
                                  <w:szCs w:val="21"/>
                                  <w:lang w:val="en-US" w:eastAsia="zh-CN"/>
                                </w:rPr>
                                <w:t>循环冷却水</w:t>
                              </w:r>
                            </w:p>
                          </w:txbxContent>
                        </v:textbox>
                      </v:rect>
                      <v:line id="直接连接符 112" o:spid="_x0000_s1026" o:spt="20" style="position:absolute;left:447675;top:922020;height:0;width:484505;" filled="f" stroked="t" coordsize="21600,21600" o:gfxdata="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xbzM41wAAAAUBAAAPAAAAAAAAAAEAIAAAACIAAABkcnMvZG93bnJldi54bWxQSwEC&#10;FAAUAAAACACHTuJAUmjA5y4CAAApBAAADgAAAAAAAAABACAAAAAmAQAAZHJzL2Uyb0RvYy54bWxQ&#10;SwUGAAAAAAYABgBZAQAAxgUAAAAA&#10;">
                        <v:fill on="f" focussize="0,0"/>
                        <v:stroke weight="1pt" color="#000000" miterlimit="8" joinstyle="miter"/>
                        <v:imagedata o:title=""/>
                        <o:lock v:ext="edit" aspectratio="f"/>
                      </v:line>
                      <v:line id="直线 283" o:spid="_x0000_s1026" o:spt="20" style="position:absolute;left:2109470;top:1397000;height:635;width:467995;" filled="f" stroked="t" coordsize="21600,21600" o:gfxdata="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tQiuXXAAAABQEAAA8AAAAAAAAAAQAgAAAAIgAAAGRycy9k&#10;b3ducmV2LnhtbFBLAQIUABQAAAAIAIdO4kCeg7/fAwIAAOADAAAOAAAAAAAAAAEAIAAAACYBAABk&#10;cnMvZTJvRG9jLnhtbFBLBQYAAAAABgAGAFkBAACbBQAAAAA=&#10;">
                        <v:fill on="f" focussize="0,0"/>
                        <v:stroke color="#000000" joinstyle="round" endarrow="block"/>
                        <v:imagedata o:title=""/>
                        <o:lock v:ext="edit" aspectratio="f"/>
                      </v:line>
                      <v:rect id="矩形 259" o:spid="_x0000_s1026" o:spt="1" style="position:absolute;left:3731895;top:1137920;height:438785;width:1201420;" fillcolor="#FFFFFF" filled="t" stroked="f" coordsize="21600,21600" o:gfxdata="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5ucJx1QAAAAUBAAAPAAAAAAAAAAEAIAAAACIAAABk&#10;cnMvZG93bnJldi54bWxQSwECFAAUAAAACACHTuJAbfUebkICAABhBAAADgAAAAAAAAABACAAAAAk&#10;AQAAZHJzL2Uyb0RvYy54bWxQSwUGAAAAAAYABgBZAQAA2AUAAAAA&#10;">
                        <v:fill on="t" focussize="0,0"/>
                        <v:stroke on="f" miterlimit="8" joinstyle="miter"/>
                        <v:imagedata o:title=""/>
                        <o:lock v:ext="edit" aspectratio="f"/>
                        <v:textbox>
                          <w:txbxContent>
                            <w:p w14:paraId="00BFAA66">
                              <w:pPr>
                                <w:pStyle w:val="20"/>
                                <w:spacing w:before="0" w:beforeAutospacing="0" w:after="0" w:afterAutospacing="0"/>
                                <w:rPr>
                                  <w:rFonts w:hint="default" w:eastAsia="宋体"/>
                                  <w:szCs w:val="24"/>
                                  <w:lang w:val="en-US" w:eastAsia="zh-CN"/>
                                </w:rPr>
                              </w:pPr>
                              <w:r>
                                <w:rPr>
                                  <w:rFonts w:hint="eastAsia" w:ascii="Times New Roman"/>
                                  <w:color w:val="000000"/>
                                  <w:kern w:val="2"/>
                                  <w:sz w:val="21"/>
                                  <w:szCs w:val="21"/>
                                  <w:lang w:val="en-US" w:eastAsia="zh-CN"/>
                                </w:rPr>
                                <w:t>泾河新城第二污水处理厂</w:t>
                              </w:r>
                            </w:p>
                          </w:txbxContent>
                        </v:textbox>
                      </v:rect>
                      <v:shape id="文本框 202" o:spid="_x0000_s1026" o:spt="202" type="#_x0000_t202" style="position:absolute;left:2222500;top:1226820;height:228600;width:361950;" fillcolor="#FFFFFF" filled="t" stroked="f" coordsize="21600,21600" o:gfxdata="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fxpt7WAAAABQEAAA8AAAAAAAAAAQAgAAAAIgAAAGRycy9kb3du&#10;cmV2LnhtbFBLAQIUABQAAAAIAIdO4kDIV0g8OgIAAF0EAAAOAAAAAAAAAAEAIAAAACUBAABkcnMv&#10;ZTJvRG9jLnhtbFBLBQYAAAAABgAGAFkBAADRBQAAAAA=&#10;">
                        <v:fill on="t" opacity="2055f" focussize="0,0"/>
                        <v:stroke on="f"/>
                        <v:imagedata o:title=""/>
                        <o:lock v:ext="edit" aspectratio="f"/>
                        <v:textbox inset="0mm,0mm,0mm,0mm">
                          <w:txbxContent>
                            <w:p w14:paraId="2611BA48">
                              <w:pPr>
                                <w:keepNext w:val="0"/>
                                <w:keepLines w:val="0"/>
                                <w:pageBreakBefore w:val="0"/>
                                <w:widowControl w:val="0"/>
                                <w:kinsoku/>
                                <w:wordWrap/>
                                <w:overflowPunct/>
                                <w:topLinePunct w:val="0"/>
                                <w:bidi w:val="0"/>
                                <w:adjustRightInd/>
                                <w:snapToGrid/>
                                <w:ind w:firstLine="0" w:firstLineChars="0"/>
                                <w:textAlignment w:val="auto"/>
                                <w:rPr>
                                  <w:rFonts w:hint="default" w:eastAsia="宋体"/>
                                  <w:szCs w:val="21"/>
                                  <w:lang w:val="en-US" w:eastAsia="zh-CN"/>
                                </w:rPr>
                              </w:pPr>
                              <w:r>
                                <w:rPr>
                                  <w:rFonts w:hint="eastAsia"/>
                                  <w:szCs w:val="21"/>
                                  <w:lang w:val="en-US" w:eastAsia="zh-CN"/>
                                </w:rPr>
                                <w:t>2.4</w:t>
                              </w:r>
                            </w:p>
                          </w:txbxContent>
                        </v:textbox>
                      </v:shape>
                      <v:rect id="矩形 257" o:spid="_x0000_s1026" o:spt="1" style="position:absolute;left:1386840;top:1236980;height:265430;width:734695;" fillcolor="#FFFFFF" filled="t" stroked="t" coordsize="21600,21600" o:gfxdata="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c0ANL9UAAAAFAQAADwAAAAAAAAABACAAAAAi&#10;AAAAZHJzL2Rvd25yZXYueG1sUEsBAhQAFAAAAAgAh07iQI64JxpGAgAAiQQAAA4AAAAAAAAAAQAg&#10;AAAAJAEAAGRycy9lMm9Eb2MueG1sUEsFBgAAAAAGAAYAWQEAANwFAAAAAA==&#10;">
                        <v:fill on="t" focussize="0,0"/>
                        <v:stroke color="#000000" miterlimit="8" joinstyle="miter"/>
                        <v:imagedata o:title=""/>
                        <o:lock v:ext="edit" aspectratio="f"/>
                        <v:textbox>
                          <w:txbxContent>
                            <w:p w14:paraId="4E5F1134">
                              <w:pPr>
                                <w:pStyle w:val="20"/>
                                <w:spacing w:before="0" w:beforeAutospacing="0" w:after="0" w:afterAutospacing="0"/>
                                <w:jc w:val="both"/>
                                <w:rPr>
                                  <w:szCs w:val="24"/>
                                </w:rPr>
                              </w:pPr>
                              <w:r>
                                <w:rPr>
                                  <w:rFonts w:hint="eastAsia" w:ascii="Times New Roman"/>
                                  <w:kern w:val="2"/>
                                  <w:sz w:val="21"/>
                                  <w:szCs w:val="21"/>
                                </w:rPr>
                                <w:t>生活用水</w:t>
                              </w:r>
                            </w:p>
                          </w:txbxContent>
                        </v:textbox>
                      </v:rect>
                      <v:line id="直线 197" o:spid="_x0000_s1026" o:spt="20" style="position:absolute;left:1737360;top:134620;flip:y;height:190500;width:228600;" filled="f" stroked="t" coordsize="21600,21600" o:gfxdata="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LqvjPUAAAABQEAAA8AAAAAAAAAAQAg&#10;AAAAIgAAAGRycy9kb3ducmV2LnhtbFBLAQIUABQAAAAIAIdO4kCplEo/EgIAAAMEAAAOAAAAAAAA&#10;AAEAIAAAACMBAABkcnMvZTJvRG9jLnhtbFBLBQYAAAAABgAGAFkBAACnBQAAAAA=&#10;">
                        <v:fill on="f" focussize="0,0"/>
                        <v:stroke color="#000000" joinstyle="round" dashstyle="dash" endarrow="block"/>
                        <v:imagedata o:title=""/>
                        <o:lock v:ext="edit" aspectratio="f"/>
                      </v:line>
                      <v:shape id="文本框 194" o:spid="_x0000_s1026" o:spt="202" type="#_x0000_t202" style="position:absolute;left:1884045;top:60960;height:184785;width:457200;" fillcolor="#FFFFFF" filled="t" stroked="f" coordsize="21600,21600" o:gfxdata="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Ye0PytQAAAAFAQAADwAAAAAAAAABACAAAAAiAAAAZHJzL2Rvd25y&#10;ZXYueG1sUEsBAhQAFAAAAAgAh07iQMo5K8Y7AgAAVwQAAA4AAAAAAAAAAQAgAAAAIwEAAGRycy9l&#10;Mm9Eb2MueG1sUEsFBgAAAAAGAAYAWQEAANAFAAAAAA==&#10;">
                        <v:fill on="t" opacity="0f" focussize="0,0"/>
                        <v:stroke on="f"/>
                        <v:imagedata o:title=""/>
                        <o:lock v:ext="edit" aspectratio="f"/>
                        <v:textbox inset="0mm,0mm,0mm,0mm">
                          <w:txbxContent>
                            <w:p w14:paraId="72D5AE9D">
                              <w:pPr>
                                <w:jc w:val="center"/>
                                <w:rPr>
                                  <w:rFonts w:hint="default" w:eastAsia="宋体"/>
                                  <w:szCs w:val="21"/>
                                  <w:lang w:val="en-US" w:eastAsia="zh-CN"/>
                                </w:rPr>
                              </w:pPr>
                              <w:r>
                                <w:rPr>
                                  <w:rFonts w:hint="eastAsia"/>
                                  <w:szCs w:val="21"/>
                                  <w:lang w:val="en-US" w:eastAsia="zh-CN"/>
                                </w:rPr>
                                <w:t>1.6</w:t>
                              </w:r>
                            </w:p>
                          </w:txbxContent>
                        </v:textbox>
                      </v:shape>
                      <v:shape id="_x0000_s1026" o:spid="_x0000_s1026" o:spt="35" type="#_x0000_t35" style="position:absolute;left:1842770;top:452755;flip:x;height:132715;width:443230;" filled="f" stroked="t" coordsize="21600,21600" o:gfxdata="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c&#10;CaBu1AAAAAUBAAAPAAAAAAAAAAEAIAAAACIAAABkcnMvZG93bnJldi54bWxQSwECFAAUAAAACACH&#10;TuJAtYaTAWECAACcBAAADgAAAAAAAAABACAAAAAjAQAAZHJzL2Uyb0RvYy54bWxQSwUGAAAAAAYA&#10;BgBZAQAA9gUAAAAA&#10;" adj="-25530,44853">
                        <v:fill on="f" focussize="0,0"/>
                        <v:stroke weight="0.5pt" color="#000000 [3213]" miterlimit="8" joinstyle="miter" endarrow="block"/>
                        <v:imagedata o:title=""/>
                        <o:lock v:ext="edit" aspectratio="f"/>
                      </v:shape>
                      <v:shape id="文本框 194" o:spid="_x0000_s1026" o:spt="202" type="#_x0000_t202" style="position:absolute;left:2399030;top:541655;height:184785;width:324485;" fillcolor="#FFFFFF" filled="t" stroked="f" coordsize="21600,21600" o:gfxdata="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Ye0PytQAAAAFAQAADwAAAAAAAAABACAAAAAiAAAAZHJzL2Rvd25y&#10;ZXYueG1sUEsBAhQAFAAAAAgAh07iQEivlGQ7AgAAWAQAAA4AAAAAAAAAAQAgAAAAIwEAAGRycy9l&#10;Mm9Eb2MueG1sUEsFBgAAAAAGAAYAWQEAANAFAAAAAA==&#10;">
                        <v:fill on="t" opacity="0f" focussize="0,0"/>
                        <v:stroke on="f"/>
                        <v:imagedata o:title=""/>
                        <o:lock v:ext="edit" aspectratio="f"/>
                        <v:textbox inset="0mm,0mm,0mm,0mm">
                          <w:txbxContent>
                            <w:p w14:paraId="31D1169E">
                              <w:pPr>
                                <w:jc w:val="center"/>
                                <w:rPr>
                                  <w:rFonts w:hint="default" w:eastAsia="宋体"/>
                                  <w:szCs w:val="21"/>
                                  <w:lang w:val="en-US" w:eastAsia="zh-CN"/>
                                </w:rPr>
                              </w:pPr>
                              <w:r>
                                <w:rPr>
                                  <w:rFonts w:hint="eastAsia"/>
                                  <w:szCs w:val="21"/>
                                  <w:lang w:val="en-US" w:eastAsia="zh-CN"/>
                                </w:rPr>
                                <w:t>80</w:t>
                              </w:r>
                            </w:p>
                          </w:txbxContent>
                        </v:textbox>
                      </v:shape>
                      <w10:wrap type="none"/>
                      <w10:anchorlock/>
                    </v:group>
                  </w:pict>
                </mc:Fallback>
              </mc:AlternateContent>
            </w:r>
          </w:p>
          <w:p w14:paraId="2B0F957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auto"/>
                <w:kern w:val="0"/>
                <w:szCs w:val="21"/>
              </w:rPr>
            </w:pPr>
            <w:r>
              <w:rPr>
                <w:b/>
                <w:color w:val="auto"/>
                <w:kern w:val="0"/>
                <w:szCs w:val="21"/>
              </w:rPr>
              <w:t>图</w:t>
            </w:r>
            <w:r>
              <w:rPr>
                <w:rFonts w:hint="eastAsia"/>
                <w:b/>
                <w:color w:val="auto"/>
                <w:kern w:val="0"/>
                <w:szCs w:val="21"/>
              </w:rPr>
              <w:t xml:space="preserve">2-1   </w:t>
            </w:r>
            <w:r>
              <w:rPr>
                <w:rFonts w:hint="eastAsia"/>
                <w:b/>
                <w:color w:val="auto"/>
                <w:kern w:val="0"/>
                <w:szCs w:val="21"/>
                <w:lang w:val="en-US" w:eastAsia="zh-CN"/>
              </w:rPr>
              <w:t>本项目</w:t>
            </w:r>
            <w:r>
              <w:rPr>
                <w:b/>
                <w:color w:val="auto"/>
                <w:kern w:val="0"/>
                <w:szCs w:val="21"/>
              </w:rPr>
              <w:t>水平衡图（m</w:t>
            </w:r>
            <w:r>
              <w:rPr>
                <w:b/>
                <w:color w:val="auto"/>
                <w:kern w:val="0"/>
                <w:szCs w:val="21"/>
                <w:vertAlign w:val="superscript"/>
              </w:rPr>
              <w:t>3</w:t>
            </w:r>
            <w:r>
              <w:rPr>
                <w:b/>
                <w:color w:val="auto"/>
                <w:kern w:val="0"/>
                <w:szCs w:val="21"/>
              </w:rPr>
              <w:t>/</w:t>
            </w:r>
            <w:r>
              <w:rPr>
                <w:rFonts w:hint="eastAsia"/>
                <w:b/>
                <w:color w:val="auto"/>
                <w:kern w:val="0"/>
                <w:szCs w:val="21"/>
                <w:lang w:val="en-US" w:eastAsia="zh-CN"/>
              </w:rPr>
              <w:t>d</w:t>
            </w:r>
            <w:r>
              <w:rPr>
                <w:b/>
                <w:color w:val="auto"/>
                <w:kern w:val="0"/>
                <w:szCs w:val="21"/>
              </w:rPr>
              <w:t>）</w:t>
            </w:r>
          </w:p>
          <w:p w14:paraId="354DAF16">
            <w:pPr>
              <w:spacing w:line="360" w:lineRule="auto"/>
              <w:ind w:firstLine="480" w:firstLineChars="200"/>
              <w:rPr>
                <w:color w:val="auto"/>
                <w:kern w:val="0"/>
                <w:sz w:val="24"/>
                <w:szCs w:val="20"/>
              </w:rPr>
            </w:pPr>
            <w:r>
              <w:rPr>
                <w:color w:val="auto"/>
                <w:kern w:val="0"/>
                <w:sz w:val="24"/>
              </w:rPr>
              <w:t>（3</w:t>
            </w:r>
            <w:r>
              <w:rPr>
                <w:color w:val="auto"/>
                <w:kern w:val="0"/>
                <w:sz w:val="24"/>
                <w:szCs w:val="20"/>
              </w:rPr>
              <w:t>）供电</w:t>
            </w:r>
          </w:p>
          <w:p w14:paraId="12FBDFD3">
            <w:pPr>
              <w:spacing w:line="360" w:lineRule="auto"/>
              <w:ind w:firstLine="480" w:firstLineChars="200"/>
              <w:rPr>
                <w:color w:val="auto"/>
                <w:kern w:val="0"/>
                <w:sz w:val="24"/>
                <w:szCs w:val="20"/>
              </w:rPr>
            </w:pPr>
            <w:r>
              <w:rPr>
                <w:color w:val="auto"/>
                <w:kern w:val="0"/>
                <w:sz w:val="24"/>
                <w:szCs w:val="20"/>
              </w:rPr>
              <w:t>项目供电电源由市政电网接入。</w:t>
            </w:r>
          </w:p>
          <w:p w14:paraId="4B114243">
            <w:pPr>
              <w:spacing w:line="360" w:lineRule="auto"/>
              <w:ind w:firstLine="480" w:firstLineChars="200"/>
              <w:rPr>
                <w:color w:val="auto"/>
                <w:kern w:val="0"/>
                <w:sz w:val="24"/>
                <w:szCs w:val="20"/>
              </w:rPr>
            </w:pPr>
            <w:r>
              <w:rPr>
                <w:color w:val="auto"/>
                <w:kern w:val="0"/>
                <w:sz w:val="24"/>
                <w:szCs w:val="20"/>
              </w:rPr>
              <w:t>（4）采暖及制冷</w:t>
            </w:r>
          </w:p>
          <w:p w14:paraId="292FC834">
            <w:pPr>
              <w:spacing w:line="360" w:lineRule="auto"/>
              <w:ind w:firstLine="480" w:firstLineChars="200"/>
              <w:rPr>
                <w:color w:val="auto"/>
                <w:kern w:val="0"/>
                <w:sz w:val="24"/>
                <w:szCs w:val="20"/>
              </w:rPr>
            </w:pPr>
            <w:r>
              <w:rPr>
                <w:rFonts w:hint="eastAsia"/>
                <w:color w:val="auto"/>
                <w:kern w:val="0"/>
                <w:sz w:val="24"/>
                <w:szCs w:val="20"/>
                <w:lang w:val="en-US" w:eastAsia="zh-CN"/>
              </w:rPr>
              <w:t>生产区不提供供暖</w:t>
            </w:r>
            <w:r>
              <w:rPr>
                <w:color w:val="auto"/>
                <w:kern w:val="0"/>
                <w:sz w:val="24"/>
                <w:szCs w:val="20"/>
              </w:rPr>
              <w:t>办公室</w:t>
            </w:r>
            <w:r>
              <w:rPr>
                <w:rFonts w:hint="eastAsia"/>
                <w:color w:val="auto"/>
                <w:kern w:val="0"/>
                <w:sz w:val="24"/>
                <w:szCs w:val="20"/>
                <w:lang w:val="en-US" w:eastAsia="zh-CN"/>
              </w:rPr>
              <w:t>采用</w:t>
            </w:r>
            <w:r>
              <w:rPr>
                <w:color w:val="auto"/>
                <w:kern w:val="0"/>
                <w:sz w:val="24"/>
                <w:szCs w:val="20"/>
              </w:rPr>
              <w:t>分体式空调采暖、制冷。</w:t>
            </w:r>
          </w:p>
          <w:p w14:paraId="4851EB6D">
            <w:pPr>
              <w:spacing w:line="360" w:lineRule="auto"/>
              <w:ind w:firstLine="482" w:firstLineChars="200"/>
              <w:rPr>
                <w:b/>
                <w:color w:val="auto"/>
                <w:kern w:val="0"/>
                <w:sz w:val="24"/>
                <w:szCs w:val="20"/>
              </w:rPr>
            </w:pPr>
            <w:r>
              <w:rPr>
                <w:b/>
                <w:color w:val="auto"/>
                <w:kern w:val="0"/>
                <w:sz w:val="24"/>
                <w:szCs w:val="20"/>
              </w:rPr>
              <w:t>3</w:t>
            </w:r>
            <w:r>
              <w:rPr>
                <w:rFonts w:hint="eastAsia"/>
                <w:b/>
                <w:color w:val="auto"/>
                <w:kern w:val="0"/>
                <w:sz w:val="24"/>
                <w:szCs w:val="20"/>
                <w:lang w:eastAsia="zh-CN"/>
              </w:rPr>
              <w:t>、</w:t>
            </w:r>
            <w:r>
              <w:rPr>
                <w:b/>
                <w:color w:val="auto"/>
                <w:kern w:val="0"/>
                <w:sz w:val="24"/>
                <w:szCs w:val="20"/>
              </w:rPr>
              <w:t>劳动定员及工作制度</w:t>
            </w:r>
          </w:p>
          <w:p w14:paraId="29F82B55">
            <w:pPr>
              <w:spacing w:line="360" w:lineRule="auto"/>
              <w:ind w:firstLine="480" w:firstLineChars="200"/>
              <w:rPr>
                <w:color w:val="auto"/>
                <w:kern w:val="0"/>
                <w:sz w:val="24"/>
                <w:szCs w:val="22"/>
                <w:lang w:val="zh-TW"/>
              </w:rPr>
            </w:pPr>
            <w:r>
              <w:rPr>
                <w:rFonts w:hint="eastAsia"/>
                <w:color w:val="auto"/>
                <w:kern w:val="0"/>
                <w:sz w:val="24"/>
                <w:szCs w:val="20"/>
                <w:lang w:val="en-US" w:eastAsia="zh-CN"/>
              </w:rPr>
              <w:t>本</w:t>
            </w:r>
            <w:r>
              <w:rPr>
                <w:color w:val="auto"/>
                <w:kern w:val="0"/>
                <w:sz w:val="24"/>
                <w:szCs w:val="20"/>
              </w:rPr>
              <w:t>项目劳动</w:t>
            </w:r>
            <w:r>
              <w:rPr>
                <w:color w:val="auto"/>
                <w:kern w:val="0"/>
                <w:sz w:val="24"/>
                <w:szCs w:val="22"/>
                <w:lang w:val="zh-TW" w:eastAsia="zh-TW"/>
              </w:rPr>
              <w:t>定员</w:t>
            </w:r>
            <w:r>
              <w:rPr>
                <w:rFonts w:hint="eastAsia"/>
                <w:color w:val="auto"/>
                <w:kern w:val="0"/>
                <w:sz w:val="24"/>
                <w:szCs w:val="22"/>
                <w:lang w:val="en-US" w:eastAsia="zh-CN"/>
              </w:rPr>
              <w:t>30</w:t>
            </w:r>
            <w:r>
              <w:rPr>
                <w:color w:val="auto"/>
                <w:kern w:val="0"/>
                <w:sz w:val="24"/>
                <w:szCs w:val="22"/>
                <w:lang w:val="zh-TW" w:eastAsia="zh-TW"/>
              </w:rPr>
              <w:t>人</w:t>
            </w:r>
            <w:r>
              <w:rPr>
                <w:color w:val="auto"/>
                <w:kern w:val="0"/>
                <w:sz w:val="24"/>
                <w:szCs w:val="22"/>
              </w:rPr>
              <w:t>，每</w:t>
            </w:r>
            <w:r>
              <w:rPr>
                <w:rFonts w:hint="eastAsia"/>
                <w:color w:val="auto"/>
                <w:kern w:val="0"/>
                <w:sz w:val="24"/>
                <w:szCs w:val="22"/>
                <w:lang w:val="en-US" w:eastAsia="zh-CN"/>
              </w:rPr>
              <w:t>班</w:t>
            </w:r>
            <w:r>
              <w:rPr>
                <w:color w:val="auto"/>
                <w:kern w:val="0"/>
                <w:sz w:val="24"/>
                <w:szCs w:val="22"/>
              </w:rPr>
              <w:t>工作</w:t>
            </w:r>
            <w:r>
              <w:rPr>
                <w:rFonts w:hint="eastAsia"/>
                <w:color w:val="auto"/>
                <w:kern w:val="0"/>
                <w:sz w:val="24"/>
                <w:szCs w:val="22"/>
                <w:lang w:val="en-US" w:eastAsia="zh-CN"/>
              </w:rPr>
              <w:t>8</w:t>
            </w:r>
            <w:r>
              <w:rPr>
                <w:color w:val="auto"/>
                <w:kern w:val="0"/>
                <w:sz w:val="24"/>
                <w:szCs w:val="22"/>
              </w:rPr>
              <w:t>h</w:t>
            </w:r>
            <w:r>
              <w:rPr>
                <w:color w:val="auto"/>
                <w:kern w:val="0"/>
                <w:sz w:val="24"/>
                <w:szCs w:val="22"/>
                <w:lang w:val="zh-TW"/>
              </w:rPr>
              <w:t>，</w:t>
            </w:r>
            <w:r>
              <w:rPr>
                <w:rFonts w:hint="eastAsia"/>
                <w:color w:val="auto"/>
                <w:kern w:val="0"/>
                <w:sz w:val="24"/>
                <w:szCs w:val="22"/>
                <w:lang w:val="en-US" w:eastAsia="zh-CN"/>
              </w:rPr>
              <w:t>每天2班，</w:t>
            </w:r>
            <w:r>
              <w:rPr>
                <w:color w:val="auto"/>
                <w:kern w:val="0"/>
                <w:sz w:val="24"/>
                <w:szCs w:val="22"/>
                <w:lang w:val="zh-TW"/>
              </w:rPr>
              <w:t>年工作</w:t>
            </w:r>
            <w:r>
              <w:rPr>
                <w:rFonts w:hint="eastAsia"/>
                <w:color w:val="auto"/>
                <w:kern w:val="0"/>
                <w:sz w:val="24"/>
                <w:szCs w:val="22"/>
                <w:lang w:val="en-US" w:eastAsia="zh-CN"/>
              </w:rPr>
              <w:t>300</w:t>
            </w:r>
            <w:r>
              <w:rPr>
                <w:color w:val="auto"/>
                <w:kern w:val="0"/>
                <w:sz w:val="24"/>
                <w:szCs w:val="22"/>
                <w:lang w:val="zh-TW"/>
              </w:rPr>
              <w:t>天。</w:t>
            </w:r>
          </w:p>
          <w:p w14:paraId="5B65BA5C">
            <w:pPr>
              <w:keepNext w:val="0"/>
              <w:keepLines w:val="0"/>
              <w:pageBreakBefore w:val="0"/>
              <w:widowControl w:val="0"/>
              <w:kinsoku/>
              <w:wordWrap/>
              <w:overflowPunct/>
              <w:topLinePunct w:val="0"/>
              <w:bidi w:val="0"/>
              <w:adjustRightInd w:val="0"/>
              <w:snapToGrid/>
              <w:spacing w:line="360" w:lineRule="auto"/>
              <w:ind w:firstLine="482" w:firstLineChars="200"/>
              <w:textAlignment w:val="auto"/>
              <w:rPr>
                <w:rFonts w:hint="default"/>
                <w:b/>
                <w:bCs/>
                <w:color w:val="auto"/>
                <w:sz w:val="24"/>
                <w:szCs w:val="24"/>
                <w:lang w:val="en-US" w:eastAsia="zh-CN"/>
              </w:rPr>
            </w:pPr>
            <w:r>
              <w:rPr>
                <w:rFonts w:hint="eastAsia"/>
                <w:b/>
                <w:bCs/>
                <w:color w:val="auto"/>
                <w:sz w:val="24"/>
                <w:szCs w:val="24"/>
                <w:lang w:val="en-US" w:eastAsia="zh-CN"/>
              </w:rPr>
              <w:t>4、平面布置合理性分析</w:t>
            </w:r>
          </w:p>
          <w:p w14:paraId="54DFFB47">
            <w:pPr>
              <w:keepNext w:val="0"/>
              <w:keepLines w:val="0"/>
              <w:pageBreakBefore w:val="0"/>
              <w:widowControl w:val="0"/>
              <w:kinsoku/>
              <w:wordWrap/>
              <w:overflowPunct/>
              <w:topLinePunct w:val="0"/>
              <w:bidi w:val="0"/>
              <w:adjustRightInd w:val="0"/>
              <w:snapToGrid/>
              <w:spacing w:line="360" w:lineRule="auto"/>
              <w:ind w:firstLine="480" w:firstLineChars="200"/>
              <w:textAlignment w:val="auto"/>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本项目根据</w:t>
            </w:r>
            <w:r>
              <w:rPr>
                <w:rFonts w:hint="eastAsia" w:ascii="宋体" w:hAnsi="宋体" w:eastAsia="宋体" w:cs="宋体"/>
                <w:color w:val="auto"/>
                <w:kern w:val="0"/>
                <w:sz w:val="24"/>
                <w:szCs w:val="24"/>
              </w:rPr>
              <w:t>“分布合理、工艺流畅、物流短捷、突出环保”</w:t>
            </w:r>
            <w:r>
              <w:rPr>
                <w:rFonts w:ascii="Times New Roman" w:hAnsi="Times New Roman" w:eastAsia="宋体" w:cs="Times New Roman"/>
                <w:color w:val="auto"/>
                <w:kern w:val="0"/>
                <w:sz w:val="24"/>
                <w:szCs w:val="24"/>
              </w:rPr>
              <w:t>的原则，结合用地条件及生产工艺，综合考虑环保、消防、卫生等要求，对厂区生产线布置进行统筹安排。</w:t>
            </w:r>
          </w:p>
          <w:p w14:paraId="1A00129F">
            <w:pPr>
              <w:spacing w:line="360" w:lineRule="auto"/>
              <w:ind w:firstLine="480" w:firstLineChars="200"/>
              <w:rPr>
                <w:color w:val="auto"/>
                <w:sz w:val="24"/>
              </w:rPr>
            </w:pPr>
            <w:r>
              <w:rPr>
                <w:rFonts w:ascii="Times New Roman" w:hAnsi="Times New Roman" w:eastAsia="宋体" w:cs="Times New Roman"/>
                <w:bCs/>
                <w:color w:val="auto"/>
                <w:kern w:val="0"/>
                <w:sz w:val="24"/>
                <w:szCs w:val="24"/>
              </w:rPr>
              <w:t>本项目</w:t>
            </w:r>
            <w:r>
              <w:rPr>
                <w:rFonts w:hint="eastAsia" w:cs="Times New Roman"/>
                <w:color w:val="auto"/>
                <w:kern w:val="0"/>
                <w:sz w:val="24"/>
                <w:szCs w:val="24"/>
                <w:lang w:val="en-US" w:eastAsia="zh-CN"/>
              </w:rPr>
              <w:t>生产厂房</w:t>
            </w:r>
            <w:r>
              <w:rPr>
                <w:rFonts w:hint="eastAsia" w:ascii="Times New Roman" w:hAnsi="Times New Roman" w:eastAsia="宋体" w:cs="Times New Roman"/>
                <w:color w:val="auto"/>
                <w:kern w:val="0"/>
                <w:sz w:val="24"/>
                <w:szCs w:val="24"/>
                <w:lang w:val="en-US" w:eastAsia="zh-CN"/>
              </w:rPr>
              <w:t>南侧</w:t>
            </w:r>
            <w:r>
              <w:rPr>
                <w:rFonts w:hint="eastAsia" w:cs="Times New Roman"/>
                <w:color w:val="auto"/>
                <w:kern w:val="0"/>
                <w:sz w:val="24"/>
                <w:szCs w:val="24"/>
                <w:lang w:val="en-US" w:eastAsia="zh-CN"/>
              </w:rPr>
              <w:t>及北侧</w:t>
            </w:r>
            <w:r>
              <w:rPr>
                <w:rFonts w:hint="eastAsia" w:ascii="Times New Roman" w:hAnsi="Times New Roman" w:eastAsia="宋体" w:cs="Times New Roman"/>
                <w:color w:val="auto"/>
                <w:kern w:val="0"/>
                <w:sz w:val="24"/>
                <w:szCs w:val="24"/>
                <w:lang w:val="en-US" w:eastAsia="zh-CN"/>
              </w:rPr>
              <w:t>均设置</w:t>
            </w:r>
            <w:r>
              <w:rPr>
                <w:rFonts w:hint="eastAsia" w:ascii="Times New Roman" w:hAnsi="Times New Roman" w:eastAsia="宋体" w:cs="Times New Roman"/>
                <w:color w:val="auto"/>
                <w:kern w:val="0"/>
                <w:sz w:val="24"/>
                <w:szCs w:val="24"/>
              </w:rPr>
              <w:t>出入口，方便</w:t>
            </w:r>
            <w:r>
              <w:rPr>
                <w:rFonts w:hint="eastAsia" w:ascii="Times New Roman" w:hAnsi="Times New Roman" w:eastAsia="宋体" w:cs="Times New Roman"/>
                <w:color w:val="auto"/>
                <w:kern w:val="0"/>
                <w:sz w:val="24"/>
                <w:szCs w:val="24"/>
                <w:lang w:val="en-US" w:eastAsia="zh-CN"/>
              </w:rPr>
              <w:t>原辅材料及产品的运输</w:t>
            </w:r>
            <w:r>
              <w:rPr>
                <w:rFonts w:hint="eastAsia" w:ascii="Times New Roman" w:hAnsi="Times New Roman" w:eastAsia="宋体" w:cs="Times New Roman"/>
                <w:color w:val="auto"/>
                <w:kern w:val="0"/>
                <w:sz w:val="24"/>
                <w:szCs w:val="24"/>
                <w:lang w:eastAsia="zh-CN"/>
              </w:rPr>
              <w:t>。</w:t>
            </w:r>
            <w:r>
              <w:rPr>
                <w:color w:val="auto"/>
                <w:sz w:val="24"/>
              </w:rPr>
              <w:t>根据工艺需要</w:t>
            </w:r>
            <w:r>
              <w:rPr>
                <w:rFonts w:hint="eastAsia" w:ascii="Times New Roman" w:hAnsi="Times New Roman" w:cs="Times New Roman"/>
                <w:color w:val="auto"/>
                <w:sz w:val="24"/>
              </w:rPr>
              <w:t>，</w:t>
            </w:r>
            <w:r>
              <w:rPr>
                <w:rFonts w:hint="eastAsia" w:cs="Times New Roman"/>
                <w:color w:val="auto"/>
                <w:sz w:val="24"/>
                <w:lang w:val="en-US" w:eastAsia="zh-CN"/>
              </w:rPr>
              <w:t>由南向北依次布置有原料区、成品区、振壳喷砂区、打磨区，同时厂房西侧布置有一般固废堆放区、耗材堆放区</w:t>
            </w:r>
            <w:r>
              <w:rPr>
                <w:rFonts w:hint="eastAsia" w:ascii="Times New Roman" w:hAnsi="Times New Roman" w:cs="Times New Roman"/>
                <w:color w:val="auto"/>
                <w:sz w:val="24"/>
              </w:rPr>
              <w:t>。</w:t>
            </w:r>
            <w:r>
              <w:rPr>
                <w:rFonts w:ascii="Times New Roman" w:hAnsi="Times New Roman" w:cs="Times New Roman"/>
                <w:color w:val="auto"/>
                <w:sz w:val="24"/>
              </w:rPr>
              <w:t>同</w:t>
            </w:r>
            <w:r>
              <w:rPr>
                <w:color w:val="auto"/>
                <w:sz w:val="24"/>
              </w:rPr>
              <w:t>时</w:t>
            </w:r>
            <w:r>
              <w:rPr>
                <w:rFonts w:hint="eastAsia"/>
                <w:color w:val="auto"/>
                <w:sz w:val="24"/>
                <w:lang w:val="en-US" w:eastAsia="zh-CN"/>
              </w:rPr>
              <w:t>预留</w:t>
            </w:r>
            <w:r>
              <w:rPr>
                <w:color w:val="auto"/>
                <w:sz w:val="24"/>
              </w:rPr>
              <w:t>人流物流通道，符合物流方向，方便物料进出。</w:t>
            </w:r>
          </w:p>
          <w:p w14:paraId="769B5F55">
            <w:pPr>
              <w:spacing w:line="360" w:lineRule="auto"/>
              <w:ind w:firstLine="480" w:firstLineChars="200"/>
              <w:rPr>
                <w:rFonts w:hint="eastAsia" w:eastAsia="宋体"/>
                <w:color w:val="auto"/>
                <w:lang w:val="en-US" w:eastAsia="zh-CN"/>
              </w:rPr>
            </w:pPr>
            <w:r>
              <w:rPr>
                <w:color w:val="auto"/>
                <w:sz w:val="24"/>
              </w:rPr>
              <w:t>综上所述，项目总平面布置合理。</w:t>
            </w:r>
            <w:r>
              <w:rPr>
                <w:rFonts w:hint="eastAsia"/>
                <w:color w:val="auto"/>
                <w:sz w:val="24"/>
              </w:rPr>
              <w:t>本项目平面布置见附图</w:t>
            </w:r>
            <w:r>
              <w:rPr>
                <w:rFonts w:hint="eastAsia"/>
                <w:color w:val="auto"/>
                <w:sz w:val="24"/>
                <w:lang w:val="en-US" w:eastAsia="zh-CN"/>
              </w:rPr>
              <w:t>4。</w:t>
            </w:r>
          </w:p>
        </w:tc>
      </w:tr>
      <w:tr w14:paraId="2F1763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473" w:type="dxa"/>
            <w:vAlign w:val="center"/>
          </w:tcPr>
          <w:p w14:paraId="6C885724">
            <w:pPr>
              <w:widowControl/>
              <w:adjustRightInd w:val="0"/>
              <w:snapToGrid w:val="0"/>
              <w:jc w:val="center"/>
              <w:rPr>
                <w:color w:val="auto"/>
                <w:kern w:val="0"/>
                <w:szCs w:val="21"/>
              </w:rPr>
            </w:pPr>
            <w:r>
              <w:rPr>
                <w:color w:val="auto"/>
                <w:kern w:val="0"/>
                <w:sz w:val="24"/>
              </w:rPr>
              <w:t>工艺流程和产排污环节</w:t>
            </w:r>
          </w:p>
        </w:tc>
        <w:tc>
          <w:tcPr>
            <w:tcW w:w="8587" w:type="dxa"/>
          </w:tcPr>
          <w:p w14:paraId="6BE038AF">
            <w:pPr>
              <w:spacing w:line="360" w:lineRule="auto"/>
              <w:ind w:firstLine="482" w:firstLineChars="200"/>
              <w:rPr>
                <w:b/>
                <w:bCs/>
                <w:color w:val="auto"/>
                <w:kern w:val="0"/>
                <w:sz w:val="24"/>
                <w:szCs w:val="20"/>
              </w:rPr>
            </w:pPr>
            <w:r>
              <w:rPr>
                <w:rFonts w:hint="eastAsia"/>
                <w:b/>
                <w:bCs/>
                <w:color w:val="auto"/>
                <w:kern w:val="0"/>
                <w:sz w:val="24"/>
                <w:szCs w:val="20"/>
                <w:lang w:val="en-US" w:eastAsia="zh-CN"/>
              </w:rPr>
              <w:t>1</w:t>
            </w:r>
            <w:r>
              <w:rPr>
                <w:b/>
                <w:bCs/>
                <w:color w:val="auto"/>
                <w:kern w:val="0"/>
                <w:sz w:val="24"/>
                <w:szCs w:val="20"/>
              </w:rPr>
              <w:t>、施工期工艺流程</w:t>
            </w:r>
          </w:p>
          <w:p w14:paraId="20AF67ED">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default"/>
                <w:color w:val="auto"/>
                <w:lang w:val="en-US"/>
              </w:rPr>
            </w:pPr>
            <w:r>
              <w:rPr>
                <w:rFonts w:hint="eastAsia" w:ascii="宋体" w:hAnsi="宋体" w:eastAsia="宋体" w:cs="宋体"/>
                <w:color w:val="auto"/>
                <w:kern w:val="0"/>
                <w:sz w:val="24"/>
                <w:szCs w:val="24"/>
                <w:lang w:val="en-US" w:eastAsia="zh-CN" w:bidi="ar"/>
              </w:rPr>
              <w:t>本项目</w:t>
            </w:r>
            <w:r>
              <w:rPr>
                <w:rFonts w:hint="eastAsia" w:ascii="宋体" w:hAnsi="宋体" w:cs="宋体"/>
                <w:color w:val="auto"/>
                <w:kern w:val="0"/>
                <w:sz w:val="24"/>
                <w:szCs w:val="24"/>
                <w:lang w:val="en-US" w:eastAsia="zh-CN" w:bidi="ar"/>
              </w:rPr>
              <w:t>租赁现有厂房</w:t>
            </w:r>
            <w:r>
              <w:rPr>
                <w:rFonts w:hint="eastAsia" w:ascii="宋体" w:hAnsi="宋体" w:eastAsia="宋体" w:cs="宋体"/>
                <w:color w:val="auto"/>
                <w:kern w:val="0"/>
                <w:sz w:val="24"/>
                <w:szCs w:val="24"/>
                <w:lang w:val="en-US" w:eastAsia="zh-CN" w:bidi="ar"/>
              </w:rPr>
              <w:t>，</w:t>
            </w:r>
            <w:r>
              <w:rPr>
                <w:rFonts w:hint="eastAsia" w:ascii="宋体" w:hAnsi="宋体" w:cs="宋体"/>
                <w:color w:val="auto"/>
                <w:kern w:val="0"/>
                <w:sz w:val="24"/>
                <w:szCs w:val="24"/>
                <w:lang w:val="en-US" w:eastAsia="zh-CN" w:bidi="ar"/>
              </w:rPr>
              <w:t>厂房为空置状态，</w:t>
            </w:r>
            <w:r>
              <w:rPr>
                <w:rFonts w:hint="eastAsia" w:ascii="宋体" w:hAnsi="宋体" w:eastAsia="宋体" w:cs="宋体"/>
                <w:color w:val="auto"/>
                <w:kern w:val="0"/>
                <w:sz w:val="24"/>
                <w:szCs w:val="24"/>
                <w:lang w:val="en-US" w:eastAsia="zh-CN" w:bidi="ar"/>
              </w:rPr>
              <w:t>施工期仅对</w:t>
            </w:r>
            <w:r>
              <w:rPr>
                <w:rFonts w:hint="eastAsia" w:cs="Times New Roman"/>
                <w:color w:val="auto"/>
                <w:sz w:val="24"/>
                <w:lang w:val="en-US" w:eastAsia="zh-CN"/>
              </w:rPr>
              <w:t>生产设备</w:t>
            </w:r>
            <w:r>
              <w:rPr>
                <w:rFonts w:hint="eastAsia" w:ascii="宋体" w:hAnsi="宋体" w:eastAsia="宋体" w:cs="宋体"/>
                <w:color w:val="auto"/>
                <w:kern w:val="0"/>
                <w:sz w:val="24"/>
                <w:szCs w:val="24"/>
                <w:lang w:val="en-US" w:eastAsia="zh-CN" w:bidi="ar"/>
              </w:rPr>
              <w:t>、环保设备</w:t>
            </w:r>
            <w:r>
              <w:rPr>
                <w:rFonts w:hint="eastAsia" w:ascii="宋体" w:hAnsi="宋体" w:cs="宋体"/>
                <w:color w:val="auto"/>
                <w:kern w:val="0"/>
                <w:sz w:val="24"/>
                <w:szCs w:val="24"/>
                <w:lang w:val="en-US" w:eastAsia="zh-CN" w:bidi="ar"/>
              </w:rPr>
              <w:t>进行</w:t>
            </w:r>
            <w:r>
              <w:rPr>
                <w:rFonts w:hint="eastAsia" w:ascii="宋体" w:hAnsi="宋体" w:eastAsia="宋体" w:cs="宋体"/>
                <w:color w:val="auto"/>
                <w:kern w:val="0"/>
                <w:sz w:val="24"/>
                <w:szCs w:val="24"/>
                <w:lang w:val="en-US" w:eastAsia="zh-CN" w:bidi="ar"/>
              </w:rPr>
              <w:t>安装，不涉及土建施工。施工期废气主要为施工机械及运输车辆废气；</w:t>
            </w:r>
            <w:r>
              <w:rPr>
                <w:rFonts w:hint="eastAsia" w:ascii="宋体" w:hAnsi="宋体" w:cs="宋体"/>
                <w:color w:val="auto"/>
                <w:kern w:val="0"/>
                <w:sz w:val="24"/>
                <w:szCs w:val="24"/>
                <w:lang w:val="en-US" w:eastAsia="zh-CN" w:bidi="ar"/>
              </w:rPr>
              <w:t>施工</w:t>
            </w:r>
            <w:r>
              <w:rPr>
                <w:rFonts w:hint="eastAsia" w:ascii="宋体" w:hAnsi="宋体" w:eastAsia="宋体" w:cs="宋体"/>
                <w:color w:val="auto"/>
                <w:kern w:val="0"/>
                <w:sz w:val="24"/>
                <w:szCs w:val="24"/>
                <w:lang w:val="en-US" w:eastAsia="zh-CN" w:bidi="ar"/>
              </w:rPr>
              <w:t>废水主要为施工人员</w:t>
            </w:r>
            <w:r>
              <w:rPr>
                <w:rFonts w:hint="eastAsia" w:ascii="宋体" w:hAnsi="宋体" w:cs="宋体"/>
                <w:color w:val="auto"/>
                <w:kern w:val="0"/>
                <w:sz w:val="24"/>
                <w:szCs w:val="24"/>
                <w:lang w:val="en-US" w:eastAsia="zh-CN" w:bidi="ar"/>
              </w:rPr>
              <w:t>生活污水</w:t>
            </w:r>
            <w:r>
              <w:rPr>
                <w:rFonts w:hint="eastAsia" w:ascii="宋体" w:hAnsi="宋体" w:eastAsia="宋体" w:cs="宋体"/>
                <w:color w:val="auto"/>
                <w:kern w:val="0"/>
                <w:sz w:val="24"/>
                <w:szCs w:val="24"/>
                <w:lang w:val="en-US" w:eastAsia="zh-CN" w:bidi="ar"/>
              </w:rPr>
              <w:t>；施工期噪声主要是施工机械设备噪声和运输车辆运行噪声；施工期固体废物主要包括施工人员的生活垃圾、废包装材料等。</w:t>
            </w:r>
          </w:p>
          <w:p w14:paraId="40C28856">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b/>
                <w:bCs/>
                <w:color w:val="auto"/>
                <w:szCs w:val="21"/>
              </w:rPr>
            </w:pPr>
            <w:r>
              <w:rPr>
                <w:sz w:val="21"/>
              </w:rPr>
              <mc:AlternateContent>
                <mc:Choice Requires="wps">
                  <w:drawing>
                    <wp:anchor distT="0" distB="0" distL="114300" distR="114300" simplePos="0" relativeHeight="251660288" behindDoc="0" locked="0" layoutInCell="1" allowOverlap="1">
                      <wp:simplePos x="0" y="0"/>
                      <wp:positionH relativeFrom="column">
                        <wp:posOffset>1083310</wp:posOffset>
                      </wp:positionH>
                      <wp:positionV relativeFrom="paragraph">
                        <wp:posOffset>8890</wp:posOffset>
                      </wp:positionV>
                      <wp:extent cx="2655570" cy="262255"/>
                      <wp:effectExtent l="0" t="0" r="11430" b="12065"/>
                      <wp:wrapNone/>
                      <wp:docPr id="9" name="文本框 9"/>
                      <wp:cNvGraphicFramePr/>
                      <a:graphic xmlns:a="http://schemas.openxmlformats.org/drawingml/2006/main">
                        <a:graphicData uri="http://schemas.microsoft.com/office/word/2010/wordprocessingShape">
                          <wps:wsp>
                            <wps:cNvSpPr txBox="1"/>
                            <wps:spPr>
                              <a:xfrm>
                                <a:off x="3048635" y="2500630"/>
                                <a:ext cx="2655570" cy="2622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772B55C">
                                  <w:pPr>
                                    <w:rPr>
                                      <w:rFonts w:hint="default" w:eastAsia="宋体"/>
                                      <w:b/>
                                      <w:bCs/>
                                      <w:sz w:val="18"/>
                                      <w:szCs w:val="21"/>
                                      <w:lang w:val="en-US" w:eastAsia="zh-CN"/>
                                    </w:rPr>
                                  </w:pPr>
                                  <w:r>
                                    <w:rPr>
                                      <w:rFonts w:hint="eastAsia"/>
                                      <w:b/>
                                      <w:bCs/>
                                      <w:sz w:val="18"/>
                                      <w:szCs w:val="21"/>
                                      <w:lang w:val="en-US" w:eastAsia="zh-CN"/>
                                    </w:rPr>
                                    <w:t>生活污水、生活垃圾、噪声、废包装材料、废气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3pt;margin-top:0.7pt;height:20.65pt;width:209.1pt;z-index:251660288;mso-width-relative:page;mso-height-relative:page;" fillcolor="#FFFFFF [3201]" filled="t" stroked="f" coordsize="21600,21600" o:gfxdata="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NG+wiDUAAAA&#10;CAEAAA8AAAAAAAAAAQAgAAAAIgAAAGRycy9kb3ducmV2LnhtbFBLAQIUABQAAAAIAIdO4kCMv0qU&#10;WgIAAJsEAAAOAAAAAAAAAAEAIAAAACMBAABkcnMvZTJvRG9jLnhtbFBLBQYAAAAABgAGAFkBAADv&#10;BQAAAAA=&#10;">
                      <v:fill on="t" focussize="0,0"/>
                      <v:stroke on="f" weight="0.5pt"/>
                      <v:imagedata o:title=""/>
                      <o:lock v:ext="edit" aspectratio="f"/>
                      <v:textbox>
                        <w:txbxContent>
                          <w:p w14:paraId="2772B55C">
                            <w:pPr>
                              <w:rPr>
                                <w:rFonts w:hint="default" w:eastAsia="宋体"/>
                                <w:b/>
                                <w:bCs/>
                                <w:sz w:val="18"/>
                                <w:szCs w:val="21"/>
                                <w:lang w:val="en-US" w:eastAsia="zh-CN"/>
                              </w:rPr>
                            </w:pPr>
                            <w:r>
                              <w:rPr>
                                <w:rFonts w:hint="eastAsia"/>
                                <w:b/>
                                <w:bCs/>
                                <w:sz w:val="18"/>
                                <w:szCs w:val="21"/>
                                <w:lang w:val="en-US" w:eastAsia="zh-CN"/>
                              </w:rPr>
                              <w:t>生活污水、生活垃圾、噪声、废包装材料、废气</w:t>
                            </w:r>
                          </w:p>
                        </w:txbxContent>
                      </v:textbox>
                    </v:shape>
                  </w:pict>
                </mc:Fallback>
              </mc:AlternateContent>
            </w:r>
            <w:r>
              <w:rPr>
                <w:b/>
                <w:bCs/>
                <w:color w:val="auto"/>
                <w:szCs w:val="21"/>
              </w:rPr>
              <w:drawing>
                <wp:inline distT="0" distB="0" distL="114300" distR="114300">
                  <wp:extent cx="2945130" cy="868045"/>
                  <wp:effectExtent l="0" t="0" r="6985" b="8255"/>
                  <wp:docPr id="12" name="ECB019B1-382A-4266-B25C-5B523AA43C14-1" descr="C:/Users/Administrator/AppData/Local/Temp/wps.keIHx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CB019B1-382A-4266-B25C-5B523AA43C14-1" descr="C:/Users/Administrator/AppData/Local/Temp/wps.keIHxFwps"/>
                          <pic:cNvPicPr>
                            <a:picLocks noChangeAspect="1"/>
                          </pic:cNvPicPr>
                        </pic:nvPicPr>
                        <pic:blipFill>
                          <a:blip r:embed="rId9"/>
                          <a:srcRect l="-2387" t="6082" r="24448" b="65314"/>
                          <a:stretch>
                            <a:fillRect/>
                          </a:stretch>
                        </pic:blipFill>
                        <pic:spPr>
                          <a:xfrm>
                            <a:off x="0" y="0"/>
                            <a:ext cx="2945130" cy="868045"/>
                          </a:xfrm>
                          <a:prstGeom prst="rect">
                            <a:avLst/>
                          </a:prstGeom>
                        </pic:spPr>
                      </pic:pic>
                    </a:graphicData>
                  </a:graphic>
                </wp:inline>
              </w:drawing>
            </w:r>
          </w:p>
          <w:p w14:paraId="7C0C0590">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b/>
                <w:bCs/>
                <w:color w:val="auto"/>
                <w:szCs w:val="21"/>
              </w:rPr>
            </w:pPr>
            <w:r>
              <w:rPr>
                <w:b/>
                <w:bCs/>
                <w:color w:val="auto"/>
                <w:szCs w:val="21"/>
              </w:rPr>
              <w:t>图2</w:t>
            </w:r>
            <w:r>
              <w:rPr>
                <w:rFonts w:hint="eastAsia"/>
                <w:b/>
                <w:bCs/>
                <w:color w:val="auto"/>
                <w:szCs w:val="21"/>
              </w:rPr>
              <w:t xml:space="preserve">-2   </w:t>
            </w:r>
            <w:r>
              <w:rPr>
                <w:b/>
                <w:bCs/>
                <w:color w:val="auto"/>
                <w:szCs w:val="21"/>
              </w:rPr>
              <w:t>施工期工艺流程及产污环节图</w:t>
            </w:r>
          </w:p>
          <w:p w14:paraId="3E79E073">
            <w:pPr>
              <w:spacing w:line="360" w:lineRule="auto"/>
              <w:ind w:firstLine="482" w:firstLineChars="200"/>
              <w:rPr>
                <w:b/>
                <w:bCs/>
                <w:color w:val="auto"/>
                <w:kern w:val="0"/>
                <w:sz w:val="24"/>
                <w:szCs w:val="20"/>
              </w:rPr>
            </w:pPr>
            <w:r>
              <w:rPr>
                <w:rFonts w:hint="eastAsia"/>
                <w:b/>
                <w:bCs/>
                <w:color w:val="auto"/>
                <w:kern w:val="0"/>
                <w:sz w:val="24"/>
                <w:szCs w:val="20"/>
                <w:lang w:val="en-US" w:eastAsia="zh-CN"/>
              </w:rPr>
              <w:t>2</w:t>
            </w:r>
            <w:r>
              <w:rPr>
                <w:b/>
                <w:bCs/>
                <w:color w:val="auto"/>
                <w:kern w:val="0"/>
                <w:sz w:val="24"/>
                <w:szCs w:val="20"/>
              </w:rPr>
              <w:t>、营运期工艺流程</w:t>
            </w:r>
          </w:p>
          <w:p w14:paraId="009F42AF">
            <w:pPr>
              <w:spacing w:line="360" w:lineRule="auto"/>
              <w:ind w:firstLine="480" w:firstLineChars="200"/>
              <w:rPr>
                <w:rFonts w:hint="eastAsia"/>
                <w:color w:val="auto"/>
                <w:kern w:val="0"/>
                <w:sz w:val="24"/>
                <w:lang w:val="en-US" w:eastAsia="zh-CN"/>
              </w:rPr>
            </w:pPr>
            <w:r>
              <w:rPr>
                <w:rFonts w:hint="eastAsia"/>
                <w:color w:val="auto"/>
                <w:kern w:val="0"/>
                <w:sz w:val="24"/>
                <w:lang w:val="en-US" w:eastAsia="zh-CN"/>
              </w:rPr>
              <w:t>（1）</w:t>
            </w:r>
            <w:r>
              <w:rPr>
                <w:rFonts w:hint="eastAsia"/>
                <w:color w:val="auto"/>
                <w:sz w:val="24"/>
                <w:lang w:val="en-US" w:eastAsia="zh-CN"/>
              </w:rPr>
              <w:t>钛及钛合金板坯、钛棒</w:t>
            </w:r>
          </w:p>
          <w:p w14:paraId="464E89D5">
            <w:pPr>
              <w:spacing w:line="360" w:lineRule="auto"/>
              <w:ind w:firstLine="480" w:firstLineChars="200"/>
              <w:rPr>
                <w:color w:val="auto"/>
                <w:kern w:val="0"/>
                <w:sz w:val="24"/>
              </w:rPr>
            </w:pPr>
            <w:r>
              <w:rPr>
                <w:rFonts w:hint="eastAsia"/>
                <w:color w:val="auto"/>
                <w:sz w:val="24"/>
                <w:lang w:val="en-US" w:eastAsia="zh-CN"/>
              </w:rPr>
              <w:t>钛及钛合金板坯、钛棒</w:t>
            </w:r>
            <w:r>
              <w:rPr>
                <w:color w:val="auto"/>
                <w:kern w:val="0"/>
                <w:sz w:val="24"/>
              </w:rPr>
              <w:t>工艺流程</w:t>
            </w:r>
            <w:r>
              <w:rPr>
                <w:rFonts w:hint="eastAsia"/>
                <w:color w:val="auto"/>
                <w:kern w:val="0"/>
                <w:sz w:val="24"/>
              </w:rPr>
              <w:t>及产污环节</w:t>
            </w:r>
            <w:r>
              <w:rPr>
                <w:color w:val="auto"/>
                <w:kern w:val="0"/>
                <w:sz w:val="24"/>
              </w:rPr>
              <w:t>如下图所示：</w:t>
            </w:r>
          </w:p>
          <w:p w14:paraId="7A591F42">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eastAsia="宋体"/>
                <w:color w:val="auto"/>
                <w:lang w:eastAsia="zh-CN"/>
              </w:rPr>
            </w:pPr>
            <w:r>
              <w:rPr>
                <w:sz w:val="21"/>
              </w:rPr>
              <mc:AlternateContent>
                <mc:Choice Requires="wpc">
                  <w:drawing>
                    <wp:inline distT="0" distB="0" distL="114300" distR="114300">
                      <wp:extent cx="5315585" cy="1310640"/>
                      <wp:effectExtent l="0" t="0" r="0" b="0"/>
                      <wp:docPr id="26" name="画布 26"/>
                      <wp:cNvGraphicFramePr/>
                      <a:graphic xmlns:a="http://schemas.openxmlformats.org/drawingml/2006/main">
                        <a:graphicData uri="http://schemas.microsoft.com/office/word/2010/wordprocessingCanvas">
                          <wpc:wpc>
                            <wpc:bg/>
                            <wpc:whole/>
                            <wps:wsp>
                              <wps:cNvPr id="27" name="文本框 3"/>
                              <wps:cNvSpPr txBox="1"/>
                              <wps:spPr>
                                <a:xfrm>
                                  <a:off x="462280" y="837565"/>
                                  <a:ext cx="1682750" cy="2870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614EAEC">
                                    <w:pPr>
                                      <w:rPr>
                                        <w:rFonts w:hint="default" w:eastAsia="宋体"/>
                                        <w:lang w:val="en-US" w:eastAsia="zh-CN"/>
                                      </w:rPr>
                                    </w:pPr>
                                    <w:r>
                                      <w:rPr>
                                        <w:rFonts w:hint="eastAsia"/>
                                        <w:lang w:val="en-US" w:eastAsia="zh-CN"/>
                                      </w:rPr>
                                      <w:t>钛及钛合金板坯、钛棒件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0" name="文本框 13"/>
                              <wps:cNvSpPr txBox="1"/>
                              <wps:spPr>
                                <a:xfrm>
                                  <a:off x="2762885" y="831850"/>
                                  <a:ext cx="592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07A3009">
                                    <w:pPr>
                                      <w:rPr>
                                        <w:rFonts w:hint="default" w:eastAsia="宋体"/>
                                        <w:lang w:val="en-US" w:eastAsia="zh-CN"/>
                                      </w:rPr>
                                    </w:pPr>
                                    <w:r>
                                      <w:rPr>
                                        <w:rFonts w:hint="eastAsia"/>
                                        <w:lang w:val="en-US" w:eastAsia="zh-CN"/>
                                      </w:rPr>
                                      <w:t>打  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文本框 14"/>
                              <wps:cNvSpPr txBox="1"/>
                              <wps:spPr>
                                <a:xfrm>
                                  <a:off x="3830955" y="839470"/>
                                  <a:ext cx="56705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BF75095">
                                    <w:pPr>
                                      <w:rPr>
                                        <w:rFonts w:hint="default" w:eastAsia="宋体"/>
                                        <w:lang w:val="en-US" w:eastAsia="zh-CN"/>
                                      </w:rPr>
                                    </w:pPr>
                                    <w:r>
                                      <w:rPr>
                                        <w:rFonts w:hint="eastAsia"/>
                                        <w:lang w:val="en-US" w:eastAsia="zh-CN"/>
                                      </w:rPr>
                                      <w:t>成 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直接箭头连接符 18"/>
                              <wps:cNvCnPr/>
                              <wps:spPr>
                                <a:xfrm flipV="1">
                                  <a:off x="2118360" y="962025"/>
                                  <a:ext cx="617855"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35" name="直接箭头连接符 19"/>
                              <wps:cNvCnPr/>
                              <wps:spPr>
                                <a:xfrm flipV="1">
                                  <a:off x="3359785" y="975995"/>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40" name="直接箭头连接符 24"/>
                              <wps:cNvCnPr/>
                              <wps:spPr>
                                <a:xfrm flipH="1" flipV="1">
                                  <a:off x="3055620" y="407670"/>
                                  <a:ext cx="6350" cy="412115"/>
                                </a:xfrm>
                                <a:prstGeom prst="straightConnector1">
                                  <a:avLst/>
                                </a:prstGeom>
                                <a:ln w="12700" cmpd="sng">
                                  <a:solidFill>
                                    <a:schemeClr val="tx1"/>
                                  </a:solidFill>
                                  <a:prstDash val="dash"/>
                                  <a:tailEnd type="triangle" w="med" len="med"/>
                                </a:ln>
                              </wps:spPr>
                              <wps:style>
                                <a:lnRef idx="2">
                                  <a:schemeClr val="accent1"/>
                                </a:lnRef>
                                <a:fillRef idx="0">
                                  <a:srgbClr val="FFFFFF"/>
                                </a:fillRef>
                                <a:effectRef idx="0">
                                  <a:srgbClr val="FFFFFF"/>
                                </a:effectRef>
                                <a:fontRef idx="minor">
                                  <a:schemeClr val="tx1"/>
                                </a:fontRef>
                              </wps:style>
                              <wps:bodyPr/>
                            </wps:wsp>
                            <wps:wsp>
                              <wps:cNvPr id="41" name="文本框 25"/>
                              <wps:cNvSpPr txBox="1"/>
                              <wps:spPr>
                                <a:xfrm>
                                  <a:off x="2335530" y="87630"/>
                                  <a:ext cx="1503680"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C4B697C">
                                    <w:pPr>
                                      <w:rPr>
                                        <w:rFonts w:hint="default" w:eastAsia="宋体"/>
                                        <w:lang w:val="en-US" w:eastAsia="zh-CN"/>
                                      </w:rPr>
                                    </w:pPr>
                                    <w:r>
                                      <w:rPr>
                                        <w:rFonts w:hint="eastAsia"/>
                                        <w:lang w:val="en-US" w:eastAsia="zh-CN"/>
                                      </w:rPr>
                                      <w:t>噪声、粉尘、废砂轮</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103.2pt;width:418.55pt;" coordsize="5315585,1310640" editas="canvas" o:gfxdata="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">
                      <o:lock v:ext="edit" aspectratio="f"/>
                      <v:shape id="_x0000_s1026" o:spid="_x0000_s1026" style="position:absolute;left:0;top:0;height:1310640;width:5315585;" filled="f" stroked="f" coordsize="21600,21600" o:gfxdata="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">
                        <v:fill on="f" focussize="0,0"/>
                        <v:stroke on="f"/>
                        <v:imagedata o:title=""/>
                        <o:lock v:ext="edit" aspectratio="f"/>
                      </v:shape>
                      <v:shape id="文本框 3" o:spid="_x0000_s1026" o:spt="202" type="#_x0000_t202" style="position:absolute;left:462280;top:837565;height:287020;width:1682750;" fillcolor="#FFFFFF [3201]" filled="t" stroked="f" coordsize="21600,21600" o:gfxdata="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JSM49HSAAAA&#10;BQEAAA8AAAAAAAAAAQAgAAAAIgAAAGRycy9kb3ducmV2LnhtbFBLAQIUABQAAAAIAIdO4kCa2GAg&#10;XAIAAJoEAAAOAAAAAAAAAAEAIAAAACEBAABkcnMvZTJvRG9jLnhtbFBLBQYAAAAABgAGAFkBAADv&#10;BQAAAAA=&#10;">
                        <v:fill on="t" focussize="0,0"/>
                        <v:stroke on="f" weight="0.5pt"/>
                        <v:imagedata o:title=""/>
                        <o:lock v:ext="edit" aspectratio="f"/>
                        <v:textbox>
                          <w:txbxContent>
                            <w:p w14:paraId="5614EAEC">
                              <w:pPr>
                                <w:rPr>
                                  <w:rFonts w:hint="default" w:eastAsia="宋体"/>
                                  <w:lang w:val="en-US" w:eastAsia="zh-CN"/>
                                </w:rPr>
                              </w:pPr>
                              <w:r>
                                <w:rPr>
                                  <w:rFonts w:hint="eastAsia"/>
                                  <w:lang w:val="en-US" w:eastAsia="zh-CN"/>
                                </w:rPr>
                                <w:t>钛及钛合金板坯、钛棒件</w:t>
                              </w:r>
                            </w:p>
                          </w:txbxContent>
                        </v:textbox>
                      </v:shape>
                      <v:shape id="文本框 13" o:spid="_x0000_s1026" o:spt="202" type="#_x0000_t202" style="position:absolute;left:2762885;top:831850;height:254000;width:592455;" fillcolor="#FFFFFF [3201]" filled="t" stroked="t" coordsize="21600,21600" o:gfxdata="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6sqQLTAAAABQEAAA8AAAAAAAAAAQAgAAAAIgAAAGRycy9kb3ducmV2LnhtbFBLAQIUABQAAAAI&#10;AIdO4kAR/8mdZAIAAMMEAAAOAAAAAAAAAAEAIAAAACIBAABkcnMvZTJvRG9jLnhtbFBLBQYAAAAA&#10;BgAGAFkBAAD4BQAAAAA=&#10;">
                        <v:fill on="t" focussize="0,0"/>
                        <v:stroke weight="0.5pt" color="#000000 [3204]" joinstyle="round"/>
                        <v:imagedata o:title=""/>
                        <o:lock v:ext="edit" aspectratio="f"/>
                        <v:textbox>
                          <w:txbxContent>
                            <w:p w14:paraId="207A3009">
                              <w:pPr>
                                <w:rPr>
                                  <w:rFonts w:hint="default" w:eastAsia="宋体"/>
                                  <w:lang w:val="en-US" w:eastAsia="zh-CN"/>
                                </w:rPr>
                              </w:pPr>
                              <w:r>
                                <w:rPr>
                                  <w:rFonts w:hint="eastAsia"/>
                                  <w:lang w:val="en-US" w:eastAsia="zh-CN"/>
                                </w:rPr>
                                <w:t>打  磨</w:t>
                              </w:r>
                            </w:p>
                          </w:txbxContent>
                        </v:textbox>
                      </v:shape>
                      <v:shape id="文本框 14" o:spid="_x0000_s1026" o:spt="202" type="#_x0000_t202" style="position:absolute;left:3830955;top:839470;height:287655;width:567055;" fillcolor="#FFFFFF [3201]" filled="t" stroked="f" coordsize="21600,21600" o:gfxdata="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JSM49HSAAAABQEA&#10;AA8AAAAAAAAAAQAgAAAAIgAAAGRycy9kb3ducmV2LnhtbFBLAQIUABQAAAAIAIdO4kDyE5yrWQIA&#10;AJsEAAAOAAAAAAAAAAEAIAAAACEBAABkcnMvZTJvRG9jLnhtbFBLBQYAAAAABgAGAFkBAADsBQAA&#10;AAA=&#10;">
                        <v:fill on="t" focussize="0,0"/>
                        <v:stroke on="f" weight="0.5pt"/>
                        <v:imagedata o:title=""/>
                        <o:lock v:ext="edit" aspectratio="f"/>
                        <v:textbox>
                          <w:txbxContent>
                            <w:p w14:paraId="6BF75095">
                              <w:pPr>
                                <w:rPr>
                                  <w:rFonts w:hint="default" w:eastAsia="宋体"/>
                                  <w:lang w:val="en-US" w:eastAsia="zh-CN"/>
                                </w:rPr>
                              </w:pPr>
                              <w:r>
                                <w:rPr>
                                  <w:rFonts w:hint="eastAsia"/>
                                  <w:lang w:val="en-US" w:eastAsia="zh-CN"/>
                                </w:rPr>
                                <w:t>成 品</w:t>
                              </w:r>
                            </w:p>
                          </w:txbxContent>
                        </v:textbox>
                      </v:shape>
                      <v:shape id="直接箭头连接符 18" o:spid="_x0000_s1026" o:spt="32" type="#_x0000_t32" style="position:absolute;left:2118360;top:962025;flip:y;height:0;width:617855;" filled="f" stroked="t" coordsize="21600,21600" o:gfxdata="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i8w&#10;ldQAAAAFAQAADwAAAAAAAAABACAAAAAiAAAAZHJzL2Rvd25yZXYueG1sUEsBAhQAFAAAAAgAh07i&#10;QFjbcQImAgAACgQAAA4AAAAAAAAAAQAgAAAAIwEAAGRycy9lMm9Eb2MueG1sUEsFBgAAAAAGAAYA&#10;WQEAALsFAAAAAA==&#10;">
                        <v:fill on="f" focussize="0,0"/>
                        <v:stroke weight="1pt" color="#000000 [3213]" miterlimit="8" joinstyle="miter" endarrow="block"/>
                        <v:imagedata o:title=""/>
                        <o:lock v:ext="edit" aspectratio="f"/>
                      </v:shape>
                      <v:shape id="直接箭头连接符 19" o:spid="_x0000_s1026" o:spt="32" type="#_x0000_t32" style="position:absolute;left:3359785;top:975995;flip:y;height:0;width:447040;" filled="f" stroked="t" coordsize="21600,21600" o:gfxdata="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i8w&#10;ldQAAAAFAQAADwAAAAAAAAABACAAAAAiAAAAZHJzL2Rvd25yZXYueG1sUEsBAhQAFAAAAAgAh07i&#10;QCct//smAgAACgQAAA4AAAAAAAAAAQAgAAAAIwEAAGRycy9lMm9Eb2MueG1sUEsFBgAAAAAGAAYA&#10;WQEAALsFAAAAAA==&#10;">
                        <v:fill on="f" focussize="0,0"/>
                        <v:stroke weight="1pt" color="#000000 [3213]" miterlimit="8" joinstyle="miter" endarrow="block"/>
                        <v:imagedata o:title=""/>
                        <o:lock v:ext="edit" aspectratio="f"/>
                      </v:shape>
                      <v:shape id="直接箭头连接符 24" o:spid="_x0000_s1026" o:spt="32" type="#_x0000_t32" style="position:absolute;left:3055620;top:407670;flip:x y;height:412115;width:6350;" filled="f" stroked="t" coordsize="21600,21600" o:gfxdata="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k2XOm9YAAAAFAQAADwAAAAAAAAABACAAAAAiAAAAZHJzL2Rvd25yZXYueG1sUEsBAhQAFAAA&#10;AAgAh07iQNU/bMsqAgAAFgQAAA4AAAAAAAAAAQAgAAAAJQEAAGRycy9lMm9Eb2MueG1sUEsFBgAA&#10;AAAGAAYAWQEAAMEFAAAAAA==&#10;">
                        <v:fill on="f" focussize="0,0"/>
                        <v:stroke weight="1pt" color="#000000 [3213]" miterlimit="8" joinstyle="miter" dashstyle="dash" endarrow="block"/>
                        <v:imagedata o:title=""/>
                        <o:lock v:ext="edit" aspectratio="f"/>
                      </v:shape>
                      <v:shape id="文本框 25" o:spid="_x0000_s1026" o:spt="202" type="#_x0000_t202" style="position:absolute;left:2335530;top:87630;height:287655;width:1503680;" fillcolor="#FFFFFF [3201]" filled="t" stroked="f" coordsize="21600,21600" o:gfxdata="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JSM49HSAAAABQEA&#10;AA8AAAAAAAAAAQAgAAAAIgAAAGRycy9kb3ducmV2LnhtbFBLAQIUABQAAAAIAIdO4kAbl2D1WQIA&#10;AJsEAAAOAAAAAAAAAAEAIAAAACEBAABkcnMvZTJvRG9jLnhtbFBLBQYAAAAABgAGAFkBAADsBQAA&#10;AAA=&#10;">
                        <v:fill on="t" focussize="0,0"/>
                        <v:stroke on="f" weight="0.5pt"/>
                        <v:imagedata o:title=""/>
                        <o:lock v:ext="edit" aspectratio="f"/>
                        <v:textbox>
                          <w:txbxContent>
                            <w:p w14:paraId="2C4B697C">
                              <w:pPr>
                                <w:rPr>
                                  <w:rFonts w:hint="default" w:eastAsia="宋体"/>
                                  <w:lang w:val="en-US" w:eastAsia="zh-CN"/>
                                </w:rPr>
                              </w:pPr>
                              <w:r>
                                <w:rPr>
                                  <w:rFonts w:hint="eastAsia"/>
                                  <w:lang w:val="en-US" w:eastAsia="zh-CN"/>
                                </w:rPr>
                                <w:t>噪声、粉尘、废砂轮</w:t>
                              </w:r>
                            </w:p>
                          </w:txbxContent>
                        </v:textbox>
                      </v:shape>
                      <w10:wrap type="none"/>
                      <w10:anchorlock/>
                    </v:group>
                  </w:pict>
                </mc:Fallback>
              </mc:AlternateContent>
            </w:r>
          </w:p>
          <w:p w14:paraId="511F735D">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color w:val="auto"/>
                <w:kern w:val="0"/>
                <w:sz w:val="24"/>
              </w:rPr>
            </w:pPr>
            <w:r>
              <w:rPr>
                <w:b/>
                <w:bCs/>
                <w:color w:val="auto"/>
                <w:szCs w:val="21"/>
              </w:rPr>
              <w:t>图</w:t>
            </w:r>
            <w:r>
              <w:rPr>
                <w:rFonts w:hint="eastAsia"/>
                <w:b/>
                <w:bCs/>
                <w:color w:val="auto"/>
                <w:szCs w:val="21"/>
              </w:rPr>
              <w:t>2-</w:t>
            </w:r>
            <w:r>
              <w:rPr>
                <w:b/>
                <w:bCs/>
                <w:color w:val="auto"/>
                <w:szCs w:val="21"/>
              </w:rPr>
              <w:t>3</w:t>
            </w:r>
            <w:r>
              <w:rPr>
                <w:rFonts w:hint="eastAsia"/>
                <w:b/>
                <w:bCs/>
                <w:color w:val="auto"/>
                <w:szCs w:val="21"/>
              </w:rPr>
              <w:t xml:space="preserve">   </w:t>
            </w:r>
            <w:r>
              <w:rPr>
                <w:b/>
                <w:bCs/>
                <w:color w:val="auto"/>
                <w:szCs w:val="21"/>
              </w:rPr>
              <w:t>工艺流程及产排污环节图</w:t>
            </w:r>
          </w:p>
          <w:p w14:paraId="4C3BB6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auto"/>
                <w:sz w:val="24"/>
                <w:lang w:val="en-US" w:eastAsia="zh-CN"/>
              </w:rPr>
            </w:pPr>
            <w:r>
              <w:rPr>
                <w:rFonts w:hint="eastAsia"/>
                <w:color w:val="auto"/>
                <w:sz w:val="24"/>
                <w:lang w:val="en-US" w:eastAsia="zh-CN"/>
              </w:rPr>
              <w:t>工艺流程简述：</w:t>
            </w:r>
          </w:p>
          <w:p w14:paraId="79A8AEB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auto"/>
                <w:sz w:val="24"/>
                <w:lang w:val="en-US" w:eastAsia="zh-CN"/>
              </w:rPr>
            </w:pPr>
            <w:r>
              <w:rPr>
                <w:rFonts w:hint="eastAsia"/>
                <w:color w:val="auto"/>
                <w:sz w:val="24"/>
                <w:lang w:val="en-US" w:eastAsia="zh-CN"/>
              </w:rPr>
              <w:t>外购的钛及钛合金板坯、钛棒运送至生产厂房原料区后，采用行车运送至厂房东侧打磨工位，人工操作打磨砂轮机进行表面打磨以去除钛材表面锈迹及不平整处后得到成品。此工序会产生打磨粉尘、废砂轮片、噪声。</w:t>
            </w:r>
          </w:p>
          <w:p w14:paraId="42DA40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auto"/>
                <w:sz w:val="24"/>
                <w:lang w:val="en-US" w:eastAsia="zh-CN"/>
              </w:rPr>
            </w:pPr>
            <w:r>
              <w:rPr>
                <w:rFonts w:hint="eastAsia"/>
                <w:color w:val="auto"/>
                <w:sz w:val="24"/>
                <w:lang w:val="en-US" w:eastAsia="zh-CN"/>
              </w:rPr>
              <w:t>（2）钛铸件</w:t>
            </w:r>
          </w:p>
          <w:p w14:paraId="6A181F6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auto"/>
                <w:sz w:val="24"/>
                <w:lang w:val="en-US" w:eastAsia="zh-CN"/>
              </w:rPr>
            </w:pPr>
            <w:r>
              <w:rPr>
                <w:rFonts w:hint="eastAsia"/>
                <w:color w:val="auto"/>
                <w:sz w:val="24"/>
                <w:lang w:val="en-US" w:eastAsia="zh-CN"/>
              </w:rPr>
              <w:t>本项目钛铸件工艺流程及产污环节如下图所示：</w:t>
            </w:r>
          </w:p>
          <w:p w14:paraId="2AC8074B">
            <w:pPr>
              <w:spacing w:line="240" w:lineRule="auto"/>
              <w:jc w:val="center"/>
              <w:rPr>
                <w:rFonts w:hint="eastAsia" w:eastAsia="宋体"/>
                <w:color w:val="auto"/>
                <w:lang w:eastAsia="zh-CN"/>
              </w:rPr>
            </w:pPr>
            <w:r>
              <w:rPr>
                <w:sz w:val="21"/>
              </w:rPr>
              <mc:AlternateContent>
                <mc:Choice Requires="wpc">
                  <w:drawing>
                    <wp:inline distT="0" distB="0" distL="114300" distR="114300">
                      <wp:extent cx="5315585" cy="1310640"/>
                      <wp:effectExtent l="0" t="0" r="3175" b="0"/>
                      <wp:docPr id="2" name="画布 2"/>
                      <wp:cNvGraphicFramePr/>
                      <a:graphic xmlns:a="http://schemas.openxmlformats.org/drawingml/2006/main">
                        <a:graphicData uri="http://schemas.microsoft.com/office/word/2010/wordprocessingCanvas">
                          <wpc:wpc>
                            <wpc:bg/>
                            <wpc:whole/>
                            <wps:wsp>
                              <wps:cNvPr id="3" name="文本框 3"/>
                              <wps:cNvSpPr txBox="1"/>
                              <wps:spPr>
                                <a:xfrm>
                                  <a:off x="401955" y="845185"/>
                                  <a:ext cx="63436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3CF190F">
                                    <w:pPr>
                                      <w:rPr>
                                        <w:rFonts w:hint="default" w:eastAsia="宋体"/>
                                        <w:lang w:val="en-US" w:eastAsia="zh-CN"/>
                                      </w:rPr>
                                    </w:pPr>
                                    <w:r>
                                      <w:rPr>
                                        <w:rFonts w:hint="eastAsia"/>
                                        <w:lang w:val="en-US" w:eastAsia="zh-CN"/>
                                      </w:rPr>
                                      <w:t>钛铸件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文本框 5"/>
                              <wps:cNvSpPr txBox="1"/>
                              <wps:spPr>
                                <a:xfrm>
                                  <a:off x="1483360" y="847725"/>
                                  <a:ext cx="592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149A8DD">
                                    <w:pPr>
                                      <w:rPr>
                                        <w:rFonts w:hint="default" w:eastAsia="宋体"/>
                                        <w:lang w:val="en-US" w:eastAsia="zh-CN"/>
                                      </w:rPr>
                                    </w:pPr>
                                    <w:r>
                                      <w:rPr>
                                        <w:rFonts w:hint="eastAsia"/>
                                        <w:lang w:val="en-US" w:eastAsia="zh-CN"/>
                                      </w:rPr>
                                      <w:t>振  壳</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文本框 6"/>
                              <wps:cNvSpPr txBox="1"/>
                              <wps:spPr>
                                <a:xfrm>
                                  <a:off x="2544445" y="847725"/>
                                  <a:ext cx="592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06FD018">
                                    <w:pPr>
                                      <w:rPr>
                                        <w:rFonts w:hint="default" w:eastAsia="宋体"/>
                                        <w:lang w:val="en-US" w:eastAsia="zh-CN"/>
                                      </w:rPr>
                                    </w:pPr>
                                    <w:r>
                                      <w:rPr>
                                        <w:rFonts w:hint="eastAsia"/>
                                        <w:lang w:val="en-US" w:eastAsia="zh-CN"/>
                                      </w:rPr>
                                      <w:t>喷  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文本框 13"/>
                              <wps:cNvSpPr txBox="1"/>
                              <wps:spPr>
                                <a:xfrm>
                                  <a:off x="3629660" y="856615"/>
                                  <a:ext cx="592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0BA58FA">
                                    <w:pPr>
                                      <w:rPr>
                                        <w:rFonts w:hint="default" w:eastAsia="宋体"/>
                                        <w:lang w:val="en-US" w:eastAsia="zh-CN"/>
                                      </w:rPr>
                                    </w:pPr>
                                    <w:r>
                                      <w:rPr>
                                        <w:rFonts w:hint="eastAsia"/>
                                        <w:lang w:val="en-US" w:eastAsia="zh-CN"/>
                                      </w:rPr>
                                      <w:t>打  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文本框 14"/>
                              <wps:cNvSpPr txBox="1"/>
                              <wps:spPr>
                                <a:xfrm>
                                  <a:off x="4697730" y="864235"/>
                                  <a:ext cx="56705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F8D19D5">
                                    <w:pPr>
                                      <w:rPr>
                                        <w:rFonts w:hint="default" w:eastAsia="宋体"/>
                                        <w:lang w:val="en-US" w:eastAsia="zh-CN"/>
                                      </w:rPr>
                                    </w:pPr>
                                    <w:r>
                                      <w:rPr>
                                        <w:rFonts w:hint="eastAsia"/>
                                        <w:lang w:val="en-US" w:eastAsia="zh-CN"/>
                                      </w:rPr>
                                      <w:t>成 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直接箭头连接符 15"/>
                              <wps:cNvCnPr>
                                <a:stCxn id="3" idx="3"/>
                                <a:endCxn id="5" idx="1"/>
                              </wps:cNvCnPr>
                              <wps:spPr>
                                <a:xfrm flipV="1">
                                  <a:off x="1036320" y="974725"/>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17" name="直接箭头连接符 17"/>
                              <wps:cNvCnPr/>
                              <wps:spPr>
                                <a:xfrm flipV="1">
                                  <a:off x="2084705" y="974725"/>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18" name="直接箭头连接符 18"/>
                              <wps:cNvCnPr/>
                              <wps:spPr>
                                <a:xfrm flipV="1">
                                  <a:off x="3151505" y="983615"/>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19" name="直接箭头连接符 19"/>
                              <wps:cNvCnPr/>
                              <wps:spPr>
                                <a:xfrm flipV="1">
                                  <a:off x="4226560" y="1000760"/>
                                  <a:ext cx="447040" cy="0"/>
                                </a:xfrm>
                                <a:prstGeom prst="straightConnector1">
                                  <a:avLst/>
                                </a:prstGeom>
                                <a:ln w="12700" cmpd="sng">
                                  <a:solidFill>
                                    <a:schemeClr val="tx1"/>
                                  </a:solidFill>
                                  <a:prstDash val="solid"/>
                                  <a:tailEnd type="triangle" w="med" len="med"/>
                                </a:ln>
                              </wps:spPr>
                              <wps:style>
                                <a:lnRef idx="2">
                                  <a:schemeClr val="accent1"/>
                                </a:lnRef>
                                <a:fillRef idx="0">
                                  <a:srgbClr val="FFFFFF"/>
                                </a:fillRef>
                                <a:effectRef idx="0">
                                  <a:srgbClr val="FFFFFF"/>
                                </a:effectRef>
                                <a:fontRef idx="minor">
                                  <a:schemeClr val="tx1"/>
                                </a:fontRef>
                              </wps:style>
                              <wps:bodyPr/>
                            </wps:wsp>
                            <wps:wsp>
                              <wps:cNvPr id="20" name="直接箭头连接符 20"/>
                              <wps:cNvCnPr/>
                              <wps:spPr>
                                <a:xfrm flipH="1" flipV="1">
                                  <a:off x="1772920" y="432435"/>
                                  <a:ext cx="6350" cy="412115"/>
                                </a:xfrm>
                                <a:prstGeom prst="straightConnector1">
                                  <a:avLst/>
                                </a:prstGeom>
                                <a:ln w="12700" cmpd="sng">
                                  <a:solidFill>
                                    <a:schemeClr val="tx1"/>
                                  </a:solidFill>
                                  <a:prstDash val="dash"/>
                                  <a:tailEnd type="triangle" w="med" len="med"/>
                                </a:ln>
                              </wps:spPr>
                              <wps:style>
                                <a:lnRef idx="2">
                                  <a:schemeClr val="accent1"/>
                                </a:lnRef>
                                <a:fillRef idx="0">
                                  <a:srgbClr val="FFFFFF"/>
                                </a:fillRef>
                                <a:effectRef idx="0">
                                  <a:srgbClr val="FFFFFF"/>
                                </a:effectRef>
                                <a:fontRef idx="minor">
                                  <a:schemeClr val="tx1"/>
                                </a:fontRef>
                              </wps:style>
                              <wps:bodyPr/>
                            </wps:wsp>
                            <wps:wsp>
                              <wps:cNvPr id="21" name="文本框 21"/>
                              <wps:cNvSpPr txBox="1"/>
                              <wps:spPr>
                                <a:xfrm>
                                  <a:off x="1196340" y="69850"/>
                                  <a:ext cx="1089660"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C0586F3">
                                    <w:pPr>
                                      <w:rPr>
                                        <w:rFonts w:hint="default" w:eastAsia="宋体"/>
                                        <w:lang w:val="en-US" w:eastAsia="zh-CN"/>
                                      </w:rPr>
                                    </w:pPr>
                                    <w:r>
                                      <w:rPr>
                                        <w:rFonts w:hint="eastAsia"/>
                                        <w:lang w:val="en-US" w:eastAsia="zh-CN"/>
                                      </w:rPr>
                                      <w:t>噪声、废陶瓷壳</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直接箭头连接符 22"/>
                              <wps:cNvCnPr/>
                              <wps:spPr>
                                <a:xfrm flipH="1" flipV="1">
                                  <a:off x="2847340" y="440690"/>
                                  <a:ext cx="6350" cy="412115"/>
                                </a:xfrm>
                                <a:prstGeom prst="straightConnector1">
                                  <a:avLst/>
                                </a:prstGeom>
                                <a:ln w="12700" cmpd="sng">
                                  <a:solidFill>
                                    <a:schemeClr val="tx1"/>
                                  </a:solidFill>
                                  <a:prstDash val="dash"/>
                                  <a:tailEnd type="triangle" w="med" len="med"/>
                                </a:ln>
                              </wps:spPr>
                              <wps:style>
                                <a:lnRef idx="2">
                                  <a:schemeClr val="accent1"/>
                                </a:lnRef>
                                <a:fillRef idx="0">
                                  <a:srgbClr val="FFFFFF"/>
                                </a:fillRef>
                                <a:effectRef idx="0">
                                  <a:srgbClr val="FFFFFF"/>
                                </a:effectRef>
                                <a:fontRef idx="minor">
                                  <a:schemeClr val="tx1"/>
                                </a:fontRef>
                              </wps:style>
                              <wps:bodyPr/>
                            </wps:wsp>
                            <wps:wsp>
                              <wps:cNvPr id="23" name="文本框 23"/>
                              <wps:cNvSpPr txBox="1"/>
                              <wps:spPr>
                                <a:xfrm>
                                  <a:off x="2432050" y="111760"/>
                                  <a:ext cx="89471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33060B4">
                                    <w:pPr>
                                      <w:rPr>
                                        <w:rFonts w:hint="default" w:eastAsia="宋体"/>
                                        <w:lang w:val="en-US" w:eastAsia="zh-CN"/>
                                      </w:rPr>
                                    </w:pPr>
                                    <w:r>
                                      <w:rPr>
                                        <w:rFonts w:hint="eastAsia"/>
                                        <w:lang w:val="en-US" w:eastAsia="zh-CN"/>
                                      </w:rPr>
                                      <w:t>噪声、粉尘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直接箭头连接符 24"/>
                              <wps:cNvCnPr/>
                              <wps:spPr>
                                <a:xfrm flipH="1" flipV="1">
                                  <a:off x="3922395" y="432435"/>
                                  <a:ext cx="6350" cy="412115"/>
                                </a:xfrm>
                                <a:prstGeom prst="straightConnector1">
                                  <a:avLst/>
                                </a:prstGeom>
                                <a:ln w="12700" cmpd="sng">
                                  <a:solidFill>
                                    <a:schemeClr val="tx1"/>
                                  </a:solidFill>
                                  <a:prstDash val="dash"/>
                                  <a:tailEnd type="triangle" w="med" len="med"/>
                                </a:ln>
                              </wps:spPr>
                              <wps:style>
                                <a:lnRef idx="2">
                                  <a:schemeClr val="accent1"/>
                                </a:lnRef>
                                <a:fillRef idx="0">
                                  <a:srgbClr val="FFFFFF"/>
                                </a:fillRef>
                                <a:effectRef idx="0">
                                  <a:srgbClr val="FFFFFF"/>
                                </a:effectRef>
                                <a:fontRef idx="minor">
                                  <a:schemeClr val="tx1"/>
                                </a:fontRef>
                              </wps:style>
                              <wps:bodyPr/>
                            </wps:wsp>
                            <wps:wsp>
                              <wps:cNvPr id="25" name="文本框 25"/>
                              <wps:cNvSpPr txBox="1"/>
                              <wps:spPr>
                                <a:xfrm>
                                  <a:off x="3430270" y="78740"/>
                                  <a:ext cx="1367155"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2FDD72B">
                                    <w:pPr>
                                      <w:rPr>
                                        <w:rFonts w:hint="default" w:eastAsia="宋体"/>
                                        <w:lang w:val="en-US" w:eastAsia="zh-CN"/>
                                      </w:rPr>
                                    </w:pPr>
                                    <w:r>
                                      <w:rPr>
                                        <w:rFonts w:hint="eastAsia"/>
                                        <w:lang w:val="en-US" w:eastAsia="zh-CN"/>
                                      </w:rPr>
                                      <w:t>噪声、粉尘、废砂轮</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103.2pt;width:418.55pt;" coordsize="5315585,1310640" editas="canvas" o:gfxdata="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">
                      <o:lock v:ext="edit" aspectratio="f"/>
                      <v:shape id="_x0000_s1026" o:spid="_x0000_s1026" style="position:absolute;left:0;top:0;height:1310640;width:5315585;" filled="f" stroked="f" coordsize="21600,21600" o:gfxdata="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">
                        <v:fill on="f" focussize="0,0"/>
                        <v:stroke on="f"/>
                        <v:imagedata o:title=""/>
                        <o:lock v:ext="edit" aspectratio="f"/>
                      </v:shape>
                      <v:shape id="_x0000_s1026" o:spid="_x0000_s1026" o:spt="202" type="#_x0000_t202" style="position:absolute;left:401955;top:845185;height:287655;width:634365;" fillcolor="#FFFFFF [3201]" filled="t" stroked="f" coordsize="21600,21600" o:gfxdata="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lIzj0dIAAAAFAQAA&#10;DwAAAAAAAAABACAAAAAiAAAAZHJzL2Rvd25yZXYueG1sUEsBAhQAFAAAAAgAh07iQCW82sJYAgAA&#10;mAQAAA4AAAAAAAAAAQAgAAAAIQEAAGRycy9lMm9Eb2MueG1sUEsFBgAAAAAGAAYAWQEAAOsFAAAA&#10;AA==&#10;">
                        <v:fill on="t" focussize="0,0"/>
                        <v:stroke on="f" weight="0.5pt"/>
                        <v:imagedata o:title=""/>
                        <o:lock v:ext="edit" aspectratio="f"/>
                        <v:textbox>
                          <w:txbxContent>
                            <w:p w14:paraId="33CF190F">
                              <w:pPr>
                                <w:rPr>
                                  <w:rFonts w:hint="default" w:eastAsia="宋体"/>
                                  <w:lang w:val="en-US" w:eastAsia="zh-CN"/>
                                </w:rPr>
                              </w:pPr>
                              <w:r>
                                <w:rPr>
                                  <w:rFonts w:hint="eastAsia"/>
                                  <w:lang w:val="en-US" w:eastAsia="zh-CN"/>
                                </w:rPr>
                                <w:t>钛铸件</w:t>
                              </w:r>
                            </w:p>
                          </w:txbxContent>
                        </v:textbox>
                      </v:shape>
                      <v:shape id="_x0000_s1026" o:spid="_x0000_s1026" o:spt="202" type="#_x0000_t202" style="position:absolute;left:1483360;top:847725;height:254000;width:592455;" fillcolor="#FFFFFF [3201]" filled="t" stroked="t" coordsize="21600,21600" o:gfxdata="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urKkC0wAAAAUBAAAPAAAAAAAAAAEAIAAAACIAAABkcnMvZG93bnJldi54bWxQSwECFAAUAAAA&#10;CACHTuJAQOSCUWUCAADBBAAADgAAAAAAAAABACAAAAAiAQAAZHJzL2Uyb0RvYy54bWxQSwUGAAAA&#10;AAYABgBZAQAA+QUAAAAA&#10;">
                        <v:fill on="t" focussize="0,0"/>
                        <v:stroke weight="0.5pt" color="#000000 [3204]" joinstyle="round"/>
                        <v:imagedata o:title=""/>
                        <o:lock v:ext="edit" aspectratio="f"/>
                        <v:textbox>
                          <w:txbxContent>
                            <w:p w14:paraId="1149A8DD">
                              <w:pPr>
                                <w:rPr>
                                  <w:rFonts w:hint="default" w:eastAsia="宋体"/>
                                  <w:lang w:val="en-US" w:eastAsia="zh-CN"/>
                                </w:rPr>
                              </w:pPr>
                              <w:r>
                                <w:rPr>
                                  <w:rFonts w:hint="eastAsia"/>
                                  <w:lang w:val="en-US" w:eastAsia="zh-CN"/>
                                </w:rPr>
                                <w:t>振  壳</w:t>
                              </w:r>
                            </w:p>
                          </w:txbxContent>
                        </v:textbox>
                      </v:shape>
                      <v:shape id="_x0000_s1026" o:spid="_x0000_s1026" o:spt="202" type="#_x0000_t202" style="position:absolute;left:2544445;top:847725;height:254000;width:592455;" fillcolor="#FFFFFF [3201]" filled="t" stroked="t" coordsize="21600,21600" o:gfxdata="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u&#10;rKkC0wAAAAUBAAAPAAAAAAAAAAEAIAAAACIAAABkcnMvZG93bnJldi54bWxQSwECFAAUAAAACACH&#10;TuJAxqWSmGICAADBBAAADgAAAAAAAAABACAAAAAiAQAAZHJzL2Uyb0RvYy54bWxQSwUGAAAAAAYA&#10;BgBZAQAA9gUAAAAA&#10;">
                        <v:fill on="t" focussize="0,0"/>
                        <v:stroke weight="0.5pt" color="#000000 [3204]" joinstyle="round"/>
                        <v:imagedata o:title=""/>
                        <o:lock v:ext="edit" aspectratio="f"/>
                        <v:textbox>
                          <w:txbxContent>
                            <w:p w14:paraId="006FD018">
                              <w:pPr>
                                <w:rPr>
                                  <w:rFonts w:hint="default" w:eastAsia="宋体"/>
                                  <w:lang w:val="en-US" w:eastAsia="zh-CN"/>
                                </w:rPr>
                              </w:pPr>
                              <w:r>
                                <w:rPr>
                                  <w:rFonts w:hint="eastAsia"/>
                                  <w:lang w:val="en-US" w:eastAsia="zh-CN"/>
                                </w:rPr>
                                <w:t>喷  砂</w:t>
                              </w:r>
                            </w:p>
                          </w:txbxContent>
                        </v:textbox>
                      </v:shape>
                      <v:shape id="_x0000_s1026" o:spid="_x0000_s1026" o:spt="202" type="#_x0000_t202" style="position:absolute;left:3629660;top:856615;height:254000;width:592455;" fillcolor="#FFFFFF [3201]" filled="t" stroked="t" coordsize="21600,21600" o:gfxdata="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urKkC0wAAAAUBAAAPAAAAAAAAAAEAIAAAACIAAABkcnMvZG93bnJldi54bWxQSwECFAAUAAAA&#10;CACHTuJAXf9yi2UCAADDBAAADgAAAAAAAAABACAAAAAiAQAAZHJzL2Uyb0RvYy54bWxQSwUGAAAA&#10;AAYABgBZAQAA+QUAAAAA&#10;">
                        <v:fill on="t" focussize="0,0"/>
                        <v:stroke weight="0.5pt" color="#000000 [3204]" joinstyle="round"/>
                        <v:imagedata o:title=""/>
                        <o:lock v:ext="edit" aspectratio="f"/>
                        <v:textbox>
                          <w:txbxContent>
                            <w:p w14:paraId="10BA58FA">
                              <w:pPr>
                                <w:rPr>
                                  <w:rFonts w:hint="default" w:eastAsia="宋体"/>
                                  <w:lang w:val="en-US" w:eastAsia="zh-CN"/>
                                </w:rPr>
                              </w:pPr>
                              <w:r>
                                <w:rPr>
                                  <w:rFonts w:hint="eastAsia"/>
                                  <w:lang w:val="en-US" w:eastAsia="zh-CN"/>
                                </w:rPr>
                                <w:t>打  磨</w:t>
                              </w:r>
                            </w:p>
                          </w:txbxContent>
                        </v:textbox>
                      </v:shape>
                      <v:shape id="_x0000_s1026" o:spid="_x0000_s1026" o:spt="202" type="#_x0000_t202" style="position:absolute;left:4697730;top:864235;height:287655;width:567055;" fillcolor="#FFFFFF [3201]" filled="t" stroked="f" coordsize="21600,21600" o:gfxdata="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Izj0dIAAAAF&#10;AQAADwAAAAAAAAABACAAAAAiAAAAZHJzL2Rvd25yZXYueG1sUEsBAhQAFAAAAAgAh07iQOMlTHhb&#10;AgAAmwQAAA4AAAAAAAAAAQAgAAAAIQEAAGRycy9lMm9Eb2MueG1sUEsFBgAAAAAGAAYAWQEAAO4F&#10;AAAAAA==&#10;">
                        <v:fill on="t" focussize="0,0"/>
                        <v:stroke on="f" weight="0.5pt"/>
                        <v:imagedata o:title=""/>
                        <o:lock v:ext="edit" aspectratio="f"/>
                        <v:textbox>
                          <w:txbxContent>
                            <w:p w14:paraId="0F8D19D5">
                              <w:pPr>
                                <w:rPr>
                                  <w:rFonts w:hint="default" w:eastAsia="宋体"/>
                                  <w:lang w:val="en-US" w:eastAsia="zh-CN"/>
                                </w:rPr>
                              </w:pPr>
                              <w:r>
                                <w:rPr>
                                  <w:rFonts w:hint="eastAsia"/>
                                  <w:lang w:val="en-US" w:eastAsia="zh-CN"/>
                                </w:rPr>
                                <w:t>成 品</w:t>
                              </w:r>
                            </w:p>
                          </w:txbxContent>
                        </v:textbox>
                      </v:shape>
                      <v:shape id="_x0000_s1026" o:spid="_x0000_s1026" o:spt="32" type="#_x0000_t32" style="position:absolute;left:1036320;top:974725;flip:y;height:0;width:447040;" filled="f" stroked="t" coordsize="21600,21600" o:gfxdata="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YvMJXUAAAABQEAAA8AAAAAAAAAAQAgAAAAIgAAAGRycy9k&#10;b3ducmV2LnhtbFBLAQIUABQAAAAIAIdO4kBl9b+iPwIAAEoEAAAOAAAAAAAAAAEAIAAAACMBAABk&#10;cnMvZTJvRG9jLnhtbFBLBQYAAAAABgAGAFkBAADUBQAAAAA=&#10;">
                        <v:fill on="f" focussize="0,0"/>
                        <v:stroke weight="1pt" color="#000000 [3213]" miterlimit="8" joinstyle="miter" endarrow="block"/>
                        <v:imagedata o:title=""/>
                        <o:lock v:ext="edit" aspectratio="f"/>
                      </v:shape>
                      <v:shape id="_x0000_s1026" o:spid="_x0000_s1026" o:spt="32" type="#_x0000_t32" style="position:absolute;left:2084705;top:974725;flip:y;height:0;width:447040;" filled="f" stroked="t" coordsize="21600,21600" o:gfxdata="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Vi8wldQA&#10;AAAFAQAADwAAAAAAAAABACAAAAAiAAAAZHJzL2Rvd25yZXYueG1sUEsBAhQAFAAAAAgAh07iQGNg&#10;bLEjAgAACgQAAA4AAAAAAAAAAQAgAAAAIwEAAGRycy9lMm9Eb2MueG1sUEsFBgAAAAAGAAYAWQEA&#10;ALgFAAAAAA==&#10;">
                        <v:fill on="f" focussize="0,0"/>
                        <v:stroke weight="1pt" color="#000000 [3213]" miterlimit="8" joinstyle="miter" endarrow="block"/>
                        <v:imagedata o:title=""/>
                        <o:lock v:ext="edit" aspectratio="f"/>
                      </v:shape>
                      <v:shape id="_x0000_s1026" o:spid="_x0000_s1026" o:spt="32" type="#_x0000_t32" style="position:absolute;left:3151505;top:983615;flip:y;height:0;width:447040;" filled="f" stroked="t" coordsize="21600,21600" o:gfxdata="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WLzCV&#10;1AAAAAUBAAAPAAAAAAAAAAEAIAAAACIAAABkcnMvZG93bnJldi54bWxQSwECFAAUAAAACACHTuJA&#10;P/d43iUCAAAKBAAADgAAAAAAAAABACAAAAAjAQAAZHJzL2Uyb0RvYy54bWxQSwUGAAAAAAYABgBZ&#10;AQAAugUAAAAA&#10;">
                        <v:fill on="f" focussize="0,0"/>
                        <v:stroke weight="1pt" color="#000000 [3213]" miterlimit="8" joinstyle="miter" endarrow="block"/>
                        <v:imagedata o:title=""/>
                        <o:lock v:ext="edit" aspectratio="f"/>
                      </v:shape>
                      <v:shape id="_x0000_s1026" o:spid="_x0000_s1026" o:spt="32" type="#_x0000_t32" style="position:absolute;left:4226560;top:1000760;flip:y;height:0;width:447040;" filled="f" stroked="t" coordsize="21600,21600" o:gfxdata="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Vi8wldQAAAAF&#10;AQAADwAAAAAAAAABACAAAAAiAAAAZHJzL2Rvd25yZXYueG1sUEsBAhQAFAAAAAgAh07iQJD7W0sg&#10;AgAACwQAAA4AAAAAAAAAAQAgAAAAIwEAAGRycy9lMm9Eb2MueG1sUEsFBgAAAAAGAAYAWQEAALUF&#10;AAAAAA==&#10;">
                        <v:fill on="f" focussize="0,0"/>
                        <v:stroke weight="1pt" color="#000000 [3213]" miterlimit="8" joinstyle="miter" endarrow="block"/>
                        <v:imagedata o:title=""/>
                        <o:lock v:ext="edit" aspectratio="f"/>
                      </v:shape>
                      <v:shape id="_x0000_s1026" o:spid="_x0000_s1026" o:spt="32" type="#_x0000_t32" style="position:absolute;left:1772920;top:432435;flip:x y;height:412115;width:6350;" filled="f" stroked="t" coordsize="21600,21600" o:gfxdata="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NlzpvWAAAABQEAAA8AAAAAAAAAAQAgAAAAIgAAAGRycy9kb3ducmV2LnhtbFBLAQIUABQAAAAI&#10;AIdO4kC6hrsHKAIAABYEAAAOAAAAAAAAAAEAIAAAACUBAABkcnMvZTJvRG9jLnhtbFBLBQYAAAAA&#10;BgAGAFkBAAC/BQAAAAA=&#10;">
                        <v:fill on="f" focussize="0,0"/>
                        <v:stroke weight="1pt" color="#000000 [3213]" miterlimit="8" joinstyle="miter" dashstyle="dash" endarrow="block"/>
                        <v:imagedata o:title=""/>
                        <o:lock v:ext="edit" aspectratio="f"/>
                      </v:shape>
                      <v:shape id="_x0000_s1026" o:spid="_x0000_s1026" o:spt="202" type="#_x0000_t202" style="position:absolute;left:1196340;top:69850;height:287655;width:1089660;" fillcolor="#FFFFFF [3201]" filled="t" stroked="f" coordsize="21600,21600" o:gfxdata="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UjOPR0gAAAAUBAAAP&#10;AAAAAAAAAAEAIAAAACIAAABkcnMvZG93bnJldi54bWxQSwECFAAUAAAACACHTuJA3dj251cCAACb&#10;BAAADgAAAAAAAAABACAAAAAhAQAAZHJzL2Uyb0RvYy54bWxQSwUGAAAAAAYABgBZAQAA6gUAAAAA&#10;">
                        <v:fill on="t" focussize="0,0"/>
                        <v:stroke on="f" weight="0.5pt"/>
                        <v:imagedata o:title=""/>
                        <o:lock v:ext="edit" aspectratio="f"/>
                        <v:textbox>
                          <w:txbxContent>
                            <w:p w14:paraId="0C0586F3">
                              <w:pPr>
                                <w:rPr>
                                  <w:rFonts w:hint="default" w:eastAsia="宋体"/>
                                  <w:lang w:val="en-US" w:eastAsia="zh-CN"/>
                                </w:rPr>
                              </w:pPr>
                              <w:r>
                                <w:rPr>
                                  <w:rFonts w:hint="eastAsia"/>
                                  <w:lang w:val="en-US" w:eastAsia="zh-CN"/>
                                </w:rPr>
                                <w:t>噪声、废陶瓷壳</w:t>
                              </w:r>
                            </w:p>
                          </w:txbxContent>
                        </v:textbox>
                      </v:shape>
                      <v:shape id="_x0000_s1026" o:spid="_x0000_s1026" o:spt="32" type="#_x0000_t32" style="position:absolute;left:2847340;top:440690;flip:x y;height:412115;width:6350;" filled="f" stroked="t" coordsize="21600,21600" o:gfxdata="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NlzpvWAAAABQEAAA8AAAAAAAAAAQAgAAAAIgAAAGRycy9kb3ducmV2LnhtbFBLAQIUABQA&#10;AAAIAIdO4kAYuKgQKwIAABYEAAAOAAAAAAAAAAEAIAAAACUBAABkcnMvZTJvRG9jLnhtbFBLBQYA&#10;AAAABgAGAFkBAADCBQAAAAA=&#10;">
                        <v:fill on="f" focussize="0,0"/>
                        <v:stroke weight="1pt" color="#000000 [3213]" miterlimit="8" joinstyle="miter" dashstyle="dash" endarrow="block"/>
                        <v:imagedata o:title=""/>
                        <o:lock v:ext="edit" aspectratio="f"/>
                      </v:shape>
                      <v:shape id="_x0000_s1026" o:spid="_x0000_s1026" o:spt="202" type="#_x0000_t202" style="position:absolute;left:2432050;top:111760;height:287655;width:894715;" fillcolor="#FFFFFF [3201]" filled="t" stroked="f" coordsize="21600,21600" o:gfxdata="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UjOPR0gAAAAUB&#10;AAAPAAAAAAAAAAEAIAAAACIAAABkcnMvZG93bnJldi54bWxQSwECFAAUAAAACACHTuJAFsnAzVoC&#10;AACbBAAADgAAAAAAAAABACAAAAAhAQAAZHJzL2Uyb0RvYy54bWxQSwUGAAAAAAYABgBZAQAA7QUA&#10;AAAA&#10;">
                        <v:fill on="t" focussize="0,0"/>
                        <v:stroke on="f" weight="0.5pt"/>
                        <v:imagedata o:title=""/>
                        <o:lock v:ext="edit" aspectratio="f"/>
                        <v:textbox>
                          <w:txbxContent>
                            <w:p w14:paraId="233060B4">
                              <w:pPr>
                                <w:rPr>
                                  <w:rFonts w:hint="default" w:eastAsia="宋体"/>
                                  <w:lang w:val="en-US" w:eastAsia="zh-CN"/>
                                </w:rPr>
                              </w:pPr>
                              <w:r>
                                <w:rPr>
                                  <w:rFonts w:hint="eastAsia"/>
                                  <w:lang w:val="en-US" w:eastAsia="zh-CN"/>
                                </w:rPr>
                                <w:t>噪声、粉尘</w:t>
                              </w:r>
                            </w:p>
                          </w:txbxContent>
                        </v:textbox>
                      </v:shape>
                      <v:shape id="_x0000_s1026" o:spid="_x0000_s1026" o:spt="32" type="#_x0000_t32" style="position:absolute;left:3922395;top:432435;flip:x y;height:412115;width:6350;" filled="f" stroked="t" coordsize="21600,21600" o:gfxdata="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TZc6b1gAAAAUBAAAPAAAAAAAAAAEAIAAAACIAAABkcnMvZG93bnJldi54bWxQSwECFAAU&#10;AAAACACHTuJApiZThCwCAAAWBAAADgAAAAAAAAABACAAAAAlAQAAZHJzL2Uyb0RvYy54bWxQSwUG&#10;AAAAAAYABgBZAQAAwwUAAAAA&#10;">
                        <v:fill on="f" focussize="0,0"/>
                        <v:stroke weight="1pt" color="#000000 [3213]" miterlimit="8" joinstyle="miter" dashstyle="dash" endarrow="block"/>
                        <v:imagedata o:title=""/>
                        <o:lock v:ext="edit" aspectratio="f"/>
                      </v:shape>
                      <v:shape id="_x0000_s1026" o:spid="_x0000_s1026" o:spt="202" type="#_x0000_t202" style="position:absolute;left:3430270;top:78740;height:287655;width:1367155;" fillcolor="#FFFFFF [3201]" filled="t" stroked="f" coordsize="21600,21600" o:gfxdata="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JSM49HSAAAABQEA&#10;AA8AAAAAAAAAAQAgAAAAIgAAAGRycy9kb3ducmV2LnhtbFBLAQIUABQAAAAIAIdO4kDf72rbWQIA&#10;AJsEAAAOAAAAAAAAAAEAIAAAACEBAABkcnMvZTJvRG9jLnhtbFBLBQYAAAAABgAGAFkBAADsBQAA&#10;AAA=&#10;">
                        <v:fill on="t" focussize="0,0"/>
                        <v:stroke on="f" weight="0.5pt"/>
                        <v:imagedata o:title=""/>
                        <o:lock v:ext="edit" aspectratio="f"/>
                        <v:textbox>
                          <w:txbxContent>
                            <w:p w14:paraId="22FDD72B">
                              <w:pPr>
                                <w:rPr>
                                  <w:rFonts w:hint="default" w:eastAsia="宋体"/>
                                  <w:lang w:val="en-US" w:eastAsia="zh-CN"/>
                                </w:rPr>
                              </w:pPr>
                              <w:r>
                                <w:rPr>
                                  <w:rFonts w:hint="eastAsia"/>
                                  <w:lang w:val="en-US" w:eastAsia="zh-CN"/>
                                </w:rPr>
                                <w:t>噪声、粉尘、废砂轮</w:t>
                              </w:r>
                            </w:p>
                          </w:txbxContent>
                        </v:textbox>
                      </v:shape>
                      <w10:wrap type="none"/>
                      <w10:anchorlock/>
                    </v:group>
                  </w:pict>
                </mc:Fallback>
              </mc:AlternateContent>
            </w:r>
          </w:p>
          <w:p w14:paraId="6A2CD463">
            <w:pPr>
              <w:adjustRightInd w:val="0"/>
              <w:spacing w:line="240" w:lineRule="auto"/>
              <w:jc w:val="center"/>
              <w:rPr>
                <w:b/>
                <w:bCs/>
                <w:color w:val="auto"/>
                <w:szCs w:val="21"/>
              </w:rPr>
            </w:pPr>
            <w:r>
              <w:rPr>
                <w:b/>
                <w:bCs/>
                <w:color w:val="auto"/>
                <w:szCs w:val="21"/>
              </w:rPr>
              <w:t>图</w:t>
            </w:r>
            <w:r>
              <w:rPr>
                <w:rFonts w:hint="eastAsia"/>
                <w:b/>
                <w:bCs/>
                <w:color w:val="auto"/>
                <w:szCs w:val="21"/>
              </w:rPr>
              <w:t>2-</w:t>
            </w:r>
            <w:r>
              <w:rPr>
                <w:rFonts w:hint="eastAsia"/>
                <w:b/>
                <w:bCs/>
                <w:color w:val="auto"/>
                <w:szCs w:val="21"/>
                <w:lang w:val="en-US" w:eastAsia="zh-CN"/>
              </w:rPr>
              <w:t>4</w:t>
            </w:r>
            <w:r>
              <w:rPr>
                <w:rFonts w:hint="eastAsia"/>
                <w:b/>
                <w:bCs/>
                <w:color w:val="auto"/>
                <w:szCs w:val="21"/>
              </w:rPr>
              <w:t xml:space="preserve">   </w:t>
            </w:r>
            <w:r>
              <w:rPr>
                <w:b/>
                <w:bCs/>
                <w:color w:val="auto"/>
                <w:szCs w:val="21"/>
              </w:rPr>
              <w:t>工艺流程及产排污环节图</w:t>
            </w:r>
          </w:p>
          <w:p w14:paraId="03CA8234">
            <w:pPr>
              <w:adjustRightInd w:val="0"/>
              <w:spacing w:line="360" w:lineRule="auto"/>
              <w:ind w:firstLine="480" w:firstLineChars="200"/>
              <w:jc w:val="both"/>
              <w:rPr>
                <w:color w:val="auto"/>
                <w:kern w:val="0"/>
                <w:sz w:val="24"/>
                <w:szCs w:val="22"/>
              </w:rPr>
            </w:pPr>
            <w:r>
              <w:rPr>
                <w:color w:val="auto"/>
                <w:kern w:val="0"/>
                <w:sz w:val="24"/>
                <w:szCs w:val="22"/>
              </w:rPr>
              <w:t>工艺流程简述：</w:t>
            </w:r>
          </w:p>
          <w:p w14:paraId="6DFD1992">
            <w:pPr>
              <w:adjustRightInd w:val="0"/>
              <w:spacing w:line="360" w:lineRule="auto"/>
              <w:ind w:firstLine="480" w:firstLineChars="200"/>
              <w:jc w:val="both"/>
              <w:rPr>
                <w:rFonts w:hint="default"/>
                <w:color w:val="auto"/>
                <w:kern w:val="0"/>
                <w:sz w:val="24"/>
                <w:szCs w:val="22"/>
                <w:lang w:val="en-US" w:eastAsia="zh-CN"/>
              </w:rPr>
            </w:pPr>
            <w:r>
              <w:rPr>
                <w:rFonts w:hint="eastAsia"/>
                <w:color w:val="auto"/>
                <w:kern w:val="0"/>
                <w:sz w:val="24"/>
                <w:szCs w:val="22"/>
                <w:lang w:val="en-US" w:eastAsia="zh-CN"/>
              </w:rPr>
              <w:t>振壳：</w:t>
            </w:r>
            <w:r>
              <w:rPr>
                <w:rFonts w:hint="eastAsia"/>
                <w:color w:val="auto"/>
                <w:sz w:val="24"/>
                <w:lang w:val="en-US" w:eastAsia="zh-CN"/>
              </w:rPr>
              <w:t>外购的</w:t>
            </w:r>
            <w:r>
              <w:rPr>
                <w:rFonts w:hint="eastAsia"/>
                <w:color w:val="auto"/>
                <w:kern w:val="0"/>
                <w:sz w:val="24"/>
                <w:szCs w:val="22"/>
                <w:lang w:val="en-US" w:eastAsia="zh-CN"/>
              </w:rPr>
              <w:t>钛铸件外部包裹有一层陶瓷型壳，需人工放入振壳机通过高速振动震碎表面的陶瓷型壳。振壳机振动力度小，震碎陶瓷为大块，基本无粉尘产生，此工序产生的污染物主要为废陶瓷壳、噪声。</w:t>
            </w:r>
          </w:p>
          <w:p w14:paraId="38DD95B2">
            <w:pPr>
              <w:adjustRightInd w:val="0"/>
              <w:spacing w:line="360" w:lineRule="auto"/>
              <w:ind w:firstLine="480" w:firstLineChars="200"/>
              <w:jc w:val="both"/>
              <w:rPr>
                <w:rFonts w:hint="default"/>
                <w:color w:val="auto"/>
                <w:sz w:val="24"/>
                <w:lang w:val="en-US" w:eastAsia="zh-CN"/>
              </w:rPr>
            </w:pPr>
            <w:r>
              <w:rPr>
                <w:rFonts w:hint="eastAsia"/>
                <w:color w:val="auto"/>
                <w:kern w:val="0"/>
                <w:sz w:val="24"/>
                <w:szCs w:val="22"/>
                <w:lang w:val="en-US" w:eastAsia="zh-CN"/>
              </w:rPr>
              <w:t>喷砂：振壳后的钛棒放入喷砂机</w:t>
            </w:r>
            <w:r>
              <w:rPr>
                <w:rFonts w:hint="eastAsia"/>
                <w:color w:val="auto"/>
                <w:sz w:val="24"/>
                <w:lang w:val="en-US" w:eastAsia="zh-CN"/>
              </w:rPr>
              <w:t>内进行表面处理，去除铸件表面的微小毛刺并使铸件表面平整。此工序产生的污染物主要为喷砂粉尘、噪声。</w:t>
            </w:r>
          </w:p>
          <w:p w14:paraId="60DC7F3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color w:val="auto"/>
                <w:sz w:val="24"/>
              </w:rPr>
            </w:pPr>
            <w:r>
              <w:rPr>
                <w:rFonts w:hint="eastAsia"/>
                <w:color w:val="auto"/>
                <w:sz w:val="24"/>
                <w:lang w:val="en-US" w:eastAsia="zh-CN"/>
              </w:rPr>
              <w:t>打磨：喷砂后的钛铸件采用行车运送至东侧打磨工位，人工操作打磨砂轮机进行表面打磨以</w:t>
            </w:r>
            <w:r>
              <w:rPr>
                <w:rFonts w:hint="eastAsia"/>
                <w:b w:val="0"/>
                <w:bCs w:val="0"/>
                <w:color w:val="auto"/>
                <w:sz w:val="24"/>
                <w:lang w:val="en-US" w:eastAsia="zh-CN"/>
              </w:rPr>
              <w:t>去除钛材表面锈迹及不平整处后得到成品</w:t>
            </w:r>
            <w:r>
              <w:rPr>
                <w:rFonts w:hint="eastAsia"/>
                <w:color w:val="auto"/>
                <w:sz w:val="24"/>
                <w:lang w:val="en-US" w:eastAsia="zh-CN"/>
              </w:rPr>
              <w:t>。此工序产生的污染物主要为打磨粉尘、废砂轮、噪声。</w:t>
            </w:r>
          </w:p>
          <w:p w14:paraId="20CECE58">
            <w:pPr>
              <w:adjustRightInd w:val="0"/>
              <w:spacing w:line="360" w:lineRule="auto"/>
              <w:ind w:firstLine="480" w:firstLineChars="200"/>
              <w:jc w:val="both"/>
              <w:rPr>
                <w:rFonts w:hint="eastAsia"/>
                <w:color w:val="auto"/>
                <w:sz w:val="24"/>
                <w:lang w:val="en-US" w:eastAsia="zh-CN"/>
              </w:rPr>
            </w:pPr>
            <w:r>
              <w:rPr>
                <w:rFonts w:hint="eastAsia"/>
                <w:color w:val="auto"/>
                <w:sz w:val="24"/>
                <w:lang w:val="en-US" w:eastAsia="zh-CN"/>
              </w:rPr>
              <w:t>此外，项目运营期还会产生除尘灰和废沉渣，机械维修保养产生的废油类、废油桶、含油手套抹布，职工生活产生的生活污水及生活垃圾。</w:t>
            </w:r>
          </w:p>
          <w:p w14:paraId="3B2933FB">
            <w:pPr>
              <w:keepNext w:val="0"/>
              <w:keepLines w:val="0"/>
              <w:pageBreakBefore w:val="0"/>
              <w:widowControl w:val="0"/>
              <w:kinsoku/>
              <w:wordWrap/>
              <w:overflowPunct/>
              <w:topLinePunct w:val="0"/>
              <w:autoSpaceDE/>
              <w:autoSpaceDN/>
              <w:bidi w:val="0"/>
              <w:snapToGrid w:val="0"/>
              <w:ind w:firstLine="422" w:firstLineChars="200"/>
              <w:jc w:val="center"/>
              <w:textAlignment w:val="auto"/>
              <w:rPr>
                <w:b/>
                <w:color w:val="auto"/>
                <w:szCs w:val="21"/>
                <w:lang w:val="zh-CN"/>
              </w:rPr>
            </w:pPr>
            <w:r>
              <w:rPr>
                <w:rFonts w:hint="eastAsia"/>
                <w:b/>
                <w:color w:val="auto"/>
                <w:szCs w:val="21"/>
                <w:lang w:val="zh-CN"/>
              </w:rPr>
              <w:t>表</w:t>
            </w:r>
            <w:r>
              <w:rPr>
                <w:b/>
                <w:color w:val="auto"/>
                <w:szCs w:val="21"/>
              </w:rPr>
              <w:t>2-</w:t>
            </w:r>
            <w:r>
              <w:rPr>
                <w:rFonts w:hint="eastAsia"/>
                <w:b/>
                <w:color w:val="auto"/>
                <w:szCs w:val="21"/>
                <w:lang w:val="en-US" w:eastAsia="zh-CN"/>
              </w:rPr>
              <w:t>6</w:t>
            </w:r>
            <w:r>
              <w:rPr>
                <w:b/>
                <w:color w:val="auto"/>
                <w:szCs w:val="21"/>
              </w:rPr>
              <w:t xml:space="preserve"> </w:t>
            </w:r>
            <w:r>
              <w:rPr>
                <w:b/>
                <w:color w:val="auto"/>
                <w:szCs w:val="21"/>
                <w:lang w:val="zh-CN"/>
              </w:rPr>
              <w:t xml:space="preserve"> </w:t>
            </w:r>
            <w:r>
              <w:rPr>
                <w:rFonts w:hint="eastAsia"/>
                <w:b/>
                <w:color w:val="auto"/>
                <w:szCs w:val="21"/>
                <w:lang w:val="zh-CN"/>
              </w:rPr>
              <w:t>项目产污环节汇总一览表</w:t>
            </w:r>
          </w:p>
          <w:tbl>
            <w:tblPr>
              <w:tblStyle w:val="24"/>
              <w:tblW w:w="4995"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79"/>
              <w:gridCol w:w="1605"/>
              <w:gridCol w:w="1999"/>
              <w:gridCol w:w="2655"/>
              <w:gridCol w:w="1326"/>
            </w:tblGrid>
            <w:tr w14:paraId="35CB5B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tcMar>
                    <w:left w:w="28" w:type="dxa"/>
                    <w:right w:w="28" w:type="dxa"/>
                  </w:tcMar>
                  <w:vAlign w:val="center"/>
                </w:tcPr>
                <w:p w14:paraId="55F0F2AA">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b/>
                      <w:color w:val="auto"/>
                      <w:szCs w:val="21"/>
                    </w:rPr>
                  </w:pPr>
                  <w:r>
                    <w:rPr>
                      <w:rFonts w:hint="eastAsia"/>
                      <w:b/>
                      <w:color w:val="auto"/>
                      <w:szCs w:val="21"/>
                    </w:rPr>
                    <w:t>类别</w:t>
                  </w:r>
                </w:p>
              </w:tc>
              <w:tc>
                <w:tcPr>
                  <w:tcW w:w="959" w:type="pct"/>
                  <w:shd w:val="clear" w:color="auto" w:fill="auto"/>
                  <w:tcMar>
                    <w:left w:w="28" w:type="dxa"/>
                    <w:right w:w="28" w:type="dxa"/>
                  </w:tcMar>
                  <w:vAlign w:val="center"/>
                </w:tcPr>
                <w:p w14:paraId="103E6956">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b/>
                      <w:color w:val="auto"/>
                      <w:kern w:val="2"/>
                      <w:sz w:val="21"/>
                      <w:szCs w:val="21"/>
                      <w:lang w:val="en-US" w:eastAsia="zh-CN" w:bidi="ar-SA"/>
                    </w:rPr>
                  </w:pPr>
                  <w:r>
                    <w:rPr>
                      <w:rFonts w:hint="eastAsia"/>
                      <w:b/>
                      <w:color w:val="auto"/>
                      <w:szCs w:val="21"/>
                    </w:rPr>
                    <w:t>产生工序</w:t>
                  </w:r>
                </w:p>
              </w:tc>
              <w:tc>
                <w:tcPr>
                  <w:tcW w:w="1195" w:type="pct"/>
                  <w:shd w:val="clear" w:color="auto" w:fill="auto"/>
                  <w:tcMar>
                    <w:left w:w="28" w:type="dxa"/>
                    <w:right w:w="28" w:type="dxa"/>
                  </w:tcMar>
                  <w:vAlign w:val="center"/>
                </w:tcPr>
                <w:p w14:paraId="23414B72">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b/>
                      <w:color w:val="auto"/>
                      <w:kern w:val="2"/>
                      <w:sz w:val="21"/>
                      <w:szCs w:val="21"/>
                      <w:lang w:val="en-US" w:eastAsia="zh-CN" w:bidi="ar-SA"/>
                    </w:rPr>
                  </w:pPr>
                  <w:r>
                    <w:rPr>
                      <w:rFonts w:hint="eastAsia"/>
                      <w:b/>
                      <w:color w:val="auto"/>
                      <w:szCs w:val="21"/>
                    </w:rPr>
                    <w:t>主要</w:t>
                  </w:r>
                  <w:r>
                    <w:rPr>
                      <w:b/>
                      <w:color w:val="auto"/>
                      <w:szCs w:val="21"/>
                    </w:rPr>
                    <w:t>污染因子</w:t>
                  </w:r>
                </w:p>
              </w:tc>
              <w:tc>
                <w:tcPr>
                  <w:tcW w:w="1587" w:type="pct"/>
                  <w:tcMar>
                    <w:left w:w="28" w:type="dxa"/>
                    <w:right w:w="28" w:type="dxa"/>
                  </w:tcMar>
                  <w:vAlign w:val="center"/>
                </w:tcPr>
                <w:p w14:paraId="56D48302">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eastAsia="宋体"/>
                      <w:b/>
                      <w:color w:val="auto"/>
                      <w:szCs w:val="21"/>
                      <w:lang w:eastAsia="zh-CN"/>
                    </w:rPr>
                  </w:pPr>
                  <w:r>
                    <w:rPr>
                      <w:rFonts w:hint="eastAsia"/>
                      <w:b/>
                      <w:color w:val="auto"/>
                      <w:szCs w:val="21"/>
                      <w:lang w:val="en-US" w:eastAsia="zh-CN"/>
                    </w:rPr>
                    <w:t>治理措施</w:t>
                  </w:r>
                </w:p>
              </w:tc>
              <w:tc>
                <w:tcPr>
                  <w:tcW w:w="792" w:type="pct"/>
                  <w:tcMar>
                    <w:left w:w="28" w:type="dxa"/>
                    <w:right w:w="28" w:type="dxa"/>
                  </w:tcMar>
                  <w:vAlign w:val="center"/>
                </w:tcPr>
                <w:p w14:paraId="19DC7F5F">
                  <w:pPr>
                    <w:keepNext w:val="0"/>
                    <w:keepLines w:val="0"/>
                    <w:pageBreakBefore w:val="0"/>
                    <w:widowControl w:val="0"/>
                    <w:tabs>
                      <w:tab w:val="left" w:pos="945"/>
                    </w:tabs>
                    <w:kinsoku/>
                    <w:wordWrap/>
                    <w:overflowPunct/>
                    <w:topLinePunct w:val="0"/>
                    <w:autoSpaceDE/>
                    <w:autoSpaceDN/>
                    <w:bidi w:val="0"/>
                    <w:snapToGrid w:val="0"/>
                    <w:jc w:val="center"/>
                    <w:textAlignment w:val="auto"/>
                    <w:rPr>
                      <w:b/>
                      <w:color w:val="auto"/>
                      <w:szCs w:val="21"/>
                    </w:rPr>
                  </w:pPr>
                  <w:r>
                    <w:rPr>
                      <w:rFonts w:hint="eastAsia"/>
                      <w:b/>
                      <w:color w:val="auto"/>
                      <w:szCs w:val="21"/>
                      <w:lang w:val="en-US" w:eastAsia="zh-CN"/>
                    </w:rPr>
                    <w:t>排放</w:t>
                  </w:r>
                  <w:r>
                    <w:rPr>
                      <w:rFonts w:hint="eastAsia"/>
                      <w:b/>
                      <w:color w:val="auto"/>
                      <w:szCs w:val="21"/>
                    </w:rPr>
                    <w:t>特征</w:t>
                  </w:r>
                </w:p>
              </w:tc>
            </w:tr>
            <w:tr w14:paraId="6086F1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restart"/>
                  <w:tcMar>
                    <w:left w:w="28" w:type="dxa"/>
                    <w:right w:w="28" w:type="dxa"/>
                  </w:tcMar>
                  <w:vAlign w:val="center"/>
                </w:tcPr>
                <w:p w14:paraId="0B1926FC">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r>
                    <w:rPr>
                      <w:color w:val="auto"/>
                      <w:szCs w:val="21"/>
                    </w:rPr>
                    <w:t>废气</w:t>
                  </w:r>
                </w:p>
              </w:tc>
              <w:tc>
                <w:tcPr>
                  <w:tcW w:w="959" w:type="pct"/>
                  <w:shd w:val="clear" w:color="auto" w:fill="auto"/>
                  <w:tcMar>
                    <w:left w:w="28" w:type="dxa"/>
                    <w:right w:w="28" w:type="dxa"/>
                  </w:tcMar>
                  <w:vAlign w:val="center"/>
                </w:tcPr>
                <w:p w14:paraId="05D006CF">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喷砂</w:t>
                  </w:r>
                </w:p>
              </w:tc>
              <w:tc>
                <w:tcPr>
                  <w:tcW w:w="1195" w:type="pct"/>
                  <w:shd w:val="clear" w:color="auto" w:fill="auto"/>
                  <w:tcMar>
                    <w:left w:w="28" w:type="dxa"/>
                    <w:right w:w="28" w:type="dxa"/>
                  </w:tcMar>
                  <w:vAlign w:val="center"/>
                </w:tcPr>
                <w:p w14:paraId="450E1F65">
                  <w:pPr>
                    <w:keepNext w:val="0"/>
                    <w:keepLines w:val="0"/>
                    <w:pageBreakBefore w:val="0"/>
                    <w:widowControl w:val="0"/>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颗粒物</w:t>
                  </w:r>
                </w:p>
              </w:tc>
              <w:tc>
                <w:tcPr>
                  <w:tcW w:w="1587" w:type="pct"/>
                  <w:tcMar>
                    <w:left w:w="28" w:type="dxa"/>
                    <w:right w:w="28" w:type="dxa"/>
                  </w:tcMar>
                  <w:vAlign w:val="center"/>
                </w:tcPr>
                <w:p w14:paraId="0491EB2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袋式除尘器</w:t>
                  </w:r>
                </w:p>
              </w:tc>
              <w:tc>
                <w:tcPr>
                  <w:tcW w:w="792" w:type="pct"/>
                  <w:shd w:val="clear" w:color="auto" w:fill="auto"/>
                  <w:tcMar>
                    <w:left w:w="28" w:type="dxa"/>
                    <w:right w:w="28" w:type="dxa"/>
                  </w:tcMar>
                  <w:vAlign w:val="center"/>
                </w:tcPr>
                <w:p w14:paraId="1B323A66">
                  <w:pPr>
                    <w:keepNext w:val="0"/>
                    <w:keepLines w:val="0"/>
                    <w:pageBreakBefore w:val="0"/>
                    <w:widowControl w:val="0"/>
                    <w:tabs>
                      <w:tab w:val="left" w:pos="945"/>
                    </w:tabs>
                    <w:kinsoku/>
                    <w:wordWrap/>
                    <w:overflowPunct/>
                    <w:topLinePunct w:val="0"/>
                    <w:autoSpaceDE/>
                    <w:autoSpaceDN/>
                    <w:bidi w:val="0"/>
                    <w:snapToGrid w:val="0"/>
                    <w:jc w:val="center"/>
                    <w:textAlignment w:val="auto"/>
                    <w:rPr>
                      <w:rFonts w:ascii="Times New Roman" w:hAnsi="Times New Roman" w:eastAsia="宋体" w:cs="Times New Roman"/>
                      <w:color w:val="auto"/>
                      <w:kern w:val="2"/>
                      <w:sz w:val="21"/>
                      <w:szCs w:val="21"/>
                      <w:lang w:val="en-US" w:eastAsia="zh-CN" w:bidi="ar-SA"/>
                    </w:rPr>
                  </w:pPr>
                  <w:r>
                    <w:rPr>
                      <w:rFonts w:hint="eastAsia"/>
                      <w:color w:val="auto"/>
                      <w:szCs w:val="21"/>
                    </w:rPr>
                    <w:t>间断</w:t>
                  </w:r>
                </w:p>
              </w:tc>
            </w:tr>
            <w:tr w14:paraId="33D5CE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continue"/>
                  <w:tcMar>
                    <w:left w:w="28" w:type="dxa"/>
                    <w:right w:w="28" w:type="dxa"/>
                  </w:tcMar>
                  <w:vAlign w:val="center"/>
                </w:tcPr>
                <w:p w14:paraId="576BD085">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p>
              </w:tc>
              <w:tc>
                <w:tcPr>
                  <w:tcW w:w="959" w:type="pct"/>
                  <w:shd w:val="clear" w:color="auto" w:fill="auto"/>
                  <w:tcMar>
                    <w:left w:w="28" w:type="dxa"/>
                    <w:right w:w="28" w:type="dxa"/>
                  </w:tcMar>
                  <w:vAlign w:val="center"/>
                </w:tcPr>
                <w:p w14:paraId="087F90AA">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打磨</w:t>
                  </w:r>
                </w:p>
              </w:tc>
              <w:tc>
                <w:tcPr>
                  <w:tcW w:w="1195" w:type="pct"/>
                  <w:shd w:val="clear" w:color="auto" w:fill="auto"/>
                  <w:tcMar>
                    <w:left w:w="28" w:type="dxa"/>
                    <w:right w:w="28" w:type="dxa"/>
                  </w:tcMar>
                  <w:vAlign w:val="center"/>
                </w:tcPr>
                <w:p w14:paraId="165851E4">
                  <w:pPr>
                    <w:keepNext w:val="0"/>
                    <w:keepLines w:val="0"/>
                    <w:pageBreakBefore w:val="0"/>
                    <w:widowControl w:val="0"/>
                    <w:kinsoku/>
                    <w:wordWrap/>
                    <w:overflowPunct/>
                    <w:topLinePunct w:val="0"/>
                    <w:autoSpaceDE/>
                    <w:autoSpaceDN/>
                    <w:bidi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颗粒物</w:t>
                  </w:r>
                </w:p>
              </w:tc>
              <w:tc>
                <w:tcPr>
                  <w:tcW w:w="1587" w:type="pct"/>
                  <w:tcMar>
                    <w:left w:w="28" w:type="dxa"/>
                    <w:right w:w="28" w:type="dxa"/>
                  </w:tcMar>
                  <w:vAlign w:val="center"/>
                </w:tcPr>
                <w:p w14:paraId="075B64B7">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eastAsia="宋体"/>
                      <w:color w:val="auto"/>
                      <w:szCs w:val="21"/>
                      <w:lang w:val="en-US" w:eastAsia="zh-CN"/>
                    </w:rPr>
                  </w:pPr>
                  <w:r>
                    <w:rPr>
                      <w:rFonts w:hint="eastAsia"/>
                      <w:color w:val="auto"/>
                      <w:szCs w:val="21"/>
                      <w:lang w:val="en-US" w:eastAsia="zh-CN"/>
                    </w:rPr>
                    <w:t>喷淋塔</w:t>
                  </w:r>
                </w:p>
              </w:tc>
              <w:tc>
                <w:tcPr>
                  <w:tcW w:w="792" w:type="pct"/>
                  <w:shd w:val="clear" w:color="auto" w:fill="auto"/>
                  <w:tcMar>
                    <w:left w:w="28" w:type="dxa"/>
                    <w:right w:w="28" w:type="dxa"/>
                  </w:tcMar>
                  <w:vAlign w:val="center"/>
                </w:tcPr>
                <w:p w14:paraId="6BCD041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ascii="Times New Roman" w:hAnsi="Times New Roman" w:eastAsia="宋体" w:cs="Times New Roman"/>
                      <w:color w:val="auto"/>
                      <w:kern w:val="2"/>
                      <w:sz w:val="21"/>
                      <w:szCs w:val="21"/>
                      <w:lang w:val="en-US" w:eastAsia="zh-CN" w:bidi="ar-SA"/>
                    </w:rPr>
                  </w:pPr>
                  <w:r>
                    <w:rPr>
                      <w:rFonts w:hint="eastAsia"/>
                      <w:color w:val="auto"/>
                      <w:szCs w:val="21"/>
                    </w:rPr>
                    <w:t>间断</w:t>
                  </w:r>
                </w:p>
              </w:tc>
            </w:tr>
            <w:tr w14:paraId="752F3C9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tcMar>
                    <w:left w:w="28" w:type="dxa"/>
                    <w:right w:w="28" w:type="dxa"/>
                  </w:tcMar>
                  <w:vAlign w:val="center"/>
                </w:tcPr>
                <w:p w14:paraId="1A60F7AF">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r>
                    <w:rPr>
                      <w:color w:val="auto"/>
                      <w:szCs w:val="21"/>
                    </w:rPr>
                    <w:t>废水</w:t>
                  </w:r>
                </w:p>
              </w:tc>
              <w:tc>
                <w:tcPr>
                  <w:tcW w:w="959" w:type="pct"/>
                  <w:shd w:val="clear" w:color="auto" w:fill="auto"/>
                  <w:tcMar>
                    <w:left w:w="28" w:type="dxa"/>
                    <w:right w:w="28" w:type="dxa"/>
                  </w:tcMar>
                  <w:vAlign w:val="center"/>
                </w:tcPr>
                <w:p w14:paraId="47684D9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rPr>
                    <w:t>员工生活污水</w:t>
                  </w:r>
                </w:p>
              </w:tc>
              <w:tc>
                <w:tcPr>
                  <w:tcW w:w="1195" w:type="pct"/>
                  <w:shd w:val="clear" w:color="auto" w:fill="auto"/>
                  <w:tcMar>
                    <w:left w:w="28" w:type="dxa"/>
                    <w:right w:w="28" w:type="dxa"/>
                  </w:tcMar>
                  <w:vAlign w:val="center"/>
                </w:tcPr>
                <w:p w14:paraId="1B0C3872">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pH、</w:t>
                  </w:r>
                  <w:r>
                    <w:rPr>
                      <w:rFonts w:hint="eastAsia"/>
                      <w:color w:val="auto"/>
                      <w:szCs w:val="21"/>
                    </w:rPr>
                    <w:t>COD、BOD</w:t>
                  </w:r>
                  <w:r>
                    <w:rPr>
                      <w:rFonts w:hint="eastAsia"/>
                      <w:color w:val="auto"/>
                      <w:szCs w:val="21"/>
                      <w:vertAlign w:val="subscript"/>
                    </w:rPr>
                    <w:t>5</w:t>
                  </w:r>
                  <w:r>
                    <w:rPr>
                      <w:rFonts w:hint="eastAsia"/>
                      <w:color w:val="auto"/>
                      <w:szCs w:val="21"/>
                    </w:rPr>
                    <w:t>、SS、氨氮</w:t>
                  </w:r>
                  <w:r>
                    <w:rPr>
                      <w:rFonts w:hint="eastAsia"/>
                      <w:color w:val="auto"/>
                      <w:szCs w:val="21"/>
                      <w:lang w:eastAsia="zh-CN"/>
                    </w:rPr>
                    <w:t>、</w:t>
                  </w:r>
                  <w:r>
                    <w:rPr>
                      <w:rFonts w:hint="eastAsia"/>
                      <w:color w:val="auto"/>
                      <w:szCs w:val="21"/>
                      <w:lang w:val="en-US" w:eastAsia="zh-CN"/>
                    </w:rPr>
                    <w:t>TN、TP</w:t>
                  </w:r>
                  <w:r>
                    <w:rPr>
                      <w:rFonts w:hint="eastAsia"/>
                      <w:color w:val="auto"/>
                      <w:szCs w:val="21"/>
                    </w:rPr>
                    <w:t>等</w:t>
                  </w:r>
                </w:p>
              </w:tc>
              <w:tc>
                <w:tcPr>
                  <w:tcW w:w="1587" w:type="pct"/>
                  <w:tcMar>
                    <w:left w:w="28" w:type="dxa"/>
                    <w:right w:w="28" w:type="dxa"/>
                  </w:tcMar>
                  <w:vAlign w:val="center"/>
                </w:tcPr>
                <w:p w14:paraId="08027E73">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eastAsia="宋体"/>
                      <w:color w:val="auto"/>
                      <w:szCs w:val="21"/>
                      <w:lang w:val="en-US" w:eastAsia="zh-CN"/>
                    </w:rPr>
                  </w:pPr>
                  <w:r>
                    <w:rPr>
                      <w:rFonts w:hint="eastAsia"/>
                      <w:color w:val="auto"/>
                      <w:szCs w:val="21"/>
                      <w:lang w:val="en-US" w:eastAsia="zh-CN"/>
                    </w:rPr>
                    <w:t>化粪池（依托）</w:t>
                  </w:r>
                </w:p>
              </w:tc>
              <w:tc>
                <w:tcPr>
                  <w:tcW w:w="792" w:type="pct"/>
                  <w:shd w:val="clear" w:color="auto" w:fill="auto"/>
                  <w:tcMar>
                    <w:left w:w="28" w:type="dxa"/>
                    <w:right w:w="28" w:type="dxa"/>
                  </w:tcMar>
                  <w:vAlign w:val="center"/>
                </w:tcPr>
                <w:p w14:paraId="52B27FE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ascii="Times New Roman" w:hAnsi="Times New Roman" w:eastAsia="宋体" w:cs="Times New Roman"/>
                      <w:color w:val="auto"/>
                      <w:kern w:val="2"/>
                      <w:sz w:val="21"/>
                      <w:szCs w:val="21"/>
                      <w:lang w:val="en-US" w:eastAsia="zh-CN" w:bidi="ar-SA"/>
                    </w:rPr>
                  </w:pPr>
                  <w:r>
                    <w:rPr>
                      <w:rFonts w:hint="eastAsia"/>
                      <w:color w:val="auto"/>
                      <w:szCs w:val="21"/>
                    </w:rPr>
                    <w:t>间断</w:t>
                  </w:r>
                </w:p>
              </w:tc>
            </w:tr>
            <w:tr w14:paraId="02C1F9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tcMar>
                    <w:left w:w="28" w:type="dxa"/>
                    <w:right w:w="28" w:type="dxa"/>
                  </w:tcMar>
                  <w:vAlign w:val="center"/>
                </w:tcPr>
                <w:p w14:paraId="57C3D993">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r>
                    <w:rPr>
                      <w:color w:val="auto"/>
                      <w:szCs w:val="21"/>
                    </w:rPr>
                    <w:t>噪声</w:t>
                  </w:r>
                </w:p>
              </w:tc>
              <w:tc>
                <w:tcPr>
                  <w:tcW w:w="959" w:type="pct"/>
                  <w:shd w:val="clear" w:color="auto" w:fill="auto"/>
                  <w:tcMar>
                    <w:left w:w="28" w:type="dxa"/>
                    <w:right w:w="28" w:type="dxa"/>
                  </w:tcMar>
                  <w:vAlign w:val="center"/>
                </w:tcPr>
                <w:p w14:paraId="44468583">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color w:val="auto"/>
                      <w:szCs w:val="21"/>
                    </w:rPr>
                    <w:t>设备运行</w:t>
                  </w:r>
                </w:p>
              </w:tc>
              <w:tc>
                <w:tcPr>
                  <w:tcW w:w="1195" w:type="pct"/>
                  <w:shd w:val="clear" w:color="auto" w:fill="auto"/>
                  <w:tcMar>
                    <w:left w:w="28" w:type="dxa"/>
                    <w:right w:w="28" w:type="dxa"/>
                  </w:tcMar>
                  <w:vAlign w:val="center"/>
                </w:tcPr>
                <w:p w14:paraId="5070A283">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65</w:t>
                  </w:r>
                  <w:r>
                    <w:rPr>
                      <w:color w:val="auto"/>
                      <w:szCs w:val="21"/>
                    </w:rPr>
                    <w:t>~</w:t>
                  </w:r>
                  <w:r>
                    <w:rPr>
                      <w:rFonts w:hint="eastAsia"/>
                      <w:color w:val="auto"/>
                      <w:szCs w:val="21"/>
                      <w:lang w:val="en-US" w:eastAsia="zh-CN"/>
                    </w:rPr>
                    <w:t>93</w:t>
                  </w:r>
                  <w:r>
                    <w:rPr>
                      <w:color w:val="auto"/>
                      <w:szCs w:val="21"/>
                    </w:rPr>
                    <w:t>dB(A)</w:t>
                  </w:r>
                </w:p>
              </w:tc>
              <w:tc>
                <w:tcPr>
                  <w:tcW w:w="1587" w:type="pct"/>
                  <w:tcMar>
                    <w:left w:w="28" w:type="dxa"/>
                    <w:right w:w="28" w:type="dxa"/>
                  </w:tcMar>
                  <w:vAlign w:val="center"/>
                </w:tcPr>
                <w:p w14:paraId="62623006">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eastAsia="宋体"/>
                      <w:color w:val="auto"/>
                      <w:szCs w:val="21"/>
                      <w:lang w:val="en-US" w:eastAsia="zh-CN"/>
                    </w:rPr>
                  </w:pPr>
                  <w:r>
                    <w:rPr>
                      <w:rFonts w:hint="eastAsia"/>
                      <w:color w:val="auto"/>
                      <w:szCs w:val="21"/>
                      <w:lang w:val="en-US" w:eastAsia="zh-CN"/>
                    </w:rPr>
                    <w:t>隔声、减振等措施</w:t>
                  </w:r>
                </w:p>
              </w:tc>
              <w:tc>
                <w:tcPr>
                  <w:tcW w:w="792" w:type="pct"/>
                  <w:tcMar>
                    <w:left w:w="28" w:type="dxa"/>
                    <w:right w:w="28" w:type="dxa"/>
                  </w:tcMar>
                  <w:vAlign w:val="center"/>
                </w:tcPr>
                <w:p w14:paraId="1F3E2AD0">
                  <w:pPr>
                    <w:keepNext w:val="0"/>
                    <w:keepLines w:val="0"/>
                    <w:pageBreakBefore w:val="0"/>
                    <w:widowControl w:val="0"/>
                    <w:tabs>
                      <w:tab w:val="left" w:pos="945"/>
                    </w:tabs>
                    <w:kinsoku/>
                    <w:wordWrap/>
                    <w:overflowPunct/>
                    <w:topLinePunct w:val="0"/>
                    <w:autoSpaceDE/>
                    <w:autoSpaceDN/>
                    <w:bidi w:val="0"/>
                    <w:snapToGrid w:val="0"/>
                    <w:jc w:val="center"/>
                    <w:textAlignment w:val="auto"/>
                    <w:rPr>
                      <w:color w:val="auto"/>
                      <w:szCs w:val="21"/>
                    </w:rPr>
                  </w:pPr>
                  <w:r>
                    <w:rPr>
                      <w:rFonts w:hint="eastAsia"/>
                      <w:color w:val="auto"/>
                      <w:szCs w:val="21"/>
                    </w:rPr>
                    <w:t>连续</w:t>
                  </w:r>
                </w:p>
              </w:tc>
            </w:tr>
            <w:tr w14:paraId="14EB097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restart"/>
                  <w:tcMar>
                    <w:left w:w="28" w:type="dxa"/>
                    <w:right w:w="28" w:type="dxa"/>
                  </w:tcMar>
                  <w:vAlign w:val="center"/>
                </w:tcPr>
                <w:p w14:paraId="7E3DE0EA">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r>
                    <w:rPr>
                      <w:color w:val="auto"/>
                      <w:szCs w:val="21"/>
                    </w:rPr>
                    <w:t>固体</w:t>
                  </w:r>
                </w:p>
                <w:p w14:paraId="0EFF5E2D">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r>
                    <w:rPr>
                      <w:color w:val="auto"/>
                      <w:szCs w:val="21"/>
                    </w:rPr>
                    <w:t>废物</w:t>
                  </w:r>
                </w:p>
              </w:tc>
              <w:tc>
                <w:tcPr>
                  <w:tcW w:w="959" w:type="pct"/>
                  <w:shd w:val="clear" w:color="auto" w:fill="auto"/>
                  <w:tcMar>
                    <w:left w:w="28" w:type="dxa"/>
                    <w:right w:w="28" w:type="dxa"/>
                  </w:tcMar>
                  <w:vAlign w:val="center"/>
                </w:tcPr>
                <w:p w14:paraId="7D63F87C">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振壳</w:t>
                  </w:r>
                </w:p>
              </w:tc>
              <w:tc>
                <w:tcPr>
                  <w:tcW w:w="1195" w:type="pct"/>
                  <w:shd w:val="clear" w:color="auto" w:fill="auto"/>
                  <w:tcMar>
                    <w:left w:w="28" w:type="dxa"/>
                    <w:right w:w="28" w:type="dxa"/>
                  </w:tcMar>
                  <w:vAlign w:val="center"/>
                </w:tcPr>
                <w:p w14:paraId="7A2D69C3">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rPr>
                    <w:t>废</w:t>
                  </w:r>
                  <w:r>
                    <w:rPr>
                      <w:rFonts w:hint="eastAsia"/>
                      <w:color w:val="auto"/>
                      <w:szCs w:val="21"/>
                      <w:lang w:val="en-US" w:eastAsia="zh-CN"/>
                    </w:rPr>
                    <w:t>陶瓷壳</w:t>
                  </w:r>
                </w:p>
              </w:tc>
              <w:tc>
                <w:tcPr>
                  <w:tcW w:w="1587" w:type="pct"/>
                  <w:vMerge w:val="restart"/>
                  <w:tcMar>
                    <w:left w:w="28" w:type="dxa"/>
                    <w:right w:w="28" w:type="dxa"/>
                  </w:tcMar>
                  <w:vAlign w:val="center"/>
                </w:tcPr>
                <w:p w14:paraId="7F2DD97D">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eastAsia="宋体"/>
                      <w:color w:val="auto"/>
                      <w:szCs w:val="21"/>
                      <w:lang w:val="en-US" w:eastAsia="zh-CN"/>
                    </w:rPr>
                  </w:pPr>
                  <w:r>
                    <w:rPr>
                      <w:rFonts w:hint="eastAsia"/>
                      <w:color w:val="auto"/>
                      <w:szCs w:val="21"/>
                      <w:lang w:val="en-US" w:eastAsia="zh-CN"/>
                    </w:rPr>
                    <w:t>暂存于一般固废贮存区，定期外售</w:t>
                  </w:r>
                </w:p>
              </w:tc>
              <w:tc>
                <w:tcPr>
                  <w:tcW w:w="792" w:type="pct"/>
                  <w:shd w:val="clear" w:color="auto" w:fill="auto"/>
                  <w:tcMar>
                    <w:left w:w="28" w:type="dxa"/>
                    <w:right w:w="28" w:type="dxa"/>
                  </w:tcMar>
                  <w:vAlign w:val="center"/>
                </w:tcPr>
                <w:p w14:paraId="11F5AA20">
                  <w:pPr>
                    <w:keepNext w:val="0"/>
                    <w:keepLines w:val="0"/>
                    <w:pageBreakBefore w:val="0"/>
                    <w:widowControl w:val="0"/>
                    <w:kinsoku/>
                    <w:wordWrap/>
                    <w:overflowPunct/>
                    <w:topLinePunct w:val="0"/>
                    <w:autoSpaceDE/>
                    <w:autoSpaceDN/>
                    <w:bidi w:val="0"/>
                    <w:snapToGrid w:val="0"/>
                    <w:jc w:val="center"/>
                    <w:textAlignment w:val="auto"/>
                    <w:rPr>
                      <w:rFonts w:ascii="Times New Roman" w:hAnsi="Times New Roman" w:eastAsia="宋体" w:cs="Times New Roman"/>
                      <w:color w:val="auto"/>
                      <w:kern w:val="2"/>
                      <w:sz w:val="21"/>
                      <w:szCs w:val="21"/>
                      <w:lang w:val="en-US" w:eastAsia="zh-CN" w:bidi="ar-SA"/>
                    </w:rPr>
                  </w:pPr>
                  <w:r>
                    <w:rPr>
                      <w:rFonts w:hint="eastAsia"/>
                      <w:color w:val="auto"/>
                      <w:szCs w:val="21"/>
                      <w:lang w:val="en-US" w:eastAsia="zh-CN"/>
                    </w:rPr>
                    <w:t>间断</w:t>
                  </w:r>
                </w:p>
              </w:tc>
            </w:tr>
            <w:tr w14:paraId="1234DAC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continue"/>
                  <w:tcMar>
                    <w:left w:w="28" w:type="dxa"/>
                    <w:right w:w="28" w:type="dxa"/>
                  </w:tcMar>
                  <w:vAlign w:val="center"/>
                </w:tcPr>
                <w:p w14:paraId="023487FF">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p>
              </w:tc>
              <w:tc>
                <w:tcPr>
                  <w:tcW w:w="959" w:type="pct"/>
                  <w:shd w:val="clear" w:color="auto" w:fill="auto"/>
                  <w:tcMar>
                    <w:left w:w="28" w:type="dxa"/>
                    <w:right w:w="28" w:type="dxa"/>
                  </w:tcMar>
                  <w:vAlign w:val="center"/>
                </w:tcPr>
                <w:p w14:paraId="26C0177A">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color w:val="auto"/>
                      <w:szCs w:val="21"/>
                      <w:lang w:val="en-US" w:eastAsia="zh-CN"/>
                    </w:rPr>
                  </w:pPr>
                  <w:r>
                    <w:rPr>
                      <w:rFonts w:hint="eastAsia"/>
                      <w:color w:val="auto"/>
                      <w:szCs w:val="21"/>
                      <w:lang w:val="en-US" w:eastAsia="zh-CN"/>
                    </w:rPr>
                    <w:t>打磨</w:t>
                  </w:r>
                </w:p>
              </w:tc>
              <w:tc>
                <w:tcPr>
                  <w:tcW w:w="1195" w:type="pct"/>
                  <w:shd w:val="clear" w:color="auto" w:fill="auto"/>
                  <w:tcMar>
                    <w:left w:w="28" w:type="dxa"/>
                    <w:right w:w="28" w:type="dxa"/>
                  </w:tcMar>
                  <w:vAlign w:val="center"/>
                </w:tcPr>
                <w:p w14:paraId="5563F2C7">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color w:val="auto"/>
                      <w:szCs w:val="21"/>
                      <w:lang w:val="en-US"/>
                    </w:rPr>
                  </w:pPr>
                  <w:r>
                    <w:rPr>
                      <w:rFonts w:hint="eastAsia"/>
                      <w:color w:val="auto"/>
                      <w:szCs w:val="21"/>
                      <w:lang w:val="en-US" w:eastAsia="zh-CN"/>
                    </w:rPr>
                    <w:t>废砂轮</w:t>
                  </w:r>
                </w:p>
              </w:tc>
              <w:tc>
                <w:tcPr>
                  <w:tcW w:w="1587" w:type="pct"/>
                  <w:vMerge w:val="continue"/>
                  <w:tcMar>
                    <w:left w:w="28" w:type="dxa"/>
                    <w:right w:w="28" w:type="dxa"/>
                  </w:tcMar>
                  <w:vAlign w:val="center"/>
                </w:tcPr>
                <w:p w14:paraId="6F70464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color w:val="auto"/>
                      <w:szCs w:val="21"/>
                      <w:lang w:val="en-US" w:eastAsia="zh-CN"/>
                    </w:rPr>
                  </w:pPr>
                </w:p>
              </w:tc>
              <w:tc>
                <w:tcPr>
                  <w:tcW w:w="792" w:type="pct"/>
                  <w:shd w:val="clear" w:color="auto" w:fill="auto"/>
                  <w:tcMar>
                    <w:left w:w="28" w:type="dxa"/>
                    <w:right w:w="28" w:type="dxa"/>
                  </w:tcMar>
                  <w:vAlign w:val="center"/>
                </w:tcPr>
                <w:p w14:paraId="4C9574F4">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lang w:val="en-US" w:eastAsia="zh-CN"/>
                    </w:rPr>
                  </w:pPr>
                  <w:r>
                    <w:rPr>
                      <w:rFonts w:hint="eastAsia"/>
                      <w:color w:val="auto"/>
                      <w:szCs w:val="21"/>
                      <w:lang w:val="en-US" w:eastAsia="zh-CN"/>
                    </w:rPr>
                    <w:t>间断</w:t>
                  </w:r>
                </w:p>
              </w:tc>
            </w:tr>
            <w:tr w14:paraId="099DDA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continue"/>
                  <w:tcMar>
                    <w:left w:w="28" w:type="dxa"/>
                    <w:right w:w="28" w:type="dxa"/>
                  </w:tcMar>
                  <w:vAlign w:val="center"/>
                </w:tcPr>
                <w:p w14:paraId="091EBDFF">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p>
              </w:tc>
              <w:tc>
                <w:tcPr>
                  <w:tcW w:w="959" w:type="pct"/>
                  <w:shd w:val="clear" w:color="auto" w:fill="auto"/>
                  <w:tcMar>
                    <w:left w:w="28" w:type="dxa"/>
                    <w:right w:w="28" w:type="dxa"/>
                  </w:tcMar>
                  <w:vAlign w:val="center"/>
                </w:tcPr>
                <w:p w14:paraId="0422233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color w:val="auto"/>
                      <w:szCs w:val="21"/>
                      <w:lang w:val="en-US" w:eastAsia="zh-CN"/>
                    </w:rPr>
                  </w:pPr>
                  <w:r>
                    <w:rPr>
                      <w:rFonts w:hint="eastAsia"/>
                      <w:color w:val="auto"/>
                      <w:szCs w:val="21"/>
                      <w:lang w:val="en-US" w:eastAsia="zh-CN"/>
                    </w:rPr>
                    <w:t>喷淋塔</w:t>
                  </w:r>
                </w:p>
              </w:tc>
              <w:tc>
                <w:tcPr>
                  <w:tcW w:w="1195" w:type="pct"/>
                  <w:shd w:val="clear" w:color="auto" w:fill="auto"/>
                  <w:tcMar>
                    <w:left w:w="28" w:type="dxa"/>
                    <w:right w:w="28" w:type="dxa"/>
                  </w:tcMar>
                  <w:vAlign w:val="center"/>
                </w:tcPr>
                <w:p w14:paraId="47B4BF0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color w:val="auto"/>
                      <w:szCs w:val="21"/>
                      <w:lang w:val="en-US" w:eastAsia="zh-CN"/>
                    </w:rPr>
                  </w:pPr>
                  <w:r>
                    <w:rPr>
                      <w:rFonts w:hint="eastAsia"/>
                      <w:color w:val="auto"/>
                      <w:szCs w:val="21"/>
                      <w:lang w:val="en-US" w:eastAsia="zh-CN"/>
                    </w:rPr>
                    <w:t>废沉渣</w:t>
                  </w:r>
                </w:p>
              </w:tc>
              <w:tc>
                <w:tcPr>
                  <w:tcW w:w="1587" w:type="pct"/>
                  <w:vMerge w:val="continue"/>
                  <w:tcMar>
                    <w:left w:w="28" w:type="dxa"/>
                    <w:right w:w="28" w:type="dxa"/>
                  </w:tcMar>
                  <w:vAlign w:val="center"/>
                </w:tcPr>
                <w:p w14:paraId="6A5971DD">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color w:val="auto"/>
                      <w:szCs w:val="21"/>
                      <w:lang w:val="en-US" w:eastAsia="zh-CN"/>
                    </w:rPr>
                  </w:pPr>
                </w:p>
              </w:tc>
              <w:tc>
                <w:tcPr>
                  <w:tcW w:w="792" w:type="pct"/>
                  <w:shd w:val="clear" w:color="auto" w:fill="auto"/>
                  <w:tcMar>
                    <w:left w:w="28" w:type="dxa"/>
                    <w:right w:w="28" w:type="dxa"/>
                  </w:tcMar>
                  <w:vAlign w:val="center"/>
                </w:tcPr>
                <w:p w14:paraId="6EC24BB5">
                  <w:pPr>
                    <w:keepNext w:val="0"/>
                    <w:keepLines w:val="0"/>
                    <w:pageBreakBefore w:val="0"/>
                    <w:widowControl w:val="0"/>
                    <w:kinsoku/>
                    <w:wordWrap/>
                    <w:overflowPunct/>
                    <w:topLinePunct w:val="0"/>
                    <w:autoSpaceDE/>
                    <w:autoSpaceDN/>
                    <w:bidi w:val="0"/>
                    <w:snapToGrid w:val="0"/>
                    <w:jc w:val="center"/>
                    <w:textAlignment w:val="auto"/>
                    <w:rPr>
                      <w:rFonts w:hint="default"/>
                      <w:color w:val="auto"/>
                      <w:szCs w:val="21"/>
                      <w:lang w:val="en-US" w:eastAsia="zh-CN"/>
                    </w:rPr>
                  </w:pPr>
                  <w:r>
                    <w:rPr>
                      <w:rFonts w:hint="eastAsia"/>
                      <w:color w:val="auto"/>
                      <w:szCs w:val="21"/>
                      <w:lang w:val="en-US" w:eastAsia="zh-CN"/>
                    </w:rPr>
                    <w:t>间断</w:t>
                  </w:r>
                </w:p>
              </w:tc>
            </w:tr>
            <w:tr w14:paraId="70361F3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continue"/>
                  <w:tcMar>
                    <w:left w:w="28" w:type="dxa"/>
                    <w:right w:w="28" w:type="dxa"/>
                  </w:tcMar>
                  <w:vAlign w:val="center"/>
                </w:tcPr>
                <w:p w14:paraId="7AD3ACDB">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p>
              </w:tc>
              <w:tc>
                <w:tcPr>
                  <w:tcW w:w="959" w:type="pct"/>
                  <w:shd w:val="clear" w:color="auto" w:fill="auto"/>
                  <w:tcMar>
                    <w:left w:w="28" w:type="dxa"/>
                    <w:right w:w="28" w:type="dxa"/>
                  </w:tcMar>
                  <w:vAlign w:val="center"/>
                </w:tcPr>
                <w:p w14:paraId="0291FB62">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除尘器</w:t>
                  </w:r>
                </w:p>
              </w:tc>
              <w:tc>
                <w:tcPr>
                  <w:tcW w:w="1195" w:type="pct"/>
                  <w:shd w:val="clear" w:color="auto" w:fill="auto"/>
                  <w:tcMar>
                    <w:left w:w="28" w:type="dxa"/>
                    <w:right w:w="28" w:type="dxa"/>
                  </w:tcMar>
                  <w:vAlign w:val="center"/>
                </w:tcPr>
                <w:p w14:paraId="0BBC964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收尘</w:t>
                  </w:r>
                </w:p>
              </w:tc>
              <w:tc>
                <w:tcPr>
                  <w:tcW w:w="1587" w:type="pct"/>
                  <w:vMerge w:val="continue"/>
                  <w:tcMar>
                    <w:left w:w="28" w:type="dxa"/>
                    <w:right w:w="28" w:type="dxa"/>
                  </w:tcMar>
                  <w:vAlign w:val="center"/>
                </w:tcPr>
                <w:p w14:paraId="3CF5A880">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color w:val="auto"/>
                      <w:szCs w:val="21"/>
                      <w:lang w:val="en-US" w:eastAsia="zh-CN"/>
                    </w:rPr>
                  </w:pPr>
                </w:p>
              </w:tc>
              <w:tc>
                <w:tcPr>
                  <w:tcW w:w="792" w:type="pct"/>
                  <w:shd w:val="clear" w:color="auto" w:fill="auto"/>
                  <w:tcMar>
                    <w:left w:w="28" w:type="dxa"/>
                    <w:right w:w="28" w:type="dxa"/>
                  </w:tcMar>
                  <w:vAlign w:val="center"/>
                </w:tcPr>
                <w:p w14:paraId="28A11F94">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lang w:val="en-US" w:eastAsia="zh-CN"/>
                    </w:rPr>
                  </w:pPr>
                  <w:r>
                    <w:rPr>
                      <w:rFonts w:hint="eastAsia"/>
                      <w:color w:val="auto"/>
                      <w:szCs w:val="21"/>
                      <w:lang w:val="en-US" w:eastAsia="zh-CN"/>
                    </w:rPr>
                    <w:t>间断</w:t>
                  </w:r>
                </w:p>
              </w:tc>
            </w:tr>
            <w:tr w14:paraId="421FBFE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13" w:hRule="atLeast"/>
                <w:jc w:val="center"/>
              </w:trPr>
              <w:tc>
                <w:tcPr>
                  <w:tcW w:w="465" w:type="pct"/>
                  <w:vMerge w:val="continue"/>
                  <w:tcMar>
                    <w:left w:w="28" w:type="dxa"/>
                    <w:right w:w="28" w:type="dxa"/>
                  </w:tcMar>
                  <w:vAlign w:val="center"/>
                </w:tcPr>
                <w:p w14:paraId="7C051506">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p>
              </w:tc>
              <w:tc>
                <w:tcPr>
                  <w:tcW w:w="959" w:type="pct"/>
                  <w:shd w:val="clear" w:color="auto" w:fill="auto"/>
                  <w:tcMar>
                    <w:left w:w="28" w:type="dxa"/>
                    <w:right w:w="28" w:type="dxa"/>
                  </w:tcMar>
                  <w:vAlign w:val="center"/>
                </w:tcPr>
                <w:p w14:paraId="3428967B">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废油类</w:t>
                  </w:r>
                </w:p>
              </w:tc>
              <w:tc>
                <w:tcPr>
                  <w:tcW w:w="1195" w:type="pct"/>
                  <w:vMerge w:val="restart"/>
                  <w:shd w:val="clear" w:color="auto" w:fill="auto"/>
                  <w:tcMar>
                    <w:left w:w="28" w:type="dxa"/>
                    <w:right w:w="28" w:type="dxa"/>
                  </w:tcMar>
                  <w:vAlign w:val="center"/>
                </w:tcPr>
                <w:p w14:paraId="09012740">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设备维修保养</w:t>
                  </w:r>
                </w:p>
              </w:tc>
              <w:tc>
                <w:tcPr>
                  <w:tcW w:w="1587" w:type="pct"/>
                  <w:vMerge w:val="restart"/>
                  <w:tcMar>
                    <w:left w:w="28" w:type="dxa"/>
                    <w:right w:w="28" w:type="dxa"/>
                  </w:tcMar>
                  <w:vAlign w:val="center"/>
                </w:tcPr>
                <w:p w14:paraId="47CE0ED9">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color w:val="auto"/>
                      <w:szCs w:val="21"/>
                      <w:lang w:val="en-US" w:eastAsia="zh-CN"/>
                    </w:rPr>
                  </w:pPr>
                  <w:r>
                    <w:rPr>
                      <w:rFonts w:hint="eastAsia"/>
                      <w:color w:val="auto"/>
                      <w:szCs w:val="21"/>
                      <w:lang w:val="en-US" w:eastAsia="zh-CN"/>
                    </w:rPr>
                    <w:t>暂存于危废贮存库，定期交有资质单位处置</w:t>
                  </w:r>
                </w:p>
              </w:tc>
              <w:tc>
                <w:tcPr>
                  <w:tcW w:w="792" w:type="pct"/>
                  <w:shd w:val="clear" w:color="auto" w:fill="auto"/>
                  <w:tcMar>
                    <w:left w:w="28" w:type="dxa"/>
                    <w:right w:w="28" w:type="dxa"/>
                  </w:tcMar>
                  <w:vAlign w:val="center"/>
                </w:tcPr>
                <w:p w14:paraId="4A093A62">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lang w:val="en-US" w:eastAsia="zh-CN"/>
                    </w:rPr>
                  </w:pPr>
                  <w:r>
                    <w:rPr>
                      <w:rFonts w:hint="eastAsia"/>
                      <w:color w:val="auto"/>
                      <w:szCs w:val="21"/>
                      <w:lang w:val="en-US" w:eastAsia="zh-CN"/>
                    </w:rPr>
                    <w:t>间断</w:t>
                  </w:r>
                </w:p>
              </w:tc>
            </w:tr>
            <w:tr w14:paraId="752FC9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continue"/>
                  <w:tcMar>
                    <w:left w:w="28" w:type="dxa"/>
                    <w:right w:w="28" w:type="dxa"/>
                  </w:tcMar>
                  <w:vAlign w:val="center"/>
                </w:tcPr>
                <w:p w14:paraId="375C389C">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p>
              </w:tc>
              <w:tc>
                <w:tcPr>
                  <w:tcW w:w="959" w:type="pct"/>
                  <w:shd w:val="clear" w:color="auto" w:fill="auto"/>
                  <w:tcMar>
                    <w:left w:w="28" w:type="dxa"/>
                    <w:right w:w="28" w:type="dxa"/>
                  </w:tcMar>
                  <w:vAlign w:val="center"/>
                </w:tcPr>
                <w:p w14:paraId="4B8CA845">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废油桶</w:t>
                  </w:r>
                </w:p>
              </w:tc>
              <w:tc>
                <w:tcPr>
                  <w:tcW w:w="1195" w:type="pct"/>
                  <w:vMerge w:val="continue"/>
                  <w:shd w:val="clear" w:color="auto" w:fill="auto"/>
                  <w:tcMar>
                    <w:left w:w="28" w:type="dxa"/>
                    <w:right w:w="28" w:type="dxa"/>
                  </w:tcMar>
                  <w:vAlign w:val="center"/>
                </w:tcPr>
                <w:p w14:paraId="17EE5A3C">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cs="Times New Roman"/>
                      <w:color w:val="auto"/>
                      <w:kern w:val="2"/>
                      <w:sz w:val="21"/>
                      <w:szCs w:val="21"/>
                      <w:lang w:val="en-US" w:eastAsia="zh-CN" w:bidi="ar-SA"/>
                    </w:rPr>
                  </w:pPr>
                </w:p>
              </w:tc>
              <w:tc>
                <w:tcPr>
                  <w:tcW w:w="1587" w:type="pct"/>
                  <w:vMerge w:val="continue"/>
                  <w:tcMar>
                    <w:left w:w="28" w:type="dxa"/>
                    <w:right w:w="28" w:type="dxa"/>
                  </w:tcMar>
                  <w:vAlign w:val="center"/>
                </w:tcPr>
                <w:p w14:paraId="55BD233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color w:val="auto"/>
                      <w:szCs w:val="21"/>
                      <w:lang w:val="en-US" w:eastAsia="zh-CN"/>
                    </w:rPr>
                  </w:pPr>
                </w:p>
              </w:tc>
              <w:tc>
                <w:tcPr>
                  <w:tcW w:w="792" w:type="pct"/>
                  <w:shd w:val="clear" w:color="auto" w:fill="auto"/>
                  <w:tcMar>
                    <w:left w:w="28" w:type="dxa"/>
                    <w:right w:w="28" w:type="dxa"/>
                  </w:tcMar>
                  <w:vAlign w:val="center"/>
                </w:tcPr>
                <w:p w14:paraId="0024B728">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lang w:val="en-US" w:eastAsia="zh-CN"/>
                    </w:rPr>
                  </w:pPr>
                  <w:r>
                    <w:rPr>
                      <w:rFonts w:hint="eastAsia"/>
                      <w:color w:val="auto"/>
                      <w:szCs w:val="21"/>
                      <w:lang w:val="en-US" w:eastAsia="zh-CN"/>
                    </w:rPr>
                    <w:t>间断</w:t>
                  </w:r>
                </w:p>
              </w:tc>
            </w:tr>
            <w:tr w14:paraId="2B280A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continue"/>
                  <w:tcMar>
                    <w:left w:w="28" w:type="dxa"/>
                    <w:right w:w="28" w:type="dxa"/>
                  </w:tcMar>
                  <w:vAlign w:val="center"/>
                </w:tcPr>
                <w:p w14:paraId="42360125">
                  <w:pPr>
                    <w:keepNext w:val="0"/>
                    <w:keepLines w:val="0"/>
                    <w:pageBreakBefore w:val="0"/>
                    <w:widowControl w:val="0"/>
                    <w:tabs>
                      <w:tab w:val="left" w:pos="945"/>
                    </w:tabs>
                    <w:kinsoku/>
                    <w:wordWrap/>
                    <w:overflowPunct/>
                    <w:topLinePunct w:val="0"/>
                    <w:autoSpaceDE/>
                    <w:autoSpaceDN/>
                    <w:bidi w:val="0"/>
                    <w:snapToGrid w:val="0"/>
                    <w:spacing w:line="320" w:lineRule="exact"/>
                    <w:jc w:val="center"/>
                    <w:textAlignment w:val="auto"/>
                    <w:rPr>
                      <w:color w:val="auto"/>
                      <w:szCs w:val="21"/>
                    </w:rPr>
                  </w:pPr>
                </w:p>
              </w:tc>
              <w:tc>
                <w:tcPr>
                  <w:tcW w:w="959" w:type="pct"/>
                  <w:shd w:val="clear" w:color="auto" w:fill="auto"/>
                  <w:tcMar>
                    <w:left w:w="28" w:type="dxa"/>
                    <w:right w:w="28" w:type="dxa"/>
                  </w:tcMar>
                  <w:vAlign w:val="center"/>
                </w:tcPr>
                <w:p w14:paraId="3A15D948">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废含油手套抹布</w:t>
                  </w:r>
                </w:p>
              </w:tc>
              <w:tc>
                <w:tcPr>
                  <w:tcW w:w="1195" w:type="pct"/>
                  <w:vMerge w:val="continue"/>
                  <w:shd w:val="clear" w:color="auto" w:fill="auto"/>
                  <w:tcMar>
                    <w:left w:w="28" w:type="dxa"/>
                    <w:right w:w="28" w:type="dxa"/>
                  </w:tcMar>
                  <w:vAlign w:val="center"/>
                </w:tcPr>
                <w:p w14:paraId="57804FD5">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cs="Times New Roman"/>
                      <w:color w:val="auto"/>
                      <w:kern w:val="2"/>
                      <w:sz w:val="21"/>
                      <w:szCs w:val="21"/>
                      <w:lang w:val="en-US" w:eastAsia="zh-CN" w:bidi="ar-SA"/>
                    </w:rPr>
                  </w:pPr>
                </w:p>
              </w:tc>
              <w:tc>
                <w:tcPr>
                  <w:tcW w:w="1587" w:type="pct"/>
                  <w:vMerge w:val="continue"/>
                  <w:tcMar>
                    <w:left w:w="28" w:type="dxa"/>
                    <w:right w:w="28" w:type="dxa"/>
                  </w:tcMar>
                  <w:vAlign w:val="center"/>
                </w:tcPr>
                <w:p w14:paraId="3313D30F">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color w:val="auto"/>
                      <w:szCs w:val="21"/>
                      <w:lang w:val="en-US" w:eastAsia="zh-CN"/>
                    </w:rPr>
                  </w:pPr>
                </w:p>
              </w:tc>
              <w:tc>
                <w:tcPr>
                  <w:tcW w:w="792" w:type="pct"/>
                  <w:shd w:val="clear" w:color="auto" w:fill="auto"/>
                  <w:tcMar>
                    <w:left w:w="28" w:type="dxa"/>
                    <w:right w:w="28" w:type="dxa"/>
                  </w:tcMar>
                  <w:vAlign w:val="center"/>
                </w:tcPr>
                <w:p w14:paraId="3787136E">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lang w:val="en-US" w:eastAsia="zh-CN"/>
                    </w:rPr>
                  </w:pPr>
                  <w:r>
                    <w:rPr>
                      <w:rFonts w:hint="eastAsia"/>
                      <w:color w:val="auto"/>
                      <w:szCs w:val="21"/>
                      <w:lang w:val="en-US" w:eastAsia="zh-CN"/>
                    </w:rPr>
                    <w:t>间断</w:t>
                  </w:r>
                </w:p>
              </w:tc>
            </w:tr>
            <w:tr w14:paraId="7B8545A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 w:hRule="atLeast"/>
                <w:jc w:val="center"/>
              </w:trPr>
              <w:tc>
                <w:tcPr>
                  <w:tcW w:w="465" w:type="pct"/>
                  <w:vMerge w:val="continue"/>
                  <w:tcMar>
                    <w:left w:w="28" w:type="dxa"/>
                    <w:right w:w="28" w:type="dxa"/>
                  </w:tcMar>
                  <w:vAlign w:val="center"/>
                </w:tcPr>
                <w:p w14:paraId="79ABE7F2">
                  <w:pPr>
                    <w:keepNext w:val="0"/>
                    <w:keepLines w:val="0"/>
                    <w:pageBreakBefore w:val="0"/>
                    <w:widowControl w:val="0"/>
                    <w:kinsoku/>
                    <w:wordWrap/>
                    <w:overflowPunct/>
                    <w:topLinePunct w:val="0"/>
                    <w:autoSpaceDE/>
                    <w:autoSpaceDN/>
                    <w:bidi w:val="0"/>
                    <w:snapToGrid w:val="0"/>
                    <w:spacing w:line="320" w:lineRule="exact"/>
                    <w:ind w:firstLine="420" w:firstLineChars="200"/>
                    <w:jc w:val="center"/>
                    <w:textAlignment w:val="auto"/>
                    <w:rPr>
                      <w:color w:val="auto"/>
                      <w:szCs w:val="21"/>
                    </w:rPr>
                  </w:pPr>
                </w:p>
              </w:tc>
              <w:tc>
                <w:tcPr>
                  <w:tcW w:w="959" w:type="pct"/>
                  <w:shd w:val="clear" w:color="auto" w:fill="auto"/>
                  <w:tcMar>
                    <w:left w:w="28" w:type="dxa"/>
                    <w:right w:w="28" w:type="dxa"/>
                  </w:tcMar>
                  <w:vAlign w:val="center"/>
                </w:tcPr>
                <w:p w14:paraId="411ADBD6">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color w:val="auto"/>
                      <w:szCs w:val="21"/>
                    </w:rPr>
                    <w:t>工作人员</w:t>
                  </w:r>
                </w:p>
              </w:tc>
              <w:tc>
                <w:tcPr>
                  <w:tcW w:w="1195" w:type="pct"/>
                  <w:shd w:val="clear" w:color="auto" w:fill="auto"/>
                  <w:tcMar>
                    <w:left w:w="28" w:type="dxa"/>
                    <w:right w:w="28" w:type="dxa"/>
                  </w:tcMar>
                  <w:vAlign w:val="center"/>
                </w:tcPr>
                <w:p w14:paraId="431DFA44">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color w:val="auto"/>
                      <w:szCs w:val="21"/>
                    </w:rPr>
                    <w:t>生活垃圾</w:t>
                  </w:r>
                </w:p>
              </w:tc>
              <w:tc>
                <w:tcPr>
                  <w:tcW w:w="1587" w:type="pct"/>
                  <w:shd w:val="clear" w:color="auto" w:fill="auto"/>
                  <w:tcMar>
                    <w:left w:w="28" w:type="dxa"/>
                    <w:right w:w="28" w:type="dxa"/>
                  </w:tcMar>
                  <w:vAlign w:val="center"/>
                </w:tcPr>
                <w:p w14:paraId="0782E234">
                  <w:pPr>
                    <w:keepNext w:val="0"/>
                    <w:keepLines w:val="0"/>
                    <w:pageBreakBefore w:val="0"/>
                    <w:widowControl w:val="0"/>
                    <w:tabs>
                      <w:tab w:val="left" w:pos="945"/>
                    </w:tabs>
                    <w:kinsoku/>
                    <w:wordWrap/>
                    <w:overflowPunct/>
                    <w:topLinePunct w:val="0"/>
                    <w:autoSpaceDE/>
                    <w:autoSpaceDN/>
                    <w:bidi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环卫部门处理</w:t>
                  </w:r>
                </w:p>
              </w:tc>
              <w:tc>
                <w:tcPr>
                  <w:tcW w:w="792" w:type="pct"/>
                  <w:shd w:val="clear" w:color="auto" w:fill="auto"/>
                  <w:tcMar>
                    <w:left w:w="28" w:type="dxa"/>
                    <w:right w:w="28" w:type="dxa"/>
                  </w:tcMar>
                  <w:vAlign w:val="center"/>
                </w:tcPr>
                <w:p w14:paraId="78FF2052">
                  <w:pPr>
                    <w:keepNext w:val="0"/>
                    <w:keepLines w:val="0"/>
                    <w:pageBreakBefore w:val="0"/>
                    <w:widowControl w:val="0"/>
                    <w:tabs>
                      <w:tab w:val="left" w:pos="945"/>
                    </w:tabs>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rPr>
                    <w:t>间断</w:t>
                  </w:r>
                </w:p>
              </w:tc>
            </w:tr>
          </w:tbl>
          <w:p w14:paraId="490F067E">
            <w:pPr>
              <w:adjustRightInd w:val="0"/>
              <w:spacing w:line="360" w:lineRule="auto"/>
              <w:ind w:firstLine="480" w:firstLineChars="200"/>
              <w:jc w:val="both"/>
              <w:rPr>
                <w:rFonts w:hint="default"/>
                <w:color w:val="auto"/>
                <w:sz w:val="24"/>
                <w:lang w:val="en-US" w:eastAsia="zh-CN"/>
              </w:rPr>
            </w:pPr>
          </w:p>
        </w:tc>
      </w:tr>
      <w:tr w14:paraId="172DF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3" w:type="dxa"/>
            <w:vAlign w:val="center"/>
          </w:tcPr>
          <w:p w14:paraId="2EF64E29">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kern w:val="0"/>
                <w:szCs w:val="21"/>
              </w:rPr>
            </w:pPr>
            <w:r>
              <w:rPr>
                <w:bCs/>
                <w:color w:val="auto"/>
                <w:sz w:val="24"/>
              </w:rPr>
              <w:t>与项目有关的原有环境污染问题</w:t>
            </w:r>
          </w:p>
        </w:tc>
        <w:tc>
          <w:tcPr>
            <w:tcW w:w="8587" w:type="dxa"/>
            <w:vAlign w:val="center"/>
          </w:tcPr>
          <w:p w14:paraId="6AE11ABE">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b/>
                <w:bCs/>
                <w:color w:val="auto"/>
                <w:sz w:val="24"/>
                <w:szCs w:val="24"/>
                <w:lang w:val="en-US" w:eastAsia="zh-CN"/>
              </w:rPr>
            </w:pPr>
            <w:r>
              <w:rPr>
                <w:rFonts w:hint="eastAsia"/>
                <w:b/>
                <w:bCs/>
                <w:color w:val="auto"/>
                <w:sz w:val="24"/>
                <w:szCs w:val="24"/>
                <w:lang w:val="en-US" w:eastAsia="zh-CN"/>
              </w:rPr>
              <w:t>1、迁建前现有项目情况</w:t>
            </w:r>
          </w:p>
          <w:p w14:paraId="133CC7A3">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（1）环保手续履行情况</w:t>
            </w:r>
          </w:p>
          <w:p w14:paraId="5B69B398">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陕西新隆钛金属材料有限公司于20</w:t>
            </w:r>
            <w:r>
              <w:rPr>
                <w:rFonts w:hint="eastAsia" w:ascii="Times New Roman" w:hAnsi="Times New Roman" w:cs="Times New Roman"/>
                <w:color w:val="auto"/>
                <w:sz w:val="24"/>
                <w:lang w:val="en-US" w:eastAsia="zh-CN"/>
              </w:rPr>
              <w:t>25</w:t>
            </w:r>
            <w:r>
              <w:rPr>
                <w:rFonts w:hint="eastAsia" w:ascii="Times New Roman" w:hAnsi="Times New Roman" w:eastAsia="宋体" w:cs="Times New Roman"/>
                <w:color w:val="auto"/>
                <w:sz w:val="24"/>
                <w:lang w:val="en-US" w:eastAsia="zh-CN"/>
              </w:rPr>
              <w:t>年</w:t>
            </w:r>
            <w:r>
              <w:rPr>
                <w:rFonts w:hint="eastAsia" w:ascii="Times New Roman" w:hAnsi="Times New Roman" w:cs="Times New Roman"/>
                <w:color w:val="auto"/>
                <w:sz w:val="24"/>
                <w:lang w:val="en-US" w:eastAsia="zh-CN"/>
              </w:rPr>
              <w:t>3月</w:t>
            </w:r>
            <w:r>
              <w:rPr>
                <w:rFonts w:hint="eastAsia" w:ascii="Times New Roman" w:hAnsi="Times New Roman" w:eastAsia="宋体" w:cs="Times New Roman"/>
                <w:color w:val="auto"/>
                <w:sz w:val="24"/>
                <w:lang w:val="en-US" w:eastAsia="zh-CN"/>
              </w:rPr>
              <w:t>在</w:t>
            </w:r>
            <w:r>
              <w:rPr>
                <w:rFonts w:hint="eastAsia"/>
                <w:color w:val="auto"/>
                <w:sz w:val="24"/>
                <w:lang w:val="en-US" w:eastAsia="zh-CN"/>
              </w:rPr>
              <w:t>西咸新区泾河新城崇文镇焦村泾科路1号</w:t>
            </w:r>
            <w:r>
              <w:rPr>
                <w:rFonts w:hint="eastAsia" w:ascii="Times New Roman" w:hAnsi="Times New Roman" w:eastAsia="宋体" w:cs="Times New Roman"/>
                <w:color w:val="auto"/>
                <w:sz w:val="24"/>
                <w:lang w:val="en-US" w:eastAsia="zh-CN"/>
              </w:rPr>
              <w:t>建设</w:t>
            </w:r>
            <w:r>
              <w:rPr>
                <w:rFonts w:hint="eastAsia"/>
                <w:color w:val="auto"/>
                <w:sz w:val="24"/>
                <w:lang w:val="en-US" w:eastAsia="zh-CN"/>
              </w:rPr>
              <w:t>新隆钛金属年产3000件钛棒及1500件钛及钛合金板坯生产项目，目前正在试运行阶段</w:t>
            </w:r>
            <w:r>
              <w:rPr>
                <w:rFonts w:hint="eastAsia" w:ascii="Times New Roman" w:hAnsi="Times New Roman" w:eastAsia="宋体" w:cs="Times New Roman"/>
                <w:color w:val="auto"/>
                <w:sz w:val="24"/>
                <w:lang w:val="en-US" w:eastAsia="zh-CN"/>
              </w:rPr>
              <w:t>。</w:t>
            </w:r>
          </w:p>
          <w:p w14:paraId="46117B1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20</w:t>
            </w:r>
            <w:r>
              <w:rPr>
                <w:rFonts w:hint="eastAsia" w:ascii="Times New Roman" w:hAnsi="Times New Roman" w:cs="Times New Roman"/>
                <w:color w:val="auto"/>
                <w:sz w:val="24"/>
                <w:lang w:val="en-US" w:eastAsia="zh-CN"/>
              </w:rPr>
              <w:t>2</w:t>
            </w:r>
            <w:r>
              <w:rPr>
                <w:rFonts w:hint="eastAsia" w:ascii="Times New Roman" w:hAnsi="Times New Roman" w:eastAsia="宋体" w:cs="Times New Roman"/>
                <w:color w:val="auto"/>
                <w:sz w:val="24"/>
                <w:lang w:val="en-US" w:eastAsia="zh-CN"/>
              </w:rPr>
              <w:t>4年</w:t>
            </w:r>
            <w:r>
              <w:rPr>
                <w:rFonts w:hint="eastAsia" w:ascii="Times New Roman" w:hAnsi="Times New Roman" w:cs="Times New Roman"/>
                <w:color w:val="auto"/>
                <w:sz w:val="24"/>
                <w:lang w:val="en-US" w:eastAsia="zh-CN"/>
              </w:rPr>
              <w:t>11</w:t>
            </w:r>
            <w:r>
              <w:rPr>
                <w:rFonts w:hint="eastAsia" w:ascii="Times New Roman" w:hAnsi="Times New Roman" w:eastAsia="宋体" w:cs="Times New Roman"/>
                <w:color w:val="auto"/>
                <w:sz w:val="24"/>
                <w:lang w:val="en-US" w:eastAsia="zh-CN"/>
              </w:rPr>
              <w:t>月</w:t>
            </w:r>
            <w:r>
              <w:rPr>
                <w:rFonts w:hint="eastAsia" w:ascii="Times New Roman" w:hAnsi="Times New Roman" w:cs="Times New Roman"/>
                <w:color w:val="auto"/>
                <w:sz w:val="24"/>
                <w:lang w:val="en-US" w:eastAsia="zh-CN"/>
              </w:rPr>
              <w:t>29</w:t>
            </w:r>
            <w:r>
              <w:rPr>
                <w:rFonts w:hint="eastAsia" w:ascii="Times New Roman" w:hAnsi="Times New Roman" w:eastAsia="宋体" w:cs="Times New Roman"/>
                <w:color w:val="auto"/>
                <w:sz w:val="24"/>
                <w:lang w:val="en-US" w:eastAsia="zh-CN"/>
              </w:rPr>
              <w:t>日</w:t>
            </w:r>
            <w:r>
              <w:rPr>
                <w:rFonts w:hint="eastAsia" w:ascii="Times New Roman" w:hAnsi="Times New Roman" w:cs="Times New Roman"/>
                <w:color w:val="auto"/>
                <w:sz w:val="24"/>
                <w:lang w:val="en-US" w:eastAsia="zh-CN"/>
              </w:rPr>
              <w:t>，</w:t>
            </w:r>
            <w:r>
              <w:rPr>
                <w:rFonts w:hint="eastAsia" w:ascii="Times New Roman" w:hAnsi="Times New Roman" w:eastAsia="宋体" w:cs="Times New Roman"/>
                <w:color w:val="auto"/>
                <w:sz w:val="24"/>
                <w:lang w:val="en-US" w:eastAsia="zh-CN"/>
              </w:rPr>
              <w:t>陕西新隆钛金属材料有限公司取得陕西省西咸新区泾河新城管委会关于</w:t>
            </w:r>
            <w:r>
              <w:rPr>
                <w:rFonts w:hint="eastAsia"/>
                <w:color w:val="auto"/>
                <w:sz w:val="24"/>
                <w:lang w:val="en-US" w:eastAsia="zh-CN"/>
              </w:rPr>
              <w:t>新隆钛金属年产3000件钛棒及1500件钛及钛合金板坯生产项目环境影响报告表的批复，</w:t>
            </w:r>
            <w:r>
              <w:rPr>
                <w:rFonts w:hint="eastAsia" w:ascii="Times New Roman" w:hAnsi="Times New Roman" w:cs="Times New Roman"/>
                <w:color w:val="auto"/>
                <w:sz w:val="24"/>
                <w:lang w:val="en-US" w:eastAsia="zh-CN"/>
              </w:rPr>
              <w:t>西咸泾河审准</w:t>
            </w:r>
            <w:r>
              <w:rPr>
                <w:rFonts w:hint="eastAsia" w:ascii="Times New Roman" w:hAnsi="Times New Roman" w:eastAsia="宋体" w:cs="Times New Roman"/>
                <w:color w:val="auto"/>
                <w:sz w:val="24"/>
                <w:lang w:val="en-US" w:eastAsia="zh-CN"/>
              </w:rPr>
              <w:t>〔20</w:t>
            </w:r>
            <w:r>
              <w:rPr>
                <w:rFonts w:hint="eastAsia" w:ascii="Times New Roman" w:hAnsi="Times New Roman" w:cs="Times New Roman"/>
                <w:color w:val="auto"/>
                <w:sz w:val="24"/>
                <w:lang w:val="en-US" w:eastAsia="zh-CN"/>
              </w:rPr>
              <w:t>2</w:t>
            </w:r>
            <w:r>
              <w:rPr>
                <w:rFonts w:hint="eastAsia" w:ascii="Times New Roman" w:hAnsi="Times New Roman" w:eastAsia="宋体" w:cs="Times New Roman"/>
                <w:color w:val="auto"/>
                <w:sz w:val="24"/>
                <w:lang w:val="en-US" w:eastAsia="zh-CN"/>
              </w:rPr>
              <w:t>4〕</w:t>
            </w:r>
            <w:r>
              <w:rPr>
                <w:rFonts w:hint="eastAsia" w:ascii="Times New Roman" w:hAnsi="Times New Roman" w:cs="Times New Roman"/>
                <w:color w:val="auto"/>
                <w:sz w:val="24"/>
                <w:lang w:val="en-US" w:eastAsia="zh-CN"/>
              </w:rPr>
              <w:t>96</w:t>
            </w:r>
            <w:r>
              <w:rPr>
                <w:rFonts w:hint="eastAsia" w:ascii="Times New Roman" w:hAnsi="Times New Roman" w:eastAsia="宋体" w:cs="Times New Roman"/>
                <w:color w:val="auto"/>
                <w:sz w:val="24"/>
                <w:lang w:val="en-US" w:eastAsia="zh-CN"/>
              </w:rPr>
              <w:t>号</w:t>
            </w:r>
            <w:r>
              <w:rPr>
                <w:rFonts w:hint="eastAsia" w:ascii="Times New Roman" w:hAnsi="Times New Roman" w:cs="Times New Roman"/>
                <w:color w:val="auto"/>
                <w:sz w:val="24"/>
                <w:lang w:val="en-US" w:eastAsia="zh-CN"/>
              </w:rPr>
              <w:t>。同时，企业固定污染源排污登记回执，编号：</w:t>
            </w:r>
            <w:r>
              <w:rPr>
                <w:rFonts w:hint="eastAsia" w:ascii="Times New Roman" w:hAnsi="Times New Roman" w:eastAsia="宋体" w:cs="Times New Roman"/>
                <w:color w:val="auto"/>
                <w:sz w:val="24"/>
                <w:lang w:val="en-US" w:eastAsia="zh-CN"/>
              </w:rPr>
              <w:t>91611102MADR3POEXG001P。</w:t>
            </w:r>
          </w:p>
          <w:p w14:paraId="7B89B1A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现有项目环保手续执行情况见附件</w:t>
            </w:r>
            <w:r>
              <w:rPr>
                <w:rFonts w:hint="eastAsia" w:cs="Times New Roman"/>
                <w:color w:val="auto"/>
                <w:sz w:val="24"/>
                <w:lang w:val="en-US" w:eastAsia="zh-CN"/>
              </w:rPr>
              <w:t>4</w:t>
            </w:r>
            <w:r>
              <w:rPr>
                <w:rFonts w:hint="eastAsia" w:ascii="Times New Roman" w:hAnsi="Times New Roman" w:eastAsia="宋体" w:cs="Times New Roman"/>
                <w:color w:val="auto"/>
                <w:sz w:val="24"/>
                <w:lang w:val="en-US" w:eastAsia="zh-CN"/>
              </w:rPr>
              <w:t>。</w:t>
            </w:r>
          </w:p>
          <w:p w14:paraId="35081DAE">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w:t>
            </w:r>
            <w:r>
              <w:rPr>
                <w:rFonts w:hint="eastAsia" w:ascii="Times New Roman" w:hAnsi="Times New Roman" w:cs="Times New Roman"/>
                <w:color w:val="auto"/>
                <w:sz w:val="24"/>
                <w:lang w:val="en-US" w:eastAsia="zh-CN"/>
              </w:rPr>
              <w:t>2</w:t>
            </w:r>
            <w:r>
              <w:rPr>
                <w:rFonts w:hint="eastAsia" w:ascii="Times New Roman" w:hAnsi="Times New Roman" w:eastAsia="宋体" w:cs="Times New Roman"/>
                <w:color w:val="auto"/>
                <w:sz w:val="24"/>
                <w:lang w:val="en-US" w:eastAsia="zh-CN"/>
              </w:rPr>
              <w:t>）现有项目迁建过程中污染防治要求</w:t>
            </w:r>
          </w:p>
          <w:p w14:paraId="635F94FC">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根据《关于加强工业企业关停、搬迁及原址场地再开发利用过程中污染防治工作的通知》（环发〔2014〕66 号）中相关要求，本次环评报告对项目迁建过程中污染物防治工作做出如下要求：</w:t>
            </w:r>
          </w:p>
          <w:p w14:paraId="193412B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①规范各类设施拆除流程</w:t>
            </w:r>
          </w:p>
          <w:p w14:paraId="20E8731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陕西新隆钛金属材料有限公司现有项目在搬迁过程中应确保污染防治设施正常运行或使用，妥善处理遗留或搬迁过程中产生的污染物，待生产设备拆除完毕且相关污染物处理处置结束后方可拆除污染治理设施。如果污染防治设施不能正常运行或使用，现有项目在搬迁过程中应制定并实施各类污染物临时处理处置方案。对地上及地下的建筑物、构筑物、生产装置、污染治理设施、有毒有害物质储存设施等予以规范清理和拆除。</w:t>
            </w:r>
          </w:p>
          <w:p w14:paraId="15ED1237">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②安全处置企业遗留固体废物</w:t>
            </w:r>
          </w:p>
          <w:p w14:paraId="12B132B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陕西新隆钛金属材料有限公司现有项目应对原有场地残留和搬迁过程中产生的有毒有害物质、危险废物、一般工业固体废物等进行处理处置。属危险废物的，应委托具有危险废物经营许可证的专业单位进行安全处置，并执行危险废物转移联单制度；属一般工业固体废物的，应按照国家相关环保标准制定处置方案；对不能直接判定其危险特性的固体废物，应按照《危险废物鉴别标准》的有关要求进行鉴别。</w:t>
            </w:r>
          </w:p>
          <w:p w14:paraId="77CC521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陕西新隆钛金属材料有限公司现有项目在迁建过程中按照以上要求进行可减少对环境的污染，做到环境污染事件可防可控，对环境影响较小。</w:t>
            </w:r>
          </w:p>
          <w:p w14:paraId="08B6F12A">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2、与</w:t>
            </w:r>
            <w:r>
              <w:rPr>
                <w:rFonts w:hint="default" w:ascii="Times New Roman" w:hAnsi="Times New Roman" w:eastAsia="宋体" w:cs="Times New Roman"/>
                <w:b/>
                <w:bCs/>
                <w:color w:val="auto"/>
                <w:sz w:val="24"/>
                <w:szCs w:val="24"/>
                <w:lang w:val="en-US" w:eastAsia="zh-CN"/>
              </w:rPr>
              <w:t>项目</w:t>
            </w:r>
            <w:r>
              <w:rPr>
                <w:rFonts w:hint="eastAsia" w:ascii="Times New Roman" w:hAnsi="Times New Roman" w:eastAsia="宋体" w:cs="Times New Roman"/>
                <w:b/>
                <w:bCs/>
                <w:color w:val="auto"/>
                <w:sz w:val="24"/>
                <w:szCs w:val="24"/>
                <w:lang w:val="en-US" w:eastAsia="zh-CN"/>
              </w:rPr>
              <w:t>有关的原有</w:t>
            </w:r>
            <w:r>
              <w:rPr>
                <w:rFonts w:hint="default" w:ascii="Times New Roman" w:hAnsi="Times New Roman" w:eastAsia="宋体" w:cs="Times New Roman"/>
                <w:b/>
                <w:bCs/>
                <w:color w:val="auto"/>
                <w:sz w:val="24"/>
                <w:szCs w:val="24"/>
                <w:lang w:val="en-US" w:eastAsia="zh-CN"/>
              </w:rPr>
              <w:t>环境</w:t>
            </w:r>
            <w:r>
              <w:rPr>
                <w:rFonts w:hint="eastAsia" w:ascii="Times New Roman" w:hAnsi="Times New Roman" w:eastAsia="宋体" w:cs="Times New Roman"/>
                <w:b/>
                <w:bCs/>
                <w:color w:val="auto"/>
                <w:sz w:val="24"/>
                <w:szCs w:val="24"/>
                <w:lang w:val="en-US" w:eastAsia="zh-CN"/>
              </w:rPr>
              <w:t>污染</w:t>
            </w:r>
            <w:r>
              <w:rPr>
                <w:rFonts w:hint="default" w:ascii="Times New Roman" w:hAnsi="Times New Roman" w:eastAsia="宋体" w:cs="Times New Roman"/>
                <w:b/>
                <w:bCs/>
                <w:color w:val="auto"/>
                <w:sz w:val="24"/>
                <w:szCs w:val="24"/>
                <w:lang w:val="en-US" w:eastAsia="zh-CN"/>
              </w:rPr>
              <w:t>问题</w:t>
            </w:r>
          </w:p>
          <w:p w14:paraId="56C13645">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outlineLvl w:val="9"/>
              <w:rPr>
                <w:rFonts w:hint="eastAsia"/>
                <w:color w:val="auto"/>
                <w:kern w:val="0"/>
                <w:sz w:val="24"/>
                <w:szCs w:val="22"/>
                <w:vertAlign w:val="baseline"/>
              </w:rPr>
            </w:pPr>
            <w:r>
              <w:rPr>
                <w:rFonts w:hint="eastAsia"/>
                <w:color w:val="auto"/>
                <w:kern w:val="0"/>
                <w:sz w:val="24"/>
                <w:szCs w:val="22"/>
                <w:vertAlign w:val="baseline"/>
                <w:lang w:val="en-US" w:eastAsia="zh-CN"/>
              </w:rPr>
              <w:t>现有项目本项目租赁永丰镇永丰村南侧现有厂房，</w:t>
            </w:r>
            <w:r>
              <w:rPr>
                <w:rFonts w:hint="eastAsia"/>
                <w:color w:val="auto"/>
                <w:kern w:val="0"/>
                <w:sz w:val="24"/>
                <w:szCs w:val="22"/>
                <w:vertAlign w:val="baseline"/>
              </w:rPr>
              <w:t>根据现场</w:t>
            </w:r>
            <w:r>
              <w:rPr>
                <w:rFonts w:hint="eastAsia"/>
                <w:color w:val="auto"/>
                <w:kern w:val="0"/>
                <w:sz w:val="24"/>
                <w:szCs w:val="22"/>
                <w:vertAlign w:val="baseline"/>
                <w:lang w:val="en-US" w:eastAsia="zh-CN"/>
              </w:rPr>
              <w:t>勘查</w:t>
            </w:r>
            <w:r>
              <w:rPr>
                <w:rFonts w:hint="eastAsia"/>
                <w:color w:val="auto"/>
                <w:kern w:val="0"/>
                <w:sz w:val="24"/>
                <w:szCs w:val="22"/>
                <w:vertAlign w:val="baseline"/>
              </w:rPr>
              <w:t>，</w:t>
            </w:r>
            <w:r>
              <w:rPr>
                <w:rFonts w:hint="eastAsia"/>
                <w:color w:val="auto"/>
                <w:kern w:val="0"/>
                <w:sz w:val="24"/>
                <w:szCs w:val="22"/>
                <w:vertAlign w:val="baseline"/>
                <w:lang w:val="en-US" w:eastAsia="zh-CN"/>
              </w:rPr>
              <w:t>厂房</w:t>
            </w:r>
            <w:r>
              <w:rPr>
                <w:rFonts w:hint="eastAsia"/>
                <w:color w:val="auto"/>
                <w:kern w:val="0"/>
                <w:sz w:val="24"/>
                <w:szCs w:val="22"/>
                <w:vertAlign w:val="baseline"/>
              </w:rPr>
              <w:t>目前为空置</w:t>
            </w:r>
            <w:r>
              <w:rPr>
                <w:rFonts w:hint="eastAsia"/>
                <w:color w:val="auto"/>
                <w:kern w:val="0"/>
                <w:sz w:val="24"/>
                <w:szCs w:val="22"/>
                <w:vertAlign w:val="baseline"/>
                <w:lang w:val="en-US" w:eastAsia="zh-CN"/>
              </w:rPr>
              <w:t>状态</w:t>
            </w:r>
            <w:r>
              <w:rPr>
                <w:rFonts w:hint="eastAsia"/>
                <w:color w:val="auto"/>
                <w:kern w:val="0"/>
                <w:sz w:val="24"/>
                <w:szCs w:val="22"/>
                <w:vertAlign w:val="baseline"/>
              </w:rPr>
              <w:t>，</w:t>
            </w:r>
            <w:r>
              <w:rPr>
                <w:rFonts w:hint="eastAsia"/>
                <w:color w:val="auto"/>
                <w:kern w:val="0"/>
                <w:sz w:val="24"/>
                <w:szCs w:val="22"/>
                <w:vertAlign w:val="baseline"/>
                <w:lang w:val="en-US" w:eastAsia="zh-CN"/>
              </w:rPr>
              <w:t>地面已进行硬化处理，不存在与项目有关的</w:t>
            </w:r>
            <w:r>
              <w:rPr>
                <w:rFonts w:hint="eastAsia"/>
                <w:color w:val="auto"/>
                <w:kern w:val="0"/>
                <w:sz w:val="24"/>
                <w:szCs w:val="22"/>
                <w:vertAlign w:val="baseline"/>
              </w:rPr>
              <w:t>原有</w:t>
            </w:r>
            <w:r>
              <w:rPr>
                <w:rFonts w:hint="eastAsia"/>
                <w:color w:val="auto"/>
                <w:kern w:val="0"/>
                <w:sz w:val="24"/>
                <w:szCs w:val="22"/>
                <w:vertAlign w:val="baseline"/>
                <w:lang w:val="en-US" w:eastAsia="zh-CN"/>
              </w:rPr>
              <w:t>环境</w:t>
            </w:r>
            <w:r>
              <w:rPr>
                <w:rFonts w:hint="eastAsia"/>
                <w:color w:val="auto"/>
                <w:kern w:val="0"/>
                <w:sz w:val="24"/>
                <w:szCs w:val="22"/>
                <w:vertAlign w:val="baseline"/>
              </w:rPr>
              <w:t>污染问题。</w:t>
            </w:r>
          </w:p>
          <w:p w14:paraId="74A931D9">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1FCEEFF4">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7D75D37C">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424FE458">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497B07A0">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5F6023B3">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53764BB7">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6A36FAE0">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73E0F621">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74F9C21A">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10F87FE2">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592E8E2D">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43B36833">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7C8164B9">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38FEEA6B">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4D21AB1D">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70B56C8D">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p w14:paraId="2854A96B">
            <w:pPr>
              <w:pStyle w:val="22"/>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eastAsia="宋体"/>
                <w:color w:val="auto"/>
                <w:kern w:val="0"/>
                <w:sz w:val="24"/>
                <w:szCs w:val="22"/>
                <w:vertAlign w:val="baseline"/>
                <w:lang w:val="en-US" w:eastAsia="zh-CN"/>
              </w:rPr>
            </w:pPr>
          </w:p>
        </w:tc>
      </w:tr>
    </w:tbl>
    <w:p w14:paraId="124D1CD0">
      <w:pPr>
        <w:jc w:val="center"/>
        <w:rPr>
          <w:rFonts w:eastAsia="黑体"/>
          <w:snapToGrid w:val="0"/>
          <w:color w:val="auto"/>
          <w:sz w:val="36"/>
          <w:szCs w:val="36"/>
        </w:rPr>
        <w:sectPr>
          <w:pgSz w:w="11906" w:h="16838"/>
          <w:pgMar w:top="1531" w:right="1531" w:bottom="153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3EF73BBD">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0"/>
          <w:szCs w:val="30"/>
        </w:rPr>
        <w:t>三、区域环境质量现状、环境保护目标及评价标准</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8495"/>
      </w:tblGrid>
      <w:tr w14:paraId="480ABF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7CEB8E0D">
            <w:pPr>
              <w:adjustRightInd w:val="0"/>
              <w:snapToGrid w:val="0"/>
              <w:spacing w:line="360" w:lineRule="auto"/>
              <w:jc w:val="center"/>
              <w:rPr>
                <w:color w:val="auto"/>
                <w:kern w:val="0"/>
                <w:sz w:val="24"/>
              </w:rPr>
            </w:pPr>
            <w:r>
              <w:rPr>
                <w:color w:val="auto"/>
                <w:kern w:val="0"/>
                <w:sz w:val="24"/>
              </w:rPr>
              <w:t>区域</w:t>
            </w:r>
          </w:p>
          <w:p w14:paraId="56C7540C">
            <w:pPr>
              <w:adjustRightInd w:val="0"/>
              <w:snapToGrid w:val="0"/>
              <w:spacing w:line="360" w:lineRule="auto"/>
              <w:jc w:val="center"/>
              <w:rPr>
                <w:color w:val="auto"/>
                <w:kern w:val="0"/>
                <w:sz w:val="24"/>
              </w:rPr>
            </w:pPr>
            <w:r>
              <w:rPr>
                <w:color w:val="auto"/>
                <w:kern w:val="0"/>
                <w:sz w:val="24"/>
              </w:rPr>
              <w:t>环境</w:t>
            </w:r>
          </w:p>
          <w:p w14:paraId="3EFBED33">
            <w:pPr>
              <w:adjustRightInd w:val="0"/>
              <w:snapToGrid w:val="0"/>
              <w:spacing w:line="360" w:lineRule="auto"/>
              <w:jc w:val="center"/>
              <w:rPr>
                <w:color w:val="auto"/>
                <w:kern w:val="0"/>
                <w:sz w:val="24"/>
              </w:rPr>
            </w:pPr>
            <w:r>
              <w:rPr>
                <w:color w:val="auto"/>
                <w:kern w:val="0"/>
                <w:sz w:val="24"/>
              </w:rPr>
              <w:t>质量</w:t>
            </w:r>
          </w:p>
          <w:p w14:paraId="0F14AB17">
            <w:pPr>
              <w:adjustRightInd w:val="0"/>
              <w:snapToGrid w:val="0"/>
              <w:spacing w:line="360" w:lineRule="auto"/>
              <w:jc w:val="center"/>
              <w:rPr>
                <w:color w:val="auto"/>
                <w:kern w:val="0"/>
                <w:szCs w:val="21"/>
              </w:rPr>
            </w:pPr>
            <w:r>
              <w:rPr>
                <w:color w:val="auto"/>
                <w:kern w:val="0"/>
                <w:sz w:val="24"/>
              </w:rPr>
              <w:t>现状</w:t>
            </w:r>
          </w:p>
        </w:tc>
        <w:tc>
          <w:tcPr>
            <w:tcW w:w="8477" w:type="dxa"/>
            <w:vAlign w:val="center"/>
          </w:tcPr>
          <w:p w14:paraId="236BB6E2">
            <w:pPr>
              <w:spacing w:line="360" w:lineRule="auto"/>
              <w:ind w:firstLine="482" w:firstLineChars="200"/>
              <w:rPr>
                <w:b/>
                <w:bCs/>
                <w:color w:val="auto"/>
                <w:kern w:val="0"/>
                <w:sz w:val="24"/>
                <w:szCs w:val="22"/>
              </w:rPr>
            </w:pPr>
            <w:r>
              <w:rPr>
                <w:b/>
                <w:bCs/>
                <w:color w:val="auto"/>
                <w:kern w:val="0"/>
                <w:sz w:val="24"/>
                <w:szCs w:val="22"/>
              </w:rPr>
              <w:t>1、环境空气质量</w:t>
            </w:r>
          </w:p>
          <w:p w14:paraId="56C6B8DB">
            <w:pPr>
              <w:spacing w:line="360" w:lineRule="auto"/>
              <w:ind w:firstLine="480" w:firstLineChars="200"/>
              <w:rPr>
                <w:color w:val="auto"/>
                <w:sz w:val="24"/>
              </w:rPr>
            </w:pPr>
            <w:r>
              <w:rPr>
                <w:color w:val="auto"/>
                <w:sz w:val="24"/>
              </w:rPr>
              <w:t>（</w:t>
            </w:r>
            <w:r>
              <w:rPr>
                <w:rFonts w:hint="eastAsia"/>
                <w:color w:val="auto"/>
                <w:sz w:val="24"/>
                <w:lang w:val="en-US" w:eastAsia="zh-CN"/>
              </w:rPr>
              <w:t>1</w:t>
            </w:r>
            <w:r>
              <w:rPr>
                <w:color w:val="auto"/>
                <w:sz w:val="24"/>
              </w:rPr>
              <w:t>）</w:t>
            </w:r>
            <w:r>
              <w:rPr>
                <w:rFonts w:hint="eastAsia"/>
                <w:color w:val="auto"/>
                <w:sz w:val="24"/>
                <w:lang w:val="en-US" w:eastAsia="zh-CN"/>
              </w:rPr>
              <w:t>常规</w:t>
            </w:r>
            <w:r>
              <w:rPr>
                <w:color w:val="auto"/>
                <w:sz w:val="24"/>
              </w:rPr>
              <w:t>污染物环境质量现状</w:t>
            </w:r>
          </w:p>
          <w:p w14:paraId="18AD2F0E">
            <w:pPr>
              <w:widowControl/>
              <w:spacing w:line="360" w:lineRule="auto"/>
              <w:ind w:firstLine="480" w:firstLineChars="200"/>
              <w:rPr>
                <w:color w:val="auto"/>
                <w:kern w:val="0"/>
                <w:sz w:val="24"/>
              </w:rPr>
            </w:pPr>
            <w:r>
              <w:rPr>
                <w:rFonts w:hint="eastAsia" w:ascii="Times New Roman" w:hAnsi="Times New Roman" w:eastAsia="宋体" w:cs="Times New Roman"/>
                <w:color w:val="auto"/>
                <w:sz w:val="24"/>
                <w:szCs w:val="22"/>
              </w:rPr>
              <w:t>项目位于西咸新区泾河新城，根据大气功能区划，项目所在地为二类功能区，环境空气质量标准执行《环境空气质量标准》（GB3095-2012）二级标准要求。本次区域环境空气质量现状调查引用陕西省生态环境厅办公</w:t>
            </w:r>
            <w:r>
              <w:rPr>
                <w:rFonts w:hint="eastAsia"/>
                <w:color w:val="auto"/>
                <w:sz w:val="24"/>
                <w:szCs w:val="22"/>
              </w:rPr>
              <w:t>室</w:t>
            </w:r>
            <w:r>
              <w:rPr>
                <w:rFonts w:hint="eastAsia"/>
                <w:color w:val="auto"/>
                <w:kern w:val="0"/>
                <w:sz w:val="24"/>
              </w:rPr>
              <w:t>202</w:t>
            </w:r>
            <w:r>
              <w:rPr>
                <w:rFonts w:hint="eastAsia"/>
                <w:color w:val="auto"/>
                <w:kern w:val="0"/>
                <w:sz w:val="24"/>
                <w:lang w:val="en-US" w:eastAsia="zh-CN"/>
              </w:rPr>
              <w:t>5</w:t>
            </w:r>
            <w:r>
              <w:rPr>
                <w:rFonts w:hint="eastAsia"/>
                <w:color w:val="auto"/>
                <w:kern w:val="0"/>
                <w:sz w:val="24"/>
              </w:rPr>
              <w:t>年1月</w:t>
            </w:r>
            <w:r>
              <w:rPr>
                <w:rFonts w:hint="eastAsia"/>
                <w:color w:val="auto"/>
                <w:kern w:val="0"/>
                <w:sz w:val="24"/>
                <w:lang w:val="en-US" w:eastAsia="zh-CN"/>
              </w:rPr>
              <w:t>21</w:t>
            </w:r>
            <w:r>
              <w:rPr>
                <w:rFonts w:hint="eastAsia"/>
                <w:color w:val="auto"/>
                <w:kern w:val="0"/>
                <w:sz w:val="24"/>
              </w:rPr>
              <w:t>日</w:t>
            </w:r>
            <w:r>
              <w:rPr>
                <w:rFonts w:hint="eastAsia"/>
                <w:color w:val="auto"/>
                <w:sz w:val="24"/>
                <w:szCs w:val="22"/>
              </w:rPr>
              <w:t>发布的《202</w:t>
            </w:r>
            <w:r>
              <w:rPr>
                <w:rFonts w:hint="eastAsia"/>
                <w:color w:val="auto"/>
                <w:sz w:val="24"/>
                <w:szCs w:val="22"/>
                <w:lang w:val="en-US" w:eastAsia="zh-CN"/>
              </w:rPr>
              <w:t>4</w:t>
            </w:r>
            <w:r>
              <w:rPr>
                <w:rFonts w:hint="eastAsia"/>
                <w:color w:val="auto"/>
                <w:sz w:val="24"/>
                <w:szCs w:val="22"/>
              </w:rPr>
              <w:t>年12月及1~12月全省环境空气质量状况》中</w:t>
            </w:r>
            <w:r>
              <w:rPr>
                <w:color w:val="auto"/>
                <w:kern w:val="0"/>
                <w:sz w:val="24"/>
              </w:rPr>
              <w:t>西咸新区环境空气质量数据进行评价，评价因子主要有</w:t>
            </w:r>
            <w:r>
              <w:rPr>
                <w:color w:val="auto"/>
                <w:sz w:val="24"/>
              </w:rPr>
              <w:t>SO</w:t>
            </w:r>
            <w:r>
              <w:rPr>
                <w:color w:val="auto"/>
                <w:sz w:val="24"/>
                <w:vertAlign w:val="subscript"/>
              </w:rPr>
              <w:t>2</w:t>
            </w:r>
            <w:r>
              <w:rPr>
                <w:color w:val="auto"/>
                <w:sz w:val="24"/>
              </w:rPr>
              <w:t>、NO</w:t>
            </w:r>
            <w:r>
              <w:rPr>
                <w:color w:val="auto"/>
                <w:sz w:val="24"/>
                <w:vertAlign w:val="subscript"/>
              </w:rPr>
              <w:t>2</w:t>
            </w:r>
            <w:r>
              <w:rPr>
                <w:color w:val="auto"/>
                <w:sz w:val="24"/>
              </w:rPr>
              <w:t>、PM</w:t>
            </w:r>
            <w:r>
              <w:rPr>
                <w:color w:val="auto"/>
                <w:sz w:val="24"/>
                <w:vertAlign w:val="subscript"/>
              </w:rPr>
              <w:t>10</w:t>
            </w:r>
            <w:r>
              <w:rPr>
                <w:color w:val="auto"/>
                <w:sz w:val="24"/>
              </w:rPr>
              <w:t>、PM</w:t>
            </w:r>
            <w:r>
              <w:rPr>
                <w:color w:val="auto"/>
                <w:sz w:val="24"/>
                <w:vertAlign w:val="subscript"/>
              </w:rPr>
              <w:t>2.5</w:t>
            </w:r>
            <w:r>
              <w:rPr>
                <w:color w:val="auto"/>
                <w:sz w:val="24"/>
              </w:rPr>
              <w:t>、CO、O</w:t>
            </w:r>
            <w:r>
              <w:rPr>
                <w:color w:val="auto"/>
                <w:sz w:val="24"/>
                <w:vertAlign w:val="subscript"/>
              </w:rPr>
              <w:t>3</w:t>
            </w:r>
            <w:r>
              <w:rPr>
                <w:color w:val="auto"/>
                <w:sz w:val="24"/>
              </w:rPr>
              <w:t>六项指标</w:t>
            </w:r>
            <w:r>
              <w:rPr>
                <w:color w:val="auto"/>
                <w:kern w:val="0"/>
                <w:sz w:val="24"/>
              </w:rPr>
              <w:t>，项目所在区域西咸新区环境质量现状见表3-1。</w:t>
            </w:r>
          </w:p>
          <w:p w14:paraId="3FEDA114">
            <w:pPr>
              <w:pStyle w:val="48"/>
              <w:spacing w:after="0"/>
              <w:rPr>
                <w:rFonts w:hint="eastAsia" w:ascii="Times New Roman" w:hAnsi="Times New Roman" w:eastAsia="宋体" w:cs="Times New Roman"/>
                <w:b/>
                <w:color w:val="auto"/>
              </w:rPr>
            </w:pPr>
            <w:r>
              <w:rPr>
                <w:rFonts w:hint="eastAsia" w:ascii="Times New Roman" w:hAnsi="Times New Roman" w:eastAsia="宋体" w:cs="Times New Roman"/>
                <w:b/>
                <w:color w:val="auto"/>
              </w:rPr>
              <w:t>表3-1</w:t>
            </w:r>
            <w:r>
              <w:rPr>
                <w:rFonts w:hint="eastAsia" w:ascii="Times New Roman" w:hAnsi="Times New Roman" w:eastAsia="宋体" w:cs="Times New Roman"/>
                <w:b/>
                <w:color w:val="auto"/>
                <w:lang w:val="en-US" w:eastAsia="zh-CN"/>
              </w:rPr>
              <w:t xml:space="preserve">  </w:t>
            </w:r>
            <w:r>
              <w:rPr>
                <w:rFonts w:hint="eastAsia" w:ascii="Times New Roman" w:hAnsi="Times New Roman" w:eastAsia="宋体" w:cs="Times New Roman"/>
                <w:b/>
                <w:color w:val="auto"/>
              </w:rPr>
              <w:t>基本污染物环境质量现状</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77"/>
              <w:gridCol w:w="825"/>
              <w:gridCol w:w="2070"/>
              <w:gridCol w:w="1296"/>
              <w:gridCol w:w="1296"/>
              <w:gridCol w:w="1232"/>
              <w:gridCol w:w="780"/>
            </w:tblGrid>
            <w:tr w14:paraId="1C70B9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2" w:hRule="atLeast"/>
                <w:jc w:val="center"/>
              </w:trPr>
              <w:tc>
                <w:tcPr>
                  <w:tcW w:w="469" w:type="pct"/>
                  <w:vMerge w:val="restart"/>
                  <w:noWrap w:val="0"/>
                  <w:vAlign w:val="center"/>
                </w:tcPr>
                <w:p w14:paraId="6A7EC255">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监测</w:t>
                  </w:r>
                </w:p>
                <w:p w14:paraId="2DC44DCA">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点位</w:t>
                  </w:r>
                </w:p>
              </w:tc>
              <w:tc>
                <w:tcPr>
                  <w:tcW w:w="498" w:type="pct"/>
                  <w:vMerge w:val="restart"/>
                  <w:noWrap w:val="0"/>
                  <w:vAlign w:val="center"/>
                </w:tcPr>
                <w:p w14:paraId="1541CF2F">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污染物</w:t>
                  </w:r>
                </w:p>
              </w:tc>
              <w:tc>
                <w:tcPr>
                  <w:tcW w:w="1250" w:type="pct"/>
                  <w:vMerge w:val="restart"/>
                  <w:noWrap w:val="0"/>
                  <w:vAlign w:val="center"/>
                </w:tcPr>
                <w:p w14:paraId="23586004">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年评价指标</w:t>
                  </w:r>
                </w:p>
              </w:tc>
              <w:tc>
                <w:tcPr>
                  <w:tcW w:w="783" w:type="pct"/>
                  <w:vMerge w:val="restart"/>
                  <w:noWrap w:val="0"/>
                  <w:vAlign w:val="center"/>
                </w:tcPr>
                <w:p w14:paraId="2E6B7692">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评价标准（µg/m</w:t>
                  </w:r>
                  <w:r>
                    <w:rPr>
                      <w:color w:val="auto"/>
                      <w:sz w:val="21"/>
                      <w:szCs w:val="21"/>
                      <w:vertAlign w:val="superscript"/>
                      <w:lang w:eastAsia="zh-CN"/>
                    </w:rPr>
                    <w:t>3</w:t>
                  </w:r>
                  <w:r>
                    <w:rPr>
                      <w:color w:val="auto"/>
                      <w:sz w:val="21"/>
                      <w:szCs w:val="21"/>
                      <w:lang w:eastAsia="zh-CN"/>
                    </w:rPr>
                    <w:t>）</w:t>
                  </w:r>
                </w:p>
              </w:tc>
              <w:tc>
                <w:tcPr>
                  <w:tcW w:w="783" w:type="pct"/>
                  <w:vMerge w:val="restart"/>
                  <w:noWrap w:val="0"/>
                  <w:vAlign w:val="center"/>
                </w:tcPr>
                <w:p w14:paraId="402FDD8F">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现状浓度（µg/m</w:t>
                  </w:r>
                  <w:r>
                    <w:rPr>
                      <w:color w:val="auto"/>
                      <w:sz w:val="21"/>
                      <w:szCs w:val="21"/>
                      <w:vertAlign w:val="superscript"/>
                      <w:lang w:eastAsia="zh-CN"/>
                    </w:rPr>
                    <w:t>3</w:t>
                  </w:r>
                  <w:r>
                    <w:rPr>
                      <w:color w:val="auto"/>
                      <w:sz w:val="21"/>
                      <w:szCs w:val="21"/>
                      <w:lang w:eastAsia="zh-CN"/>
                    </w:rPr>
                    <w:t>）</w:t>
                  </w:r>
                </w:p>
              </w:tc>
              <w:tc>
                <w:tcPr>
                  <w:tcW w:w="744" w:type="pct"/>
                  <w:vMerge w:val="restart"/>
                  <w:noWrap w:val="0"/>
                  <w:vAlign w:val="center"/>
                </w:tcPr>
                <w:p w14:paraId="5F05F177">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最大浓度占标率/%</w:t>
                  </w:r>
                </w:p>
              </w:tc>
              <w:tc>
                <w:tcPr>
                  <w:tcW w:w="471" w:type="pct"/>
                  <w:vMerge w:val="restart"/>
                  <w:noWrap w:val="0"/>
                  <w:vAlign w:val="center"/>
                </w:tcPr>
                <w:p w14:paraId="5969DEC8">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达标情况</w:t>
                  </w:r>
                </w:p>
              </w:tc>
            </w:tr>
            <w:tr w14:paraId="2C2F8A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69" w:type="pct"/>
                  <w:vMerge w:val="continue"/>
                  <w:noWrap w:val="0"/>
                  <w:vAlign w:val="center"/>
                </w:tcPr>
                <w:p w14:paraId="168462DD">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498" w:type="pct"/>
                  <w:vMerge w:val="continue"/>
                  <w:noWrap w:val="0"/>
                  <w:vAlign w:val="center"/>
                </w:tcPr>
                <w:p w14:paraId="0A329329">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1250" w:type="pct"/>
                  <w:vMerge w:val="continue"/>
                  <w:noWrap w:val="0"/>
                  <w:vAlign w:val="center"/>
                </w:tcPr>
                <w:p w14:paraId="702A3AA4">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783" w:type="pct"/>
                  <w:vMerge w:val="continue"/>
                  <w:noWrap w:val="0"/>
                  <w:vAlign w:val="center"/>
                </w:tcPr>
                <w:p w14:paraId="00C2C0A9">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783" w:type="pct"/>
                  <w:vMerge w:val="continue"/>
                  <w:noWrap w:val="0"/>
                  <w:vAlign w:val="center"/>
                </w:tcPr>
                <w:p w14:paraId="18575AE4">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744" w:type="pct"/>
                  <w:vMerge w:val="continue"/>
                  <w:noWrap w:val="0"/>
                  <w:vAlign w:val="center"/>
                </w:tcPr>
                <w:p w14:paraId="31099643">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471" w:type="pct"/>
                  <w:vMerge w:val="continue"/>
                  <w:noWrap w:val="0"/>
                  <w:vAlign w:val="center"/>
                </w:tcPr>
                <w:p w14:paraId="73518A54">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r>
            <w:tr w14:paraId="3BD0F2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Merge w:val="restart"/>
                  <w:noWrap w:val="0"/>
                  <w:vAlign w:val="center"/>
                </w:tcPr>
                <w:p w14:paraId="523244E5">
                  <w:pPr>
                    <w:pStyle w:val="54"/>
                    <w:keepNext w:val="0"/>
                    <w:keepLines w:val="0"/>
                    <w:pageBreakBefore w:val="0"/>
                    <w:kinsoku/>
                    <w:wordWrap/>
                    <w:overflowPunct/>
                    <w:topLinePunct w:val="0"/>
                    <w:bidi w:val="0"/>
                    <w:spacing w:before="0" w:after="0" w:line="240" w:lineRule="auto"/>
                    <w:ind w:firstLine="0" w:firstLineChars="0"/>
                    <w:rPr>
                      <w:color w:val="auto"/>
                      <w:sz w:val="21"/>
                      <w:szCs w:val="21"/>
                      <w:lang w:val="en-US" w:eastAsia="zh-CN"/>
                    </w:rPr>
                  </w:pPr>
                  <w:r>
                    <w:rPr>
                      <w:color w:val="auto"/>
                      <w:sz w:val="21"/>
                      <w:szCs w:val="21"/>
                      <w:lang w:val="en-US" w:eastAsia="zh-CN"/>
                    </w:rPr>
                    <w:t>西咸新区</w:t>
                  </w:r>
                </w:p>
              </w:tc>
              <w:tc>
                <w:tcPr>
                  <w:tcW w:w="498" w:type="pct"/>
                  <w:noWrap w:val="0"/>
                  <w:vAlign w:val="center"/>
                </w:tcPr>
                <w:p w14:paraId="534A1044">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SO</w:t>
                  </w:r>
                  <w:r>
                    <w:rPr>
                      <w:color w:val="auto"/>
                      <w:sz w:val="21"/>
                      <w:szCs w:val="21"/>
                      <w:vertAlign w:val="subscript"/>
                      <w:lang w:eastAsia="zh-CN"/>
                    </w:rPr>
                    <w:t>2</w:t>
                  </w:r>
                </w:p>
              </w:tc>
              <w:tc>
                <w:tcPr>
                  <w:tcW w:w="1250" w:type="pct"/>
                  <w:noWrap w:val="0"/>
                  <w:vAlign w:val="center"/>
                </w:tcPr>
                <w:p w14:paraId="73FB03AB">
                  <w:pPr>
                    <w:pStyle w:val="54"/>
                    <w:keepNext w:val="0"/>
                    <w:keepLines w:val="0"/>
                    <w:pageBreakBefore w:val="0"/>
                    <w:kinsoku/>
                    <w:wordWrap/>
                    <w:overflowPunct/>
                    <w:topLinePunct w:val="0"/>
                    <w:bidi w:val="0"/>
                    <w:spacing w:before="0" w:after="0" w:line="240" w:lineRule="auto"/>
                    <w:ind w:firstLine="0" w:firstLineChars="0"/>
                    <w:rPr>
                      <w:color w:val="auto"/>
                      <w:sz w:val="21"/>
                      <w:szCs w:val="21"/>
                      <w:lang w:eastAsia="zh-CN"/>
                    </w:rPr>
                  </w:pPr>
                  <w:r>
                    <w:rPr>
                      <w:color w:val="auto"/>
                      <w:sz w:val="21"/>
                      <w:szCs w:val="21"/>
                      <w:lang w:eastAsia="zh-CN"/>
                    </w:rPr>
                    <w:t>年平均质量浓度</w:t>
                  </w:r>
                </w:p>
              </w:tc>
              <w:tc>
                <w:tcPr>
                  <w:tcW w:w="783" w:type="pct"/>
                  <w:noWrap w:val="0"/>
                  <w:vAlign w:val="center"/>
                </w:tcPr>
                <w:p w14:paraId="533F23A2">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60</w:t>
                  </w:r>
                </w:p>
              </w:tc>
              <w:tc>
                <w:tcPr>
                  <w:tcW w:w="783" w:type="pct"/>
                  <w:noWrap w:val="0"/>
                  <w:vAlign w:val="center"/>
                </w:tcPr>
                <w:p w14:paraId="559AC332">
                  <w:pPr>
                    <w:keepNext w:val="0"/>
                    <w:keepLines w:val="0"/>
                    <w:pageBreakBefore w:val="0"/>
                    <w:kinsoku/>
                    <w:wordWrap/>
                    <w:overflowPunct/>
                    <w:topLinePunct w:val="0"/>
                    <w:bidi w:val="0"/>
                    <w:adjustRightInd w:val="0"/>
                    <w:snapToGrid w:val="0"/>
                    <w:spacing w:line="240" w:lineRule="auto"/>
                    <w:ind w:firstLine="0" w:firstLineChars="0"/>
                    <w:jc w:val="center"/>
                    <w:rPr>
                      <w:rFonts w:hint="eastAsia" w:eastAsia="宋体"/>
                      <w:color w:val="auto"/>
                      <w:sz w:val="21"/>
                      <w:szCs w:val="21"/>
                      <w:lang w:eastAsia="zh-CN"/>
                    </w:rPr>
                  </w:pPr>
                  <w:r>
                    <w:rPr>
                      <w:rFonts w:hint="eastAsia"/>
                      <w:bCs/>
                      <w:color w:val="auto"/>
                      <w:sz w:val="21"/>
                      <w:szCs w:val="21"/>
                      <w:lang w:val="en-US" w:eastAsia="zh-CN"/>
                    </w:rPr>
                    <w:t>5</w:t>
                  </w:r>
                </w:p>
              </w:tc>
              <w:tc>
                <w:tcPr>
                  <w:tcW w:w="744" w:type="pct"/>
                  <w:noWrap w:val="0"/>
                  <w:vAlign w:val="center"/>
                </w:tcPr>
                <w:p w14:paraId="340FBAA5">
                  <w:pPr>
                    <w:keepNext w:val="0"/>
                    <w:keepLines w:val="0"/>
                    <w:pageBreakBefore w:val="0"/>
                    <w:widowControl/>
                    <w:kinsoku/>
                    <w:wordWrap/>
                    <w:overflowPunct/>
                    <w:topLinePunct w:val="0"/>
                    <w:bidi w:val="0"/>
                    <w:spacing w:line="240" w:lineRule="auto"/>
                    <w:ind w:firstLine="0" w:firstLineChars="0"/>
                    <w:jc w:val="center"/>
                    <w:textAlignment w:val="center"/>
                    <w:rPr>
                      <w:rFonts w:hint="default" w:eastAsia="宋体"/>
                      <w:color w:val="auto"/>
                      <w:sz w:val="21"/>
                      <w:szCs w:val="21"/>
                      <w:lang w:val="en-US" w:eastAsia="zh-CN"/>
                    </w:rPr>
                  </w:pPr>
                  <w:r>
                    <w:rPr>
                      <w:rFonts w:hint="eastAsia"/>
                      <w:color w:val="auto"/>
                      <w:sz w:val="21"/>
                      <w:szCs w:val="21"/>
                      <w:lang w:val="en-US" w:eastAsia="zh-CN"/>
                    </w:rPr>
                    <w:t>8.3</w:t>
                  </w:r>
                </w:p>
              </w:tc>
              <w:tc>
                <w:tcPr>
                  <w:tcW w:w="471" w:type="pct"/>
                  <w:noWrap w:val="0"/>
                  <w:vAlign w:val="center"/>
                </w:tcPr>
                <w:p w14:paraId="7F4CAB34">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达标</w:t>
                  </w:r>
                </w:p>
              </w:tc>
            </w:tr>
            <w:tr w14:paraId="1A4B7F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Merge w:val="continue"/>
                  <w:noWrap w:val="0"/>
                  <w:vAlign w:val="center"/>
                </w:tcPr>
                <w:p w14:paraId="4C38CC1F">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498" w:type="pct"/>
                  <w:noWrap w:val="0"/>
                  <w:vAlign w:val="center"/>
                </w:tcPr>
                <w:p w14:paraId="0491C776">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NO</w:t>
                  </w:r>
                  <w:r>
                    <w:rPr>
                      <w:color w:val="auto"/>
                      <w:sz w:val="21"/>
                      <w:szCs w:val="21"/>
                      <w:vertAlign w:val="subscript"/>
                      <w:lang w:eastAsia="zh-CN"/>
                    </w:rPr>
                    <w:t>2</w:t>
                  </w:r>
                </w:p>
              </w:tc>
              <w:tc>
                <w:tcPr>
                  <w:tcW w:w="1250" w:type="pct"/>
                  <w:noWrap w:val="0"/>
                  <w:vAlign w:val="center"/>
                </w:tcPr>
                <w:p w14:paraId="2D8B6882">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年平均质量浓度</w:t>
                  </w:r>
                </w:p>
              </w:tc>
              <w:tc>
                <w:tcPr>
                  <w:tcW w:w="783" w:type="pct"/>
                  <w:noWrap w:val="0"/>
                  <w:vAlign w:val="center"/>
                </w:tcPr>
                <w:p w14:paraId="2D01CFAB">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40</w:t>
                  </w:r>
                </w:p>
              </w:tc>
              <w:tc>
                <w:tcPr>
                  <w:tcW w:w="783" w:type="pct"/>
                  <w:noWrap w:val="0"/>
                  <w:vAlign w:val="center"/>
                </w:tcPr>
                <w:p w14:paraId="4C127005">
                  <w:pPr>
                    <w:keepNext w:val="0"/>
                    <w:keepLines w:val="0"/>
                    <w:pageBreakBefore w:val="0"/>
                    <w:kinsoku/>
                    <w:wordWrap/>
                    <w:overflowPunct/>
                    <w:topLinePunct w:val="0"/>
                    <w:bidi w:val="0"/>
                    <w:adjustRightInd w:val="0"/>
                    <w:snapToGrid w:val="0"/>
                    <w:spacing w:line="240" w:lineRule="auto"/>
                    <w:ind w:firstLine="0" w:firstLineChars="0"/>
                    <w:jc w:val="center"/>
                    <w:rPr>
                      <w:rFonts w:hint="eastAsia" w:eastAsia="宋体"/>
                      <w:color w:val="auto"/>
                      <w:sz w:val="21"/>
                      <w:szCs w:val="21"/>
                      <w:lang w:eastAsia="zh-CN"/>
                    </w:rPr>
                  </w:pPr>
                  <w:r>
                    <w:rPr>
                      <w:bCs/>
                      <w:color w:val="auto"/>
                      <w:sz w:val="21"/>
                      <w:szCs w:val="21"/>
                    </w:rPr>
                    <w:t>3</w:t>
                  </w:r>
                  <w:r>
                    <w:rPr>
                      <w:rFonts w:hint="eastAsia"/>
                      <w:bCs/>
                      <w:color w:val="auto"/>
                      <w:sz w:val="21"/>
                      <w:szCs w:val="21"/>
                      <w:lang w:val="en-US" w:eastAsia="zh-CN"/>
                    </w:rPr>
                    <w:t>1</w:t>
                  </w:r>
                </w:p>
              </w:tc>
              <w:tc>
                <w:tcPr>
                  <w:tcW w:w="744" w:type="pct"/>
                  <w:noWrap w:val="0"/>
                  <w:vAlign w:val="center"/>
                </w:tcPr>
                <w:p w14:paraId="6517D96D">
                  <w:pPr>
                    <w:keepNext w:val="0"/>
                    <w:keepLines w:val="0"/>
                    <w:pageBreakBefore w:val="0"/>
                    <w:widowControl/>
                    <w:kinsoku/>
                    <w:wordWrap/>
                    <w:overflowPunct/>
                    <w:topLinePunct w:val="0"/>
                    <w:bidi w:val="0"/>
                    <w:spacing w:line="240" w:lineRule="auto"/>
                    <w:ind w:firstLine="0" w:firstLineChars="0"/>
                    <w:jc w:val="center"/>
                    <w:textAlignment w:val="center"/>
                    <w:rPr>
                      <w:rFonts w:hint="default" w:eastAsia="宋体"/>
                      <w:color w:val="auto"/>
                      <w:sz w:val="21"/>
                      <w:szCs w:val="21"/>
                      <w:lang w:val="en-US" w:eastAsia="zh-CN"/>
                    </w:rPr>
                  </w:pPr>
                  <w:r>
                    <w:rPr>
                      <w:rFonts w:hint="eastAsia"/>
                      <w:color w:val="auto"/>
                      <w:sz w:val="21"/>
                      <w:szCs w:val="21"/>
                      <w:lang w:val="en-US" w:eastAsia="zh-CN"/>
                    </w:rPr>
                    <w:t>78</w:t>
                  </w:r>
                </w:p>
              </w:tc>
              <w:tc>
                <w:tcPr>
                  <w:tcW w:w="471" w:type="pct"/>
                  <w:noWrap w:val="0"/>
                  <w:vAlign w:val="center"/>
                </w:tcPr>
                <w:p w14:paraId="477DD75B">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达标</w:t>
                  </w:r>
                </w:p>
              </w:tc>
            </w:tr>
            <w:tr w14:paraId="680AF7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Merge w:val="continue"/>
                  <w:noWrap w:val="0"/>
                  <w:vAlign w:val="center"/>
                </w:tcPr>
                <w:p w14:paraId="7FB6602B">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498" w:type="pct"/>
                  <w:noWrap w:val="0"/>
                  <w:vAlign w:val="center"/>
                </w:tcPr>
                <w:p w14:paraId="5DB11E96">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PM</w:t>
                  </w:r>
                  <w:r>
                    <w:rPr>
                      <w:color w:val="auto"/>
                      <w:sz w:val="21"/>
                      <w:szCs w:val="21"/>
                      <w:vertAlign w:val="subscript"/>
                      <w:lang w:eastAsia="zh-CN"/>
                    </w:rPr>
                    <w:t>10</w:t>
                  </w:r>
                </w:p>
              </w:tc>
              <w:tc>
                <w:tcPr>
                  <w:tcW w:w="1250" w:type="pct"/>
                  <w:noWrap w:val="0"/>
                  <w:vAlign w:val="center"/>
                </w:tcPr>
                <w:p w14:paraId="6FAA0E02">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年平均质量浓度</w:t>
                  </w:r>
                </w:p>
              </w:tc>
              <w:tc>
                <w:tcPr>
                  <w:tcW w:w="783" w:type="pct"/>
                  <w:noWrap w:val="0"/>
                  <w:vAlign w:val="center"/>
                </w:tcPr>
                <w:p w14:paraId="39A72EF8">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70</w:t>
                  </w:r>
                </w:p>
              </w:tc>
              <w:tc>
                <w:tcPr>
                  <w:tcW w:w="783" w:type="pct"/>
                  <w:noWrap w:val="0"/>
                  <w:vAlign w:val="center"/>
                </w:tcPr>
                <w:p w14:paraId="7A66ABE0">
                  <w:pPr>
                    <w:keepNext w:val="0"/>
                    <w:keepLines w:val="0"/>
                    <w:pageBreakBefore w:val="0"/>
                    <w:kinsoku/>
                    <w:wordWrap/>
                    <w:overflowPunct/>
                    <w:topLinePunct w:val="0"/>
                    <w:bidi w:val="0"/>
                    <w:adjustRightInd w:val="0"/>
                    <w:snapToGrid w:val="0"/>
                    <w:spacing w:line="240" w:lineRule="auto"/>
                    <w:ind w:firstLine="0" w:firstLineChars="0"/>
                    <w:jc w:val="center"/>
                    <w:rPr>
                      <w:rFonts w:hint="default" w:eastAsia="宋体"/>
                      <w:color w:val="auto"/>
                      <w:sz w:val="21"/>
                      <w:szCs w:val="21"/>
                      <w:lang w:val="en-US" w:eastAsia="zh-CN"/>
                    </w:rPr>
                  </w:pPr>
                  <w:r>
                    <w:rPr>
                      <w:rFonts w:hint="eastAsia"/>
                      <w:bCs/>
                      <w:color w:val="auto"/>
                      <w:sz w:val="21"/>
                      <w:szCs w:val="21"/>
                      <w:lang w:val="en-US" w:eastAsia="zh-CN"/>
                    </w:rPr>
                    <w:t>74</w:t>
                  </w:r>
                </w:p>
              </w:tc>
              <w:tc>
                <w:tcPr>
                  <w:tcW w:w="744" w:type="pct"/>
                  <w:noWrap w:val="0"/>
                  <w:vAlign w:val="center"/>
                </w:tcPr>
                <w:p w14:paraId="01004EA3">
                  <w:pPr>
                    <w:keepNext w:val="0"/>
                    <w:keepLines w:val="0"/>
                    <w:pageBreakBefore w:val="0"/>
                    <w:widowControl/>
                    <w:kinsoku/>
                    <w:wordWrap/>
                    <w:overflowPunct/>
                    <w:topLinePunct w:val="0"/>
                    <w:bidi w:val="0"/>
                    <w:spacing w:line="240" w:lineRule="auto"/>
                    <w:ind w:firstLine="0" w:firstLineChars="0"/>
                    <w:jc w:val="center"/>
                    <w:textAlignment w:val="center"/>
                    <w:rPr>
                      <w:rFonts w:hint="default" w:eastAsia="宋体"/>
                      <w:color w:val="auto"/>
                      <w:sz w:val="21"/>
                      <w:szCs w:val="21"/>
                      <w:lang w:val="en-US" w:eastAsia="zh-CN"/>
                    </w:rPr>
                  </w:pPr>
                  <w:r>
                    <w:rPr>
                      <w:color w:val="auto"/>
                      <w:sz w:val="21"/>
                      <w:szCs w:val="21"/>
                    </w:rPr>
                    <w:t>1</w:t>
                  </w:r>
                  <w:r>
                    <w:rPr>
                      <w:rFonts w:hint="eastAsia"/>
                      <w:color w:val="auto"/>
                      <w:sz w:val="21"/>
                      <w:szCs w:val="21"/>
                      <w:lang w:val="en-US" w:eastAsia="zh-CN"/>
                    </w:rPr>
                    <w:t>06</w:t>
                  </w:r>
                </w:p>
              </w:tc>
              <w:tc>
                <w:tcPr>
                  <w:tcW w:w="471" w:type="pct"/>
                  <w:noWrap w:val="0"/>
                  <w:vAlign w:val="center"/>
                </w:tcPr>
                <w:p w14:paraId="4B7500A8">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val="en-US" w:eastAsia="zh-CN"/>
                    </w:rPr>
                    <w:t>超</w:t>
                  </w:r>
                  <w:r>
                    <w:rPr>
                      <w:color w:val="auto"/>
                      <w:sz w:val="21"/>
                      <w:szCs w:val="21"/>
                      <w:lang w:eastAsia="zh-CN"/>
                    </w:rPr>
                    <w:t>标</w:t>
                  </w:r>
                </w:p>
              </w:tc>
            </w:tr>
            <w:tr w14:paraId="51CC14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Merge w:val="continue"/>
                  <w:noWrap w:val="0"/>
                  <w:vAlign w:val="center"/>
                </w:tcPr>
                <w:p w14:paraId="19E039AC">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498" w:type="pct"/>
                  <w:noWrap w:val="0"/>
                  <w:vAlign w:val="center"/>
                </w:tcPr>
                <w:p w14:paraId="472D7F63">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PM</w:t>
                  </w:r>
                  <w:r>
                    <w:rPr>
                      <w:color w:val="auto"/>
                      <w:sz w:val="21"/>
                      <w:szCs w:val="21"/>
                      <w:vertAlign w:val="subscript"/>
                      <w:lang w:eastAsia="zh-CN"/>
                    </w:rPr>
                    <w:t>2.5</w:t>
                  </w:r>
                </w:p>
              </w:tc>
              <w:tc>
                <w:tcPr>
                  <w:tcW w:w="1250" w:type="pct"/>
                  <w:noWrap w:val="0"/>
                  <w:vAlign w:val="center"/>
                </w:tcPr>
                <w:p w14:paraId="63CFBCC0">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年平均质量浓度</w:t>
                  </w:r>
                </w:p>
              </w:tc>
              <w:tc>
                <w:tcPr>
                  <w:tcW w:w="783" w:type="pct"/>
                  <w:noWrap w:val="0"/>
                  <w:vAlign w:val="center"/>
                </w:tcPr>
                <w:p w14:paraId="5DCF627F">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35</w:t>
                  </w:r>
                </w:p>
              </w:tc>
              <w:tc>
                <w:tcPr>
                  <w:tcW w:w="783" w:type="pct"/>
                  <w:noWrap w:val="0"/>
                  <w:vAlign w:val="center"/>
                </w:tcPr>
                <w:p w14:paraId="2B7CCED8">
                  <w:pPr>
                    <w:keepNext w:val="0"/>
                    <w:keepLines w:val="0"/>
                    <w:pageBreakBefore w:val="0"/>
                    <w:kinsoku/>
                    <w:wordWrap/>
                    <w:overflowPunct/>
                    <w:topLinePunct w:val="0"/>
                    <w:bidi w:val="0"/>
                    <w:adjustRightInd w:val="0"/>
                    <w:snapToGrid w:val="0"/>
                    <w:spacing w:line="240" w:lineRule="auto"/>
                    <w:ind w:firstLine="0" w:firstLineChars="0"/>
                    <w:jc w:val="center"/>
                    <w:rPr>
                      <w:rFonts w:hint="eastAsia" w:eastAsia="宋体"/>
                      <w:color w:val="auto"/>
                      <w:sz w:val="21"/>
                      <w:szCs w:val="21"/>
                      <w:lang w:eastAsia="zh-CN"/>
                    </w:rPr>
                  </w:pPr>
                  <w:r>
                    <w:rPr>
                      <w:bCs/>
                      <w:color w:val="auto"/>
                      <w:sz w:val="21"/>
                      <w:szCs w:val="21"/>
                    </w:rPr>
                    <w:t>4</w:t>
                  </w:r>
                  <w:r>
                    <w:rPr>
                      <w:rFonts w:hint="eastAsia"/>
                      <w:bCs/>
                      <w:color w:val="auto"/>
                      <w:sz w:val="21"/>
                      <w:szCs w:val="21"/>
                      <w:lang w:val="en-US" w:eastAsia="zh-CN"/>
                    </w:rPr>
                    <w:t>3</w:t>
                  </w:r>
                </w:p>
              </w:tc>
              <w:tc>
                <w:tcPr>
                  <w:tcW w:w="744" w:type="pct"/>
                  <w:noWrap w:val="0"/>
                  <w:vAlign w:val="center"/>
                </w:tcPr>
                <w:p w14:paraId="5FBC2A93">
                  <w:pPr>
                    <w:keepNext w:val="0"/>
                    <w:keepLines w:val="0"/>
                    <w:pageBreakBefore w:val="0"/>
                    <w:widowControl/>
                    <w:kinsoku/>
                    <w:wordWrap/>
                    <w:overflowPunct/>
                    <w:topLinePunct w:val="0"/>
                    <w:bidi w:val="0"/>
                    <w:spacing w:line="240" w:lineRule="auto"/>
                    <w:ind w:firstLine="0" w:firstLineChars="0"/>
                    <w:jc w:val="center"/>
                    <w:textAlignment w:val="center"/>
                    <w:rPr>
                      <w:rFonts w:hint="default" w:eastAsia="宋体"/>
                      <w:color w:val="auto"/>
                      <w:sz w:val="21"/>
                      <w:szCs w:val="21"/>
                      <w:lang w:val="en-US" w:eastAsia="zh-CN"/>
                    </w:rPr>
                  </w:pPr>
                  <w:r>
                    <w:rPr>
                      <w:rFonts w:hint="eastAsia"/>
                      <w:color w:val="auto"/>
                      <w:sz w:val="21"/>
                      <w:szCs w:val="21"/>
                    </w:rPr>
                    <w:t>1</w:t>
                  </w:r>
                  <w:r>
                    <w:rPr>
                      <w:rFonts w:hint="eastAsia"/>
                      <w:color w:val="auto"/>
                      <w:sz w:val="21"/>
                      <w:szCs w:val="21"/>
                      <w:lang w:val="en-US" w:eastAsia="zh-CN"/>
                    </w:rPr>
                    <w:t>23</w:t>
                  </w:r>
                </w:p>
              </w:tc>
              <w:tc>
                <w:tcPr>
                  <w:tcW w:w="471" w:type="pct"/>
                  <w:noWrap w:val="0"/>
                  <w:vAlign w:val="center"/>
                </w:tcPr>
                <w:p w14:paraId="67ECA1EC">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val="en-US" w:eastAsia="zh-CN"/>
                    </w:rPr>
                    <w:t>超</w:t>
                  </w:r>
                  <w:r>
                    <w:rPr>
                      <w:color w:val="auto"/>
                      <w:sz w:val="21"/>
                      <w:szCs w:val="21"/>
                      <w:lang w:eastAsia="zh-CN"/>
                    </w:rPr>
                    <w:t>标</w:t>
                  </w:r>
                </w:p>
              </w:tc>
            </w:tr>
            <w:tr w14:paraId="1646935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Merge w:val="continue"/>
                  <w:noWrap w:val="0"/>
                  <w:vAlign w:val="center"/>
                </w:tcPr>
                <w:p w14:paraId="3644D59A">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498" w:type="pct"/>
                  <w:noWrap w:val="0"/>
                  <w:vAlign w:val="center"/>
                </w:tcPr>
                <w:p w14:paraId="2C0A4B6F">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CO</w:t>
                  </w:r>
                </w:p>
              </w:tc>
              <w:tc>
                <w:tcPr>
                  <w:tcW w:w="1250" w:type="pct"/>
                  <w:noWrap w:val="0"/>
                  <w:vAlign w:val="center"/>
                </w:tcPr>
                <w:p w14:paraId="2334815B">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第95百分位数日平均质量浓度</w:t>
                  </w:r>
                </w:p>
              </w:tc>
              <w:tc>
                <w:tcPr>
                  <w:tcW w:w="783" w:type="pct"/>
                  <w:noWrap w:val="0"/>
                  <w:vAlign w:val="center"/>
                </w:tcPr>
                <w:p w14:paraId="2C3449B1">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4000</w:t>
                  </w:r>
                </w:p>
              </w:tc>
              <w:tc>
                <w:tcPr>
                  <w:tcW w:w="783" w:type="pct"/>
                  <w:noWrap w:val="0"/>
                  <w:vAlign w:val="center"/>
                </w:tcPr>
                <w:p w14:paraId="738A986C">
                  <w:pPr>
                    <w:keepNext w:val="0"/>
                    <w:keepLines w:val="0"/>
                    <w:pageBreakBefore w:val="0"/>
                    <w:kinsoku/>
                    <w:wordWrap/>
                    <w:overflowPunct/>
                    <w:topLinePunct w:val="0"/>
                    <w:bidi w:val="0"/>
                    <w:adjustRightInd w:val="0"/>
                    <w:snapToGrid w:val="0"/>
                    <w:spacing w:line="240" w:lineRule="auto"/>
                    <w:ind w:firstLine="0" w:firstLineChars="0"/>
                    <w:jc w:val="center"/>
                    <w:rPr>
                      <w:color w:val="auto"/>
                      <w:sz w:val="21"/>
                      <w:szCs w:val="21"/>
                    </w:rPr>
                  </w:pPr>
                  <w:r>
                    <w:rPr>
                      <w:bCs/>
                      <w:color w:val="auto"/>
                      <w:sz w:val="21"/>
                      <w:szCs w:val="21"/>
                    </w:rPr>
                    <w:t>1</w:t>
                  </w:r>
                  <w:r>
                    <w:rPr>
                      <w:rFonts w:hint="eastAsia"/>
                      <w:bCs/>
                      <w:color w:val="auto"/>
                      <w:sz w:val="21"/>
                      <w:szCs w:val="21"/>
                      <w:lang w:val="en-US" w:eastAsia="zh-CN"/>
                    </w:rPr>
                    <w:t>1</w:t>
                  </w:r>
                  <w:r>
                    <w:rPr>
                      <w:bCs/>
                      <w:color w:val="auto"/>
                      <w:sz w:val="21"/>
                      <w:szCs w:val="21"/>
                    </w:rPr>
                    <w:t>00</w:t>
                  </w:r>
                </w:p>
              </w:tc>
              <w:tc>
                <w:tcPr>
                  <w:tcW w:w="744" w:type="pct"/>
                  <w:noWrap w:val="0"/>
                  <w:vAlign w:val="center"/>
                </w:tcPr>
                <w:p w14:paraId="2C48EB07">
                  <w:pPr>
                    <w:keepNext w:val="0"/>
                    <w:keepLines w:val="0"/>
                    <w:pageBreakBefore w:val="0"/>
                    <w:widowControl/>
                    <w:kinsoku/>
                    <w:wordWrap/>
                    <w:overflowPunct/>
                    <w:topLinePunct w:val="0"/>
                    <w:bidi w:val="0"/>
                    <w:spacing w:line="240" w:lineRule="auto"/>
                    <w:ind w:firstLine="0" w:firstLineChars="0"/>
                    <w:jc w:val="center"/>
                    <w:textAlignment w:val="center"/>
                    <w:rPr>
                      <w:color w:val="auto"/>
                      <w:sz w:val="21"/>
                      <w:szCs w:val="21"/>
                    </w:rPr>
                  </w:pPr>
                  <w:r>
                    <w:rPr>
                      <w:rFonts w:hint="eastAsia"/>
                      <w:color w:val="auto"/>
                      <w:sz w:val="21"/>
                      <w:szCs w:val="21"/>
                      <w:lang w:val="en-US" w:eastAsia="zh-CN"/>
                    </w:rPr>
                    <w:t>27</w:t>
                  </w:r>
                  <w:r>
                    <w:rPr>
                      <w:rFonts w:hint="eastAsia"/>
                      <w:color w:val="auto"/>
                      <w:sz w:val="21"/>
                      <w:szCs w:val="21"/>
                    </w:rPr>
                    <w:t>.</w:t>
                  </w:r>
                  <w:r>
                    <w:rPr>
                      <w:color w:val="auto"/>
                      <w:sz w:val="21"/>
                      <w:szCs w:val="21"/>
                    </w:rPr>
                    <w:t>5</w:t>
                  </w:r>
                </w:p>
              </w:tc>
              <w:tc>
                <w:tcPr>
                  <w:tcW w:w="471" w:type="pct"/>
                  <w:noWrap w:val="0"/>
                  <w:vAlign w:val="center"/>
                </w:tcPr>
                <w:p w14:paraId="3009B054">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达标</w:t>
                  </w:r>
                </w:p>
              </w:tc>
            </w:tr>
            <w:tr w14:paraId="1832CC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Merge w:val="continue"/>
                  <w:noWrap w:val="0"/>
                  <w:vAlign w:val="center"/>
                </w:tcPr>
                <w:p w14:paraId="5A368CC1">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p>
              </w:tc>
              <w:tc>
                <w:tcPr>
                  <w:tcW w:w="498" w:type="pct"/>
                  <w:noWrap w:val="0"/>
                  <w:vAlign w:val="center"/>
                </w:tcPr>
                <w:p w14:paraId="4F14B3D9">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O</w:t>
                  </w:r>
                  <w:r>
                    <w:rPr>
                      <w:color w:val="auto"/>
                      <w:sz w:val="21"/>
                      <w:szCs w:val="21"/>
                      <w:vertAlign w:val="subscript"/>
                      <w:lang w:eastAsia="zh-CN"/>
                    </w:rPr>
                    <w:t>3</w:t>
                  </w:r>
                </w:p>
              </w:tc>
              <w:tc>
                <w:tcPr>
                  <w:tcW w:w="1250" w:type="pct"/>
                  <w:noWrap w:val="0"/>
                  <w:vAlign w:val="center"/>
                </w:tcPr>
                <w:p w14:paraId="5495B8EA">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第90百分位数8h平均质量浓度</w:t>
                  </w:r>
                </w:p>
              </w:tc>
              <w:tc>
                <w:tcPr>
                  <w:tcW w:w="783" w:type="pct"/>
                  <w:noWrap w:val="0"/>
                  <w:vAlign w:val="center"/>
                </w:tcPr>
                <w:p w14:paraId="05ED9973">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eastAsia="zh-CN"/>
                    </w:rPr>
                    <w:t>160</w:t>
                  </w:r>
                </w:p>
              </w:tc>
              <w:tc>
                <w:tcPr>
                  <w:tcW w:w="783" w:type="pct"/>
                  <w:noWrap w:val="0"/>
                  <w:vAlign w:val="center"/>
                </w:tcPr>
                <w:p w14:paraId="348ED3A6">
                  <w:pPr>
                    <w:keepNext w:val="0"/>
                    <w:keepLines w:val="0"/>
                    <w:pageBreakBefore w:val="0"/>
                    <w:kinsoku/>
                    <w:wordWrap/>
                    <w:overflowPunct/>
                    <w:topLinePunct w:val="0"/>
                    <w:bidi w:val="0"/>
                    <w:adjustRightInd w:val="0"/>
                    <w:snapToGrid w:val="0"/>
                    <w:spacing w:line="240" w:lineRule="auto"/>
                    <w:ind w:firstLine="0" w:firstLineChars="0"/>
                    <w:jc w:val="center"/>
                    <w:rPr>
                      <w:rFonts w:hint="eastAsia" w:eastAsia="宋体"/>
                      <w:color w:val="auto"/>
                      <w:sz w:val="21"/>
                      <w:szCs w:val="21"/>
                      <w:lang w:eastAsia="zh-CN"/>
                    </w:rPr>
                  </w:pPr>
                  <w:r>
                    <w:rPr>
                      <w:bCs/>
                      <w:color w:val="auto"/>
                      <w:sz w:val="21"/>
                      <w:szCs w:val="21"/>
                    </w:rPr>
                    <w:t>16</w:t>
                  </w:r>
                  <w:r>
                    <w:rPr>
                      <w:rFonts w:hint="eastAsia"/>
                      <w:bCs/>
                      <w:color w:val="auto"/>
                      <w:sz w:val="21"/>
                      <w:szCs w:val="21"/>
                      <w:lang w:val="en-US" w:eastAsia="zh-CN"/>
                    </w:rPr>
                    <w:t>8</w:t>
                  </w:r>
                </w:p>
              </w:tc>
              <w:tc>
                <w:tcPr>
                  <w:tcW w:w="744" w:type="pct"/>
                  <w:noWrap w:val="0"/>
                  <w:vAlign w:val="center"/>
                </w:tcPr>
                <w:p w14:paraId="23F5C375">
                  <w:pPr>
                    <w:keepNext w:val="0"/>
                    <w:keepLines w:val="0"/>
                    <w:pageBreakBefore w:val="0"/>
                    <w:widowControl/>
                    <w:kinsoku/>
                    <w:wordWrap/>
                    <w:overflowPunct/>
                    <w:topLinePunct w:val="0"/>
                    <w:bidi w:val="0"/>
                    <w:spacing w:line="240" w:lineRule="auto"/>
                    <w:ind w:firstLine="0" w:firstLineChars="0"/>
                    <w:jc w:val="center"/>
                    <w:textAlignment w:val="center"/>
                    <w:rPr>
                      <w:rFonts w:hint="eastAsia" w:eastAsia="宋体"/>
                      <w:color w:val="auto"/>
                      <w:sz w:val="21"/>
                      <w:szCs w:val="21"/>
                      <w:lang w:eastAsia="zh-CN"/>
                    </w:rPr>
                  </w:pPr>
                  <w:r>
                    <w:rPr>
                      <w:color w:val="auto"/>
                      <w:sz w:val="21"/>
                      <w:szCs w:val="21"/>
                    </w:rPr>
                    <w:t>1</w:t>
                  </w:r>
                  <w:r>
                    <w:rPr>
                      <w:rFonts w:hint="eastAsia"/>
                      <w:color w:val="auto"/>
                      <w:sz w:val="21"/>
                      <w:szCs w:val="21"/>
                    </w:rPr>
                    <w:t>0</w:t>
                  </w:r>
                  <w:r>
                    <w:rPr>
                      <w:rFonts w:hint="eastAsia"/>
                      <w:color w:val="auto"/>
                      <w:sz w:val="21"/>
                      <w:szCs w:val="21"/>
                      <w:lang w:val="en-US" w:eastAsia="zh-CN"/>
                    </w:rPr>
                    <w:t>5</w:t>
                  </w:r>
                </w:p>
              </w:tc>
              <w:tc>
                <w:tcPr>
                  <w:tcW w:w="471" w:type="pct"/>
                  <w:noWrap w:val="0"/>
                  <w:vAlign w:val="center"/>
                </w:tcPr>
                <w:p w14:paraId="254825A5">
                  <w:pPr>
                    <w:pStyle w:val="54"/>
                    <w:keepNext w:val="0"/>
                    <w:keepLines w:val="0"/>
                    <w:pageBreakBefore w:val="0"/>
                    <w:kinsoku/>
                    <w:wordWrap/>
                    <w:overflowPunct/>
                    <w:topLinePunct w:val="0"/>
                    <w:bidi w:val="0"/>
                    <w:spacing w:before="0" w:after="0" w:line="240" w:lineRule="auto"/>
                    <w:ind w:firstLine="0" w:firstLineChars="0"/>
                    <w:rPr>
                      <w:color w:val="auto"/>
                      <w:sz w:val="21"/>
                      <w:szCs w:val="21"/>
                    </w:rPr>
                  </w:pPr>
                  <w:r>
                    <w:rPr>
                      <w:color w:val="auto"/>
                      <w:sz w:val="21"/>
                      <w:szCs w:val="21"/>
                      <w:lang w:val="en-US" w:eastAsia="zh-CN"/>
                    </w:rPr>
                    <w:t>超</w:t>
                  </w:r>
                  <w:r>
                    <w:rPr>
                      <w:color w:val="auto"/>
                      <w:sz w:val="21"/>
                      <w:szCs w:val="21"/>
                      <w:lang w:eastAsia="zh-CN"/>
                    </w:rPr>
                    <w:t>标</w:t>
                  </w:r>
                </w:p>
              </w:tc>
            </w:tr>
          </w:tbl>
          <w:p w14:paraId="52C6C90E">
            <w:pPr>
              <w:adjustRightInd w:val="0"/>
              <w:snapToGrid w:val="0"/>
              <w:spacing w:before="120" w:beforeLines="50" w:line="360" w:lineRule="auto"/>
              <w:ind w:firstLine="480" w:firstLineChars="200"/>
              <w:rPr>
                <w:color w:val="auto"/>
                <w:sz w:val="24"/>
              </w:rPr>
            </w:pPr>
            <w:r>
              <w:rPr>
                <w:color w:val="auto"/>
                <w:sz w:val="24"/>
              </w:rPr>
              <w:t>根据表3-1可知，项目所在区域NO</w:t>
            </w:r>
            <w:r>
              <w:rPr>
                <w:color w:val="auto"/>
                <w:sz w:val="24"/>
                <w:vertAlign w:val="subscript"/>
              </w:rPr>
              <w:t>2</w:t>
            </w:r>
            <w:r>
              <w:rPr>
                <w:color w:val="auto"/>
                <w:sz w:val="24"/>
              </w:rPr>
              <w:t>、SO</w:t>
            </w:r>
            <w:r>
              <w:rPr>
                <w:color w:val="auto"/>
                <w:sz w:val="24"/>
                <w:vertAlign w:val="subscript"/>
              </w:rPr>
              <w:t>2</w:t>
            </w:r>
            <w:r>
              <w:rPr>
                <w:color w:val="auto"/>
                <w:sz w:val="24"/>
              </w:rPr>
              <w:t>年平均质量浓度和CO第95百分位数日平均浓度满足《环境空气质量标准》（GB3095-2012）二级标准，PM</w:t>
            </w:r>
            <w:r>
              <w:rPr>
                <w:color w:val="auto"/>
                <w:sz w:val="24"/>
                <w:vertAlign w:val="subscript"/>
              </w:rPr>
              <w:t>10</w:t>
            </w:r>
            <w:r>
              <w:rPr>
                <w:color w:val="auto"/>
                <w:sz w:val="24"/>
              </w:rPr>
              <w:t>和PM</w:t>
            </w:r>
            <w:r>
              <w:rPr>
                <w:color w:val="auto"/>
                <w:sz w:val="24"/>
                <w:vertAlign w:val="subscript"/>
              </w:rPr>
              <w:t>2.5</w:t>
            </w:r>
            <w:r>
              <w:rPr>
                <w:color w:val="auto"/>
                <w:sz w:val="24"/>
              </w:rPr>
              <w:t>的年平均值、O</w:t>
            </w:r>
            <w:r>
              <w:rPr>
                <w:color w:val="auto"/>
                <w:sz w:val="24"/>
                <w:vertAlign w:val="subscript"/>
              </w:rPr>
              <w:t>3</w:t>
            </w:r>
            <w:r>
              <w:rPr>
                <w:rFonts w:ascii="Times New Roman" w:hAnsi="Times New Roman" w:eastAsia="宋体" w:cs="Times New Roman"/>
                <w:color w:val="auto"/>
                <w:sz w:val="24"/>
              </w:rPr>
              <w:t>日</w:t>
            </w:r>
            <w:r>
              <w:rPr>
                <w:rFonts w:ascii="Times New Roman" w:hAnsi="Times New Roman" w:eastAsia="宋体" w:cs="Times New Roman"/>
                <w:color w:val="auto"/>
                <w:sz w:val="24"/>
                <w:lang w:eastAsia="zh-CN"/>
              </w:rPr>
              <w:t>第90百分位数8h平均质量浓度</w:t>
            </w:r>
            <w:r>
              <w:rPr>
                <w:rFonts w:ascii="Times New Roman" w:hAnsi="Times New Roman" w:eastAsia="宋体" w:cs="Times New Roman"/>
                <w:color w:val="auto"/>
                <w:sz w:val="24"/>
              </w:rPr>
              <w:t>均超过</w:t>
            </w:r>
            <w:r>
              <w:rPr>
                <w:color w:val="auto"/>
                <w:sz w:val="24"/>
              </w:rPr>
              <w:t>《环境空气质量标准》（GB3095-2012）中二级标准。</w:t>
            </w:r>
          </w:p>
          <w:p w14:paraId="25A39172">
            <w:pPr>
              <w:spacing w:line="360" w:lineRule="auto"/>
              <w:ind w:firstLine="480" w:firstLineChars="200"/>
              <w:rPr>
                <w:color w:val="auto"/>
                <w:sz w:val="24"/>
              </w:rPr>
            </w:pPr>
            <w:r>
              <w:rPr>
                <w:color w:val="auto"/>
                <w:sz w:val="24"/>
              </w:rPr>
              <w:t>（2）特征污染物环境质量现状</w:t>
            </w:r>
          </w:p>
          <w:p w14:paraId="5DA39A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highlight w:val="none"/>
              </w:rPr>
              <w:t>本次评价</w:t>
            </w:r>
            <w:r>
              <w:rPr>
                <w:rFonts w:hint="eastAsia" w:ascii="Times New Roman" w:hAnsi="Times New Roman" w:eastAsia="宋体" w:cs="Times New Roman"/>
                <w:color w:val="auto"/>
                <w:sz w:val="24"/>
                <w:lang w:val="en-US" w:eastAsia="zh-CN"/>
              </w:rPr>
              <w:t>TSP引用陕西泽希监测服务有限公司出具的《</w:t>
            </w:r>
            <w:r>
              <w:rPr>
                <w:rFonts w:hint="default" w:ascii="Times New Roman" w:hAnsi="Times New Roman" w:eastAsia="宋体" w:cs="Times New Roman"/>
                <w:color w:val="auto"/>
                <w:sz w:val="24"/>
                <w:lang w:val="en-US" w:eastAsia="zh-CN"/>
              </w:rPr>
              <w:t>陕西兴龙人防工程设备有限公司人防门生产</w:t>
            </w:r>
            <w:r>
              <w:rPr>
                <w:rFonts w:hint="default" w:ascii="Times New Roman" w:hAnsi="Times New Roman" w:eastAsia="宋体" w:cs="Times New Roman"/>
                <w:color w:val="auto"/>
                <w:sz w:val="24"/>
              </w:rPr>
              <w:t>项目</w:t>
            </w:r>
            <w:r>
              <w:rPr>
                <w:rFonts w:hint="eastAsia" w:ascii="Times New Roman" w:hAnsi="Times New Roman" w:eastAsia="宋体" w:cs="Times New Roman"/>
                <w:color w:val="auto"/>
                <w:sz w:val="24"/>
                <w:lang w:val="en-US" w:eastAsia="zh-CN"/>
              </w:rPr>
              <w:t>现状监测报告》，泽希检测（气）202307011号，监测时间</w:t>
            </w:r>
            <w:r>
              <w:rPr>
                <w:rFonts w:hint="default" w:ascii="Times New Roman" w:hAnsi="Times New Roman" w:eastAsia="宋体" w:cs="Times New Roman"/>
                <w:color w:val="auto"/>
                <w:sz w:val="24"/>
              </w:rPr>
              <w:t>202</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14</w:t>
            </w:r>
            <w:r>
              <w:rPr>
                <w:rFonts w:hint="default" w:ascii="Times New Roman" w:hAnsi="Times New Roman" w:eastAsia="宋体" w:cs="Times New Roman"/>
                <w:color w:val="auto"/>
                <w:sz w:val="24"/>
              </w:rPr>
              <w:t>日~202</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16</w:t>
            </w:r>
            <w:r>
              <w:rPr>
                <w:rFonts w:hint="default" w:ascii="Times New Roman" w:hAnsi="Times New Roman" w:eastAsia="宋体" w:cs="Times New Roman"/>
                <w:color w:val="auto"/>
                <w:sz w:val="24"/>
              </w:rPr>
              <w:t>日</w:t>
            </w:r>
            <w:r>
              <w:rPr>
                <w:rFonts w:hint="eastAsia" w:ascii="Times New Roman" w:hAnsi="Times New Roman" w:eastAsia="宋体" w:cs="Times New Roman"/>
                <w:color w:val="auto"/>
                <w:sz w:val="24"/>
                <w:lang w:val="en-US" w:eastAsia="zh-CN"/>
              </w:rPr>
              <w:t>，监测点位位于本项目东北侧1640m，</w:t>
            </w:r>
            <w:r>
              <w:rPr>
                <w:rFonts w:hint="default" w:ascii="Times New Roman" w:hAnsi="Times New Roman" w:eastAsia="宋体" w:cs="Times New Roman"/>
                <w:color w:val="auto"/>
                <w:sz w:val="24"/>
              </w:rPr>
              <w:t>满足《建设项目环境影响报告表编制技术指南（污染类影响）》（试行）中“项目周边5km范围内近3年监测数据”的引用要求</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引用监测报告见附件5。</w:t>
            </w:r>
          </w:p>
          <w:p w14:paraId="27B79A8C">
            <w:pPr>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表3-2  项目其他污染物监测点位基本信息表</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937"/>
              <w:gridCol w:w="1051"/>
              <w:gridCol w:w="833"/>
              <w:gridCol w:w="1513"/>
              <w:gridCol w:w="1300"/>
              <w:gridCol w:w="1102"/>
            </w:tblGrid>
            <w:tr w14:paraId="5EFBA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30" w:type="pct"/>
                  <w:vMerge w:val="restart"/>
                  <w:noWrap w:val="0"/>
                  <w:vAlign w:val="center"/>
                </w:tcPr>
                <w:p w14:paraId="52154399">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监测点名称</w:t>
                  </w:r>
                </w:p>
              </w:tc>
              <w:tc>
                <w:tcPr>
                  <w:tcW w:w="1201" w:type="pct"/>
                  <w:gridSpan w:val="2"/>
                  <w:noWrap w:val="0"/>
                  <w:vAlign w:val="center"/>
                </w:tcPr>
                <w:p w14:paraId="1616C89D">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监测点坐标/m</w:t>
                  </w:r>
                </w:p>
              </w:tc>
              <w:tc>
                <w:tcPr>
                  <w:tcW w:w="503" w:type="pct"/>
                  <w:vMerge w:val="restart"/>
                  <w:noWrap w:val="0"/>
                  <w:vAlign w:val="center"/>
                </w:tcPr>
                <w:p w14:paraId="1217720D">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监测因子</w:t>
                  </w:r>
                </w:p>
              </w:tc>
              <w:tc>
                <w:tcPr>
                  <w:tcW w:w="914" w:type="pct"/>
                  <w:vMerge w:val="restart"/>
                  <w:noWrap w:val="0"/>
                  <w:vAlign w:val="center"/>
                </w:tcPr>
                <w:p w14:paraId="419140D7">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eastAsia" w:cs="Times New Roman"/>
                      <w:color w:val="auto"/>
                      <w:kern w:val="0"/>
                      <w:sz w:val="21"/>
                      <w:szCs w:val="21"/>
                      <w:lang w:val="en-US" w:eastAsia="zh-CN"/>
                    </w:rPr>
                    <w:t>监</w:t>
                  </w:r>
                  <w:r>
                    <w:rPr>
                      <w:rFonts w:hint="default" w:ascii="Times New Roman" w:hAnsi="Times New Roman" w:cs="Times New Roman"/>
                      <w:color w:val="auto"/>
                      <w:kern w:val="0"/>
                      <w:sz w:val="21"/>
                      <w:szCs w:val="21"/>
                    </w:rPr>
                    <w:t>测时段</w:t>
                  </w:r>
                </w:p>
              </w:tc>
              <w:tc>
                <w:tcPr>
                  <w:tcW w:w="785" w:type="pct"/>
                  <w:vMerge w:val="restart"/>
                  <w:noWrap w:val="0"/>
                  <w:vAlign w:val="center"/>
                </w:tcPr>
                <w:p w14:paraId="437FBEAF">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相对厂址</w:t>
                  </w:r>
                </w:p>
                <w:p w14:paraId="42DB6DBB">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方位</w:t>
                  </w:r>
                </w:p>
              </w:tc>
              <w:tc>
                <w:tcPr>
                  <w:tcW w:w="665" w:type="pct"/>
                  <w:vMerge w:val="restart"/>
                  <w:noWrap w:val="0"/>
                  <w:vAlign w:val="center"/>
                </w:tcPr>
                <w:p w14:paraId="09569362">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相对厂界距离/m</w:t>
                  </w:r>
                </w:p>
              </w:tc>
            </w:tr>
            <w:tr w14:paraId="351E15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30" w:type="pct"/>
                  <w:vMerge w:val="continue"/>
                  <w:noWrap w:val="0"/>
                  <w:vAlign w:val="center"/>
                </w:tcPr>
                <w:p w14:paraId="4F8F8E87">
                  <w:pPr>
                    <w:widowControl/>
                    <w:snapToGrid w:val="0"/>
                    <w:spacing w:before="31" w:beforeLines="10" w:after="31" w:afterLines="10"/>
                    <w:jc w:val="left"/>
                    <w:rPr>
                      <w:rFonts w:hint="default" w:ascii="Times New Roman" w:hAnsi="Times New Roman" w:cs="Times New Roman"/>
                      <w:color w:val="auto"/>
                      <w:kern w:val="0"/>
                      <w:sz w:val="21"/>
                      <w:szCs w:val="21"/>
                    </w:rPr>
                  </w:pPr>
                </w:p>
              </w:tc>
              <w:tc>
                <w:tcPr>
                  <w:tcW w:w="566" w:type="pct"/>
                  <w:noWrap w:val="0"/>
                  <w:vAlign w:val="center"/>
                </w:tcPr>
                <w:p w14:paraId="4FD0C62A">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X</w:t>
                  </w:r>
                </w:p>
              </w:tc>
              <w:tc>
                <w:tcPr>
                  <w:tcW w:w="635" w:type="pct"/>
                  <w:noWrap w:val="0"/>
                  <w:vAlign w:val="center"/>
                </w:tcPr>
                <w:p w14:paraId="0B5A8BD5">
                  <w:pPr>
                    <w:widowControl/>
                    <w:snapToGrid w:val="0"/>
                    <w:spacing w:before="31" w:beforeLines="10" w:after="31" w:afterLines="1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Y</w:t>
                  </w:r>
                </w:p>
              </w:tc>
              <w:tc>
                <w:tcPr>
                  <w:tcW w:w="503" w:type="pct"/>
                  <w:vMerge w:val="continue"/>
                  <w:noWrap w:val="0"/>
                  <w:vAlign w:val="center"/>
                </w:tcPr>
                <w:p w14:paraId="579C2179">
                  <w:pPr>
                    <w:widowControl/>
                    <w:snapToGrid w:val="0"/>
                    <w:spacing w:before="31" w:beforeLines="10" w:after="31" w:afterLines="10"/>
                    <w:jc w:val="left"/>
                    <w:rPr>
                      <w:rFonts w:hint="default" w:ascii="Times New Roman" w:hAnsi="Times New Roman" w:cs="Times New Roman"/>
                      <w:color w:val="auto"/>
                      <w:kern w:val="0"/>
                      <w:sz w:val="21"/>
                      <w:szCs w:val="21"/>
                    </w:rPr>
                  </w:pPr>
                </w:p>
              </w:tc>
              <w:tc>
                <w:tcPr>
                  <w:tcW w:w="914" w:type="pct"/>
                  <w:vMerge w:val="continue"/>
                  <w:noWrap w:val="0"/>
                  <w:vAlign w:val="center"/>
                </w:tcPr>
                <w:p w14:paraId="549E4F0C">
                  <w:pPr>
                    <w:widowControl/>
                    <w:snapToGrid w:val="0"/>
                    <w:spacing w:before="31" w:beforeLines="10" w:after="31" w:afterLines="10"/>
                    <w:jc w:val="left"/>
                    <w:rPr>
                      <w:rFonts w:hint="default" w:ascii="Times New Roman" w:hAnsi="Times New Roman" w:cs="Times New Roman"/>
                      <w:color w:val="auto"/>
                      <w:kern w:val="0"/>
                      <w:sz w:val="21"/>
                      <w:szCs w:val="21"/>
                    </w:rPr>
                  </w:pPr>
                </w:p>
              </w:tc>
              <w:tc>
                <w:tcPr>
                  <w:tcW w:w="785" w:type="pct"/>
                  <w:vMerge w:val="continue"/>
                  <w:noWrap w:val="0"/>
                  <w:vAlign w:val="center"/>
                </w:tcPr>
                <w:p w14:paraId="72597738">
                  <w:pPr>
                    <w:widowControl/>
                    <w:snapToGrid w:val="0"/>
                    <w:spacing w:before="31" w:beforeLines="10" w:after="31" w:afterLines="10"/>
                    <w:jc w:val="left"/>
                    <w:rPr>
                      <w:rFonts w:hint="default" w:ascii="Times New Roman" w:hAnsi="Times New Roman" w:cs="Times New Roman"/>
                      <w:color w:val="auto"/>
                      <w:kern w:val="0"/>
                      <w:sz w:val="21"/>
                      <w:szCs w:val="21"/>
                    </w:rPr>
                  </w:pPr>
                </w:p>
              </w:tc>
              <w:tc>
                <w:tcPr>
                  <w:tcW w:w="665" w:type="pct"/>
                  <w:vMerge w:val="continue"/>
                  <w:noWrap w:val="0"/>
                  <w:vAlign w:val="center"/>
                </w:tcPr>
                <w:p w14:paraId="5FF31095">
                  <w:pPr>
                    <w:widowControl/>
                    <w:snapToGrid w:val="0"/>
                    <w:spacing w:before="31" w:beforeLines="10" w:after="31" w:afterLines="10"/>
                    <w:jc w:val="left"/>
                    <w:rPr>
                      <w:rFonts w:hint="default" w:ascii="Times New Roman" w:hAnsi="Times New Roman" w:cs="Times New Roman"/>
                      <w:color w:val="auto"/>
                      <w:kern w:val="0"/>
                      <w:sz w:val="21"/>
                      <w:szCs w:val="21"/>
                    </w:rPr>
                  </w:pPr>
                </w:p>
              </w:tc>
            </w:tr>
            <w:tr w14:paraId="70A424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30" w:type="pct"/>
                  <w:noWrap w:val="0"/>
                  <w:vAlign w:val="center"/>
                </w:tcPr>
                <w:p w14:paraId="48C28020">
                  <w:pPr>
                    <w:widowControl/>
                    <w:snapToGrid w:val="0"/>
                    <w:spacing w:before="31" w:beforeLines="10" w:after="31" w:afterLines="1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A1</w:t>
                  </w:r>
                  <w:r>
                    <w:rPr>
                      <w:rFonts w:hint="default" w:ascii="Times New Roman" w:hAnsi="Times New Roman" w:cs="Times New Roman"/>
                      <w:color w:val="auto"/>
                      <w:kern w:val="0"/>
                      <w:sz w:val="21"/>
                      <w:szCs w:val="21"/>
                      <w:lang w:val="en-US" w:eastAsia="zh-CN"/>
                    </w:rPr>
                    <w:t>厂区西南侧</w:t>
                  </w:r>
                </w:p>
              </w:tc>
              <w:tc>
                <w:tcPr>
                  <w:tcW w:w="566" w:type="pct"/>
                  <w:noWrap w:val="0"/>
                  <w:vAlign w:val="center"/>
                </w:tcPr>
                <w:p w14:paraId="5D521FF1">
                  <w:pPr>
                    <w:widowControl/>
                    <w:snapToGrid w:val="0"/>
                    <w:spacing w:before="31" w:beforeLines="10" w:after="31" w:afterLines="1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586976</w:t>
                  </w:r>
                </w:p>
              </w:tc>
              <w:tc>
                <w:tcPr>
                  <w:tcW w:w="635" w:type="pct"/>
                  <w:noWrap w:val="0"/>
                  <w:vAlign w:val="center"/>
                </w:tcPr>
                <w:p w14:paraId="6C199A99">
                  <w:pPr>
                    <w:widowControl/>
                    <w:snapToGrid w:val="0"/>
                    <w:spacing w:before="31" w:beforeLines="10" w:after="31" w:afterLines="1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3823796</w:t>
                  </w:r>
                </w:p>
              </w:tc>
              <w:tc>
                <w:tcPr>
                  <w:tcW w:w="503" w:type="pct"/>
                  <w:noWrap w:val="0"/>
                  <w:vAlign w:val="center"/>
                </w:tcPr>
                <w:p w14:paraId="2DC29D0A">
                  <w:pPr>
                    <w:widowControl/>
                    <w:snapToGrid w:val="0"/>
                    <w:spacing w:before="31" w:beforeLines="10" w:after="31" w:afterLines="1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TSP</w:t>
                  </w:r>
                </w:p>
              </w:tc>
              <w:tc>
                <w:tcPr>
                  <w:tcW w:w="914" w:type="pct"/>
                  <w:noWrap w:val="0"/>
                  <w:vAlign w:val="center"/>
                </w:tcPr>
                <w:p w14:paraId="54AEC78C">
                  <w:pPr>
                    <w:widowControl/>
                    <w:snapToGrid w:val="0"/>
                    <w:spacing w:before="31" w:beforeLines="10" w:after="31" w:afterLines="1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rPr>
                    <w:t>202</w:t>
                  </w:r>
                  <w:r>
                    <w:rPr>
                      <w:rFonts w:hint="default" w:ascii="Times New Roman" w:hAnsi="Times New Roman" w:eastAsia="宋体" w:cs="Times New Roman"/>
                      <w:color w:val="auto"/>
                      <w:kern w:val="0"/>
                      <w:sz w:val="21"/>
                      <w:szCs w:val="21"/>
                      <w:highlight w:val="none"/>
                      <w:lang w:val="en-US" w:eastAsia="zh-CN"/>
                    </w:rPr>
                    <w:t>3</w:t>
                  </w:r>
                  <w:r>
                    <w:rPr>
                      <w:rFonts w:hint="default" w:ascii="Times New Roman" w:hAnsi="Times New Roman" w:eastAsia="宋体" w:cs="Times New Roman"/>
                      <w:color w:val="auto"/>
                      <w:kern w:val="0"/>
                      <w:sz w:val="21"/>
                      <w:szCs w:val="21"/>
                      <w:highlight w:val="none"/>
                    </w:rPr>
                    <w:t>年</w:t>
                  </w:r>
                  <w:r>
                    <w:rPr>
                      <w:rFonts w:hint="default" w:ascii="Times New Roman" w:hAnsi="Times New Roman" w:eastAsia="宋体"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月</w:t>
                  </w:r>
                  <w:r>
                    <w:rPr>
                      <w:rFonts w:hint="default" w:ascii="Times New Roman" w:hAnsi="Times New Roman" w:eastAsia="宋体" w:cs="Times New Roman"/>
                      <w:color w:val="auto"/>
                      <w:kern w:val="0"/>
                      <w:sz w:val="21"/>
                      <w:szCs w:val="21"/>
                      <w:highlight w:val="none"/>
                      <w:lang w:val="en-US" w:eastAsia="zh-CN"/>
                    </w:rPr>
                    <w:t>14</w:t>
                  </w:r>
                  <w:r>
                    <w:rPr>
                      <w:rFonts w:hint="default" w:ascii="Times New Roman" w:hAnsi="Times New Roman" w:eastAsia="宋体" w:cs="Times New Roman"/>
                      <w:color w:val="auto"/>
                      <w:kern w:val="0"/>
                      <w:sz w:val="21"/>
                      <w:szCs w:val="21"/>
                      <w:highlight w:val="none"/>
                    </w:rPr>
                    <w:t>日~</w:t>
                  </w:r>
                  <w:r>
                    <w:rPr>
                      <w:rFonts w:hint="default" w:ascii="Times New Roman" w:hAnsi="Times New Roman" w:eastAsia="宋体"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月</w:t>
                  </w:r>
                  <w:r>
                    <w:rPr>
                      <w:rFonts w:hint="default" w:ascii="Times New Roman" w:hAnsi="Times New Roman" w:eastAsia="宋体" w:cs="Times New Roman"/>
                      <w:color w:val="auto"/>
                      <w:kern w:val="0"/>
                      <w:sz w:val="21"/>
                      <w:szCs w:val="21"/>
                      <w:highlight w:val="none"/>
                      <w:lang w:val="en-US" w:eastAsia="zh-CN"/>
                    </w:rPr>
                    <w:t>16</w:t>
                  </w:r>
                  <w:r>
                    <w:rPr>
                      <w:rFonts w:hint="default" w:ascii="Times New Roman" w:hAnsi="Times New Roman" w:eastAsia="宋体" w:cs="Times New Roman"/>
                      <w:color w:val="auto"/>
                      <w:kern w:val="0"/>
                      <w:sz w:val="21"/>
                      <w:szCs w:val="21"/>
                      <w:highlight w:val="none"/>
                    </w:rPr>
                    <w:t>日</w:t>
                  </w:r>
                </w:p>
              </w:tc>
              <w:tc>
                <w:tcPr>
                  <w:tcW w:w="785" w:type="pct"/>
                  <w:noWrap w:val="0"/>
                  <w:vAlign w:val="center"/>
                </w:tcPr>
                <w:p w14:paraId="44E78A41">
                  <w:pPr>
                    <w:widowControl/>
                    <w:snapToGrid w:val="0"/>
                    <w:spacing w:before="31" w:beforeLines="10" w:after="31" w:afterLines="1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NE</w:t>
                  </w:r>
                </w:p>
              </w:tc>
              <w:tc>
                <w:tcPr>
                  <w:tcW w:w="665" w:type="pct"/>
                  <w:noWrap w:val="0"/>
                  <w:vAlign w:val="center"/>
                </w:tcPr>
                <w:p w14:paraId="6AA68B33">
                  <w:pPr>
                    <w:widowControl/>
                    <w:snapToGrid w:val="0"/>
                    <w:spacing w:before="31" w:beforeLines="10" w:after="31" w:afterLines="1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1640</w:t>
                  </w:r>
                </w:p>
              </w:tc>
            </w:tr>
          </w:tbl>
          <w:p w14:paraId="6D5DD48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对监测数据进行统计，结果如下表3-</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w:t>
            </w:r>
          </w:p>
          <w:p w14:paraId="6C626425">
            <w:pPr>
              <w:snapToGrid w:val="0"/>
              <w:jc w:val="center"/>
              <w:rPr>
                <w:rFonts w:hint="default" w:ascii="Times New Roman" w:hAnsi="Times New Roman" w:eastAsia="Times New Roman" w:cs="Times New Roman"/>
                <w:b/>
                <w:color w:val="auto"/>
                <w:szCs w:val="21"/>
              </w:rPr>
            </w:pPr>
            <w:r>
              <w:rPr>
                <w:rFonts w:hint="default" w:ascii="Times New Roman" w:hAnsi="Times New Roman" w:eastAsia="Times New Roman" w:cs="Times New Roman"/>
                <w:b/>
                <w:color w:val="auto"/>
                <w:szCs w:val="21"/>
              </w:rPr>
              <w:t>表3-</w:t>
            </w:r>
            <w:r>
              <w:rPr>
                <w:rFonts w:hint="eastAsia" w:ascii="Times New Roman" w:hAnsi="Times New Roman" w:eastAsia="宋体" w:cs="Times New Roman"/>
                <w:b/>
                <w:color w:val="auto"/>
                <w:szCs w:val="21"/>
                <w:lang w:val="en-US" w:eastAsia="zh-CN"/>
              </w:rPr>
              <w:t>3</w:t>
            </w:r>
            <w:r>
              <w:rPr>
                <w:rFonts w:hint="default" w:ascii="Times New Roman" w:hAnsi="Times New Roman" w:eastAsia="Times New Roman" w:cs="Times New Roman"/>
                <w:b/>
                <w:color w:val="auto"/>
                <w:szCs w:val="21"/>
              </w:rPr>
              <w:t xml:space="preserve">  评价结果统计表</w:t>
            </w:r>
          </w:p>
          <w:tbl>
            <w:tblPr>
              <w:tblStyle w:val="2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783"/>
              <w:gridCol w:w="1532"/>
              <w:gridCol w:w="1315"/>
              <w:gridCol w:w="1297"/>
              <w:gridCol w:w="989"/>
              <w:gridCol w:w="780"/>
              <w:gridCol w:w="823"/>
            </w:tblGrid>
            <w:tr w14:paraId="4BD34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56" w:type="pct"/>
                  <w:vMerge w:val="restart"/>
                  <w:noWrap w:val="0"/>
                  <w:vAlign w:val="center"/>
                </w:tcPr>
                <w:p w14:paraId="24CD7079">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监测点位</w:t>
                  </w:r>
                </w:p>
              </w:tc>
              <w:tc>
                <w:tcPr>
                  <w:tcW w:w="473" w:type="pct"/>
                  <w:vMerge w:val="restart"/>
                  <w:noWrap w:val="0"/>
                  <w:vAlign w:val="center"/>
                </w:tcPr>
                <w:p w14:paraId="65E65FC1">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污染物</w:t>
                  </w:r>
                </w:p>
              </w:tc>
              <w:tc>
                <w:tcPr>
                  <w:tcW w:w="925" w:type="pct"/>
                  <w:vMerge w:val="restart"/>
                  <w:noWrap w:val="0"/>
                  <w:vAlign w:val="center"/>
                </w:tcPr>
                <w:p w14:paraId="418840BD">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平均</w:t>
                  </w:r>
                </w:p>
                <w:p w14:paraId="1B24BEDE">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时间</w:t>
                  </w:r>
                </w:p>
              </w:tc>
              <w:tc>
                <w:tcPr>
                  <w:tcW w:w="794" w:type="pct"/>
                  <w:vMerge w:val="restart"/>
                  <w:noWrap w:val="0"/>
                  <w:vAlign w:val="center"/>
                </w:tcPr>
                <w:p w14:paraId="275AD2F0">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评价标准/(μg/m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783" w:type="pct"/>
                  <w:vMerge w:val="restart"/>
                  <w:noWrap w:val="0"/>
                  <w:vAlign w:val="center"/>
                </w:tcPr>
                <w:p w14:paraId="42B8AE10">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监测浓度范围/(μg/m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597" w:type="pct"/>
                  <w:vMerge w:val="restart"/>
                  <w:noWrap w:val="0"/>
                  <w:vAlign w:val="center"/>
                </w:tcPr>
                <w:p w14:paraId="213B8CEE">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最大浓度占标率/%</w:t>
                  </w:r>
                </w:p>
              </w:tc>
              <w:tc>
                <w:tcPr>
                  <w:tcW w:w="471" w:type="pct"/>
                  <w:vMerge w:val="restart"/>
                  <w:noWrap w:val="0"/>
                  <w:vAlign w:val="center"/>
                </w:tcPr>
                <w:p w14:paraId="571B3252">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超标率/%</w:t>
                  </w:r>
                </w:p>
              </w:tc>
              <w:tc>
                <w:tcPr>
                  <w:tcW w:w="497" w:type="pct"/>
                  <w:vMerge w:val="restart"/>
                  <w:noWrap w:val="0"/>
                  <w:vAlign w:val="center"/>
                </w:tcPr>
                <w:p w14:paraId="3A7FFF76">
                  <w:pPr>
                    <w:widowControl/>
                    <w:snapToGrid w:val="0"/>
                    <w:spacing w:before="46" w:beforeLines="15" w:after="46" w:afterLines="15"/>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达标情况</w:t>
                  </w:r>
                </w:p>
              </w:tc>
            </w:tr>
            <w:tr w14:paraId="2583D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456" w:type="pct"/>
                  <w:vMerge w:val="continue"/>
                  <w:noWrap w:val="0"/>
                  <w:vAlign w:val="center"/>
                </w:tcPr>
                <w:p w14:paraId="7D0BA255">
                  <w:pPr>
                    <w:widowControl/>
                    <w:snapToGrid w:val="0"/>
                    <w:spacing w:before="46" w:beforeLines="15" w:after="46" w:afterLines="15"/>
                    <w:jc w:val="center"/>
                    <w:rPr>
                      <w:rFonts w:hint="default" w:ascii="Times New Roman" w:hAnsi="Times New Roman" w:cs="Times New Roman"/>
                      <w:color w:val="auto"/>
                      <w:kern w:val="0"/>
                      <w:sz w:val="21"/>
                      <w:szCs w:val="21"/>
                    </w:rPr>
                  </w:pPr>
                </w:p>
              </w:tc>
              <w:tc>
                <w:tcPr>
                  <w:tcW w:w="473" w:type="pct"/>
                  <w:vMerge w:val="continue"/>
                  <w:noWrap w:val="0"/>
                  <w:vAlign w:val="center"/>
                </w:tcPr>
                <w:p w14:paraId="258C0D7F">
                  <w:pPr>
                    <w:widowControl/>
                    <w:snapToGrid w:val="0"/>
                    <w:spacing w:before="46" w:beforeLines="15" w:after="46" w:afterLines="15"/>
                    <w:jc w:val="center"/>
                    <w:rPr>
                      <w:rFonts w:hint="default" w:ascii="Times New Roman" w:hAnsi="Times New Roman" w:cs="Times New Roman"/>
                      <w:color w:val="auto"/>
                      <w:kern w:val="0"/>
                      <w:sz w:val="21"/>
                      <w:szCs w:val="21"/>
                    </w:rPr>
                  </w:pPr>
                </w:p>
              </w:tc>
              <w:tc>
                <w:tcPr>
                  <w:tcW w:w="925" w:type="pct"/>
                  <w:vMerge w:val="continue"/>
                  <w:noWrap w:val="0"/>
                  <w:vAlign w:val="center"/>
                </w:tcPr>
                <w:p w14:paraId="78E67E46">
                  <w:pPr>
                    <w:widowControl/>
                    <w:snapToGrid w:val="0"/>
                    <w:spacing w:before="46" w:beforeLines="15" w:after="46" w:afterLines="15"/>
                    <w:jc w:val="center"/>
                    <w:rPr>
                      <w:rFonts w:hint="default" w:ascii="Times New Roman" w:hAnsi="Times New Roman" w:cs="Times New Roman"/>
                      <w:color w:val="auto"/>
                      <w:kern w:val="0"/>
                      <w:sz w:val="21"/>
                      <w:szCs w:val="21"/>
                    </w:rPr>
                  </w:pPr>
                </w:p>
              </w:tc>
              <w:tc>
                <w:tcPr>
                  <w:tcW w:w="794" w:type="pct"/>
                  <w:vMerge w:val="continue"/>
                  <w:noWrap w:val="0"/>
                  <w:vAlign w:val="center"/>
                </w:tcPr>
                <w:p w14:paraId="060B7A26">
                  <w:pPr>
                    <w:widowControl/>
                    <w:snapToGrid w:val="0"/>
                    <w:spacing w:before="46" w:beforeLines="15" w:after="46" w:afterLines="15"/>
                    <w:jc w:val="center"/>
                    <w:rPr>
                      <w:rFonts w:hint="default" w:ascii="Times New Roman" w:hAnsi="Times New Roman" w:cs="Times New Roman"/>
                      <w:color w:val="auto"/>
                      <w:kern w:val="0"/>
                      <w:sz w:val="21"/>
                      <w:szCs w:val="21"/>
                    </w:rPr>
                  </w:pPr>
                </w:p>
              </w:tc>
              <w:tc>
                <w:tcPr>
                  <w:tcW w:w="783" w:type="pct"/>
                  <w:vMerge w:val="continue"/>
                  <w:noWrap w:val="0"/>
                  <w:vAlign w:val="center"/>
                </w:tcPr>
                <w:p w14:paraId="1DAB5250">
                  <w:pPr>
                    <w:widowControl/>
                    <w:snapToGrid w:val="0"/>
                    <w:spacing w:before="46" w:beforeLines="15" w:after="46" w:afterLines="15"/>
                    <w:jc w:val="center"/>
                    <w:rPr>
                      <w:rFonts w:hint="default" w:ascii="Times New Roman" w:hAnsi="Times New Roman" w:cs="Times New Roman"/>
                      <w:color w:val="auto"/>
                      <w:kern w:val="0"/>
                      <w:sz w:val="21"/>
                      <w:szCs w:val="21"/>
                    </w:rPr>
                  </w:pPr>
                </w:p>
              </w:tc>
              <w:tc>
                <w:tcPr>
                  <w:tcW w:w="597" w:type="pct"/>
                  <w:vMerge w:val="continue"/>
                  <w:noWrap w:val="0"/>
                  <w:vAlign w:val="center"/>
                </w:tcPr>
                <w:p w14:paraId="144DEC9F">
                  <w:pPr>
                    <w:widowControl/>
                    <w:snapToGrid w:val="0"/>
                    <w:spacing w:before="46" w:beforeLines="15" w:after="46" w:afterLines="15"/>
                    <w:jc w:val="center"/>
                    <w:rPr>
                      <w:rFonts w:hint="default" w:ascii="Times New Roman" w:hAnsi="Times New Roman" w:cs="Times New Roman"/>
                      <w:color w:val="auto"/>
                      <w:kern w:val="0"/>
                      <w:sz w:val="21"/>
                      <w:szCs w:val="21"/>
                    </w:rPr>
                  </w:pPr>
                </w:p>
              </w:tc>
              <w:tc>
                <w:tcPr>
                  <w:tcW w:w="471" w:type="pct"/>
                  <w:vMerge w:val="continue"/>
                  <w:noWrap w:val="0"/>
                  <w:vAlign w:val="center"/>
                </w:tcPr>
                <w:p w14:paraId="13785603">
                  <w:pPr>
                    <w:widowControl/>
                    <w:snapToGrid w:val="0"/>
                    <w:spacing w:before="46" w:beforeLines="15" w:after="46" w:afterLines="15"/>
                    <w:jc w:val="center"/>
                    <w:rPr>
                      <w:rFonts w:hint="default" w:ascii="Times New Roman" w:hAnsi="Times New Roman" w:cs="Times New Roman"/>
                      <w:color w:val="auto"/>
                      <w:kern w:val="0"/>
                      <w:sz w:val="21"/>
                      <w:szCs w:val="21"/>
                    </w:rPr>
                  </w:pPr>
                </w:p>
              </w:tc>
              <w:tc>
                <w:tcPr>
                  <w:tcW w:w="497" w:type="pct"/>
                  <w:vMerge w:val="continue"/>
                  <w:noWrap w:val="0"/>
                  <w:vAlign w:val="center"/>
                </w:tcPr>
                <w:p w14:paraId="7B1F6973">
                  <w:pPr>
                    <w:widowControl/>
                    <w:snapToGrid w:val="0"/>
                    <w:spacing w:before="46" w:beforeLines="15" w:after="46" w:afterLines="15"/>
                    <w:jc w:val="center"/>
                    <w:rPr>
                      <w:rFonts w:hint="default" w:ascii="Times New Roman" w:hAnsi="Times New Roman" w:cs="Times New Roman"/>
                      <w:color w:val="auto"/>
                      <w:kern w:val="0"/>
                      <w:sz w:val="21"/>
                      <w:szCs w:val="21"/>
                    </w:rPr>
                  </w:pPr>
                </w:p>
              </w:tc>
            </w:tr>
            <w:tr w14:paraId="4B53C1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456" w:type="pct"/>
                  <w:noWrap w:val="0"/>
                  <w:vAlign w:val="center"/>
                </w:tcPr>
                <w:p w14:paraId="0B36A6DC">
                  <w:pPr>
                    <w:widowControl/>
                    <w:snapToGrid w:val="0"/>
                    <w:spacing w:before="46" w:beforeLines="15" w:after="46" w:afterLines="15"/>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A1</w:t>
                  </w:r>
                </w:p>
              </w:tc>
              <w:tc>
                <w:tcPr>
                  <w:tcW w:w="473" w:type="pct"/>
                  <w:noWrap w:val="0"/>
                  <w:vAlign w:val="center"/>
                </w:tcPr>
                <w:p w14:paraId="0D217377">
                  <w:pPr>
                    <w:snapToGrid w:val="0"/>
                    <w:spacing w:before="46" w:beforeLines="15" w:after="46" w:afterLines="15"/>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TSP</w:t>
                  </w:r>
                </w:p>
              </w:tc>
              <w:tc>
                <w:tcPr>
                  <w:tcW w:w="925" w:type="pct"/>
                  <w:noWrap w:val="0"/>
                  <w:vAlign w:val="center"/>
                </w:tcPr>
                <w:p w14:paraId="5BD66127">
                  <w:pPr>
                    <w:snapToGrid w:val="0"/>
                    <w:spacing w:before="46" w:beforeLines="15" w:after="46" w:afterLines="15"/>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24小时平均</w:t>
                  </w:r>
                </w:p>
              </w:tc>
              <w:tc>
                <w:tcPr>
                  <w:tcW w:w="794" w:type="pct"/>
                  <w:noWrap w:val="0"/>
                  <w:vAlign w:val="center"/>
                </w:tcPr>
                <w:p w14:paraId="527C42CA">
                  <w:pPr>
                    <w:widowControl/>
                    <w:snapToGrid w:val="0"/>
                    <w:spacing w:before="46" w:beforeLines="15" w:after="46" w:afterLines="15"/>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300</w:t>
                  </w:r>
                </w:p>
              </w:tc>
              <w:tc>
                <w:tcPr>
                  <w:tcW w:w="783" w:type="pct"/>
                  <w:noWrap w:val="0"/>
                  <w:vAlign w:val="center"/>
                </w:tcPr>
                <w:p w14:paraId="26452E9C">
                  <w:pPr>
                    <w:widowControl/>
                    <w:snapToGrid w:val="0"/>
                    <w:spacing w:before="46" w:beforeLines="15" w:after="46" w:afterLines="15"/>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65~98</w:t>
                  </w:r>
                </w:p>
              </w:tc>
              <w:tc>
                <w:tcPr>
                  <w:tcW w:w="597" w:type="pct"/>
                  <w:noWrap w:val="0"/>
                  <w:vAlign w:val="center"/>
                </w:tcPr>
                <w:p w14:paraId="5680B565">
                  <w:pPr>
                    <w:widowControl/>
                    <w:snapToGrid w:val="0"/>
                    <w:spacing w:before="46" w:beforeLines="15" w:after="46" w:afterLines="15"/>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32.7</w:t>
                  </w:r>
                </w:p>
              </w:tc>
              <w:tc>
                <w:tcPr>
                  <w:tcW w:w="471" w:type="pct"/>
                  <w:noWrap w:val="0"/>
                  <w:vAlign w:val="center"/>
                </w:tcPr>
                <w:p w14:paraId="7F05B86C">
                  <w:pPr>
                    <w:widowControl/>
                    <w:snapToGrid w:val="0"/>
                    <w:spacing w:before="46" w:beforeLines="15" w:after="46" w:afterLines="15"/>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0</w:t>
                  </w:r>
                </w:p>
              </w:tc>
              <w:tc>
                <w:tcPr>
                  <w:tcW w:w="497" w:type="pct"/>
                  <w:noWrap w:val="0"/>
                  <w:vAlign w:val="center"/>
                </w:tcPr>
                <w:p w14:paraId="77FA4C05">
                  <w:pPr>
                    <w:widowControl/>
                    <w:snapToGrid w:val="0"/>
                    <w:spacing w:before="46" w:beforeLines="15" w:after="46" w:afterLines="15"/>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达标</w:t>
                  </w:r>
                </w:p>
              </w:tc>
            </w:tr>
          </w:tbl>
          <w:p w14:paraId="3EBA6C30">
            <w:pPr>
              <w:pStyle w:val="56"/>
              <w:keepNext w:val="0"/>
              <w:keepLines w:val="0"/>
              <w:pageBreakBefore w:val="0"/>
              <w:widowControl w:val="0"/>
              <w:kinsoku/>
              <w:wordWrap/>
              <w:overflowPunct/>
              <w:topLinePunct w:val="0"/>
              <w:autoSpaceDE/>
              <w:autoSpaceDN/>
              <w:bidi w:val="0"/>
              <w:adjustRightInd/>
              <w:snapToGrid/>
              <w:spacing w:before="157" w:beforeLines="50" w:line="360" w:lineRule="auto"/>
              <w:ind w:firstLine="437"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rPr>
              <w:t>由监测结果可知，监测期间项目所在区域</w:t>
            </w:r>
            <w:r>
              <w:rPr>
                <w:rFonts w:hint="default" w:ascii="Times New Roman" w:hAnsi="Times New Roman" w:cs="Times New Roman"/>
                <w:color w:val="auto"/>
                <w:sz w:val="24"/>
                <w:lang w:val="en-US" w:eastAsia="zh-CN"/>
              </w:rPr>
              <w:t>TSP</w:t>
            </w:r>
            <w:r>
              <w:rPr>
                <w:rFonts w:hint="default" w:ascii="Times New Roman" w:hAnsi="Times New Roman" w:cs="Times New Roman"/>
                <w:color w:val="auto"/>
                <w:sz w:val="24"/>
              </w:rPr>
              <w:t>浓度监测值满足《环境空气质量标准》（GB3095-2012）二级标准要求。</w:t>
            </w:r>
          </w:p>
          <w:p w14:paraId="13FB57C4">
            <w:pPr>
              <w:spacing w:line="360" w:lineRule="auto"/>
              <w:ind w:firstLine="482" w:firstLineChars="200"/>
              <w:rPr>
                <w:b/>
                <w:bCs/>
                <w:color w:val="auto"/>
                <w:kern w:val="0"/>
                <w:sz w:val="24"/>
                <w:szCs w:val="20"/>
              </w:rPr>
            </w:pPr>
            <w:r>
              <w:rPr>
                <w:b/>
                <w:bCs/>
                <w:color w:val="auto"/>
                <w:kern w:val="0"/>
                <w:sz w:val="24"/>
                <w:szCs w:val="20"/>
              </w:rPr>
              <w:t>2、声环境现状监测</w:t>
            </w:r>
          </w:p>
          <w:p w14:paraId="1ACFC46E">
            <w:pPr>
              <w:spacing w:line="360" w:lineRule="auto"/>
              <w:ind w:firstLine="480" w:firstLineChars="200"/>
              <w:rPr>
                <w:bCs/>
                <w:color w:val="auto"/>
                <w:kern w:val="28"/>
                <w:sz w:val="24"/>
              </w:rPr>
            </w:pPr>
            <w:r>
              <w:rPr>
                <w:bCs/>
                <w:color w:val="auto"/>
                <w:kern w:val="28"/>
                <w:sz w:val="24"/>
              </w:rPr>
              <w:t>根据《建设项目环境影响报告表编制技术指南</w:t>
            </w:r>
            <w:r>
              <w:rPr>
                <w:rFonts w:hint="eastAsia"/>
                <w:bCs/>
                <w:color w:val="auto"/>
                <w:kern w:val="28"/>
                <w:sz w:val="24"/>
                <w:lang w:val="en-US" w:eastAsia="zh-CN"/>
              </w:rPr>
              <w:t xml:space="preserve"> </w:t>
            </w:r>
            <w:r>
              <w:rPr>
                <w:bCs/>
                <w:color w:val="auto"/>
                <w:kern w:val="28"/>
                <w:sz w:val="24"/>
              </w:rPr>
              <w:t>污染影响类》（2021年版）所述：“厂界外周边50m范围内存在声环境保护目标的建设项目，应监测保护目标声环境质量现状并评价达标情况”。</w:t>
            </w:r>
          </w:p>
          <w:p w14:paraId="44CF0470">
            <w:pPr>
              <w:spacing w:line="360" w:lineRule="auto"/>
              <w:ind w:firstLine="480" w:firstLineChars="200"/>
              <w:rPr>
                <w:rFonts w:hint="default" w:ascii="Times New Roman" w:hAnsi="Times New Roman" w:eastAsia="宋体" w:cs="Times New Roman"/>
                <w:bCs/>
                <w:color w:val="auto"/>
                <w:kern w:val="28"/>
                <w:sz w:val="24"/>
                <w:highlight w:val="none"/>
              </w:rPr>
            </w:pPr>
            <w:r>
              <w:rPr>
                <w:rFonts w:ascii="Times New Roman" w:hAnsi="Times New Roman" w:eastAsia="宋体" w:cs="Times New Roman"/>
                <w:bCs/>
                <w:color w:val="auto"/>
                <w:kern w:val="28"/>
                <w:sz w:val="24"/>
                <w:highlight w:val="none"/>
              </w:rPr>
              <w:t>根据现场调查，</w:t>
            </w:r>
            <w:r>
              <w:rPr>
                <w:rFonts w:hint="eastAsia" w:ascii="Times New Roman" w:hAnsi="Times New Roman" w:eastAsia="宋体" w:cs="Times New Roman"/>
                <w:bCs/>
                <w:color w:val="auto"/>
                <w:kern w:val="28"/>
                <w:sz w:val="24"/>
                <w:highlight w:val="none"/>
                <w:lang w:val="en-US" w:eastAsia="zh-CN"/>
              </w:rPr>
              <w:t>本项目50m范围内有敏感目标</w:t>
            </w:r>
            <w:r>
              <w:rPr>
                <w:rFonts w:hint="eastAsia" w:cs="Times New Roman"/>
                <w:bCs/>
                <w:color w:val="auto"/>
                <w:kern w:val="28"/>
                <w:sz w:val="24"/>
                <w:highlight w:val="none"/>
                <w:lang w:val="en-US" w:eastAsia="zh-CN"/>
              </w:rPr>
              <w:t>西安城建工程学校、永丰村村委会</w:t>
            </w:r>
            <w:r>
              <w:rPr>
                <w:rFonts w:hint="eastAsia" w:ascii="Times New Roman" w:hAnsi="Times New Roman" w:eastAsia="宋体" w:cs="Times New Roman"/>
                <w:bCs/>
                <w:color w:val="auto"/>
                <w:kern w:val="28"/>
                <w:sz w:val="24"/>
                <w:highlight w:val="none"/>
                <w:lang w:val="en-US" w:eastAsia="zh-CN"/>
              </w:rPr>
              <w:t>，</w:t>
            </w:r>
            <w:r>
              <w:rPr>
                <w:rFonts w:hint="default" w:ascii="Times New Roman" w:hAnsi="Times New Roman" w:eastAsia="宋体" w:cs="Times New Roman"/>
                <w:bCs/>
                <w:color w:val="auto"/>
                <w:kern w:val="28"/>
                <w:sz w:val="24"/>
                <w:highlight w:val="none"/>
              </w:rPr>
              <w:t>本评价委托</w:t>
            </w:r>
            <w:r>
              <w:rPr>
                <w:rFonts w:hint="default" w:ascii="Times New Roman" w:hAnsi="Times New Roman" w:eastAsia="宋体" w:cs="Times New Roman"/>
                <w:bCs/>
                <w:color w:val="auto"/>
                <w:kern w:val="28"/>
                <w:sz w:val="24"/>
                <w:highlight w:val="none"/>
                <w:lang w:eastAsia="zh-CN"/>
              </w:rPr>
              <w:t>中量检测认证有限公司</w:t>
            </w:r>
            <w:r>
              <w:rPr>
                <w:rFonts w:hint="default" w:ascii="Times New Roman" w:hAnsi="Times New Roman" w:eastAsia="宋体" w:cs="Times New Roman"/>
                <w:bCs/>
                <w:color w:val="auto"/>
                <w:kern w:val="28"/>
                <w:sz w:val="24"/>
                <w:highlight w:val="none"/>
              </w:rPr>
              <w:t>于202</w:t>
            </w:r>
            <w:r>
              <w:rPr>
                <w:rFonts w:hint="eastAsia" w:ascii="Times New Roman" w:hAnsi="Times New Roman" w:eastAsia="宋体" w:cs="Times New Roman"/>
                <w:bCs/>
                <w:color w:val="auto"/>
                <w:kern w:val="28"/>
                <w:sz w:val="24"/>
                <w:highlight w:val="none"/>
                <w:lang w:val="en-US" w:eastAsia="zh-CN"/>
              </w:rPr>
              <w:t>5</w:t>
            </w:r>
            <w:r>
              <w:rPr>
                <w:rFonts w:hint="default" w:ascii="Times New Roman" w:hAnsi="Times New Roman" w:eastAsia="宋体" w:cs="Times New Roman"/>
                <w:bCs/>
                <w:color w:val="auto"/>
                <w:kern w:val="28"/>
                <w:sz w:val="24"/>
                <w:highlight w:val="none"/>
              </w:rPr>
              <w:t>年</w:t>
            </w:r>
            <w:r>
              <w:rPr>
                <w:rFonts w:hint="eastAsia" w:cs="Times New Roman"/>
                <w:bCs/>
                <w:color w:val="auto"/>
                <w:kern w:val="28"/>
                <w:sz w:val="24"/>
                <w:highlight w:val="none"/>
                <w:lang w:val="en-US" w:eastAsia="zh-CN"/>
              </w:rPr>
              <w:t>6</w:t>
            </w:r>
            <w:r>
              <w:rPr>
                <w:rFonts w:hint="default" w:ascii="Times New Roman" w:hAnsi="Times New Roman" w:eastAsia="宋体" w:cs="Times New Roman"/>
                <w:bCs/>
                <w:color w:val="auto"/>
                <w:kern w:val="28"/>
                <w:sz w:val="24"/>
                <w:highlight w:val="none"/>
              </w:rPr>
              <w:t>月</w:t>
            </w:r>
            <w:r>
              <w:rPr>
                <w:rFonts w:hint="eastAsia" w:cs="Times New Roman"/>
                <w:bCs/>
                <w:color w:val="auto"/>
                <w:kern w:val="28"/>
                <w:sz w:val="24"/>
                <w:highlight w:val="none"/>
                <w:lang w:val="en-US" w:eastAsia="zh-CN"/>
              </w:rPr>
              <w:t>18</w:t>
            </w:r>
            <w:r>
              <w:rPr>
                <w:rFonts w:hint="default" w:ascii="Times New Roman" w:hAnsi="Times New Roman" w:eastAsia="宋体" w:cs="Times New Roman"/>
                <w:bCs/>
                <w:color w:val="auto"/>
                <w:kern w:val="28"/>
                <w:sz w:val="24"/>
                <w:highlight w:val="none"/>
              </w:rPr>
              <w:t>日对</w:t>
            </w:r>
            <w:r>
              <w:rPr>
                <w:rFonts w:hint="eastAsia" w:cs="Times New Roman"/>
                <w:bCs/>
                <w:color w:val="auto"/>
                <w:kern w:val="28"/>
                <w:sz w:val="24"/>
                <w:highlight w:val="none"/>
                <w:lang w:val="en-US" w:eastAsia="zh-CN"/>
              </w:rPr>
              <w:t>项目东侧西安城建工程学校、北侧永丰村村委会</w:t>
            </w:r>
            <w:r>
              <w:rPr>
                <w:rFonts w:hint="default" w:ascii="Times New Roman" w:hAnsi="Times New Roman" w:eastAsia="宋体" w:cs="Times New Roman"/>
                <w:bCs/>
                <w:color w:val="auto"/>
                <w:kern w:val="28"/>
                <w:sz w:val="24"/>
                <w:highlight w:val="none"/>
              </w:rPr>
              <w:t>进行监测</w:t>
            </w:r>
            <w:r>
              <w:rPr>
                <w:rFonts w:hint="default" w:ascii="Times New Roman" w:hAnsi="Times New Roman" w:eastAsia="宋体" w:cs="Times New Roman"/>
                <w:bCs/>
                <w:color w:val="auto"/>
                <w:kern w:val="28"/>
                <w:sz w:val="24"/>
                <w:highlight w:val="none"/>
                <w:lang w:val="en-US" w:eastAsia="zh-CN"/>
              </w:rPr>
              <w:t>，</w:t>
            </w:r>
            <w:r>
              <w:rPr>
                <w:rFonts w:hint="default" w:ascii="Times New Roman" w:hAnsi="Times New Roman" w:eastAsia="宋体" w:cs="Times New Roman"/>
                <w:bCs/>
                <w:color w:val="auto"/>
                <w:kern w:val="28"/>
                <w:sz w:val="24"/>
                <w:highlight w:val="none"/>
              </w:rPr>
              <w:t>监测点位置见附图</w:t>
            </w:r>
            <w:r>
              <w:rPr>
                <w:rFonts w:hint="eastAsia" w:cs="Times New Roman"/>
                <w:bCs/>
                <w:color w:val="auto"/>
                <w:kern w:val="28"/>
                <w:sz w:val="24"/>
                <w:highlight w:val="none"/>
                <w:lang w:val="en-US" w:eastAsia="zh-CN"/>
              </w:rPr>
              <w:t>5</w:t>
            </w:r>
            <w:r>
              <w:rPr>
                <w:rFonts w:hint="eastAsia" w:ascii="Times New Roman" w:hAnsi="Times New Roman" w:eastAsia="宋体" w:cs="Times New Roman"/>
                <w:bCs/>
                <w:color w:val="auto"/>
                <w:kern w:val="28"/>
                <w:sz w:val="24"/>
                <w:highlight w:val="none"/>
                <w:lang w:val="en-US" w:eastAsia="zh-CN"/>
              </w:rPr>
              <w:t>，监测结果见附件</w:t>
            </w:r>
            <w:r>
              <w:rPr>
                <w:rFonts w:hint="eastAsia" w:cs="Times New Roman"/>
                <w:bCs/>
                <w:color w:val="auto"/>
                <w:kern w:val="28"/>
                <w:sz w:val="24"/>
                <w:highlight w:val="none"/>
                <w:lang w:val="en-US" w:eastAsia="zh-CN"/>
              </w:rPr>
              <w:t>6</w:t>
            </w:r>
            <w:r>
              <w:rPr>
                <w:rFonts w:hint="default" w:ascii="Times New Roman" w:hAnsi="Times New Roman" w:eastAsia="宋体" w:cs="Times New Roman"/>
                <w:bCs/>
                <w:color w:val="auto"/>
                <w:kern w:val="28"/>
                <w:sz w:val="24"/>
                <w:highlight w:val="none"/>
              </w:rPr>
              <w:t>。</w:t>
            </w:r>
          </w:p>
          <w:p w14:paraId="1C898F2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（1）监测因子：等效连续A声级Leq（A）。</w:t>
            </w:r>
          </w:p>
          <w:p w14:paraId="2366324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（2）监测频次：监测</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rPr>
              <w:t>天，昼</w:t>
            </w:r>
            <w:r>
              <w:rPr>
                <w:rFonts w:hint="eastAsia" w:ascii="Times New Roman" w:hAnsi="Times New Roman" w:cs="Times New Roman"/>
                <w:color w:val="auto"/>
                <w:sz w:val="24"/>
                <w:lang w:val="en-US" w:eastAsia="zh-CN"/>
              </w:rPr>
              <w:t>间</w:t>
            </w:r>
            <w:r>
              <w:rPr>
                <w:rFonts w:hint="default" w:ascii="Times New Roman" w:hAnsi="Times New Roman" w:cs="Times New Roman"/>
                <w:color w:val="auto"/>
                <w:sz w:val="24"/>
              </w:rPr>
              <w:t>一次。</w:t>
            </w:r>
          </w:p>
          <w:p w14:paraId="6324860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（3）监测点位置：</w:t>
            </w:r>
            <w:r>
              <w:rPr>
                <w:rFonts w:hint="eastAsia" w:cs="Times New Roman"/>
                <w:bCs/>
                <w:color w:val="auto"/>
                <w:kern w:val="28"/>
                <w:sz w:val="24"/>
                <w:highlight w:val="none"/>
                <w:lang w:val="en-US" w:eastAsia="zh-CN"/>
              </w:rPr>
              <w:t>东侧西安城建工程学校、北侧永丰村村委会各</w:t>
            </w:r>
            <w:r>
              <w:rPr>
                <w:rFonts w:hint="default" w:ascii="Times New Roman" w:hAnsi="Times New Roman" w:cs="Times New Roman"/>
                <w:color w:val="auto"/>
                <w:sz w:val="24"/>
                <w:highlight w:val="none"/>
              </w:rPr>
              <w:t>设一个点</w:t>
            </w:r>
            <w:r>
              <w:rPr>
                <w:rFonts w:hint="default" w:ascii="Times New Roman" w:hAnsi="Times New Roman" w:cs="Times New Roman"/>
                <w:color w:val="auto"/>
                <w:sz w:val="24"/>
              </w:rPr>
              <w:t>。</w:t>
            </w:r>
          </w:p>
          <w:p w14:paraId="198ACE4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（4）声环境现状监测结果</w:t>
            </w:r>
          </w:p>
          <w:p w14:paraId="482D44E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监测结果见下表。</w:t>
            </w:r>
          </w:p>
          <w:p w14:paraId="04AE4A41">
            <w:pPr>
              <w:pStyle w:val="52"/>
              <w:keepNext w:val="0"/>
              <w:keepLines w:val="0"/>
              <w:pageBreakBefore w:val="0"/>
              <w:widowControl w:val="0"/>
              <w:kinsoku/>
              <w:wordWrap/>
              <w:overflowPunct/>
              <w:topLinePunct w:val="0"/>
              <w:autoSpaceDE/>
              <w:autoSpaceDN/>
              <w:bidi w:val="0"/>
              <w:adjustRightInd w:val="0"/>
              <w:snapToGrid w:val="0"/>
              <w:spacing w:before="0" w:beforeLines="0" w:line="240" w:lineRule="auto"/>
              <w:ind w:firstLine="420"/>
              <w:jc w:val="right"/>
              <w:textAlignment w:val="auto"/>
              <w:rPr>
                <w:rFonts w:hint="default" w:ascii="Times New Roman" w:hAnsi="Times New Roman" w:eastAsia="宋体" w:cs="Times New Roman"/>
                <w:b/>
                <w:color w:val="auto"/>
                <w:sz w:val="21"/>
                <w:szCs w:val="16"/>
              </w:rPr>
            </w:pPr>
            <w:r>
              <w:rPr>
                <w:rFonts w:hint="default" w:ascii="Times New Roman" w:hAnsi="Times New Roman" w:eastAsia="宋体" w:cs="Times New Roman"/>
                <w:b/>
                <w:color w:val="auto"/>
                <w:sz w:val="21"/>
                <w:szCs w:val="16"/>
              </w:rPr>
              <w:t>3-</w:t>
            </w:r>
            <w:r>
              <w:rPr>
                <w:rFonts w:hint="eastAsia" w:cs="Times New Roman"/>
                <w:b/>
                <w:color w:val="auto"/>
                <w:sz w:val="21"/>
                <w:szCs w:val="16"/>
                <w:lang w:val="en-US" w:eastAsia="zh-CN"/>
              </w:rPr>
              <w:t>4</w:t>
            </w:r>
            <w:r>
              <w:rPr>
                <w:rFonts w:hint="default" w:ascii="Times New Roman" w:hAnsi="Times New Roman" w:eastAsia="宋体" w:cs="Times New Roman"/>
                <w:b/>
                <w:color w:val="auto"/>
                <w:sz w:val="21"/>
                <w:szCs w:val="16"/>
              </w:rPr>
              <w:t xml:space="preserve">  噪声监测结果统计   </w:t>
            </w:r>
            <w:r>
              <w:rPr>
                <w:rFonts w:hint="default" w:ascii="Times New Roman" w:hAnsi="Times New Roman" w:cs="Times New Roman"/>
                <w:b/>
                <w:color w:val="auto"/>
                <w:sz w:val="21"/>
                <w:szCs w:val="16"/>
                <w:lang w:val="en-US" w:eastAsia="zh-CN"/>
              </w:rPr>
              <w:t xml:space="preserve">  </w:t>
            </w:r>
            <w:r>
              <w:rPr>
                <w:rFonts w:hint="default" w:ascii="Times New Roman" w:hAnsi="Times New Roman" w:eastAsia="宋体" w:cs="Times New Roman"/>
                <w:b/>
                <w:color w:val="auto"/>
                <w:sz w:val="21"/>
                <w:szCs w:val="16"/>
              </w:rPr>
              <w:t xml:space="preserve">     </w:t>
            </w:r>
            <w:r>
              <w:rPr>
                <w:rFonts w:hint="default" w:ascii="Times New Roman" w:hAnsi="Times New Roman" w:cs="Times New Roman"/>
                <w:b/>
                <w:color w:val="auto"/>
                <w:sz w:val="21"/>
                <w:szCs w:val="16"/>
                <w:lang w:val="en-US" w:eastAsia="zh-CN"/>
              </w:rPr>
              <w:t xml:space="preserve">   </w:t>
            </w:r>
            <w:r>
              <w:rPr>
                <w:rFonts w:hint="default" w:ascii="Times New Roman" w:hAnsi="Times New Roman" w:eastAsia="宋体" w:cs="Times New Roman"/>
                <w:b/>
                <w:color w:val="auto"/>
                <w:sz w:val="21"/>
                <w:szCs w:val="16"/>
              </w:rPr>
              <w:t xml:space="preserve">    单位：dB（A）</w:t>
            </w:r>
          </w:p>
          <w:tbl>
            <w:tblPr>
              <w:tblStyle w:val="24"/>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290"/>
              <w:gridCol w:w="1151"/>
              <w:gridCol w:w="1062"/>
              <w:gridCol w:w="840"/>
              <w:gridCol w:w="972"/>
              <w:gridCol w:w="994"/>
              <w:gridCol w:w="967"/>
            </w:tblGrid>
            <w:tr w14:paraId="19E75D1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6" w:hRule="atLeast"/>
              </w:trPr>
              <w:tc>
                <w:tcPr>
                  <w:tcW w:w="1383" w:type="pct"/>
                  <w:vMerge w:val="restart"/>
                  <w:noWrap w:val="0"/>
                  <w:vAlign w:val="center"/>
                  <mc:AlternateContent>
                    <mc:Choice Requires="wpsCustomData">
                      <wpsCustomData:diagonals>
                        <wpsCustomData:diagonal from="10000" to="33800">
                          <wpsCustomData:border w:val="single" w:color="auto" w:sz="12" w:space="0"/>
                        </wpsCustomData:diagonal>
                        <wpsCustomData:diagonal from="10000" to="27000">
                          <wpsCustomData:border w:val="single" w:color="auto" w:sz="12" w:space="0"/>
                        </wpsCustomData:diagonal>
                      </wpsCustomData:diagonals>
                    </mc:Choice>
                  </mc:AlternateContent>
                </w:tcPr>
                <w:p w14:paraId="6142AE8D">
                  <w:pPr>
                    <w:widowControl/>
                    <w:snapToGrid w:val="0"/>
                    <w:jc w:val="center"/>
                    <w:rPr>
                      <w:rFonts w:hint="default" w:ascii="Times New Roman" w:hAnsi="Times New Roman" w:cs="Times New Roman"/>
                      <w:color w:val="auto"/>
                      <w:szCs w:val="21"/>
                      <w:highlight w:val="none"/>
                    </w:rPr>
                  </w:pPr>
                </w:p>
                <w:p w14:paraId="1DF14FAA">
                  <w:pPr>
                    <w:widowControl/>
                    <w:snapToGrid w:val="0"/>
                    <w:jc w:val="center"/>
                    <mc:AlternateContent>
                      <mc:Choice Requires="wpsCustomData">
                        <wpsCustomData:diagonalParaType/>
                      </mc:Choice>
                    </mc:AlternateContent>
                    <w:rPr>
                      <w:rFonts w:hint="eastAsia"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监测</w:t>
                  </w:r>
                  <w:r>
                    <w:rPr>
                      <w:rFonts w:hint="eastAsia" w:ascii="Times New Roman" w:hAnsi="Times New Roman" w:cs="Times New Roman"/>
                      <w:color w:val="auto"/>
                      <w:szCs w:val="21"/>
                      <w:highlight w:val="none"/>
                      <w:lang w:val="en-US" w:eastAsia="zh-CN"/>
                    </w:rPr>
                    <w:t>时间</w:t>
                  </w:r>
                </w:p>
                <w:p w14:paraId="6F96FD71">
                  <w:pPr>
                    <w:widowControl/>
                    <w:snapToGrid w:val="0"/>
                    <w:jc w:val="center"/>
                    <mc:AlternateContent>
                      <mc:Choice Requires="wpsCustomData">
                        <wpsCustomData:diagonalParaType/>
                      </mc:Choice>
                    </mc:AlternateContent>
                    <w:rPr>
                      <w:rFonts w:hint="eastAsia"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监测值</w:t>
                  </w:r>
                </w:p>
                <w:p w14:paraId="62780A96">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监测点位</w:t>
                  </w:r>
                </w:p>
              </w:tc>
              <w:tc>
                <w:tcPr>
                  <w:tcW w:w="1336" w:type="pct"/>
                  <w:gridSpan w:val="2"/>
                  <w:noWrap w:val="0"/>
                  <w:vAlign w:val="center"/>
                </w:tcPr>
                <w:p w14:paraId="329DC625">
                  <w:pPr>
                    <w:widowControl/>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西安城建工程学校</w:t>
                  </w:r>
                </w:p>
              </w:tc>
              <w:tc>
                <w:tcPr>
                  <w:tcW w:w="1094" w:type="pct"/>
                  <w:gridSpan w:val="2"/>
                  <w:noWrap w:val="0"/>
                  <w:vAlign w:val="center"/>
                </w:tcPr>
                <w:p w14:paraId="39ACF501">
                  <w:pPr>
                    <w:widowControl/>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村委会</w:t>
                  </w:r>
                </w:p>
              </w:tc>
              <w:tc>
                <w:tcPr>
                  <w:tcW w:w="1184" w:type="pct"/>
                  <w:gridSpan w:val="2"/>
                  <w:noWrap w:val="0"/>
                  <w:vAlign w:val="center"/>
                </w:tcPr>
                <w:p w14:paraId="76653B2A">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标准值</w:t>
                  </w:r>
                </w:p>
              </w:tc>
            </w:tr>
            <w:tr w14:paraId="786B3F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7" w:hRule="atLeast"/>
              </w:trPr>
              <w:tc>
                <w:tcPr>
                  <w:tcW w:w="1383" w:type="pct"/>
                  <w:vMerge w:val="continue"/>
                  <w:noWrap w:val="0"/>
                  <w:vAlign w:val="center"/>
                </w:tcPr>
                <w:p w14:paraId="4CF4572C">
                  <w:pPr>
                    <w:widowControl/>
                    <w:jc w:val="center"/>
                    <w:rPr>
                      <w:rFonts w:hint="default" w:ascii="Times New Roman" w:hAnsi="Times New Roman" w:cs="Times New Roman"/>
                      <w:color w:val="auto"/>
                      <w:szCs w:val="21"/>
                      <w:highlight w:val="none"/>
                    </w:rPr>
                  </w:pPr>
                </w:p>
              </w:tc>
              <w:tc>
                <w:tcPr>
                  <w:tcW w:w="695" w:type="pct"/>
                  <w:tcBorders>
                    <w:right w:val="single" w:color="auto" w:sz="4" w:space="0"/>
                  </w:tcBorders>
                  <w:noWrap w:val="0"/>
                  <w:vAlign w:val="center"/>
                </w:tcPr>
                <w:p w14:paraId="6BF05F74">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昼间</w:t>
                  </w:r>
                </w:p>
              </w:tc>
              <w:tc>
                <w:tcPr>
                  <w:tcW w:w="641" w:type="pct"/>
                  <w:tcBorders>
                    <w:left w:val="single" w:color="auto" w:sz="4" w:space="0"/>
                  </w:tcBorders>
                  <w:noWrap w:val="0"/>
                  <w:vAlign w:val="center"/>
                </w:tcPr>
                <w:p w14:paraId="1B553463">
                  <w:pPr>
                    <w:widowControl/>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夜间</w:t>
                  </w:r>
                </w:p>
              </w:tc>
              <w:tc>
                <w:tcPr>
                  <w:tcW w:w="507" w:type="pct"/>
                  <w:tcBorders>
                    <w:right w:val="single" w:color="auto" w:sz="4" w:space="0"/>
                  </w:tcBorders>
                  <w:noWrap w:val="0"/>
                  <w:vAlign w:val="center"/>
                </w:tcPr>
                <w:p w14:paraId="2196E57B">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昼间</w:t>
                  </w:r>
                </w:p>
              </w:tc>
              <w:tc>
                <w:tcPr>
                  <w:tcW w:w="587" w:type="pct"/>
                  <w:tcBorders>
                    <w:left w:val="single" w:color="auto" w:sz="4" w:space="0"/>
                  </w:tcBorders>
                  <w:noWrap w:val="0"/>
                  <w:vAlign w:val="center"/>
                </w:tcPr>
                <w:p w14:paraId="4F57BE7B">
                  <w:pPr>
                    <w:widowControl/>
                    <w:jc w:val="center"/>
                    <w:rPr>
                      <w:rFonts w:hint="default" w:ascii="Times New Roman" w:hAnsi="Times New Roman" w:cs="Times New Roman"/>
                      <w:color w:val="auto"/>
                      <w:szCs w:val="21"/>
                      <w:highlight w:val="none"/>
                    </w:rPr>
                  </w:pPr>
                  <w:r>
                    <w:rPr>
                      <w:rFonts w:hint="eastAsia" w:cs="Times New Roman"/>
                      <w:color w:val="auto"/>
                      <w:szCs w:val="21"/>
                      <w:highlight w:val="none"/>
                      <w:lang w:val="en-US" w:eastAsia="zh-CN"/>
                    </w:rPr>
                    <w:t>夜间</w:t>
                  </w:r>
                </w:p>
              </w:tc>
              <w:tc>
                <w:tcPr>
                  <w:tcW w:w="600" w:type="pct"/>
                  <w:tcBorders>
                    <w:right w:val="single" w:color="auto" w:sz="4" w:space="0"/>
                  </w:tcBorders>
                  <w:noWrap w:val="0"/>
                  <w:vAlign w:val="center"/>
                </w:tcPr>
                <w:p w14:paraId="38929A12">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昼间</w:t>
                  </w:r>
                </w:p>
              </w:tc>
              <w:tc>
                <w:tcPr>
                  <w:tcW w:w="584" w:type="pct"/>
                  <w:tcBorders>
                    <w:left w:val="single" w:color="auto" w:sz="4" w:space="0"/>
                  </w:tcBorders>
                  <w:noWrap w:val="0"/>
                  <w:vAlign w:val="center"/>
                </w:tcPr>
                <w:p w14:paraId="4DECB259">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夜间</w:t>
                  </w:r>
                </w:p>
              </w:tc>
            </w:tr>
            <w:tr w14:paraId="638671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383" w:type="pct"/>
                  <w:noWrap w:val="0"/>
                  <w:vAlign w:val="center"/>
                </w:tcPr>
                <w:p w14:paraId="16D00FF5">
                  <w:pPr>
                    <w:widowControl/>
                    <w:jc w:val="center"/>
                    <w:rPr>
                      <w:rFonts w:hint="default" w:ascii="Times New Roman" w:hAnsi="Times New Roman" w:cs="Times New Roman"/>
                      <w:color w:val="auto"/>
                      <w:szCs w:val="21"/>
                      <w:highlight w:val="none"/>
                    </w:rPr>
                  </w:pPr>
                  <w:r>
                    <w:rPr>
                      <w:rFonts w:hint="eastAsia" w:cs="Times New Roman"/>
                      <w:color w:val="auto"/>
                      <w:szCs w:val="21"/>
                      <w:highlight w:val="none"/>
                      <w:lang w:val="en-US" w:eastAsia="zh-CN"/>
                    </w:rPr>
                    <w:t>6</w:t>
                  </w:r>
                  <w:r>
                    <w:rPr>
                      <w:rFonts w:hint="default" w:ascii="Times New Roman" w:hAnsi="Times New Roman" w:cs="Times New Roman"/>
                      <w:color w:val="auto"/>
                      <w:szCs w:val="21"/>
                      <w:highlight w:val="none"/>
                    </w:rPr>
                    <w:t>月</w:t>
                  </w:r>
                  <w:r>
                    <w:rPr>
                      <w:rFonts w:hint="eastAsia" w:cs="Times New Roman"/>
                      <w:color w:val="auto"/>
                      <w:szCs w:val="21"/>
                      <w:highlight w:val="none"/>
                      <w:lang w:val="en-US" w:eastAsia="zh-CN"/>
                    </w:rPr>
                    <w:t>18</w:t>
                  </w:r>
                  <w:r>
                    <w:rPr>
                      <w:rFonts w:hint="default" w:ascii="Times New Roman" w:hAnsi="Times New Roman" w:cs="Times New Roman"/>
                      <w:color w:val="auto"/>
                      <w:szCs w:val="21"/>
                      <w:highlight w:val="none"/>
                    </w:rPr>
                    <w:t>日</w:t>
                  </w:r>
                </w:p>
              </w:tc>
              <w:tc>
                <w:tcPr>
                  <w:tcW w:w="695" w:type="pct"/>
                  <w:tcBorders>
                    <w:right w:val="single" w:color="auto" w:sz="4" w:space="0"/>
                  </w:tcBorders>
                  <w:noWrap w:val="0"/>
                  <w:vAlign w:val="center"/>
                </w:tcPr>
                <w:p w14:paraId="3312B0A4">
                  <w:pPr>
                    <w:widowControl/>
                    <w:jc w:val="center"/>
                    <w:rPr>
                      <w:rFonts w:hint="default" w:ascii="Times New Roman" w:hAnsi="Times New Roman" w:cs="Times New Roman"/>
                      <w:color w:val="auto"/>
                      <w:szCs w:val="21"/>
                      <w:highlight w:val="none"/>
                      <w:lang w:val="en-US"/>
                    </w:rPr>
                  </w:pPr>
                  <w:r>
                    <w:rPr>
                      <w:rFonts w:hint="eastAsia" w:cs="Times New Roman"/>
                      <w:color w:val="auto"/>
                      <w:szCs w:val="21"/>
                      <w:highlight w:val="none"/>
                      <w:lang w:val="en-US" w:eastAsia="zh-CN"/>
                    </w:rPr>
                    <w:t>52</w:t>
                  </w:r>
                </w:p>
              </w:tc>
              <w:tc>
                <w:tcPr>
                  <w:tcW w:w="641" w:type="pct"/>
                  <w:tcBorders>
                    <w:left w:val="single" w:color="auto" w:sz="4" w:space="0"/>
                  </w:tcBorders>
                  <w:noWrap w:val="0"/>
                  <w:vAlign w:val="center"/>
                </w:tcPr>
                <w:p w14:paraId="6F8B77C9">
                  <w:pPr>
                    <w:widowControl/>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45</w:t>
                  </w:r>
                </w:p>
              </w:tc>
              <w:tc>
                <w:tcPr>
                  <w:tcW w:w="507" w:type="pct"/>
                  <w:tcBorders>
                    <w:right w:val="single" w:color="auto" w:sz="4" w:space="0"/>
                  </w:tcBorders>
                  <w:noWrap w:val="0"/>
                  <w:vAlign w:val="center"/>
                </w:tcPr>
                <w:p w14:paraId="2DFC7D31">
                  <w:pPr>
                    <w:widowControl/>
                    <w:jc w:val="center"/>
                    <w:rPr>
                      <w:rFonts w:hint="eastAsia" w:cs="Times New Roman"/>
                      <w:color w:val="auto"/>
                      <w:szCs w:val="21"/>
                      <w:highlight w:val="none"/>
                      <w:lang w:val="en-US" w:eastAsia="zh-CN"/>
                    </w:rPr>
                  </w:pPr>
                  <w:r>
                    <w:rPr>
                      <w:rFonts w:hint="eastAsia" w:cs="Times New Roman"/>
                      <w:color w:val="auto"/>
                      <w:szCs w:val="21"/>
                      <w:highlight w:val="none"/>
                      <w:lang w:val="en-US" w:eastAsia="zh-CN"/>
                    </w:rPr>
                    <w:t>55</w:t>
                  </w:r>
                </w:p>
              </w:tc>
              <w:tc>
                <w:tcPr>
                  <w:tcW w:w="587" w:type="pct"/>
                  <w:tcBorders>
                    <w:left w:val="single" w:color="auto" w:sz="4" w:space="0"/>
                  </w:tcBorders>
                  <w:noWrap w:val="0"/>
                  <w:vAlign w:val="center"/>
                </w:tcPr>
                <w:p w14:paraId="75670848">
                  <w:pPr>
                    <w:widowControl/>
                    <w:jc w:val="center"/>
                    <w:rPr>
                      <w:rFonts w:hint="eastAsia" w:cs="Times New Roman"/>
                      <w:color w:val="auto"/>
                      <w:szCs w:val="21"/>
                      <w:highlight w:val="none"/>
                      <w:lang w:val="en-US" w:eastAsia="zh-CN"/>
                    </w:rPr>
                  </w:pPr>
                  <w:r>
                    <w:rPr>
                      <w:rFonts w:hint="eastAsia" w:cs="Times New Roman"/>
                      <w:color w:val="auto"/>
                      <w:szCs w:val="21"/>
                      <w:highlight w:val="none"/>
                      <w:lang w:val="en-US" w:eastAsia="zh-CN"/>
                    </w:rPr>
                    <w:t>48</w:t>
                  </w:r>
                </w:p>
              </w:tc>
              <w:tc>
                <w:tcPr>
                  <w:tcW w:w="600" w:type="pct"/>
                  <w:tcBorders>
                    <w:right w:val="single" w:color="auto" w:sz="4" w:space="0"/>
                  </w:tcBorders>
                  <w:noWrap w:val="0"/>
                  <w:vAlign w:val="center"/>
                </w:tcPr>
                <w:p w14:paraId="2D15B295">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6</w:t>
                  </w:r>
                  <w:r>
                    <w:rPr>
                      <w:rFonts w:hint="eastAsia" w:cs="Times New Roman"/>
                      <w:color w:val="auto"/>
                      <w:szCs w:val="21"/>
                      <w:highlight w:val="none"/>
                      <w:lang w:val="en-US" w:eastAsia="zh-CN"/>
                    </w:rPr>
                    <w:t>5</w:t>
                  </w:r>
                </w:p>
              </w:tc>
              <w:tc>
                <w:tcPr>
                  <w:tcW w:w="584" w:type="pct"/>
                  <w:tcBorders>
                    <w:left w:val="single" w:color="auto" w:sz="4" w:space="0"/>
                  </w:tcBorders>
                  <w:noWrap w:val="0"/>
                  <w:vAlign w:val="center"/>
                </w:tcPr>
                <w:p w14:paraId="4D7A16EB">
                  <w:pPr>
                    <w:widowControl/>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55</w:t>
                  </w:r>
                </w:p>
              </w:tc>
            </w:tr>
          </w:tbl>
          <w:p w14:paraId="00DD8D96">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噪声监测结果表明，项目</w:t>
            </w:r>
            <w:r>
              <w:rPr>
                <w:rFonts w:hint="eastAsia" w:cs="Times New Roman"/>
                <w:bCs/>
                <w:color w:val="auto"/>
                <w:kern w:val="28"/>
                <w:sz w:val="24"/>
                <w:highlight w:val="none"/>
                <w:lang w:val="en-US" w:eastAsia="zh-CN"/>
              </w:rPr>
              <w:t>东侧西安城建工程学校、北侧永丰村村委会</w:t>
            </w:r>
            <w:r>
              <w:rPr>
                <w:rFonts w:hint="default" w:ascii="Times New Roman" w:hAnsi="Times New Roman" w:eastAsia="宋体" w:cs="Times New Roman"/>
                <w:color w:val="auto"/>
                <w:sz w:val="24"/>
              </w:rPr>
              <w:t>噪声监测值满足《声环境质量标准》（GB3096-2008）中</w:t>
            </w:r>
            <w:r>
              <w:rPr>
                <w:rFonts w:hint="eastAsia" w:cs="Times New Roman"/>
                <w:color w:val="auto"/>
                <w:sz w:val="24"/>
                <w:lang w:val="en-US" w:eastAsia="zh-CN"/>
              </w:rPr>
              <w:t>3</w:t>
            </w:r>
            <w:r>
              <w:rPr>
                <w:rFonts w:hint="default" w:ascii="Times New Roman" w:hAnsi="Times New Roman" w:eastAsia="宋体" w:cs="Times New Roman"/>
                <w:color w:val="auto"/>
                <w:sz w:val="24"/>
              </w:rPr>
              <w:t>类标准要求，表明项目所在区现状声环境质量良好。</w:t>
            </w:r>
          </w:p>
          <w:p w14:paraId="61C7C3D9">
            <w:pPr>
              <w:spacing w:line="360" w:lineRule="auto"/>
              <w:ind w:firstLine="482" w:firstLineChars="200"/>
              <w:rPr>
                <w:b/>
                <w:bCs/>
                <w:color w:val="auto"/>
                <w:sz w:val="24"/>
              </w:rPr>
            </w:pPr>
            <w:r>
              <w:rPr>
                <w:b/>
                <w:bCs/>
                <w:color w:val="auto"/>
                <w:sz w:val="24"/>
              </w:rPr>
              <w:t>3、生态环境</w:t>
            </w:r>
          </w:p>
          <w:p w14:paraId="61D77826">
            <w:pPr>
              <w:spacing w:line="360" w:lineRule="auto"/>
              <w:ind w:firstLine="480" w:firstLineChars="200"/>
              <w:rPr>
                <w:color w:val="auto"/>
                <w:sz w:val="24"/>
              </w:rPr>
            </w:pPr>
            <w:r>
              <w:rPr>
                <w:bCs/>
                <w:color w:val="auto"/>
                <w:kern w:val="28"/>
                <w:sz w:val="24"/>
              </w:rPr>
              <w:t>根据《建设项目环境影响报告表编制技术指南</w:t>
            </w:r>
            <w:r>
              <w:rPr>
                <w:rFonts w:hint="eastAsia"/>
                <w:bCs/>
                <w:color w:val="auto"/>
                <w:kern w:val="28"/>
                <w:sz w:val="24"/>
                <w:lang w:val="en-US" w:eastAsia="zh-CN"/>
              </w:rPr>
              <w:t xml:space="preserve">  </w:t>
            </w:r>
            <w:r>
              <w:rPr>
                <w:bCs/>
                <w:color w:val="auto"/>
                <w:kern w:val="28"/>
                <w:sz w:val="24"/>
              </w:rPr>
              <w:t>污染影响类》（2021年版）所述，“产业园区外建设项目新增用地且用地范围内含有生态环境保护目标时，应进行生态现状调查”。</w:t>
            </w:r>
            <w:r>
              <w:rPr>
                <w:color w:val="auto"/>
                <w:sz w:val="24"/>
              </w:rPr>
              <w:t>本项目位于已建成的厂房内，</w:t>
            </w:r>
            <w:r>
              <w:rPr>
                <w:rFonts w:hint="eastAsia"/>
                <w:color w:val="auto"/>
                <w:sz w:val="24"/>
                <w:lang w:val="en-US" w:eastAsia="zh-CN"/>
              </w:rPr>
              <w:t>且</w:t>
            </w:r>
            <w:r>
              <w:rPr>
                <w:bCs/>
                <w:color w:val="auto"/>
                <w:kern w:val="28"/>
                <w:sz w:val="24"/>
              </w:rPr>
              <w:t>占地范围内无自然保护区、风景名胜区、文化和自然遗产地等生态环境保护目标，</w:t>
            </w:r>
            <w:r>
              <w:rPr>
                <w:color w:val="auto"/>
                <w:sz w:val="24"/>
              </w:rPr>
              <w:t>无需进行生态现状调查。</w:t>
            </w:r>
          </w:p>
          <w:p w14:paraId="66D89707">
            <w:pPr>
              <w:spacing w:line="360" w:lineRule="auto"/>
              <w:ind w:firstLine="482" w:firstLineChars="200"/>
              <w:rPr>
                <w:b/>
                <w:bCs/>
                <w:color w:val="auto"/>
                <w:sz w:val="24"/>
              </w:rPr>
            </w:pPr>
            <w:r>
              <w:rPr>
                <w:b/>
                <w:bCs/>
                <w:color w:val="auto"/>
                <w:sz w:val="24"/>
              </w:rPr>
              <w:t>4、地下水、土壤环境</w:t>
            </w:r>
          </w:p>
          <w:p w14:paraId="2BC85008">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color w:val="auto"/>
                <w:kern w:val="0"/>
                <w:szCs w:val="21"/>
              </w:rPr>
            </w:pPr>
            <w:r>
              <w:rPr>
                <w:rFonts w:hint="default" w:ascii="Times New Roman" w:hAnsi="Times New Roman" w:eastAsia="宋体" w:cs="Times New Roman"/>
                <w:color w:val="auto"/>
                <w:sz w:val="24"/>
                <w:szCs w:val="24"/>
                <w:lang w:eastAsia="zh-CN"/>
              </w:rPr>
              <w:t>根据《建设项目环境影响报告表编制技术指南》（污染影响类）（试行），</w:t>
            </w:r>
            <w:r>
              <w:rPr>
                <w:color w:val="auto"/>
                <w:sz w:val="24"/>
              </w:rPr>
              <w:t>本项目</w:t>
            </w:r>
            <w:r>
              <w:rPr>
                <w:rFonts w:hint="eastAsia"/>
                <w:color w:val="auto"/>
                <w:sz w:val="24"/>
              </w:rPr>
              <w:t>对地下水、土壤环境污染影响较小，</w:t>
            </w:r>
            <w:r>
              <w:rPr>
                <w:bCs/>
                <w:color w:val="auto"/>
                <w:kern w:val="28"/>
                <w:sz w:val="24"/>
              </w:rPr>
              <w:t>本次评价不对地下水、土壤环境进行现状调查。</w:t>
            </w:r>
          </w:p>
        </w:tc>
      </w:tr>
      <w:tr w14:paraId="3786F4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64D037BD">
            <w:pPr>
              <w:adjustRightInd w:val="0"/>
              <w:snapToGrid w:val="0"/>
              <w:spacing w:line="360" w:lineRule="auto"/>
              <w:jc w:val="center"/>
              <w:rPr>
                <w:color w:val="auto"/>
                <w:kern w:val="0"/>
                <w:sz w:val="24"/>
              </w:rPr>
            </w:pPr>
            <w:r>
              <w:rPr>
                <w:color w:val="auto"/>
                <w:kern w:val="0"/>
                <w:sz w:val="24"/>
              </w:rPr>
              <w:t>环境</w:t>
            </w:r>
          </w:p>
          <w:p w14:paraId="6F2D7905">
            <w:pPr>
              <w:adjustRightInd w:val="0"/>
              <w:snapToGrid w:val="0"/>
              <w:spacing w:line="360" w:lineRule="auto"/>
              <w:jc w:val="center"/>
              <w:rPr>
                <w:color w:val="auto"/>
                <w:kern w:val="0"/>
                <w:sz w:val="24"/>
              </w:rPr>
            </w:pPr>
            <w:r>
              <w:rPr>
                <w:color w:val="auto"/>
                <w:kern w:val="0"/>
                <w:sz w:val="24"/>
              </w:rPr>
              <w:t>保护</w:t>
            </w:r>
          </w:p>
          <w:p w14:paraId="02BFB237">
            <w:pPr>
              <w:adjustRightInd w:val="0"/>
              <w:snapToGrid w:val="0"/>
              <w:spacing w:line="360" w:lineRule="auto"/>
              <w:jc w:val="center"/>
              <w:rPr>
                <w:color w:val="auto"/>
                <w:kern w:val="0"/>
                <w:szCs w:val="21"/>
              </w:rPr>
            </w:pPr>
            <w:r>
              <w:rPr>
                <w:color w:val="auto"/>
                <w:kern w:val="0"/>
                <w:sz w:val="24"/>
              </w:rPr>
              <w:t>目标</w:t>
            </w:r>
          </w:p>
        </w:tc>
        <w:tc>
          <w:tcPr>
            <w:tcW w:w="8477" w:type="dxa"/>
            <w:vAlign w:val="center"/>
          </w:tcPr>
          <w:p w14:paraId="04D3BC59">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本项目属于污染影响类建设项目，根据《建设项目环境影响报告表编制技术指南（污染影响类）（试行）》确定各环境要素的环境影响评价范围及项目的环境保护目标。</w:t>
            </w:r>
          </w:p>
          <w:p w14:paraId="62ADA1E9">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大气环境：厂界外500m范围内的自然保护区、风景名胜区、居住区、文化区和农村地区中人群集中的区域等保护目标。</w:t>
            </w:r>
          </w:p>
          <w:p w14:paraId="691678E0">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声环境：厂界外50m范围内声环境保护目标。</w:t>
            </w:r>
          </w:p>
          <w:p w14:paraId="6FE5815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地下水环境：厂界外500m范围内的地下水集中式饮用水水源和热水、矿泉水、温泉等特殊地下水资源。</w:t>
            </w:r>
          </w:p>
          <w:p w14:paraId="1687B273">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生态环境：产业园区外建设项目新增用地的，应明确新增用地范围内生态环境保护目标。</w:t>
            </w:r>
          </w:p>
          <w:p w14:paraId="66664D63">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default" w:ascii="Times New Roman" w:hAnsi="Times New Roman" w:eastAsia="宋体" w:cs="Times New Roman"/>
                <w:color w:val="auto"/>
                <w:kern w:val="0"/>
                <w:sz w:val="24"/>
                <w:szCs w:val="20"/>
                <w:lang w:val="en-US" w:eastAsia="zh-CN"/>
              </w:rPr>
            </w:pPr>
            <w:r>
              <w:rPr>
                <w:color w:val="auto"/>
                <w:kern w:val="0"/>
                <w:sz w:val="24"/>
                <w:szCs w:val="20"/>
              </w:rPr>
              <w:t>根据现场调查，</w:t>
            </w:r>
            <w:r>
              <w:rPr>
                <w:rFonts w:hint="default" w:ascii="Times New Roman" w:hAnsi="Times New Roman" w:eastAsia="宋体" w:cs="Times New Roman"/>
                <w:color w:val="auto"/>
                <w:kern w:val="0"/>
                <w:sz w:val="24"/>
                <w:szCs w:val="20"/>
                <w:lang w:val="en-US" w:eastAsia="zh-CN"/>
              </w:rPr>
              <w:t>厂界外500m范围内不涉及地下水集中式饮用水水源和热水、矿泉水、温泉等特殊地下水水资源；项目租赁已建成生产厂房，不涉及新增用地，不涉及生态环境保护目标</w:t>
            </w:r>
            <w:r>
              <w:rPr>
                <w:rFonts w:hint="eastAsia" w:cs="Times New Roman"/>
                <w:color w:val="auto"/>
                <w:kern w:val="0"/>
                <w:sz w:val="24"/>
                <w:szCs w:val="20"/>
                <w:lang w:val="en-US" w:eastAsia="zh-CN"/>
              </w:rPr>
              <w:t>。</w:t>
            </w:r>
            <w:r>
              <w:rPr>
                <w:color w:val="auto"/>
                <w:sz w:val="24"/>
              </w:rPr>
              <w:t>本次评价主要环境保护目标见表3-</w:t>
            </w:r>
            <w:r>
              <w:rPr>
                <w:rFonts w:hint="eastAsia"/>
                <w:color w:val="auto"/>
                <w:sz w:val="24"/>
                <w:lang w:val="en-US" w:eastAsia="zh-CN"/>
              </w:rPr>
              <w:t>5、见附图6</w:t>
            </w:r>
            <w:r>
              <w:rPr>
                <w:rFonts w:hint="eastAsia"/>
                <w:color w:val="auto"/>
                <w:sz w:val="24"/>
              </w:rPr>
              <w:t>。</w:t>
            </w:r>
          </w:p>
          <w:p w14:paraId="0DCA2B9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表</w:t>
            </w:r>
            <w:r>
              <w:rPr>
                <w:rFonts w:hint="eastAsia" w:cs="Times New Roman"/>
                <w:b/>
                <w:bCs/>
                <w:color w:val="auto"/>
                <w:kern w:val="0"/>
                <w:szCs w:val="21"/>
                <w:lang w:val="en-US" w:eastAsia="zh-CN"/>
              </w:rPr>
              <w:t xml:space="preserve">3-5   </w:t>
            </w:r>
            <w:r>
              <w:rPr>
                <w:rFonts w:hint="default" w:ascii="Times New Roman" w:hAnsi="Times New Roman" w:cs="Times New Roman"/>
                <w:b/>
                <w:bCs/>
                <w:color w:val="auto"/>
                <w:kern w:val="0"/>
                <w:szCs w:val="21"/>
              </w:rPr>
              <w:t>主要环境保护目标一览表</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87"/>
              <w:gridCol w:w="997"/>
              <w:gridCol w:w="934"/>
              <w:gridCol w:w="1741"/>
              <w:gridCol w:w="2262"/>
              <w:gridCol w:w="954"/>
              <w:gridCol w:w="901"/>
            </w:tblGrid>
            <w:tr w14:paraId="18733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8" w:hRule="atLeast"/>
                <w:tblHeader/>
                <w:jc w:val="center"/>
              </w:trPr>
              <w:tc>
                <w:tcPr>
                  <w:tcW w:w="294" w:type="pct"/>
                  <w:vMerge w:val="restart"/>
                  <w:tcBorders>
                    <w:tl2br w:val="nil"/>
                    <w:tr2bl w:val="nil"/>
                  </w:tcBorders>
                  <w:noWrap w:val="0"/>
                  <w:vAlign w:val="center"/>
                </w:tcPr>
                <w:p w14:paraId="13BCB16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b/>
                      <w:color w:val="auto"/>
                      <w:sz w:val="21"/>
                      <w:szCs w:val="21"/>
                    </w:rPr>
                  </w:pPr>
                  <w:r>
                    <w:rPr>
                      <w:color w:val="auto"/>
                      <w:kern w:val="0"/>
                      <w:sz w:val="21"/>
                      <w:szCs w:val="21"/>
                    </w:rPr>
                    <w:t>环境要素</w:t>
                  </w:r>
                </w:p>
              </w:tc>
              <w:tc>
                <w:tcPr>
                  <w:tcW w:w="1166" w:type="pct"/>
                  <w:gridSpan w:val="2"/>
                  <w:tcBorders>
                    <w:tl2br w:val="nil"/>
                    <w:tr2bl w:val="nil"/>
                  </w:tcBorders>
                  <w:noWrap w:val="0"/>
                  <w:vAlign w:val="center"/>
                </w:tcPr>
                <w:p w14:paraId="4392117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eastAsia="宋体"/>
                      <w:color w:val="auto"/>
                      <w:kern w:val="0"/>
                      <w:sz w:val="21"/>
                      <w:szCs w:val="21"/>
                      <w:lang w:eastAsia="zh-CN"/>
                    </w:rPr>
                  </w:pPr>
                  <w:r>
                    <w:rPr>
                      <w:color w:val="auto"/>
                      <w:kern w:val="0"/>
                      <w:sz w:val="21"/>
                      <w:szCs w:val="21"/>
                    </w:rPr>
                    <w:t>坐标/</w:t>
                  </w:r>
                  <w:r>
                    <w:rPr>
                      <w:rFonts w:hint="eastAsia"/>
                      <w:color w:val="auto"/>
                      <w:kern w:val="0"/>
                      <w:sz w:val="21"/>
                      <w:szCs w:val="21"/>
                      <w:lang w:val="en-US" w:eastAsia="zh-CN"/>
                    </w:rPr>
                    <w:t>°</w:t>
                  </w:r>
                </w:p>
              </w:tc>
              <w:tc>
                <w:tcPr>
                  <w:tcW w:w="1051" w:type="pct"/>
                  <w:vMerge w:val="restart"/>
                  <w:tcBorders>
                    <w:tl2br w:val="nil"/>
                    <w:tr2bl w:val="nil"/>
                  </w:tcBorders>
                  <w:noWrap w:val="0"/>
                  <w:vAlign w:val="center"/>
                </w:tcPr>
                <w:p w14:paraId="1046130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保护</w:t>
                  </w:r>
                </w:p>
                <w:p w14:paraId="5ED51F6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对象</w:t>
                  </w:r>
                </w:p>
              </w:tc>
              <w:tc>
                <w:tcPr>
                  <w:tcW w:w="1366" w:type="pct"/>
                  <w:vMerge w:val="restart"/>
                  <w:tcBorders>
                    <w:tl2br w:val="nil"/>
                    <w:tr2bl w:val="nil"/>
                  </w:tcBorders>
                  <w:noWrap w:val="0"/>
                  <w:vAlign w:val="center"/>
                </w:tcPr>
                <w:p w14:paraId="2EF26F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环境功能区</w:t>
                  </w:r>
                </w:p>
              </w:tc>
              <w:tc>
                <w:tcPr>
                  <w:tcW w:w="576" w:type="pct"/>
                  <w:vMerge w:val="restart"/>
                  <w:tcBorders>
                    <w:tl2br w:val="nil"/>
                    <w:tr2bl w:val="nil"/>
                  </w:tcBorders>
                  <w:noWrap w:val="0"/>
                  <w:vAlign w:val="center"/>
                </w:tcPr>
                <w:p w14:paraId="6566956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相对厂址方位</w:t>
                  </w:r>
                </w:p>
              </w:tc>
              <w:tc>
                <w:tcPr>
                  <w:tcW w:w="544" w:type="pct"/>
                  <w:vMerge w:val="restart"/>
                  <w:tcBorders>
                    <w:tl2br w:val="nil"/>
                    <w:tr2bl w:val="nil"/>
                  </w:tcBorders>
                  <w:noWrap w:val="0"/>
                  <w:vAlign w:val="center"/>
                </w:tcPr>
                <w:p w14:paraId="0E34645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相对厂界距离/m</w:t>
                  </w:r>
                </w:p>
              </w:tc>
            </w:tr>
            <w:tr w14:paraId="2AD1BD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294" w:type="pct"/>
                  <w:vMerge w:val="continue"/>
                  <w:tcBorders>
                    <w:tl2br w:val="nil"/>
                    <w:tr2bl w:val="nil"/>
                  </w:tcBorders>
                  <w:noWrap w:val="0"/>
                  <w:vAlign w:val="center"/>
                </w:tcPr>
                <w:p w14:paraId="41EA09F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b/>
                      <w:color w:val="auto"/>
                      <w:sz w:val="21"/>
                      <w:szCs w:val="21"/>
                    </w:rPr>
                  </w:pPr>
                </w:p>
              </w:tc>
              <w:tc>
                <w:tcPr>
                  <w:tcW w:w="602" w:type="pct"/>
                  <w:tcBorders>
                    <w:tl2br w:val="nil"/>
                    <w:tr2bl w:val="nil"/>
                  </w:tcBorders>
                  <w:noWrap w:val="0"/>
                  <w:vAlign w:val="center"/>
                </w:tcPr>
                <w:p w14:paraId="38B6F2A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E</w:t>
                  </w:r>
                </w:p>
              </w:tc>
              <w:tc>
                <w:tcPr>
                  <w:tcW w:w="564" w:type="pct"/>
                  <w:tcBorders>
                    <w:tl2br w:val="nil"/>
                    <w:tr2bl w:val="nil"/>
                  </w:tcBorders>
                  <w:noWrap w:val="0"/>
                  <w:vAlign w:val="center"/>
                </w:tcPr>
                <w:p w14:paraId="3B31145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N</w:t>
                  </w:r>
                </w:p>
              </w:tc>
              <w:tc>
                <w:tcPr>
                  <w:tcW w:w="1051" w:type="pct"/>
                  <w:vMerge w:val="continue"/>
                  <w:tcBorders>
                    <w:tl2br w:val="nil"/>
                    <w:tr2bl w:val="nil"/>
                  </w:tcBorders>
                  <w:noWrap w:val="0"/>
                  <w:vAlign w:val="center"/>
                </w:tcPr>
                <w:p w14:paraId="238BD79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1366" w:type="pct"/>
                  <w:vMerge w:val="continue"/>
                  <w:tcBorders>
                    <w:tl2br w:val="nil"/>
                    <w:tr2bl w:val="nil"/>
                  </w:tcBorders>
                  <w:noWrap w:val="0"/>
                  <w:vAlign w:val="center"/>
                </w:tcPr>
                <w:p w14:paraId="06CFEE5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576" w:type="pct"/>
                  <w:vMerge w:val="continue"/>
                  <w:tcBorders>
                    <w:tl2br w:val="nil"/>
                    <w:tr2bl w:val="nil"/>
                  </w:tcBorders>
                  <w:noWrap w:val="0"/>
                  <w:vAlign w:val="center"/>
                </w:tcPr>
                <w:p w14:paraId="65187D7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544" w:type="pct"/>
                  <w:vMerge w:val="continue"/>
                  <w:tcBorders>
                    <w:tl2br w:val="nil"/>
                    <w:tr2bl w:val="nil"/>
                  </w:tcBorders>
                  <w:noWrap w:val="0"/>
                  <w:vAlign w:val="center"/>
                </w:tcPr>
                <w:p w14:paraId="4EDBBA9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r>
            <w:tr w14:paraId="0E98BA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94" w:type="pct"/>
                  <w:vMerge w:val="restart"/>
                  <w:tcBorders>
                    <w:tl2br w:val="nil"/>
                    <w:tr2bl w:val="nil"/>
                  </w:tcBorders>
                  <w:noWrap w:val="0"/>
                  <w:vAlign w:val="center"/>
                </w:tcPr>
                <w:p w14:paraId="2CC334A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环境空气</w:t>
                  </w:r>
                </w:p>
              </w:tc>
              <w:tc>
                <w:tcPr>
                  <w:tcW w:w="602" w:type="pct"/>
                  <w:tcBorders>
                    <w:tl2br w:val="nil"/>
                    <w:tr2bl w:val="nil"/>
                  </w:tcBorders>
                  <w:noWrap w:val="0"/>
                  <w:vAlign w:val="center"/>
                </w:tcPr>
                <w:p w14:paraId="7AE9BEB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108.9</w:t>
                  </w:r>
                  <w:r>
                    <w:rPr>
                      <w:rFonts w:hint="eastAsia" w:cs="Times New Roman"/>
                      <w:color w:val="auto"/>
                      <w:kern w:val="0"/>
                      <w:sz w:val="21"/>
                      <w:szCs w:val="21"/>
                      <w:lang w:val="en-US" w:eastAsia="zh-CN"/>
                    </w:rPr>
                    <w:t>412</w:t>
                  </w:r>
                </w:p>
              </w:tc>
              <w:tc>
                <w:tcPr>
                  <w:tcW w:w="564" w:type="pct"/>
                  <w:tcBorders>
                    <w:tl2br w:val="nil"/>
                    <w:tr2bl w:val="nil"/>
                  </w:tcBorders>
                  <w:noWrap w:val="0"/>
                  <w:vAlign w:val="center"/>
                </w:tcPr>
                <w:p w14:paraId="5B62DAD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34.52</w:t>
                  </w:r>
                  <w:r>
                    <w:rPr>
                      <w:rFonts w:hint="eastAsia" w:cs="Times New Roman"/>
                      <w:color w:val="auto"/>
                      <w:kern w:val="0"/>
                      <w:sz w:val="21"/>
                      <w:szCs w:val="21"/>
                      <w:lang w:val="en-US" w:eastAsia="zh-CN"/>
                    </w:rPr>
                    <w:t>46</w:t>
                  </w:r>
                </w:p>
              </w:tc>
              <w:tc>
                <w:tcPr>
                  <w:tcW w:w="1051" w:type="pct"/>
                  <w:tcBorders>
                    <w:tl2br w:val="nil"/>
                    <w:tr2bl w:val="nil"/>
                  </w:tcBorders>
                  <w:noWrap w:val="0"/>
                  <w:vAlign w:val="center"/>
                </w:tcPr>
                <w:p w14:paraId="5D49547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kern w:val="0"/>
                      <w:sz w:val="21"/>
                      <w:szCs w:val="21"/>
                      <w:lang w:val="en-US"/>
                    </w:rPr>
                  </w:pPr>
                  <w:r>
                    <w:rPr>
                      <w:rFonts w:hint="eastAsia"/>
                      <w:color w:val="auto"/>
                      <w:kern w:val="0"/>
                      <w:sz w:val="21"/>
                      <w:szCs w:val="21"/>
                      <w:lang w:val="en-US" w:eastAsia="zh-CN"/>
                    </w:rPr>
                    <w:t>永丰村</w:t>
                  </w:r>
                </w:p>
              </w:tc>
              <w:tc>
                <w:tcPr>
                  <w:tcW w:w="1366" w:type="pct"/>
                  <w:vMerge w:val="restart"/>
                  <w:tcBorders>
                    <w:tl2br w:val="nil"/>
                    <w:tr2bl w:val="nil"/>
                  </w:tcBorders>
                  <w:noWrap w:val="0"/>
                  <w:vAlign w:val="center"/>
                </w:tcPr>
                <w:p w14:paraId="0F86D29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sz w:val="21"/>
                      <w:szCs w:val="21"/>
                    </w:rPr>
                    <w:t>《环境空气质量标准》（GB3095-2012）</w:t>
                  </w:r>
                  <w:r>
                    <w:rPr>
                      <w:color w:val="auto"/>
                      <w:kern w:val="0"/>
                      <w:sz w:val="21"/>
                      <w:szCs w:val="21"/>
                    </w:rPr>
                    <w:t>二类</w:t>
                  </w:r>
                </w:p>
              </w:tc>
              <w:tc>
                <w:tcPr>
                  <w:tcW w:w="576" w:type="pct"/>
                  <w:tcBorders>
                    <w:tl2br w:val="nil"/>
                    <w:tr2bl w:val="nil"/>
                  </w:tcBorders>
                  <w:noWrap w:val="0"/>
                  <w:vAlign w:val="center"/>
                </w:tcPr>
                <w:p w14:paraId="4FA1C9C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W、</w:t>
                  </w:r>
                  <w:r>
                    <w:rPr>
                      <w:rFonts w:hint="eastAsia"/>
                      <w:color w:val="auto"/>
                      <w:sz w:val="21"/>
                      <w:szCs w:val="21"/>
                      <w:lang w:val="en-US" w:eastAsia="zh-CN"/>
                    </w:rPr>
                    <w:t>N</w:t>
                  </w:r>
                </w:p>
              </w:tc>
              <w:tc>
                <w:tcPr>
                  <w:tcW w:w="544" w:type="pct"/>
                  <w:tcBorders>
                    <w:tl2br w:val="nil"/>
                    <w:tr2bl w:val="nil"/>
                  </w:tcBorders>
                  <w:noWrap w:val="0"/>
                  <w:vAlign w:val="center"/>
                </w:tcPr>
                <w:p w14:paraId="74289D5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20</w:t>
                  </w:r>
                </w:p>
              </w:tc>
            </w:tr>
            <w:tr w14:paraId="23CB37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294" w:type="pct"/>
                  <w:vMerge w:val="continue"/>
                  <w:tcBorders>
                    <w:tl2br w:val="nil"/>
                    <w:tr2bl w:val="nil"/>
                  </w:tcBorders>
                  <w:noWrap w:val="0"/>
                  <w:vAlign w:val="center"/>
                </w:tcPr>
                <w:p w14:paraId="11E93EF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602" w:type="pct"/>
                  <w:tcBorders>
                    <w:tl2br w:val="nil"/>
                    <w:tr2bl w:val="nil"/>
                  </w:tcBorders>
                  <w:noWrap w:val="0"/>
                  <w:vAlign w:val="center"/>
                </w:tcPr>
                <w:p w14:paraId="22720D5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108.9364</w:t>
                  </w:r>
                </w:p>
              </w:tc>
              <w:tc>
                <w:tcPr>
                  <w:tcW w:w="564" w:type="pct"/>
                  <w:tcBorders>
                    <w:tl2br w:val="nil"/>
                    <w:tr2bl w:val="nil"/>
                  </w:tcBorders>
                  <w:noWrap w:val="0"/>
                  <w:vAlign w:val="center"/>
                </w:tcPr>
                <w:p w14:paraId="4DD6388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34.5228</w:t>
                  </w:r>
                </w:p>
              </w:tc>
              <w:tc>
                <w:tcPr>
                  <w:tcW w:w="1051" w:type="pct"/>
                  <w:tcBorders>
                    <w:tl2br w:val="nil"/>
                    <w:tr2bl w:val="nil"/>
                  </w:tcBorders>
                  <w:noWrap w:val="0"/>
                  <w:vAlign w:val="center"/>
                </w:tcPr>
                <w:p w14:paraId="76D2EB1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kern w:val="0"/>
                      <w:sz w:val="21"/>
                      <w:szCs w:val="21"/>
                      <w:lang w:val="en-US" w:eastAsia="zh-CN"/>
                    </w:rPr>
                  </w:pPr>
                  <w:r>
                    <w:rPr>
                      <w:rFonts w:hint="eastAsia"/>
                      <w:color w:val="auto"/>
                      <w:szCs w:val="21"/>
                      <w:lang w:val="en-US" w:eastAsia="zh-CN"/>
                    </w:rPr>
                    <w:t>法士特沃克小区</w:t>
                  </w:r>
                </w:p>
              </w:tc>
              <w:tc>
                <w:tcPr>
                  <w:tcW w:w="1366" w:type="pct"/>
                  <w:vMerge w:val="continue"/>
                  <w:tcBorders>
                    <w:tl2br w:val="nil"/>
                    <w:tr2bl w:val="nil"/>
                  </w:tcBorders>
                  <w:noWrap w:val="0"/>
                  <w:vAlign w:val="center"/>
                </w:tcPr>
                <w:p w14:paraId="54CFE15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sz w:val="21"/>
                      <w:szCs w:val="21"/>
                    </w:rPr>
                  </w:pPr>
                </w:p>
              </w:tc>
              <w:tc>
                <w:tcPr>
                  <w:tcW w:w="576" w:type="pct"/>
                  <w:tcBorders>
                    <w:tl2br w:val="nil"/>
                    <w:tr2bl w:val="nil"/>
                  </w:tcBorders>
                  <w:noWrap w:val="0"/>
                  <w:vAlign w:val="center"/>
                </w:tcPr>
                <w:p w14:paraId="7959BE0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W</w:t>
                  </w:r>
                </w:p>
              </w:tc>
              <w:tc>
                <w:tcPr>
                  <w:tcW w:w="544" w:type="pct"/>
                  <w:tcBorders>
                    <w:tl2br w:val="nil"/>
                    <w:tr2bl w:val="nil"/>
                  </w:tcBorders>
                  <w:noWrap w:val="0"/>
                  <w:vAlign w:val="center"/>
                </w:tcPr>
                <w:p w14:paraId="3DD00C7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452</w:t>
                  </w:r>
                </w:p>
              </w:tc>
            </w:tr>
            <w:tr w14:paraId="4187D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94" w:type="pct"/>
                  <w:vMerge w:val="continue"/>
                  <w:tcBorders>
                    <w:tl2br w:val="nil"/>
                    <w:tr2bl w:val="nil"/>
                  </w:tcBorders>
                  <w:noWrap w:val="0"/>
                  <w:vAlign w:val="center"/>
                </w:tcPr>
                <w:p w14:paraId="0A95115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sz w:val="21"/>
                      <w:szCs w:val="21"/>
                    </w:rPr>
                  </w:pPr>
                </w:p>
              </w:tc>
              <w:tc>
                <w:tcPr>
                  <w:tcW w:w="602" w:type="pct"/>
                  <w:tcBorders>
                    <w:tl2br w:val="nil"/>
                    <w:tr2bl w:val="nil"/>
                  </w:tcBorders>
                  <w:shd w:val="clear" w:color="auto" w:fill="auto"/>
                  <w:noWrap w:val="0"/>
                  <w:vAlign w:val="center"/>
                </w:tcPr>
                <w:p w14:paraId="73E4EAF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108.9385</w:t>
                  </w:r>
                </w:p>
              </w:tc>
              <w:tc>
                <w:tcPr>
                  <w:tcW w:w="564" w:type="pct"/>
                  <w:tcBorders>
                    <w:tl2br w:val="nil"/>
                    <w:tr2bl w:val="nil"/>
                  </w:tcBorders>
                  <w:shd w:val="clear" w:color="auto" w:fill="auto"/>
                  <w:noWrap w:val="0"/>
                  <w:vAlign w:val="center"/>
                </w:tcPr>
                <w:p w14:paraId="49C95A1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34.5275</w:t>
                  </w:r>
                </w:p>
              </w:tc>
              <w:tc>
                <w:tcPr>
                  <w:tcW w:w="1051" w:type="pct"/>
                  <w:tcBorders>
                    <w:tl2br w:val="nil"/>
                    <w:tr2bl w:val="nil"/>
                  </w:tcBorders>
                  <w:shd w:val="clear" w:color="auto" w:fill="auto"/>
                  <w:noWrap w:val="0"/>
                  <w:vAlign w:val="center"/>
                </w:tcPr>
                <w:p w14:paraId="60E552A4">
                  <w:pPr>
                    <w:pStyle w:val="2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永乐公办小学</w:t>
                  </w:r>
                </w:p>
              </w:tc>
              <w:tc>
                <w:tcPr>
                  <w:tcW w:w="1366" w:type="pct"/>
                  <w:vMerge w:val="continue"/>
                  <w:tcBorders>
                    <w:tl2br w:val="nil"/>
                    <w:tr2bl w:val="nil"/>
                  </w:tcBorders>
                  <w:noWrap w:val="0"/>
                  <w:vAlign w:val="center"/>
                </w:tcPr>
                <w:p w14:paraId="1BFD431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lang w:eastAsia="zh-CN"/>
                    </w:rPr>
                  </w:pPr>
                </w:p>
              </w:tc>
              <w:tc>
                <w:tcPr>
                  <w:tcW w:w="576" w:type="pct"/>
                  <w:tcBorders>
                    <w:tl2br w:val="nil"/>
                    <w:tr2bl w:val="nil"/>
                  </w:tcBorders>
                  <w:noWrap w:val="0"/>
                  <w:vAlign w:val="center"/>
                </w:tcPr>
                <w:p w14:paraId="0F4CA0A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N</w:t>
                  </w:r>
                </w:p>
              </w:tc>
              <w:tc>
                <w:tcPr>
                  <w:tcW w:w="544" w:type="pct"/>
                  <w:tcBorders>
                    <w:tl2br w:val="nil"/>
                    <w:tr2bl w:val="nil"/>
                  </w:tcBorders>
                  <w:noWrap w:val="0"/>
                  <w:vAlign w:val="center"/>
                </w:tcPr>
                <w:p w14:paraId="17A90F4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435</w:t>
                  </w:r>
                </w:p>
              </w:tc>
            </w:tr>
            <w:tr w14:paraId="6A221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94" w:type="pct"/>
                  <w:vMerge w:val="continue"/>
                  <w:tcBorders>
                    <w:tl2br w:val="nil"/>
                    <w:tr2bl w:val="nil"/>
                  </w:tcBorders>
                  <w:noWrap w:val="0"/>
                  <w:vAlign w:val="center"/>
                </w:tcPr>
                <w:p w14:paraId="5DFACD5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sz w:val="21"/>
                      <w:szCs w:val="21"/>
                    </w:rPr>
                  </w:pPr>
                </w:p>
              </w:tc>
              <w:tc>
                <w:tcPr>
                  <w:tcW w:w="602" w:type="pct"/>
                  <w:tcBorders>
                    <w:tl2br w:val="nil"/>
                    <w:tr2bl w:val="nil"/>
                  </w:tcBorders>
                  <w:shd w:val="clear" w:color="auto" w:fill="auto"/>
                  <w:noWrap w:val="0"/>
                  <w:vAlign w:val="center"/>
                </w:tcPr>
                <w:p w14:paraId="552D6E3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108.9417</w:t>
                  </w:r>
                </w:p>
              </w:tc>
              <w:tc>
                <w:tcPr>
                  <w:tcW w:w="564" w:type="pct"/>
                  <w:tcBorders>
                    <w:tl2br w:val="nil"/>
                    <w:tr2bl w:val="nil"/>
                  </w:tcBorders>
                  <w:shd w:val="clear" w:color="auto" w:fill="auto"/>
                  <w:noWrap w:val="0"/>
                  <w:vAlign w:val="center"/>
                </w:tcPr>
                <w:p w14:paraId="1CAFB55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34.5236</w:t>
                  </w:r>
                </w:p>
              </w:tc>
              <w:tc>
                <w:tcPr>
                  <w:tcW w:w="1051" w:type="pct"/>
                  <w:tcBorders>
                    <w:tl2br w:val="nil"/>
                    <w:tr2bl w:val="nil"/>
                  </w:tcBorders>
                  <w:shd w:val="clear" w:color="auto" w:fill="auto"/>
                  <w:noWrap w:val="0"/>
                  <w:vAlign w:val="center"/>
                </w:tcPr>
                <w:p w14:paraId="251518D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0"/>
                      <w:sz w:val="21"/>
                      <w:szCs w:val="21"/>
                      <w:lang w:val="en-US" w:eastAsia="zh-CN"/>
                    </w:rPr>
                    <w:t>西安城建工程学校</w:t>
                  </w:r>
                </w:p>
              </w:tc>
              <w:tc>
                <w:tcPr>
                  <w:tcW w:w="1366" w:type="pct"/>
                  <w:vMerge w:val="continue"/>
                  <w:tcBorders>
                    <w:tl2br w:val="nil"/>
                    <w:tr2bl w:val="nil"/>
                  </w:tcBorders>
                  <w:noWrap w:val="0"/>
                  <w:vAlign w:val="center"/>
                </w:tcPr>
                <w:p w14:paraId="3BC2E16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lang w:eastAsia="zh-CN"/>
                    </w:rPr>
                  </w:pPr>
                </w:p>
              </w:tc>
              <w:tc>
                <w:tcPr>
                  <w:tcW w:w="576" w:type="pct"/>
                  <w:tcBorders>
                    <w:tl2br w:val="nil"/>
                    <w:tr2bl w:val="nil"/>
                  </w:tcBorders>
                  <w:shd w:val="clear" w:color="auto" w:fill="auto"/>
                  <w:noWrap w:val="0"/>
                  <w:vAlign w:val="center"/>
                </w:tcPr>
                <w:p w14:paraId="062BEF4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E</w:t>
                  </w:r>
                </w:p>
              </w:tc>
              <w:tc>
                <w:tcPr>
                  <w:tcW w:w="544" w:type="pct"/>
                  <w:tcBorders>
                    <w:tl2br w:val="nil"/>
                    <w:tr2bl w:val="nil"/>
                  </w:tcBorders>
                  <w:shd w:val="clear" w:color="auto" w:fill="auto"/>
                  <w:noWrap w:val="0"/>
                  <w:vAlign w:val="center"/>
                </w:tcPr>
                <w:p w14:paraId="746BACD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p>
              </w:tc>
            </w:tr>
            <w:tr w14:paraId="36FD5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94" w:type="pct"/>
                  <w:vMerge w:val="restart"/>
                  <w:tcBorders>
                    <w:tl2br w:val="nil"/>
                    <w:tr2bl w:val="nil"/>
                  </w:tcBorders>
                  <w:noWrap w:val="0"/>
                  <w:vAlign w:val="center"/>
                </w:tcPr>
                <w:p w14:paraId="313B69A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声环境</w:t>
                  </w:r>
                </w:p>
              </w:tc>
              <w:tc>
                <w:tcPr>
                  <w:tcW w:w="602" w:type="pct"/>
                  <w:tcBorders>
                    <w:tl2br w:val="nil"/>
                    <w:tr2bl w:val="nil"/>
                  </w:tcBorders>
                  <w:shd w:val="clear" w:color="auto" w:fill="auto"/>
                  <w:noWrap w:val="0"/>
                  <w:vAlign w:val="center"/>
                </w:tcPr>
                <w:p w14:paraId="7B96D27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108.9</w:t>
                  </w:r>
                  <w:r>
                    <w:rPr>
                      <w:rFonts w:hint="eastAsia" w:cs="Times New Roman"/>
                      <w:color w:val="auto"/>
                      <w:kern w:val="0"/>
                      <w:sz w:val="21"/>
                      <w:szCs w:val="21"/>
                      <w:lang w:val="en-US" w:eastAsia="zh-CN"/>
                    </w:rPr>
                    <w:t>412</w:t>
                  </w:r>
                </w:p>
              </w:tc>
              <w:tc>
                <w:tcPr>
                  <w:tcW w:w="564" w:type="pct"/>
                  <w:tcBorders>
                    <w:tl2br w:val="nil"/>
                    <w:tr2bl w:val="nil"/>
                  </w:tcBorders>
                  <w:shd w:val="clear" w:color="auto" w:fill="auto"/>
                  <w:noWrap w:val="0"/>
                  <w:vAlign w:val="center"/>
                </w:tcPr>
                <w:p w14:paraId="1419A7A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34.52</w:t>
                  </w:r>
                  <w:r>
                    <w:rPr>
                      <w:rFonts w:hint="eastAsia" w:cs="Times New Roman"/>
                      <w:color w:val="auto"/>
                      <w:kern w:val="0"/>
                      <w:sz w:val="21"/>
                      <w:szCs w:val="21"/>
                      <w:lang w:val="en-US" w:eastAsia="zh-CN"/>
                    </w:rPr>
                    <w:t>46</w:t>
                  </w:r>
                </w:p>
              </w:tc>
              <w:tc>
                <w:tcPr>
                  <w:tcW w:w="1051" w:type="pct"/>
                  <w:tcBorders>
                    <w:tl2br w:val="nil"/>
                    <w:tr2bl w:val="nil"/>
                  </w:tcBorders>
                  <w:shd w:val="clear" w:color="auto" w:fill="auto"/>
                  <w:noWrap w:val="0"/>
                  <w:vAlign w:val="center"/>
                </w:tcPr>
                <w:p w14:paraId="747C65A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永丰村村委会</w:t>
                  </w:r>
                </w:p>
              </w:tc>
              <w:tc>
                <w:tcPr>
                  <w:tcW w:w="1366" w:type="pct"/>
                  <w:vMerge w:val="restart"/>
                  <w:tcBorders>
                    <w:tl2br w:val="nil"/>
                    <w:tr2bl w:val="nil"/>
                  </w:tcBorders>
                  <w:noWrap w:val="0"/>
                  <w:vAlign w:val="center"/>
                </w:tcPr>
                <w:p w14:paraId="6EF444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lang w:eastAsia="zh-CN"/>
                    </w:rPr>
                  </w:pPr>
                  <w:r>
                    <w:rPr>
                      <w:rFonts w:hint="default" w:ascii="Times New Roman" w:hAnsi="Times New Roman" w:cs="Times New Roman"/>
                      <w:color w:val="auto"/>
                      <w:highlight w:val="none"/>
                    </w:rPr>
                    <w:t>《声环境质量标准》（GB3096</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2008）</w:t>
                  </w:r>
                  <w:r>
                    <w:rPr>
                      <w:rFonts w:hint="eastAsia"/>
                      <w:color w:val="auto"/>
                      <w:szCs w:val="21"/>
                      <w:lang w:val="en-US" w:eastAsia="zh-CN"/>
                    </w:rPr>
                    <w:t>3</w:t>
                  </w:r>
                  <w:r>
                    <w:rPr>
                      <w:rFonts w:hint="eastAsia"/>
                      <w:color w:val="auto"/>
                      <w:szCs w:val="21"/>
                    </w:rPr>
                    <w:t>类</w:t>
                  </w:r>
                  <w:r>
                    <w:rPr>
                      <w:rFonts w:hint="eastAsia"/>
                      <w:color w:val="auto"/>
                      <w:szCs w:val="21"/>
                      <w:lang w:val="en-US" w:eastAsia="zh-CN"/>
                    </w:rPr>
                    <w:t>区</w:t>
                  </w:r>
                </w:p>
              </w:tc>
              <w:tc>
                <w:tcPr>
                  <w:tcW w:w="576" w:type="pct"/>
                  <w:tcBorders>
                    <w:tl2br w:val="nil"/>
                    <w:tr2bl w:val="nil"/>
                  </w:tcBorders>
                  <w:shd w:val="clear" w:color="auto" w:fill="auto"/>
                  <w:noWrap w:val="0"/>
                  <w:vAlign w:val="center"/>
                </w:tcPr>
                <w:p w14:paraId="2ED753B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N</w:t>
                  </w:r>
                </w:p>
              </w:tc>
              <w:tc>
                <w:tcPr>
                  <w:tcW w:w="544" w:type="pct"/>
                  <w:tcBorders>
                    <w:tl2br w:val="nil"/>
                    <w:tr2bl w:val="nil"/>
                  </w:tcBorders>
                  <w:shd w:val="clear" w:color="auto" w:fill="auto"/>
                  <w:noWrap w:val="0"/>
                  <w:vAlign w:val="center"/>
                </w:tcPr>
                <w:p w14:paraId="370D382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20</w:t>
                  </w:r>
                </w:p>
              </w:tc>
            </w:tr>
            <w:tr w14:paraId="32D01C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94" w:type="pct"/>
                  <w:vMerge w:val="continue"/>
                  <w:tcBorders>
                    <w:tl2br w:val="nil"/>
                    <w:tr2bl w:val="nil"/>
                  </w:tcBorders>
                  <w:noWrap w:val="0"/>
                  <w:vAlign w:val="center"/>
                </w:tcPr>
                <w:p w14:paraId="22593AC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eastAsia="宋体"/>
                      <w:color w:val="auto"/>
                      <w:sz w:val="21"/>
                      <w:szCs w:val="21"/>
                      <w:lang w:val="en-US" w:eastAsia="zh-CN"/>
                    </w:rPr>
                  </w:pPr>
                </w:p>
              </w:tc>
              <w:tc>
                <w:tcPr>
                  <w:tcW w:w="602" w:type="pct"/>
                  <w:tcBorders>
                    <w:tl2br w:val="nil"/>
                    <w:tr2bl w:val="nil"/>
                  </w:tcBorders>
                  <w:noWrap w:val="0"/>
                  <w:vAlign w:val="center"/>
                </w:tcPr>
                <w:p w14:paraId="2581A76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108.9417</w:t>
                  </w:r>
                </w:p>
              </w:tc>
              <w:tc>
                <w:tcPr>
                  <w:tcW w:w="564" w:type="pct"/>
                  <w:tcBorders>
                    <w:tl2br w:val="nil"/>
                    <w:tr2bl w:val="nil"/>
                  </w:tcBorders>
                  <w:noWrap w:val="0"/>
                  <w:vAlign w:val="center"/>
                </w:tcPr>
                <w:p w14:paraId="0E4B66C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34.5236</w:t>
                  </w:r>
                </w:p>
              </w:tc>
              <w:tc>
                <w:tcPr>
                  <w:tcW w:w="1051" w:type="pct"/>
                  <w:tcBorders>
                    <w:tl2br w:val="nil"/>
                    <w:tr2bl w:val="nil"/>
                  </w:tcBorders>
                  <w:noWrap w:val="0"/>
                  <w:vAlign w:val="center"/>
                </w:tcPr>
                <w:p w14:paraId="1C35B40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kern w:val="0"/>
                      <w:sz w:val="21"/>
                      <w:szCs w:val="21"/>
                      <w:lang w:val="en-US" w:eastAsia="zh-CN"/>
                    </w:rPr>
                    <w:t>西安城建工程学校</w:t>
                  </w:r>
                </w:p>
              </w:tc>
              <w:tc>
                <w:tcPr>
                  <w:tcW w:w="1366" w:type="pct"/>
                  <w:vMerge w:val="continue"/>
                  <w:tcBorders>
                    <w:tl2br w:val="nil"/>
                    <w:tr2bl w:val="nil"/>
                  </w:tcBorders>
                  <w:noWrap w:val="0"/>
                  <w:vAlign w:val="center"/>
                </w:tcPr>
                <w:p w14:paraId="23EB485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lang w:eastAsia="zh-CN"/>
                    </w:rPr>
                  </w:pPr>
                </w:p>
              </w:tc>
              <w:tc>
                <w:tcPr>
                  <w:tcW w:w="576" w:type="pct"/>
                  <w:tcBorders>
                    <w:tl2br w:val="nil"/>
                    <w:tr2bl w:val="nil"/>
                  </w:tcBorders>
                  <w:noWrap w:val="0"/>
                  <w:vAlign w:val="center"/>
                </w:tcPr>
                <w:p w14:paraId="76D082F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E</w:t>
                  </w:r>
                </w:p>
              </w:tc>
              <w:tc>
                <w:tcPr>
                  <w:tcW w:w="544" w:type="pct"/>
                  <w:tcBorders>
                    <w:tl2br w:val="nil"/>
                    <w:tr2bl w:val="nil"/>
                  </w:tcBorders>
                  <w:noWrap w:val="0"/>
                  <w:vAlign w:val="center"/>
                </w:tcPr>
                <w:p w14:paraId="64766AD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w:t>
                  </w:r>
                </w:p>
              </w:tc>
            </w:tr>
          </w:tbl>
          <w:p w14:paraId="16E4081E">
            <w:pPr>
              <w:adjustRightInd w:val="0"/>
              <w:snapToGrid w:val="0"/>
              <w:rPr>
                <w:color w:val="auto"/>
                <w:kern w:val="0"/>
                <w:szCs w:val="21"/>
              </w:rPr>
            </w:pPr>
          </w:p>
        </w:tc>
      </w:tr>
      <w:tr w14:paraId="126C4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15" w:hRule="atLeast"/>
          <w:jc w:val="center"/>
        </w:trPr>
        <w:tc>
          <w:tcPr>
            <w:tcW w:w="513" w:type="dxa"/>
            <w:tcMar>
              <w:left w:w="28" w:type="dxa"/>
              <w:right w:w="28" w:type="dxa"/>
            </w:tcMar>
            <w:vAlign w:val="center"/>
          </w:tcPr>
          <w:p w14:paraId="6BBCA736">
            <w:pPr>
              <w:adjustRightInd w:val="0"/>
              <w:snapToGrid w:val="0"/>
              <w:spacing w:line="360" w:lineRule="auto"/>
              <w:jc w:val="center"/>
              <w:rPr>
                <w:color w:val="auto"/>
                <w:kern w:val="0"/>
                <w:sz w:val="24"/>
              </w:rPr>
            </w:pPr>
            <w:r>
              <w:rPr>
                <w:color w:val="auto"/>
                <w:kern w:val="0"/>
                <w:sz w:val="24"/>
              </w:rPr>
              <w:t>污染</w:t>
            </w:r>
          </w:p>
          <w:p w14:paraId="551910AD">
            <w:pPr>
              <w:adjustRightInd w:val="0"/>
              <w:snapToGrid w:val="0"/>
              <w:spacing w:line="360" w:lineRule="auto"/>
              <w:jc w:val="center"/>
              <w:rPr>
                <w:color w:val="auto"/>
                <w:kern w:val="0"/>
                <w:sz w:val="24"/>
              </w:rPr>
            </w:pPr>
            <w:r>
              <w:rPr>
                <w:color w:val="auto"/>
                <w:kern w:val="0"/>
                <w:sz w:val="24"/>
              </w:rPr>
              <w:t>物排</w:t>
            </w:r>
          </w:p>
          <w:p w14:paraId="4BB37A62">
            <w:pPr>
              <w:adjustRightInd w:val="0"/>
              <w:snapToGrid w:val="0"/>
              <w:spacing w:line="360" w:lineRule="auto"/>
              <w:jc w:val="center"/>
              <w:rPr>
                <w:color w:val="auto"/>
                <w:kern w:val="0"/>
                <w:sz w:val="24"/>
              </w:rPr>
            </w:pPr>
            <w:r>
              <w:rPr>
                <w:color w:val="auto"/>
                <w:kern w:val="0"/>
                <w:sz w:val="24"/>
              </w:rPr>
              <w:t>放控</w:t>
            </w:r>
          </w:p>
          <w:p w14:paraId="1E64CBFA">
            <w:pPr>
              <w:adjustRightInd w:val="0"/>
              <w:snapToGrid w:val="0"/>
              <w:spacing w:line="360" w:lineRule="auto"/>
              <w:jc w:val="center"/>
              <w:rPr>
                <w:color w:val="auto"/>
                <w:kern w:val="0"/>
                <w:sz w:val="24"/>
              </w:rPr>
            </w:pPr>
            <w:r>
              <w:rPr>
                <w:color w:val="auto"/>
                <w:kern w:val="0"/>
                <w:sz w:val="24"/>
              </w:rPr>
              <w:t>制标</w:t>
            </w:r>
          </w:p>
          <w:p w14:paraId="2DA94D32">
            <w:pPr>
              <w:adjustRightInd w:val="0"/>
              <w:snapToGrid w:val="0"/>
              <w:spacing w:line="360" w:lineRule="auto"/>
              <w:jc w:val="center"/>
              <w:rPr>
                <w:color w:val="auto"/>
                <w:kern w:val="0"/>
                <w:szCs w:val="21"/>
              </w:rPr>
            </w:pPr>
            <w:r>
              <w:rPr>
                <w:color w:val="auto"/>
                <w:kern w:val="0"/>
                <w:sz w:val="24"/>
              </w:rPr>
              <w:t>准</w:t>
            </w:r>
          </w:p>
        </w:tc>
        <w:tc>
          <w:tcPr>
            <w:tcW w:w="8477" w:type="dxa"/>
            <w:vAlign w:val="center"/>
          </w:tcPr>
          <w:p w14:paraId="5A79270A">
            <w:pPr>
              <w:numPr>
                <w:ilvl w:val="0"/>
                <w:numId w:val="7"/>
              </w:numPr>
              <w:adjustRightInd w:val="0"/>
              <w:spacing w:line="360" w:lineRule="auto"/>
              <w:ind w:firstLine="482" w:firstLineChars="200"/>
              <w:rPr>
                <w:b/>
                <w:bCs/>
                <w:color w:val="auto"/>
                <w:sz w:val="24"/>
              </w:rPr>
            </w:pPr>
            <w:r>
              <w:rPr>
                <w:rFonts w:hint="eastAsia"/>
                <w:b/>
                <w:bCs/>
                <w:color w:val="auto"/>
                <w:sz w:val="24"/>
              </w:rPr>
              <w:t>废气</w:t>
            </w:r>
            <w:r>
              <w:rPr>
                <w:b/>
                <w:bCs/>
                <w:color w:val="auto"/>
                <w:sz w:val="24"/>
              </w:rPr>
              <w:t>排放标准</w:t>
            </w:r>
          </w:p>
          <w:p w14:paraId="2D78B001">
            <w:pPr>
              <w:pStyle w:val="3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bCs/>
                <w:color w:val="auto"/>
              </w:rPr>
            </w:pPr>
            <w:r>
              <w:rPr>
                <w:rFonts w:ascii="Times New Roman"/>
                <w:bCs/>
                <w:color w:val="auto"/>
              </w:rPr>
              <w:t>运营期</w:t>
            </w:r>
            <w:r>
              <w:rPr>
                <w:rFonts w:hint="eastAsia" w:ascii="Times New Roman"/>
                <w:bCs/>
                <w:color w:val="auto"/>
                <w:lang w:val="en-US" w:eastAsia="zh-CN"/>
              </w:rPr>
              <w:t>颗粒物执行《大气污染物综合排放标准》（GB16297-1996）表2中排放监控浓度限值，</w:t>
            </w:r>
            <w:r>
              <w:rPr>
                <w:rFonts w:ascii="Times New Roman"/>
                <w:bCs/>
                <w:color w:val="auto"/>
              </w:rPr>
              <w:t>具体标准值见表3-</w:t>
            </w:r>
            <w:r>
              <w:rPr>
                <w:rFonts w:hint="eastAsia" w:ascii="Times New Roman"/>
                <w:bCs/>
                <w:color w:val="auto"/>
                <w:lang w:val="en-US" w:eastAsia="zh-CN"/>
              </w:rPr>
              <w:t>6</w:t>
            </w:r>
            <w:r>
              <w:rPr>
                <w:rFonts w:ascii="Times New Roman"/>
                <w:bCs/>
                <w:color w:val="auto"/>
              </w:rPr>
              <w:t>。</w:t>
            </w:r>
          </w:p>
          <w:p w14:paraId="2517EFB1">
            <w:pPr>
              <w:adjustRightInd w:val="0"/>
              <w:snapToGrid w:val="0"/>
              <w:jc w:val="center"/>
              <w:rPr>
                <w:b/>
                <w:color w:val="auto"/>
                <w:szCs w:val="21"/>
              </w:rPr>
            </w:pPr>
            <w:r>
              <w:rPr>
                <w:b/>
                <w:snapToGrid w:val="0"/>
                <w:color w:val="auto"/>
                <w:kern w:val="0"/>
                <w:szCs w:val="21"/>
              </w:rPr>
              <w:t>表3-</w:t>
            </w:r>
            <w:r>
              <w:rPr>
                <w:rFonts w:hint="eastAsia"/>
                <w:b/>
                <w:snapToGrid w:val="0"/>
                <w:color w:val="auto"/>
                <w:kern w:val="0"/>
                <w:szCs w:val="21"/>
                <w:lang w:val="en-US" w:eastAsia="zh-CN"/>
              </w:rPr>
              <w:t>6</w:t>
            </w:r>
            <w:r>
              <w:rPr>
                <w:b/>
                <w:snapToGrid w:val="0"/>
                <w:color w:val="auto"/>
                <w:kern w:val="0"/>
                <w:szCs w:val="21"/>
              </w:rPr>
              <w:t xml:space="preserve">   </w:t>
            </w:r>
            <w:r>
              <w:rPr>
                <w:rFonts w:hint="eastAsia"/>
                <w:b/>
                <w:snapToGrid w:val="0"/>
                <w:color w:val="auto"/>
                <w:kern w:val="0"/>
                <w:szCs w:val="21"/>
              </w:rPr>
              <w:t>运营期</w:t>
            </w:r>
            <w:r>
              <w:rPr>
                <w:b/>
                <w:snapToGrid w:val="0"/>
                <w:color w:val="auto"/>
                <w:kern w:val="0"/>
                <w:szCs w:val="21"/>
              </w:rPr>
              <w:t>废气排放标准</w:t>
            </w:r>
          </w:p>
          <w:tbl>
            <w:tblPr>
              <w:tblStyle w:val="24"/>
              <w:tblW w:w="8279"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57" w:type="dxa"/>
                <w:bottom w:w="0" w:type="dxa"/>
                <w:right w:w="57" w:type="dxa"/>
              </w:tblCellMar>
            </w:tblPr>
            <w:tblGrid>
              <w:gridCol w:w="2449"/>
              <w:gridCol w:w="1007"/>
              <w:gridCol w:w="2805"/>
              <w:gridCol w:w="2018"/>
            </w:tblGrid>
            <w:tr w14:paraId="3F9B34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449" w:type="dxa"/>
                  <w:tcBorders>
                    <w:tl2br w:val="nil"/>
                    <w:tr2bl w:val="nil"/>
                  </w:tcBorders>
                  <w:vAlign w:val="center"/>
                </w:tcPr>
                <w:p w14:paraId="3C9D9E7A">
                  <w:pPr>
                    <w:snapToGrid w:val="0"/>
                    <w:spacing w:line="240" w:lineRule="auto"/>
                    <w:ind w:firstLine="0" w:firstLineChars="0"/>
                    <w:jc w:val="center"/>
                    <w:rPr>
                      <w:bCs/>
                      <w:color w:val="auto"/>
                      <w:szCs w:val="21"/>
                    </w:rPr>
                  </w:pPr>
                  <w:r>
                    <w:rPr>
                      <w:bCs/>
                      <w:color w:val="auto"/>
                      <w:szCs w:val="21"/>
                    </w:rPr>
                    <w:t>标准</w:t>
                  </w:r>
                </w:p>
              </w:tc>
              <w:tc>
                <w:tcPr>
                  <w:tcW w:w="1007" w:type="dxa"/>
                  <w:tcBorders>
                    <w:tl2br w:val="nil"/>
                    <w:tr2bl w:val="nil"/>
                  </w:tcBorders>
                  <w:vAlign w:val="center"/>
                </w:tcPr>
                <w:p w14:paraId="10EA8F68">
                  <w:pPr>
                    <w:snapToGrid w:val="0"/>
                    <w:spacing w:line="240" w:lineRule="auto"/>
                    <w:ind w:firstLine="0" w:firstLineChars="0"/>
                    <w:jc w:val="center"/>
                    <w:rPr>
                      <w:bCs/>
                      <w:color w:val="auto"/>
                      <w:szCs w:val="21"/>
                    </w:rPr>
                  </w:pPr>
                  <w:r>
                    <w:rPr>
                      <w:bCs/>
                      <w:color w:val="auto"/>
                      <w:szCs w:val="21"/>
                    </w:rPr>
                    <w:t>项目</w:t>
                  </w:r>
                </w:p>
              </w:tc>
              <w:tc>
                <w:tcPr>
                  <w:tcW w:w="4823" w:type="dxa"/>
                  <w:gridSpan w:val="2"/>
                  <w:tcBorders>
                    <w:tl2br w:val="nil"/>
                    <w:tr2bl w:val="nil"/>
                  </w:tcBorders>
                  <w:vAlign w:val="center"/>
                </w:tcPr>
                <w:p w14:paraId="4A4457D7">
                  <w:pPr>
                    <w:snapToGrid w:val="0"/>
                    <w:spacing w:line="240" w:lineRule="auto"/>
                    <w:ind w:firstLine="0" w:firstLineChars="0"/>
                    <w:jc w:val="center"/>
                    <w:rPr>
                      <w:bCs/>
                      <w:color w:val="auto"/>
                      <w:szCs w:val="21"/>
                    </w:rPr>
                  </w:pPr>
                  <w:r>
                    <w:rPr>
                      <w:bCs/>
                      <w:color w:val="auto"/>
                      <w:szCs w:val="21"/>
                    </w:rPr>
                    <w:t>标准限值</w:t>
                  </w:r>
                </w:p>
              </w:tc>
            </w:tr>
            <w:tr w14:paraId="338A99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449" w:type="dxa"/>
                  <w:vMerge w:val="restart"/>
                  <w:tcBorders>
                    <w:tl2br w:val="nil"/>
                    <w:tr2bl w:val="nil"/>
                  </w:tcBorders>
                  <w:vAlign w:val="center"/>
                </w:tcPr>
                <w:p w14:paraId="484302C5">
                  <w:pPr>
                    <w:snapToGrid w:val="0"/>
                    <w:spacing w:line="240" w:lineRule="auto"/>
                    <w:ind w:firstLine="0" w:firstLineChars="0"/>
                    <w:jc w:val="center"/>
                    <w:rPr>
                      <w:color w:val="auto"/>
                      <w:kern w:val="0"/>
                      <w:szCs w:val="21"/>
                    </w:rPr>
                  </w:pPr>
                  <w:r>
                    <w:rPr>
                      <w:color w:val="auto"/>
                      <w:szCs w:val="21"/>
                    </w:rPr>
                    <w:t>《大气污染物综合排放标准》（GB16297-1996）</w:t>
                  </w:r>
                </w:p>
              </w:tc>
              <w:tc>
                <w:tcPr>
                  <w:tcW w:w="1007" w:type="dxa"/>
                  <w:vMerge w:val="restart"/>
                  <w:tcBorders>
                    <w:tl2br w:val="nil"/>
                    <w:tr2bl w:val="nil"/>
                  </w:tcBorders>
                  <w:vAlign w:val="center"/>
                </w:tcPr>
                <w:p w14:paraId="078A06EE">
                  <w:pPr>
                    <w:snapToGrid w:val="0"/>
                    <w:spacing w:line="240" w:lineRule="auto"/>
                    <w:ind w:firstLine="0" w:firstLineChars="0"/>
                    <w:jc w:val="center"/>
                    <w:rPr>
                      <w:color w:val="auto"/>
                      <w:kern w:val="0"/>
                      <w:szCs w:val="21"/>
                    </w:rPr>
                  </w:pPr>
                  <w:r>
                    <w:rPr>
                      <w:color w:val="auto"/>
                      <w:kern w:val="0"/>
                      <w:szCs w:val="21"/>
                    </w:rPr>
                    <w:t>颗粒物</w:t>
                  </w:r>
                </w:p>
              </w:tc>
              <w:tc>
                <w:tcPr>
                  <w:tcW w:w="2805" w:type="dxa"/>
                  <w:tcBorders>
                    <w:tl2br w:val="nil"/>
                    <w:tr2bl w:val="nil"/>
                  </w:tcBorders>
                  <w:vAlign w:val="center"/>
                </w:tcPr>
                <w:p w14:paraId="06C1915C">
                  <w:pPr>
                    <w:snapToGrid w:val="0"/>
                    <w:spacing w:line="240" w:lineRule="auto"/>
                    <w:ind w:firstLine="0" w:firstLineChars="0"/>
                    <w:jc w:val="center"/>
                    <w:rPr>
                      <w:color w:val="auto"/>
                      <w:szCs w:val="21"/>
                    </w:rPr>
                  </w:pPr>
                  <w:bookmarkStart w:id="6" w:name="OLE_LINK10"/>
                  <w:r>
                    <w:rPr>
                      <w:color w:val="auto"/>
                      <w:szCs w:val="21"/>
                    </w:rPr>
                    <w:t>最高允许排放浓度</w:t>
                  </w:r>
                  <w:bookmarkEnd w:id="6"/>
                </w:p>
              </w:tc>
              <w:tc>
                <w:tcPr>
                  <w:tcW w:w="2018" w:type="dxa"/>
                  <w:tcBorders>
                    <w:tl2br w:val="nil"/>
                    <w:tr2bl w:val="nil"/>
                  </w:tcBorders>
                  <w:vAlign w:val="center"/>
                </w:tcPr>
                <w:p w14:paraId="74918F42">
                  <w:pPr>
                    <w:snapToGrid w:val="0"/>
                    <w:spacing w:line="240" w:lineRule="auto"/>
                    <w:ind w:firstLine="0" w:firstLineChars="0"/>
                    <w:jc w:val="center"/>
                    <w:rPr>
                      <w:color w:val="auto"/>
                      <w:szCs w:val="21"/>
                      <w:highlight w:val="red"/>
                    </w:rPr>
                  </w:pPr>
                  <w:r>
                    <w:rPr>
                      <w:rFonts w:hint="eastAsia"/>
                      <w:color w:val="auto"/>
                      <w:szCs w:val="21"/>
                    </w:rPr>
                    <w:t>120</w:t>
                  </w:r>
                  <w:r>
                    <w:rPr>
                      <w:bCs/>
                      <w:color w:val="auto"/>
                      <w:kern w:val="0"/>
                      <w:szCs w:val="21"/>
                    </w:rPr>
                    <w:t>mg/m</w:t>
                  </w:r>
                  <w:r>
                    <w:rPr>
                      <w:bCs/>
                      <w:color w:val="auto"/>
                      <w:kern w:val="0"/>
                      <w:szCs w:val="21"/>
                      <w:vertAlign w:val="superscript"/>
                    </w:rPr>
                    <w:t>3</w:t>
                  </w:r>
                </w:p>
              </w:tc>
            </w:tr>
            <w:tr w14:paraId="22AC7A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449" w:type="dxa"/>
                  <w:vMerge w:val="continue"/>
                  <w:tcBorders>
                    <w:tl2br w:val="nil"/>
                    <w:tr2bl w:val="nil"/>
                  </w:tcBorders>
                  <w:vAlign w:val="center"/>
                </w:tcPr>
                <w:p w14:paraId="749ED6D9">
                  <w:pPr>
                    <w:snapToGrid w:val="0"/>
                    <w:spacing w:line="240" w:lineRule="auto"/>
                    <w:ind w:firstLine="0" w:firstLineChars="0"/>
                    <w:jc w:val="center"/>
                    <w:rPr>
                      <w:color w:val="auto"/>
                      <w:szCs w:val="21"/>
                    </w:rPr>
                  </w:pPr>
                </w:p>
              </w:tc>
              <w:tc>
                <w:tcPr>
                  <w:tcW w:w="1007" w:type="dxa"/>
                  <w:vMerge w:val="continue"/>
                  <w:tcBorders>
                    <w:tl2br w:val="nil"/>
                    <w:tr2bl w:val="nil"/>
                  </w:tcBorders>
                  <w:vAlign w:val="center"/>
                </w:tcPr>
                <w:p w14:paraId="5F945185">
                  <w:pPr>
                    <w:snapToGrid w:val="0"/>
                    <w:spacing w:line="240" w:lineRule="auto"/>
                    <w:ind w:firstLine="0" w:firstLineChars="0"/>
                    <w:jc w:val="center"/>
                    <w:rPr>
                      <w:color w:val="auto"/>
                      <w:kern w:val="0"/>
                      <w:szCs w:val="21"/>
                    </w:rPr>
                  </w:pPr>
                </w:p>
              </w:tc>
              <w:tc>
                <w:tcPr>
                  <w:tcW w:w="2805" w:type="dxa"/>
                  <w:tcBorders>
                    <w:tl2br w:val="nil"/>
                    <w:tr2bl w:val="nil"/>
                  </w:tcBorders>
                  <w:vAlign w:val="center"/>
                </w:tcPr>
                <w:p w14:paraId="58D1B74A">
                  <w:pPr>
                    <w:snapToGrid w:val="0"/>
                    <w:spacing w:line="240" w:lineRule="auto"/>
                    <w:ind w:firstLine="0" w:firstLineChars="0"/>
                    <w:jc w:val="center"/>
                    <w:rPr>
                      <w:color w:val="auto"/>
                      <w:szCs w:val="21"/>
                    </w:rPr>
                  </w:pPr>
                  <w:r>
                    <w:rPr>
                      <w:color w:val="auto"/>
                      <w:szCs w:val="21"/>
                    </w:rPr>
                    <w:t>最高允许排放速率</w:t>
                  </w:r>
                </w:p>
              </w:tc>
              <w:tc>
                <w:tcPr>
                  <w:tcW w:w="2018" w:type="dxa"/>
                  <w:tcBorders>
                    <w:tl2br w:val="nil"/>
                    <w:tr2bl w:val="nil"/>
                  </w:tcBorders>
                  <w:vAlign w:val="center"/>
                </w:tcPr>
                <w:p w14:paraId="1456FD70">
                  <w:pPr>
                    <w:snapToGrid w:val="0"/>
                    <w:spacing w:line="240" w:lineRule="auto"/>
                    <w:ind w:firstLine="0" w:firstLineChars="0"/>
                    <w:jc w:val="center"/>
                    <w:rPr>
                      <w:color w:val="auto"/>
                      <w:szCs w:val="21"/>
                    </w:rPr>
                  </w:pPr>
                  <w:r>
                    <w:rPr>
                      <w:rFonts w:hint="eastAsia"/>
                      <w:color w:val="auto"/>
                      <w:szCs w:val="21"/>
                      <w:lang w:val="en-US" w:eastAsia="zh-CN"/>
                    </w:rPr>
                    <w:t>3.5</w:t>
                  </w:r>
                  <w:r>
                    <w:rPr>
                      <w:color w:val="auto"/>
                      <w:szCs w:val="21"/>
                    </w:rPr>
                    <w:t>kg/h</w:t>
                  </w:r>
                </w:p>
              </w:tc>
            </w:tr>
            <w:tr w14:paraId="6058BB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449" w:type="dxa"/>
                  <w:vMerge w:val="continue"/>
                  <w:tcBorders>
                    <w:tl2br w:val="nil"/>
                    <w:tr2bl w:val="nil"/>
                  </w:tcBorders>
                  <w:vAlign w:val="center"/>
                </w:tcPr>
                <w:p w14:paraId="4A1B4F69">
                  <w:pPr>
                    <w:snapToGrid w:val="0"/>
                    <w:spacing w:line="240" w:lineRule="auto"/>
                    <w:ind w:firstLine="0" w:firstLineChars="0"/>
                    <w:jc w:val="center"/>
                    <w:rPr>
                      <w:color w:val="auto"/>
                      <w:szCs w:val="21"/>
                    </w:rPr>
                  </w:pPr>
                </w:p>
              </w:tc>
              <w:tc>
                <w:tcPr>
                  <w:tcW w:w="1007" w:type="dxa"/>
                  <w:vMerge w:val="continue"/>
                  <w:tcBorders>
                    <w:tl2br w:val="nil"/>
                    <w:tr2bl w:val="nil"/>
                  </w:tcBorders>
                  <w:vAlign w:val="center"/>
                </w:tcPr>
                <w:p w14:paraId="4C9A16DE">
                  <w:pPr>
                    <w:snapToGrid w:val="0"/>
                    <w:spacing w:line="240" w:lineRule="auto"/>
                    <w:ind w:firstLine="0" w:firstLineChars="0"/>
                    <w:jc w:val="center"/>
                    <w:rPr>
                      <w:color w:val="auto"/>
                      <w:kern w:val="0"/>
                      <w:szCs w:val="21"/>
                    </w:rPr>
                  </w:pPr>
                </w:p>
              </w:tc>
              <w:tc>
                <w:tcPr>
                  <w:tcW w:w="2805" w:type="dxa"/>
                  <w:tcBorders>
                    <w:tl2br w:val="nil"/>
                    <w:tr2bl w:val="nil"/>
                  </w:tcBorders>
                  <w:vAlign w:val="center"/>
                </w:tcPr>
                <w:p w14:paraId="7CC7E3E5">
                  <w:pPr>
                    <w:snapToGrid w:val="0"/>
                    <w:spacing w:line="240" w:lineRule="auto"/>
                    <w:ind w:firstLine="0" w:firstLineChars="0"/>
                    <w:jc w:val="center"/>
                    <w:rPr>
                      <w:color w:val="auto"/>
                      <w:szCs w:val="21"/>
                    </w:rPr>
                  </w:pPr>
                  <w:r>
                    <w:rPr>
                      <w:color w:val="auto"/>
                      <w:szCs w:val="21"/>
                    </w:rPr>
                    <w:t>无组织排放监控浓度限值</w:t>
                  </w:r>
                </w:p>
              </w:tc>
              <w:tc>
                <w:tcPr>
                  <w:tcW w:w="2018" w:type="dxa"/>
                  <w:tcBorders>
                    <w:tl2br w:val="nil"/>
                    <w:tr2bl w:val="nil"/>
                  </w:tcBorders>
                  <w:vAlign w:val="center"/>
                </w:tcPr>
                <w:p w14:paraId="61E6997D">
                  <w:pPr>
                    <w:snapToGrid w:val="0"/>
                    <w:spacing w:line="240" w:lineRule="auto"/>
                    <w:ind w:firstLine="0" w:firstLineChars="0"/>
                    <w:jc w:val="center"/>
                    <w:rPr>
                      <w:color w:val="auto"/>
                      <w:szCs w:val="21"/>
                    </w:rPr>
                  </w:pPr>
                  <w:r>
                    <w:rPr>
                      <w:rFonts w:hint="eastAsia"/>
                      <w:color w:val="auto"/>
                      <w:szCs w:val="21"/>
                    </w:rPr>
                    <w:t>1.0</w:t>
                  </w:r>
                  <w:r>
                    <w:rPr>
                      <w:bCs/>
                      <w:color w:val="auto"/>
                      <w:kern w:val="0"/>
                      <w:szCs w:val="21"/>
                    </w:rPr>
                    <w:t>mg/m</w:t>
                  </w:r>
                  <w:r>
                    <w:rPr>
                      <w:bCs/>
                      <w:color w:val="auto"/>
                      <w:kern w:val="0"/>
                      <w:szCs w:val="21"/>
                      <w:vertAlign w:val="superscript"/>
                    </w:rPr>
                    <w:t>3</w:t>
                  </w:r>
                </w:p>
              </w:tc>
            </w:tr>
          </w:tbl>
          <w:p w14:paraId="025E2123">
            <w:pPr>
              <w:keepNext w:val="0"/>
              <w:keepLines w:val="0"/>
              <w:pageBreakBefore w:val="0"/>
              <w:widowControl/>
              <w:kinsoku/>
              <w:wordWrap/>
              <w:overflowPunct/>
              <w:topLinePunct w:val="0"/>
              <w:autoSpaceDE/>
              <w:autoSpaceDN/>
              <w:bidi w:val="0"/>
              <w:adjustRightInd/>
              <w:snapToGrid/>
              <w:spacing w:line="336" w:lineRule="auto"/>
              <w:ind w:firstLine="482" w:firstLineChars="200"/>
              <w:jc w:val="left"/>
              <w:textAlignment w:val="auto"/>
              <w:rPr>
                <w:b/>
                <w:bCs/>
                <w:color w:val="auto"/>
                <w:sz w:val="24"/>
              </w:rPr>
            </w:pPr>
            <w:r>
              <w:rPr>
                <w:b/>
                <w:bCs/>
                <w:color w:val="auto"/>
                <w:sz w:val="24"/>
              </w:rPr>
              <w:t>2、</w:t>
            </w:r>
            <w:r>
              <w:rPr>
                <w:rFonts w:hint="eastAsia"/>
                <w:b/>
                <w:bCs/>
                <w:color w:val="auto"/>
                <w:sz w:val="24"/>
              </w:rPr>
              <w:t>废水排放标准</w:t>
            </w:r>
          </w:p>
          <w:p w14:paraId="5AAE93CA">
            <w:pPr>
              <w:adjustRightInd w:val="0"/>
              <w:snapToGrid w:val="0"/>
              <w:spacing w:line="360" w:lineRule="auto"/>
              <w:ind w:firstLine="420"/>
              <w:jc w:val="left"/>
              <w:rPr>
                <w:rFonts w:cs="宋体"/>
                <w:color w:val="auto"/>
                <w:kern w:val="0"/>
                <w:szCs w:val="21"/>
              </w:rPr>
            </w:pPr>
            <w:r>
              <w:rPr>
                <w:rFonts w:hint="eastAsia" w:cs="宋体"/>
                <w:color w:val="auto"/>
                <w:kern w:val="0"/>
                <w:sz w:val="24"/>
                <w:szCs w:val="24"/>
                <w:lang w:val="en-US" w:eastAsia="zh-CN"/>
              </w:rPr>
              <w:t>生活污水</w:t>
            </w:r>
            <w:r>
              <w:rPr>
                <w:rFonts w:cs="宋体"/>
                <w:color w:val="auto"/>
                <w:kern w:val="0"/>
                <w:sz w:val="24"/>
                <w:szCs w:val="24"/>
              </w:rPr>
              <w:t>执行《污水综合排放标准》（GB8978-1996）中的三级标准及《污水排入城镇下水道水质标准》（GB/T31962-2015）中B级标准。</w:t>
            </w:r>
          </w:p>
          <w:p w14:paraId="1D176E49">
            <w:pPr>
              <w:pStyle w:val="41"/>
              <w:rPr>
                <w:color w:val="auto"/>
              </w:rPr>
            </w:pPr>
            <w:r>
              <w:rPr>
                <w:color w:val="auto"/>
              </w:rPr>
              <w:t>表</w:t>
            </w:r>
            <w:r>
              <w:rPr>
                <w:rFonts w:hint="eastAsia"/>
                <w:color w:val="auto"/>
              </w:rPr>
              <w:t>3</w:t>
            </w:r>
            <w:r>
              <w:rPr>
                <w:color w:val="auto"/>
              </w:rPr>
              <w:t>-</w:t>
            </w:r>
            <w:r>
              <w:rPr>
                <w:rFonts w:hint="eastAsia"/>
                <w:color w:val="auto"/>
                <w:lang w:val="en-US" w:eastAsia="zh-CN"/>
              </w:rPr>
              <w:t xml:space="preserve">7 </w:t>
            </w:r>
            <w:r>
              <w:rPr>
                <w:color w:val="auto"/>
              </w:rPr>
              <w:t xml:space="preserve"> 废水排放标准</w:t>
            </w:r>
          </w:p>
          <w:tbl>
            <w:tblPr>
              <w:tblStyle w:val="24"/>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21"/>
              <w:gridCol w:w="793"/>
              <w:gridCol w:w="757"/>
              <w:gridCol w:w="831"/>
              <w:gridCol w:w="604"/>
              <w:gridCol w:w="622"/>
              <w:gridCol w:w="510"/>
              <w:gridCol w:w="434"/>
            </w:tblGrid>
            <w:tr w14:paraId="52AD1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48" w:type="pct"/>
                  <w:tcBorders>
                    <w:tl2br w:val="nil"/>
                    <w:tr2bl w:val="nil"/>
                  </w:tcBorders>
                  <w:noWrap w:val="0"/>
                  <w:tcMar>
                    <w:left w:w="28" w:type="dxa"/>
                    <w:right w:w="28" w:type="dxa"/>
                  </w:tcMar>
                  <w:vAlign w:val="center"/>
                </w:tcPr>
                <w:p w14:paraId="74D6EB34">
                  <w:pPr>
                    <w:pStyle w:val="42"/>
                    <w:rPr>
                      <w:color w:val="auto"/>
                    </w:rPr>
                  </w:pPr>
                  <w:r>
                    <w:rPr>
                      <w:rFonts w:hint="eastAsia"/>
                      <w:color w:val="auto"/>
                    </w:rPr>
                    <w:t>执行标准名称</w:t>
                  </w:r>
                </w:p>
              </w:tc>
              <w:tc>
                <w:tcPr>
                  <w:tcW w:w="479" w:type="pct"/>
                  <w:tcBorders>
                    <w:tl2br w:val="nil"/>
                    <w:tr2bl w:val="nil"/>
                  </w:tcBorders>
                  <w:noWrap w:val="0"/>
                  <w:tcMar>
                    <w:left w:w="28" w:type="dxa"/>
                    <w:right w:w="28" w:type="dxa"/>
                  </w:tcMar>
                  <w:vAlign w:val="center"/>
                </w:tcPr>
                <w:p w14:paraId="28D1AF4C">
                  <w:pPr>
                    <w:pStyle w:val="42"/>
                    <w:rPr>
                      <w:color w:val="auto"/>
                    </w:rPr>
                  </w:pPr>
                  <w:r>
                    <w:rPr>
                      <w:color w:val="auto"/>
                    </w:rPr>
                    <w:t>pH值</w:t>
                  </w:r>
                </w:p>
              </w:tc>
              <w:tc>
                <w:tcPr>
                  <w:tcW w:w="457" w:type="pct"/>
                  <w:tcBorders>
                    <w:tl2br w:val="nil"/>
                    <w:tr2bl w:val="nil"/>
                  </w:tcBorders>
                  <w:noWrap w:val="0"/>
                  <w:tcMar>
                    <w:left w:w="28" w:type="dxa"/>
                    <w:right w:w="28" w:type="dxa"/>
                  </w:tcMar>
                  <w:vAlign w:val="center"/>
                </w:tcPr>
                <w:p w14:paraId="411650FE">
                  <w:pPr>
                    <w:pStyle w:val="42"/>
                    <w:rPr>
                      <w:color w:val="auto"/>
                    </w:rPr>
                  </w:pPr>
                  <w:r>
                    <w:rPr>
                      <w:color w:val="auto"/>
                    </w:rPr>
                    <w:t>CO</w:t>
                  </w:r>
                  <w:r>
                    <w:rPr>
                      <w:rFonts w:hint="eastAsia"/>
                      <w:color w:val="auto"/>
                    </w:rPr>
                    <w:t>D</w:t>
                  </w:r>
                </w:p>
              </w:tc>
              <w:tc>
                <w:tcPr>
                  <w:tcW w:w="502" w:type="pct"/>
                  <w:tcBorders>
                    <w:tl2br w:val="nil"/>
                    <w:tr2bl w:val="nil"/>
                  </w:tcBorders>
                  <w:noWrap w:val="0"/>
                  <w:tcMar>
                    <w:left w:w="28" w:type="dxa"/>
                    <w:right w:w="28" w:type="dxa"/>
                  </w:tcMar>
                  <w:vAlign w:val="center"/>
                </w:tcPr>
                <w:p w14:paraId="55A37FE0">
                  <w:pPr>
                    <w:pStyle w:val="42"/>
                    <w:rPr>
                      <w:color w:val="auto"/>
                    </w:rPr>
                  </w:pPr>
                  <w:r>
                    <w:rPr>
                      <w:color w:val="auto"/>
                    </w:rPr>
                    <w:t>BOD</w:t>
                  </w:r>
                  <w:r>
                    <w:rPr>
                      <w:color w:val="auto"/>
                      <w:vertAlign w:val="subscript"/>
                    </w:rPr>
                    <w:t>5</w:t>
                  </w:r>
                </w:p>
              </w:tc>
              <w:tc>
                <w:tcPr>
                  <w:tcW w:w="365" w:type="pct"/>
                  <w:tcBorders>
                    <w:tl2br w:val="nil"/>
                    <w:tr2bl w:val="nil"/>
                  </w:tcBorders>
                  <w:noWrap w:val="0"/>
                  <w:tcMar>
                    <w:left w:w="28" w:type="dxa"/>
                    <w:right w:w="28" w:type="dxa"/>
                  </w:tcMar>
                  <w:vAlign w:val="center"/>
                </w:tcPr>
                <w:p w14:paraId="73FD24F1">
                  <w:pPr>
                    <w:pStyle w:val="42"/>
                    <w:rPr>
                      <w:color w:val="auto"/>
                    </w:rPr>
                  </w:pPr>
                  <w:r>
                    <w:rPr>
                      <w:color w:val="auto"/>
                    </w:rPr>
                    <w:t>SS</w:t>
                  </w:r>
                </w:p>
              </w:tc>
              <w:tc>
                <w:tcPr>
                  <w:tcW w:w="376" w:type="pct"/>
                  <w:tcBorders>
                    <w:tl2br w:val="nil"/>
                    <w:tr2bl w:val="nil"/>
                  </w:tcBorders>
                  <w:noWrap w:val="0"/>
                  <w:tcMar>
                    <w:left w:w="28" w:type="dxa"/>
                    <w:right w:w="28" w:type="dxa"/>
                  </w:tcMar>
                  <w:vAlign w:val="center"/>
                </w:tcPr>
                <w:p w14:paraId="267657D3">
                  <w:pPr>
                    <w:pStyle w:val="42"/>
                    <w:rPr>
                      <w:color w:val="auto"/>
                    </w:rPr>
                  </w:pPr>
                  <w:r>
                    <w:rPr>
                      <w:rFonts w:hint="eastAsia"/>
                      <w:color w:val="auto"/>
                    </w:rPr>
                    <w:t>氨氮</w:t>
                  </w:r>
                </w:p>
              </w:tc>
              <w:tc>
                <w:tcPr>
                  <w:tcW w:w="308" w:type="pct"/>
                  <w:tcBorders>
                    <w:tl2br w:val="nil"/>
                    <w:tr2bl w:val="nil"/>
                  </w:tcBorders>
                  <w:noWrap w:val="0"/>
                  <w:tcMar>
                    <w:left w:w="28" w:type="dxa"/>
                    <w:right w:w="28" w:type="dxa"/>
                  </w:tcMar>
                  <w:vAlign w:val="center"/>
                </w:tcPr>
                <w:p w14:paraId="5A03DF05">
                  <w:pPr>
                    <w:pStyle w:val="42"/>
                    <w:rPr>
                      <w:rFonts w:hint="default" w:eastAsia="宋体"/>
                      <w:color w:val="auto"/>
                      <w:lang w:val="en-US" w:eastAsia="zh-CN"/>
                    </w:rPr>
                  </w:pPr>
                  <w:r>
                    <w:rPr>
                      <w:rFonts w:hint="eastAsia"/>
                      <w:color w:val="auto"/>
                      <w:lang w:val="en-US" w:eastAsia="zh-CN"/>
                    </w:rPr>
                    <w:t>TP</w:t>
                  </w:r>
                </w:p>
              </w:tc>
              <w:tc>
                <w:tcPr>
                  <w:tcW w:w="262" w:type="pct"/>
                  <w:tcBorders>
                    <w:tl2br w:val="nil"/>
                    <w:tr2bl w:val="nil"/>
                  </w:tcBorders>
                  <w:noWrap w:val="0"/>
                  <w:tcMar>
                    <w:left w:w="28" w:type="dxa"/>
                    <w:right w:w="28" w:type="dxa"/>
                  </w:tcMar>
                  <w:vAlign w:val="center"/>
                </w:tcPr>
                <w:p w14:paraId="383ADEC7">
                  <w:pPr>
                    <w:pStyle w:val="42"/>
                    <w:rPr>
                      <w:rFonts w:hint="default" w:eastAsia="宋体"/>
                      <w:color w:val="auto"/>
                      <w:lang w:val="en-US" w:eastAsia="zh-CN"/>
                    </w:rPr>
                  </w:pPr>
                  <w:r>
                    <w:rPr>
                      <w:rFonts w:hint="eastAsia"/>
                      <w:color w:val="auto"/>
                      <w:lang w:val="en-US" w:eastAsia="zh-CN"/>
                    </w:rPr>
                    <w:t>TN</w:t>
                  </w:r>
                </w:p>
              </w:tc>
            </w:tr>
            <w:tr w14:paraId="091DD0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248" w:type="pct"/>
                  <w:tcBorders>
                    <w:tl2br w:val="nil"/>
                    <w:tr2bl w:val="nil"/>
                  </w:tcBorders>
                  <w:noWrap w:val="0"/>
                  <w:tcMar>
                    <w:left w:w="28" w:type="dxa"/>
                    <w:right w:w="28" w:type="dxa"/>
                  </w:tcMar>
                  <w:vAlign w:val="center"/>
                </w:tcPr>
                <w:p w14:paraId="67C41B76">
                  <w:pPr>
                    <w:pStyle w:val="42"/>
                    <w:rPr>
                      <w:color w:val="auto"/>
                    </w:rPr>
                  </w:pPr>
                  <w:r>
                    <w:rPr>
                      <w:color w:val="auto"/>
                    </w:rPr>
                    <w:t>《污水综合排放标准》（GB8978-1996）表2中三</w:t>
                  </w:r>
                  <w:r>
                    <w:rPr>
                      <w:rFonts w:hint="eastAsia"/>
                      <w:color w:val="auto"/>
                    </w:rPr>
                    <w:t>级</w:t>
                  </w:r>
                  <w:r>
                    <w:rPr>
                      <w:color w:val="auto"/>
                    </w:rPr>
                    <w:t>标准</w:t>
                  </w:r>
                </w:p>
              </w:tc>
              <w:tc>
                <w:tcPr>
                  <w:tcW w:w="479" w:type="pct"/>
                  <w:tcBorders>
                    <w:tl2br w:val="nil"/>
                    <w:tr2bl w:val="nil"/>
                  </w:tcBorders>
                  <w:noWrap w:val="0"/>
                  <w:tcMar>
                    <w:left w:w="28" w:type="dxa"/>
                    <w:right w:w="28" w:type="dxa"/>
                  </w:tcMar>
                  <w:vAlign w:val="center"/>
                </w:tcPr>
                <w:p w14:paraId="3556EEAD">
                  <w:pPr>
                    <w:pStyle w:val="42"/>
                    <w:rPr>
                      <w:color w:val="auto"/>
                    </w:rPr>
                  </w:pPr>
                  <w:r>
                    <w:rPr>
                      <w:color w:val="auto"/>
                    </w:rPr>
                    <w:t>6~9</w:t>
                  </w:r>
                </w:p>
              </w:tc>
              <w:tc>
                <w:tcPr>
                  <w:tcW w:w="457" w:type="pct"/>
                  <w:tcBorders>
                    <w:tl2br w:val="nil"/>
                    <w:tr2bl w:val="nil"/>
                  </w:tcBorders>
                  <w:noWrap w:val="0"/>
                  <w:tcMar>
                    <w:left w:w="28" w:type="dxa"/>
                    <w:right w:w="28" w:type="dxa"/>
                  </w:tcMar>
                  <w:vAlign w:val="center"/>
                </w:tcPr>
                <w:p w14:paraId="70A480F8">
                  <w:pPr>
                    <w:pStyle w:val="42"/>
                    <w:rPr>
                      <w:color w:val="auto"/>
                    </w:rPr>
                  </w:pPr>
                  <w:r>
                    <w:rPr>
                      <w:color w:val="auto"/>
                    </w:rPr>
                    <w:t>500</w:t>
                  </w:r>
                </w:p>
              </w:tc>
              <w:tc>
                <w:tcPr>
                  <w:tcW w:w="502" w:type="pct"/>
                  <w:tcBorders>
                    <w:tl2br w:val="nil"/>
                    <w:tr2bl w:val="nil"/>
                  </w:tcBorders>
                  <w:noWrap w:val="0"/>
                  <w:tcMar>
                    <w:left w:w="28" w:type="dxa"/>
                    <w:right w:w="28" w:type="dxa"/>
                  </w:tcMar>
                  <w:vAlign w:val="center"/>
                </w:tcPr>
                <w:p w14:paraId="54D5427C">
                  <w:pPr>
                    <w:pStyle w:val="42"/>
                    <w:rPr>
                      <w:color w:val="auto"/>
                    </w:rPr>
                  </w:pPr>
                  <w:r>
                    <w:rPr>
                      <w:rFonts w:hint="eastAsia"/>
                      <w:color w:val="auto"/>
                    </w:rPr>
                    <w:t>30</w:t>
                  </w:r>
                  <w:r>
                    <w:rPr>
                      <w:color w:val="auto"/>
                    </w:rPr>
                    <w:t>0</w:t>
                  </w:r>
                </w:p>
              </w:tc>
              <w:tc>
                <w:tcPr>
                  <w:tcW w:w="365" w:type="pct"/>
                  <w:tcBorders>
                    <w:tl2br w:val="nil"/>
                    <w:tr2bl w:val="nil"/>
                  </w:tcBorders>
                  <w:noWrap w:val="0"/>
                  <w:tcMar>
                    <w:left w:w="28" w:type="dxa"/>
                    <w:right w:w="28" w:type="dxa"/>
                  </w:tcMar>
                  <w:vAlign w:val="center"/>
                </w:tcPr>
                <w:p w14:paraId="037F0BBA">
                  <w:pPr>
                    <w:pStyle w:val="42"/>
                    <w:rPr>
                      <w:color w:val="auto"/>
                    </w:rPr>
                  </w:pPr>
                  <w:r>
                    <w:rPr>
                      <w:color w:val="auto"/>
                    </w:rPr>
                    <w:t>4</w:t>
                  </w:r>
                  <w:r>
                    <w:rPr>
                      <w:rFonts w:hint="eastAsia"/>
                      <w:color w:val="auto"/>
                    </w:rPr>
                    <w:t>0</w:t>
                  </w:r>
                  <w:r>
                    <w:rPr>
                      <w:color w:val="auto"/>
                    </w:rPr>
                    <w:t>0</w:t>
                  </w:r>
                </w:p>
              </w:tc>
              <w:tc>
                <w:tcPr>
                  <w:tcW w:w="376" w:type="pct"/>
                  <w:tcBorders>
                    <w:tl2br w:val="nil"/>
                    <w:tr2bl w:val="nil"/>
                  </w:tcBorders>
                  <w:noWrap w:val="0"/>
                  <w:tcMar>
                    <w:left w:w="28" w:type="dxa"/>
                    <w:right w:w="28" w:type="dxa"/>
                  </w:tcMar>
                  <w:vAlign w:val="center"/>
                </w:tcPr>
                <w:p w14:paraId="16F1B2AB">
                  <w:pPr>
                    <w:pStyle w:val="42"/>
                    <w:rPr>
                      <w:color w:val="auto"/>
                    </w:rPr>
                  </w:pPr>
                  <w:r>
                    <w:rPr>
                      <w:color w:val="auto"/>
                    </w:rPr>
                    <w:t>/</w:t>
                  </w:r>
                </w:p>
              </w:tc>
              <w:tc>
                <w:tcPr>
                  <w:tcW w:w="308" w:type="pct"/>
                  <w:tcBorders>
                    <w:tl2br w:val="nil"/>
                    <w:tr2bl w:val="nil"/>
                  </w:tcBorders>
                  <w:noWrap w:val="0"/>
                  <w:tcMar>
                    <w:left w:w="28" w:type="dxa"/>
                    <w:right w:w="28" w:type="dxa"/>
                  </w:tcMar>
                  <w:vAlign w:val="center"/>
                </w:tcPr>
                <w:p w14:paraId="3903755D">
                  <w:pPr>
                    <w:pStyle w:val="42"/>
                    <w:rPr>
                      <w:rFonts w:hint="eastAsia" w:eastAsia="宋体"/>
                      <w:color w:val="auto"/>
                      <w:lang w:val="en-US" w:eastAsia="zh-CN"/>
                    </w:rPr>
                  </w:pPr>
                  <w:r>
                    <w:rPr>
                      <w:rFonts w:hint="eastAsia"/>
                      <w:color w:val="auto"/>
                      <w:lang w:val="en-US" w:eastAsia="zh-CN"/>
                    </w:rPr>
                    <w:t>/</w:t>
                  </w:r>
                </w:p>
              </w:tc>
              <w:tc>
                <w:tcPr>
                  <w:tcW w:w="262" w:type="pct"/>
                  <w:tcBorders>
                    <w:tl2br w:val="nil"/>
                    <w:tr2bl w:val="nil"/>
                  </w:tcBorders>
                  <w:noWrap w:val="0"/>
                  <w:tcMar>
                    <w:left w:w="28" w:type="dxa"/>
                    <w:right w:w="28" w:type="dxa"/>
                  </w:tcMar>
                  <w:vAlign w:val="center"/>
                </w:tcPr>
                <w:p w14:paraId="7649EA42">
                  <w:pPr>
                    <w:pStyle w:val="42"/>
                    <w:rPr>
                      <w:rFonts w:hint="eastAsia" w:eastAsia="宋体"/>
                      <w:color w:val="auto"/>
                      <w:lang w:val="en-US" w:eastAsia="zh-CN"/>
                    </w:rPr>
                  </w:pPr>
                  <w:r>
                    <w:rPr>
                      <w:rFonts w:hint="eastAsia"/>
                      <w:color w:val="auto"/>
                      <w:lang w:val="en-US" w:eastAsia="zh-CN"/>
                    </w:rPr>
                    <w:t>/</w:t>
                  </w:r>
                </w:p>
              </w:tc>
            </w:tr>
            <w:tr w14:paraId="45FBE2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2248" w:type="pct"/>
                  <w:tcBorders>
                    <w:tl2br w:val="nil"/>
                    <w:tr2bl w:val="nil"/>
                  </w:tcBorders>
                  <w:noWrap w:val="0"/>
                  <w:tcMar>
                    <w:left w:w="28" w:type="dxa"/>
                    <w:right w:w="28" w:type="dxa"/>
                  </w:tcMar>
                  <w:vAlign w:val="center"/>
                </w:tcPr>
                <w:p w14:paraId="5E101399">
                  <w:pPr>
                    <w:pStyle w:val="42"/>
                    <w:rPr>
                      <w:color w:val="auto"/>
                    </w:rPr>
                  </w:pPr>
                  <w:r>
                    <w:rPr>
                      <w:color w:val="auto"/>
                    </w:rPr>
                    <w:t>《污水排入城镇下水道水质标准》（GB/T31962-2015）</w:t>
                  </w:r>
                  <w:r>
                    <w:rPr>
                      <w:rFonts w:hint="eastAsia"/>
                      <w:color w:val="auto"/>
                    </w:rPr>
                    <w:t>B</w:t>
                  </w:r>
                  <w:r>
                    <w:rPr>
                      <w:color w:val="auto"/>
                    </w:rPr>
                    <w:t>级</w:t>
                  </w:r>
                </w:p>
              </w:tc>
              <w:tc>
                <w:tcPr>
                  <w:tcW w:w="479" w:type="pct"/>
                  <w:tcBorders>
                    <w:tl2br w:val="nil"/>
                    <w:tr2bl w:val="nil"/>
                  </w:tcBorders>
                  <w:noWrap w:val="0"/>
                  <w:tcMar>
                    <w:left w:w="28" w:type="dxa"/>
                    <w:right w:w="28" w:type="dxa"/>
                  </w:tcMar>
                  <w:vAlign w:val="center"/>
                </w:tcPr>
                <w:p w14:paraId="081BE4DF">
                  <w:pPr>
                    <w:pStyle w:val="42"/>
                    <w:rPr>
                      <w:color w:val="auto"/>
                    </w:rPr>
                  </w:pPr>
                  <w:r>
                    <w:rPr>
                      <w:color w:val="auto"/>
                    </w:rPr>
                    <w:t>/</w:t>
                  </w:r>
                </w:p>
              </w:tc>
              <w:tc>
                <w:tcPr>
                  <w:tcW w:w="457" w:type="pct"/>
                  <w:tcBorders>
                    <w:tl2br w:val="nil"/>
                    <w:tr2bl w:val="nil"/>
                  </w:tcBorders>
                  <w:noWrap w:val="0"/>
                  <w:tcMar>
                    <w:left w:w="28" w:type="dxa"/>
                    <w:right w:w="28" w:type="dxa"/>
                  </w:tcMar>
                  <w:vAlign w:val="center"/>
                </w:tcPr>
                <w:p w14:paraId="46BF301C">
                  <w:pPr>
                    <w:pStyle w:val="42"/>
                    <w:rPr>
                      <w:color w:val="auto"/>
                    </w:rPr>
                  </w:pPr>
                  <w:r>
                    <w:rPr>
                      <w:color w:val="auto"/>
                    </w:rPr>
                    <w:t>/</w:t>
                  </w:r>
                </w:p>
              </w:tc>
              <w:tc>
                <w:tcPr>
                  <w:tcW w:w="502" w:type="pct"/>
                  <w:tcBorders>
                    <w:tl2br w:val="nil"/>
                    <w:tr2bl w:val="nil"/>
                  </w:tcBorders>
                  <w:noWrap w:val="0"/>
                  <w:tcMar>
                    <w:left w:w="28" w:type="dxa"/>
                    <w:right w:w="28" w:type="dxa"/>
                  </w:tcMar>
                  <w:vAlign w:val="center"/>
                </w:tcPr>
                <w:p w14:paraId="48745114">
                  <w:pPr>
                    <w:pStyle w:val="42"/>
                    <w:rPr>
                      <w:color w:val="auto"/>
                    </w:rPr>
                  </w:pPr>
                  <w:r>
                    <w:rPr>
                      <w:color w:val="auto"/>
                    </w:rPr>
                    <w:t>/</w:t>
                  </w:r>
                </w:p>
              </w:tc>
              <w:tc>
                <w:tcPr>
                  <w:tcW w:w="365" w:type="pct"/>
                  <w:tcBorders>
                    <w:tl2br w:val="nil"/>
                    <w:tr2bl w:val="nil"/>
                  </w:tcBorders>
                  <w:noWrap w:val="0"/>
                  <w:tcMar>
                    <w:left w:w="28" w:type="dxa"/>
                    <w:right w:w="28" w:type="dxa"/>
                  </w:tcMar>
                  <w:vAlign w:val="center"/>
                </w:tcPr>
                <w:p w14:paraId="772DB637">
                  <w:pPr>
                    <w:pStyle w:val="42"/>
                    <w:rPr>
                      <w:color w:val="auto"/>
                    </w:rPr>
                  </w:pPr>
                  <w:r>
                    <w:rPr>
                      <w:color w:val="auto"/>
                    </w:rPr>
                    <w:t>/</w:t>
                  </w:r>
                </w:p>
              </w:tc>
              <w:tc>
                <w:tcPr>
                  <w:tcW w:w="376" w:type="pct"/>
                  <w:tcBorders>
                    <w:tl2br w:val="nil"/>
                    <w:tr2bl w:val="nil"/>
                  </w:tcBorders>
                  <w:noWrap w:val="0"/>
                  <w:tcMar>
                    <w:left w:w="28" w:type="dxa"/>
                    <w:right w:w="28" w:type="dxa"/>
                  </w:tcMar>
                  <w:vAlign w:val="center"/>
                </w:tcPr>
                <w:p w14:paraId="0BA04980">
                  <w:pPr>
                    <w:pStyle w:val="42"/>
                    <w:rPr>
                      <w:color w:val="auto"/>
                    </w:rPr>
                  </w:pPr>
                  <w:r>
                    <w:rPr>
                      <w:color w:val="auto"/>
                    </w:rPr>
                    <w:t>45</w:t>
                  </w:r>
                </w:p>
              </w:tc>
              <w:tc>
                <w:tcPr>
                  <w:tcW w:w="308" w:type="pct"/>
                  <w:tcBorders>
                    <w:tl2br w:val="nil"/>
                    <w:tr2bl w:val="nil"/>
                  </w:tcBorders>
                  <w:noWrap w:val="0"/>
                  <w:tcMar>
                    <w:left w:w="28" w:type="dxa"/>
                    <w:right w:w="28" w:type="dxa"/>
                  </w:tcMar>
                  <w:vAlign w:val="center"/>
                </w:tcPr>
                <w:p w14:paraId="5EE3146F">
                  <w:pPr>
                    <w:pStyle w:val="42"/>
                    <w:rPr>
                      <w:rFonts w:hint="eastAsia" w:eastAsia="宋体"/>
                      <w:color w:val="auto"/>
                      <w:lang w:val="en-US" w:eastAsia="zh-CN"/>
                    </w:rPr>
                  </w:pPr>
                  <w:r>
                    <w:rPr>
                      <w:rFonts w:hint="eastAsia"/>
                      <w:color w:val="auto"/>
                      <w:lang w:val="en-US" w:eastAsia="zh-CN"/>
                    </w:rPr>
                    <w:t>8</w:t>
                  </w:r>
                </w:p>
              </w:tc>
              <w:tc>
                <w:tcPr>
                  <w:tcW w:w="262" w:type="pct"/>
                  <w:tcBorders>
                    <w:tl2br w:val="nil"/>
                    <w:tr2bl w:val="nil"/>
                  </w:tcBorders>
                  <w:noWrap w:val="0"/>
                  <w:tcMar>
                    <w:left w:w="28" w:type="dxa"/>
                    <w:right w:w="28" w:type="dxa"/>
                  </w:tcMar>
                  <w:vAlign w:val="center"/>
                </w:tcPr>
                <w:p w14:paraId="6F101196">
                  <w:pPr>
                    <w:pStyle w:val="42"/>
                    <w:rPr>
                      <w:rFonts w:hint="default" w:eastAsia="宋体"/>
                      <w:color w:val="auto"/>
                      <w:lang w:val="en-US" w:eastAsia="zh-CN"/>
                    </w:rPr>
                  </w:pPr>
                  <w:r>
                    <w:rPr>
                      <w:rFonts w:hint="eastAsia"/>
                      <w:color w:val="auto"/>
                      <w:lang w:val="en-US" w:eastAsia="zh-CN"/>
                    </w:rPr>
                    <w:t>70</w:t>
                  </w:r>
                </w:p>
              </w:tc>
            </w:tr>
          </w:tbl>
          <w:p w14:paraId="738DD711">
            <w:pPr>
              <w:pStyle w:val="38"/>
              <w:keepNext w:val="0"/>
              <w:keepLines w:val="0"/>
              <w:pageBreakBefore w:val="0"/>
              <w:kinsoku/>
              <w:wordWrap/>
              <w:overflowPunct/>
              <w:topLinePunct w:val="0"/>
              <w:autoSpaceDE/>
              <w:autoSpaceDN/>
              <w:bidi w:val="0"/>
              <w:adjustRightInd w:val="0"/>
              <w:snapToGrid/>
              <w:spacing w:line="336" w:lineRule="auto"/>
              <w:ind w:firstLine="482" w:firstLineChars="200"/>
              <w:textAlignment w:val="auto"/>
              <w:rPr>
                <w:rFonts w:ascii="Times New Roman"/>
                <w:b/>
                <w:bCs/>
                <w:color w:val="auto"/>
              </w:rPr>
            </w:pPr>
            <w:r>
              <w:rPr>
                <w:rFonts w:ascii="Times New Roman"/>
                <w:b/>
                <w:bCs/>
                <w:color w:val="auto"/>
              </w:rPr>
              <w:t>3、</w:t>
            </w:r>
            <w:r>
              <w:rPr>
                <w:rFonts w:hint="eastAsia" w:ascii="Times New Roman"/>
                <w:b/>
                <w:bCs/>
                <w:color w:val="auto"/>
              </w:rPr>
              <w:t>噪声排放标准</w:t>
            </w:r>
          </w:p>
          <w:p w14:paraId="43860518">
            <w:pPr>
              <w:pStyle w:val="38"/>
              <w:keepNext w:val="0"/>
              <w:keepLines w:val="0"/>
              <w:pageBreakBefore w:val="0"/>
              <w:kinsoku/>
              <w:wordWrap/>
              <w:overflowPunct/>
              <w:topLinePunct w:val="0"/>
              <w:autoSpaceDE/>
              <w:autoSpaceDN/>
              <w:bidi w:val="0"/>
              <w:adjustRightInd w:val="0"/>
              <w:snapToGrid/>
              <w:spacing w:line="336" w:lineRule="auto"/>
              <w:ind w:firstLine="480" w:firstLineChars="200"/>
              <w:textAlignment w:val="auto"/>
              <w:rPr>
                <w:rFonts w:ascii="Times New Roman"/>
                <w:color w:val="auto"/>
              </w:rPr>
            </w:pPr>
            <w:r>
              <w:rPr>
                <w:rFonts w:ascii="Times New Roman"/>
                <w:color w:val="auto"/>
              </w:rPr>
              <w:t>施工期噪声执行《建筑施工场界环境噪声排放标准》（GB12523-2011）中有关规定；</w:t>
            </w:r>
            <w:r>
              <w:rPr>
                <w:rFonts w:hint="eastAsia"/>
                <w:color w:val="auto"/>
                <w:sz w:val="24"/>
                <w:lang w:val="en-US" w:eastAsia="zh-CN"/>
              </w:rPr>
              <w:t>根据《西咸新区声环境功能区划方案》，项目所在地属于永乐店站片区，位于3类声环境功能区，</w:t>
            </w:r>
            <w:r>
              <w:rPr>
                <w:rFonts w:hint="eastAsia" w:ascii="Times New Roman"/>
                <w:color w:val="auto"/>
                <w:lang w:val="en-US" w:eastAsia="zh-CN"/>
              </w:rPr>
              <w:t>厂界</w:t>
            </w:r>
            <w:r>
              <w:rPr>
                <w:rFonts w:ascii="Times New Roman"/>
                <w:color w:val="auto"/>
              </w:rPr>
              <w:t>环境噪声执行《工业企业厂界环境噪声排放标准》（GB12348-2008）中</w:t>
            </w:r>
            <w:r>
              <w:rPr>
                <w:rFonts w:hint="eastAsia" w:ascii="Times New Roman"/>
                <w:color w:val="auto"/>
                <w:lang w:val="en-US" w:eastAsia="zh-CN"/>
              </w:rPr>
              <w:t>3</w:t>
            </w:r>
            <w:r>
              <w:rPr>
                <w:rFonts w:ascii="Times New Roman"/>
                <w:color w:val="auto"/>
              </w:rPr>
              <w:t>类标准。</w:t>
            </w:r>
          </w:p>
          <w:p w14:paraId="7EDB9151">
            <w:pPr>
              <w:adjustRightInd w:val="0"/>
              <w:snapToGrid w:val="0"/>
              <w:ind w:firstLine="422" w:firstLineChars="200"/>
              <w:jc w:val="right"/>
              <w:rPr>
                <w:b/>
                <w:bCs/>
                <w:snapToGrid w:val="0"/>
                <w:color w:val="auto"/>
                <w:kern w:val="0"/>
                <w:szCs w:val="21"/>
                <w:lang w:val="en-GB"/>
              </w:rPr>
            </w:pPr>
            <w:r>
              <w:rPr>
                <w:b/>
                <w:bCs/>
                <w:snapToGrid w:val="0"/>
                <w:color w:val="auto"/>
                <w:kern w:val="0"/>
                <w:szCs w:val="21"/>
                <w:lang w:val="en-GB"/>
              </w:rPr>
              <w:t>表</w:t>
            </w:r>
            <w:r>
              <w:rPr>
                <w:b/>
                <w:bCs/>
                <w:snapToGrid w:val="0"/>
                <w:color w:val="auto"/>
                <w:kern w:val="0"/>
                <w:szCs w:val="21"/>
              </w:rPr>
              <w:t>3-</w:t>
            </w:r>
            <w:r>
              <w:rPr>
                <w:rFonts w:hint="eastAsia"/>
                <w:b/>
                <w:bCs/>
                <w:snapToGrid w:val="0"/>
                <w:color w:val="auto"/>
                <w:kern w:val="0"/>
                <w:szCs w:val="21"/>
                <w:lang w:val="en-US" w:eastAsia="zh-CN"/>
              </w:rPr>
              <w:t xml:space="preserve">8 </w:t>
            </w:r>
            <w:r>
              <w:rPr>
                <w:b/>
                <w:bCs/>
                <w:snapToGrid w:val="0"/>
                <w:color w:val="auto"/>
                <w:kern w:val="0"/>
                <w:szCs w:val="21"/>
                <w:lang w:val="en-GB"/>
              </w:rPr>
              <w:t xml:space="preserve"> 工业企业厂界环境噪声排放标准   </w:t>
            </w:r>
            <w:r>
              <w:rPr>
                <w:b/>
                <w:bCs/>
                <w:snapToGrid w:val="0"/>
                <w:color w:val="auto"/>
                <w:kern w:val="0"/>
                <w:szCs w:val="21"/>
              </w:rPr>
              <w:t xml:space="preserve"> </w:t>
            </w:r>
            <w:r>
              <w:rPr>
                <w:b/>
                <w:bCs/>
                <w:snapToGrid w:val="0"/>
                <w:color w:val="auto"/>
                <w:kern w:val="0"/>
                <w:szCs w:val="21"/>
                <w:lang w:val="en-GB"/>
              </w:rPr>
              <w:t xml:space="preserve"> 单位：dB（A）</w:t>
            </w:r>
          </w:p>
          <w:tbl>
            <w:tblPr>
              <w:tblStyle w:val="24"/>
              <w:tblW w:w="82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74"/>
              <w:gridCol w:w="840"/>
              <w:gridCol w:w="566"/>
              <w:gridCol w:w="855"/>
              <w:gridCol w:w="910"/>
            </w:tblGrid>
            <w:tr w14:paraId="149EBA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074" w:type="dxa"/>
                  <w:tcBorders>
                    <w:tl2br w:val="nil"/>
                    <w:tr2bl w:val="nil"/>
                  </w:tcBorders>
                  <w:vAlign w:val="center"/>
                </w:tcPr>
                <w:p w14:paraId="4AE13906">
                  <w:pPr>
                    <w:adjustRightInd w:val="0"/>
                    <w:snapToGrid w:val="0"/>
                    <w:jc w:val="center"/>
                    <w:rPr>
                      <w:snapToGrid w:val="0"/>
                      <w:color w:val="auto"/>
                      <w:kern w:val="0"/>
                      <w:szCs w:val="21"/>
                      <w:lang w:val="en-GB"/>
                    </w:rPr>
                  </w:pPr>
                  <w:r>
                    <w:rPr>
                      <w:snapToGrid w:val="0"/>
                      <w:color w:val="auto"/>
                      <w:kern w:val="0"/>
                      <w:szCs w:val="21"/>
                      <w:lang w:val="en-GB"/>
                    </w:rPr>
                    <w:t>执行标准</w:t>
                  </w:r>
                </w:p>
              </w:tc>
              <w:tc>
                <w:tcPr>
                  <w:tcW w:w="1406" w:type="dxa"/>
                  <w:gridSpan w:val="2"/>
                  <w:tcBorders>
                    <w:tl2br w:val="nil"/>
                    <w:tr2bl w:val="nil"/>
                  </w:tcBorders>
                  <w:vAlign w:val="center"/>
                </w:tcPr>
                <w:p w14:paraId="59CB0D7F">
                  <w:pPr>
                    <w:adjustRightInd w:val="0"/>
                    <w:snapToGrid w:val="0"/>
                    <w:jc w:val="center"/>
                    <w:rPr>
                      <w:snapToGrid w:val="0"/>
                      <w:color w:val="auto"/>
                      <w:kern w:val="0"/>
                      <w:szCs w:val="21"/>
                      <w:lang w:val="en-GB"/>
                    </w:rPr>
                  </w:pPr>
                  <w:r>
                    <w:rPr>
                      <w:snapToGrid w:val="0"/>
                      <w:color w:val="auto"/>
                      <w:kern w:val="0"/>
                      <w:szCs w:val="21"/>
                      <w:lang w:val="en-GB"/>
                    </w:rPr>
                    <w:t>级别</w:t>
                  </w:r>
                </w:p>
              </w:tc>
              <w:tc>
                <w:tcPr>
                  <w:tcW w:w="855" w:type="dxa"/>
                  <w:tcBorders>
                    <w:tl2br w:val="nil"/>
                    <w:tr2bl w:val="nil"/>
                  </w:tcBorders>
                  <w:vAlign w:val="center"/>
                </w:tcPr>
                <w:p w14:paraId="55C66B00">
                  <w:pPr>
                    <w:adjustRightInd w:val="0"/>
                    <w:snapToGrid w:val="0"/>
                    <w:jc w:val="center"/>
                    <w:rPr>
                      <w:snapToGrid w:val="0"/>
                      <w:color w:val="auto"/>
                      <w:kern w:val="0"/>
                      <w:szCs w:val="21"/>
                      <w:lang w:val="en-GB"/>
                    </w:rPr>
                  </w:pPr>
                  <w:r>
                    <w:rPr>
                      <w:snapToGrid w:val="0"/>
                      <w:color w:val="auto"/>
                      <w:kern w:val="0"/>
                      <w:szCs w:val="21"/>
                      <w:lang w:val="en-GB"/>
                    </w:rPr>
                    <w:t>昼间</w:t>
                  </w:r>
                </w:p>
              </w:tc>
              <w:tc>
                <w:tcPr>
                  <w:tcW w:w="910" w:type="dxa"/>
                  <w:tcBorders>
                    <w:tl2br w:val="nil"/>
                    <w:tr2bl w:val="nil"/>
                  </w:tcBorders>
                  <w:vAlign w:val="center"/>
                </w:tcPr>
                <w:p w14:paraId="24D1D173">
                  <w:pPr>
                    <w:adjustRightInd w:val="0"/>
                    <w:snapToGrid w:val="0"/>
                    <w:jc w:val="center"/>
                    <w:rPr>
                      <w:snapToGrid w:val="0"/>
                      <w:color w:val="auto"/>
                      <w:kern w:val="0"/>
                      <w:szCs w:val="21"/>
                      <w:lang w:val="en-GB"/>
                    </w:rPr>
                  </w:pPr>
                  <w:r>
                    <w:rPr>
                      <w:snapToGrid w:val="0"/>
                      <w:color w:val="auto"/>
                      <w:kern w:val="0"/>
                      <w:szCs w:val="21"/>
                      <w:lang w:val="en-GB"/>
                    </w:rPr>
                    <w:t>夜间</w:t>
                  </w:r>
                </w:p>
              </w:tc>
            </w:tr>
            <w:tr w14:paraId="36E520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074" w:type="dxa"/>
                  <w:tcBorders>
                    <w:tl2br w:val="nil"/>
                    <w:tr2bl w:val="nil"/>
                  </w:tcBorders>
                  <w:vAlign w:val="center"/>
                </w:tcPr>
                <w:p w14:paraId="1D208370">
                  <w:pPr>
                    <w:adjustRightInd w:val="0"/>
                    <w:snapToGrid w:val="0"/>
                    <w:jc w:val="center"/>
                    <w:rPr>
                      <w:snapToGrid w:val="0"/>
                      <w:color w:val="auto"/>
                      <w:kern w:val="0"/>
                      <w:szCs w:val="21"/>
                    </w:rPr>
                  </w:pPr>
                  <w:r>
                    <w:rPr>
                      <w:snapToGrid w:val="0"/>
                      <w:color w:val="auto"/>
                      <w:kern w:val="0"/>
                      <w:szCs w:val="21"/>
                      <w:lang w:val="en-GB"/>
                    </w:rPr>
                    <w:t>《建筑施工场界环境噪声排放标准》（</w:t>
                  </w:r>
                  <w:r>
                    <w:rPr>
                      <w:snapToGrid w:val="0"/>
                      <w:color w:val="auto"/>
                      <w:kern w:val="0"/>
                      <w:szCs w:val="21"/>
                    </w:rPr>
                    <w:t>GB12523-2011</w:t>
                  </w:r>
                  <w:r>
                    <w:rPr>
                      <w:snapToGrid w:val="0"/>
                      <w:color w:val="auto"/>
                      <w:kern w:val="0"/>
                      <w:szCs w:val="21"/>
                      <w:lang w:val="en-GB"/>
                    </w:rPr>
                    <w:t>）</w:t>
                  </w:r>
                </w:p>
              </w:tc>
              <w:tc>
                <w:tcPr>
                  <w:tcW w:w="1406" w:type="dxa"/>
                  <w:gridSpan w:val="2"/>
                  <w:tcBorders>
                    <w:tl2br w:val="nil"/>
                    <w:tr2bl w:val="nil"/>
                  </w:tcBorders>
                  <w:vAlign w:val="center"/>
                </w:tcPr>
                <w:p w14:paraId="63059746">
                  <w:pPr>
                    <w:adjustRightInd w:val="0"/>
                    <w:snapToGrid w:val="0"/>
                    <w:jc w:val="center"/>
                    <w:rPr>
                      <w:snapToGrid w:val="0"/>
                      <w:color w:val="auto"/>
                      <w:kern w:val="0"/>
                      <w:szCs w:val="21"/>
                    </w:rPr>
                  </w:pPr>
                  <w:r>
                    <w:rPr>
                      <w:snapToGrid w:val="0"/>
                      <w:color w:val="auto"/>
                      <w:kern w:val="0"/>
                      <w:szCs w:val="21"/>
                    </w:rPr>
                    <w:t>/</w:t>
                  </w:r>
                </w:p>
              </w:tc>
              <w:tc>
                <w:tcPr>
                  <w:tcW w:w="855" w:type="dxa"/>
                  <w:tcBorders>
                    <w:tl2br w:val="nil"/>
                    <w:tr2bl w:val="nil"/>
                  </w:tcBorders>
                  <w:vAlign w:val="center"/>
                </w:tcPr>
                <w:p w14:paraId="40C80EDA">
                  <w:pPr>
                    <w:adjustRightInd w:val="0"/>
                    <w:snapToGrid w:val="0"/>
                    <w:jc w:val="center"/>
                    <w:rPr>
                      <w:snapToGrid w:val="0"/>
                      <w:color w:val="auto"/>
                      <w:kern w:val="0"/>
                      <w:szCs w:val="21"/>
                    </w:rPr>
                  </w:pPr>
                  <w:r>
                    <w:rPr>
                      <w:snapToGrid w:val="0"/>
                      <w:color w:val="auto"/>
                      <w:kern w:val="0"/>
                      <w:szCs w:val="21"/>
                    </w:rPr>
                    <w:t>70</w:t>
                  </w:r>
                </w:p>
              </w:tc>
              <w:tc>
                <w:tcPr>
                  <w:tcW w:w="910" w:type="dxa"/>
                  <w:tcBorders>
                    <w:tl2br w:val="nil"/>
                    <w:tr2bl w:val="nil"/>
                  </w:tcBorders>
                  <w:vAlign w:val="center"/>
                </w:tcPr>
                <w:p w14:paraId="3F6CF687">
                  <w:pPr>
                    <w:adjustRightInd w:val="0"/>
                    <w:snapToGrid w:val="0"/>
                    <w:jc w:val="center"/>
                    <w:rPr>
                      <w:snapToGrid w:val="0"/>
                      <w:color w:val="auto"/>
                      <w:kern w:val="0"/>
                      <w:szCs w:val="21"/>
                    </w:rPr>
                  </w:pPr>
                  <w:r>
                    <w:rPr>
                      <w:snapToGrid w:val="0"/>
                      <w:color w:val="auto"/>
                      <w:kern w:val="0"/>
                      <w:szCs w:val="21"/>
                    </w:rPr>
                    <w:t>55</w:t>
                  </w:r>
                </w:p>
              </w:tc>
            </w:tr>
            <w:tr w14:paraId="03377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5074" w:type="dxa"/>
                  <w:tcBorders>
                    <w:tl2br w:val="nil"/>
                    <w:tr2bl w:val="nil"/>
                  </w:tcBorders>
                  <w:vAlign w:val="center"/>
                </w:tcPr>
                <w:p w14:paraId="32A7B937">
                  <w:pPr>
                    <w:adjustRightInd w:val="0"/>
                    <w:snapToGrid w:val="0"/>
                    <w:jc w:val="center"/>
                    <w:rPr>
                      <w:snapToGrid w:val="0"/>
                      <w:color w:val="auto"/>
                      <w:kern w:val="0"/>
                      <w:szCs w:val="21"/>
                    </w:rPr>
                  </w:pPr>
                  <w:r>
                    <w:rPr>
                      <w:snapToGrid w:val="0"/>
                      <w:color w:val="auto"/>
                      <w:kern w:val="0"/>
                      <w:szCs w:val="21"/>
                    </w:rPr>
                    <w:t>《工业企业厂界环境噪声排放标准》（GB12348-2008）</w:t>
                  </w:r>
                </w:p>
              </w:tc>
              <w:tc>
                <w:tcPr>
                  <w:tcW w:w="840" w:type="dxa"/>
                  <w:tcBorders>
                    <w:tl2br w:val="nil"/>
                    <w:tr2bl w:val="nil"/>
                  </w:tcBorders>
                  <w:vAlign w:val="center"/>
                </w:tcPr>
                <w:p w14:paraId="20871895">
                  <w:pPr>
                    <w:adjustRightInd w:val="0"/>
                    <w:snapToGrid w:val="0"/>
                    <w:jc w:val="center"/>
                    <w:rPr>
                      <w:rFonts w:hint="default" w:eastAsia="宋体"/>
                      <w:snapToGrid w:val="0"/>
                      <w:color w:val="auto"/>
                      <w:kern w:val="0"/>
                      <w:szCs w:val="21"/>
                      <w:lang w:val="en-US" w:eastAsia="zh-CN"/>
                    </w:rPr>
                  </w:pPr>
                  <w:r>
                    <w:rPr>
                      <w:rFonts w:hint="eastAsia"/>
                      <w:snapToGrid w:val="0"/>
                      <w:color w:val="auto"/>
                      <w:kern w:val="0"/>
                      <w:szCs w:val="21"/>
                      <w:lang w:val="en-GB"/>
                    </w:rPr>
                    <w:t>厂界</w:t>
                  </w:r>
                </w:p>
              </w:tc>
              <w:tc>
                <w:tcPr>
                  <w:tcW w:w="566" w:type="dxa"/>
                  <w:tcBorders>
                    <w:tl2br w:val="nil"/>
                    <w:tr2bl w:val="nil"/>
                  </w:tcBorders>
                  <w:vAlign w:val="center"/>
                </w:tcPr>
                <w:p w14:paraId="1B7F41FF">
                  <w:pPr>
                    <w:adjustRightInd w:val="0"/>
                    <w:snapToGrid w:val="0"/>
                    <w:jc w:val="center"/>
                    <w:rPr>
                      <w:snapToGrid w:val="0"/>
                      <w:color w:val="auto"/>
                      <w:kern w:val="0"/>
                      <w:szCs w:val="21"/>
                    </w:rPr>
                  </w:pPr>
                  <w:r>
                    <w:rPr>
                      <w:rFonts w:hint="eastAsia"/>
                      <w:snapToGrid w:val="0"/>
                      <w:color w:val="auto"/>
                      <w:kern w:val="0"/>
                      <w:szCs w:val="21"/>
                      <w:lang w:val="en-US" w:eastAsia="zh-CN"/>
                    </w:rPr>
                    <w:t>3</w:t>
                  </w:r>
                  <w:r>
                    <w:rPr>
                      <w:snapToGrid w:val="0"/>
                      <w:color w:val="auto"/>
                      <w:kern w:val="0"/>
                      <w:szCs w:val="21"/>
                      <w:lang w:val="en-GB"/>
                    </w:rPr>
                    <w:t>类</w:t>
                  </w:r>
                </w:p>
              </w:tc>
              <w:tc>
                <w:tcPr>
                  <w:tcW w:w="855" w:type="dxa"/>
                  <w:tcBorders>
                    <w:tl2br w:val="nil"/>
                    <w:tr2bl w:val="nil"/>
                  </w:tcBorders>
                  <w:vAlign w:val="center"/>
                </w:tcPr>
                <w:p w14:paraId="46349DEA">
                  <w:pPr>
                    <w:adjustRightInd w:val="0"/>
                    <w:snapToGrid w:val="0"/>
                    <w:jc w:val="center"/>
                    <w:rPr>
                      <w:rFonts w:hint="eastAsia" w:eastAsia="宋体"/>
                      <w:snapToGrid w:val="0"/>
                      <w:color w:val="auto"/>
                      <w:kern w:val="0"/>
                      <w:szCs w:val="21"/>
                      <w:lang w:eastAsia="zh-CN"/>
                    </w:rPr>
                  </w:pPr>
                  <w:r>
                    <w:rPr>
                      <w:snapToGrid w:val="0"/>
                      <w:color w:val="auto"/>
                      <w:kern w:val="0"/>
                      <w:szCs w:val="21"/>
                    </w:rPr>
                    <w:t>6</w:t>
                  </w:r>
                  <w:r>
                    <w:rPr>
                      <w:rFonts w:hint="eastAsia"/>
                      <w:snapToGrid w:val="0"/>
                      <w:color w:val="auto"/>
                      <w:kern w:val="0"/>
                      <w:szCs w:val="21"/>
                      <w:lang w:val="en-US" w:eastAsia="zh-CN"/>
                    </w:rPr>
                    <w:t>5</w:t>
                  </w:r>
                </w:p>
              </w:tc>
              <w:tc>
                <w:tcPr>
                  <w:tcW w:w="910" w:type="dxa"/>
                  <w:tcBorders>
                    <w:tl2br w:val="nil"/>
                    <w:tr2bl w:val="nil"/>
                  </w:tcBorders>
                  <w:vAlign w:val="center"/>
                </w:tcPr>
                <w:p w14:paraId="290A9804">
                  <w:pPr>
                    <w:adjustRightInd w:val="0"/>
                    <w:snapToGrid w:val="0"/>
                    <w:jc w:val="center"/>
                    <w:rPr>
                      <w:rFonts w:hint="eastAsia" w:eastAsia="宋体"/>
                      <w:snapToGrid w:val="0"/>
                      <w:color w:val="auto"/>
                      <w:kern w:val="0"/>
                      <w:szCs w:val="21"/>
                      <w:lang w:eastAsia="zh-CN"/>
                    </w:rPr>
                  </w:pPr>
                  <w:r>
                    <w:rPr>
                      <w:snapToGrid w:val="0"/>
                      <w:color w:val="auto"/>
                      <w:kern w:val="0"/>
                      <w:szCs w:val="21"/>
                    </w:rPr>
                    <w:t>5</w:t>
                  </w:r>
                  <w:r>
                    <w:rPr>
                      <w:rFonts w:hint="eastAsia"/>
                      <w:snapToGrid w:val="0"/>
                      <w:color w:val="auto"/>
                      <w:kern w:val="0"/>
                      <w:szCs w:val="21"/>
                      <w:lang w:val="en-US" w:eastAsia="zh-CN"/>
                    </w:rPr>
                    <w:t>5</w:t>
                  </w:r>
                </w:p>
              </w:tc>
            </w:tr>
          </w:tbl>
          <w:p w14:paraId="2DBF8728">
            <w:pPr>
              <w:adjustRightInd w:val="0"/>
              <w:snapToGrid w:val="0"/>
              <w:spacing w:before="120" w:beforeLines="50" w:line="360" w:lineRule="auto"/>
              <w:ind w:firstLine="482" w:firstLineChars="200"/>
              <w:rPr>
                <w:b/>
                <w:bCs/>
                <w:color w:val="auto"/>
                <w:sz w:val="24"/>
              </w:rPr>
            </w:pPr>
            <w:r>
              <w:rPr>
                <w:rFonts w:hint="eastAsia"/>
                <w:b/>
                <w:bCs/>
                <w:color w:val="auto"/>
                <w:sz w:val="24"/>
              </w:rPr>
              <w:t>4、固废排放标准</w:t>
            </w:r>
          </w:p>
          <w:p w14:paraId="365230BC">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color w:val="auto"/>
                <w:kern w:val="0"/>
                <w:szCs w:val="21"/>
              </w:rPr>
            </w:pPr>
            <w:r>
              <w:rPr>
                <w:color w:val="auto"/>
                <w:kern w:val="0"/>
                <w:sz w:val="24"/>
              </w:rPr>
              <w:t>一般工业固体废物</w:t>
            </w:r>
            <w:r>
              <w:rPr>
                <w:rFonts w:hint="eastAsia"/>
                <w:color w:val="auto"/>
                <w:sz w:val="24"/>
              </w:rPr>
              <w:t>参照</w:t>
            </w:r>
            <w:r>
              <w:rPr>
                <w:color w:val="auto"/>
                <w:kern w:val="0"/>
                <w:sz w:val="24"/>
              </w:rPr>
              <w:t>《一般工业固体废物贮存和填埋污染控制标准》（GB18599-2020）</w:t>
            </w:r>
            <w:r>
              <w:rPr>
                <w:rFonts w:hint="eastAsia"/>
                <w:color w:val="000000" w:themeColor="text1"/>
                <w:sz w:val="24"/>
                <w14:textFill>
                  <w14:solidFill>
                    <w14:schemeClr w14:val="tx1"/>
                  </w14:solidFill>
                </w14:textFill>
              </w:rPr>
              <w:t>；危险废物执行《危险废物贮存污染控制标准》（GB18597-2023）中相关要求。</w:t>
            </w:r>
          </w:p>
        </w:tc>
      </w:tr>
      <w:tr w14:paraId="60478D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513" w:type="dxa"/>
            <w:vAlign w:val="center"/>
          </w:tcPr>
          <w:p w14:paraId="085CD91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kern w:val="0"/>
                <w:sz w:val="24"/>
                <w:szCs w:val="24"/>
              </w:rPr>
            </w:pPr>
            <w:r>
              <w:rPr>
                <w:color w:val="auto"/>
                <w:kern w:val="0"/>
                <w:sz w:val="24"/>
                <w:szCs w:val="24"/>
              </w:rPr>
              <w:t>总量</w:t>
            </w:r>
          </w:p>
          <w:p w14:paraId="47F9C96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kern w:val="0"/>
                <w:sz w:val="24"/>
                <w:szCs w:val="24"/>
              </w:rPr>
            </w:pPr>
            <w:r>
              <w:rPr>
                <w:color w:val="auto"/>
                <w:kern w:val="0"/>
                <w:sz w:val="24"/>
                <w:szCs w:val="24"/>
              </w:rPr>
              <w:t>控制</w:t>
            </w:r>
          </w:p>
          <w:p w14:paraId="6DD310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kern w:val="0"/>
                <w:sz w:val="24"/>
                <w:szCs w:val="24"/>
              </w:rPr>
            </w:pPr>
            <w:r>
              <w:rPr>
                <w:color w:val="auto"/>
                <w:kern w:val="0"/>
                <w:sz w:val="24"/>
                <w:szCs w:val="24"/>
              </w:rPr>
              <w:t>指标</w:t>
            </w:r>
          </w:p>
        </w:tc>
        <w:tc>
          <w:tcPr>
            <w:tcW w:w="8477" w:type="dxa"/>
            <w:vAlign w:val="center"/>
          </w:tcPr>
          <w:p w14:paraId="3DE7B3C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highlight w:val="none"/>
              </w:rPr>
            </w:pPr>
            <w:bookmarkStart w:id="7" w:name="OLE_LINK1"/>
            <w:r>
              <w:rPr>
                <w:rFonts w:hint="eastAsia" w:ascii="Times New Roman" w:hAnsi="Times New Roman" w:eastAsia="宋体" w:cs="Times New Roman"/>
                <w:color w:val="auto"/>
                <w:sz w:val="24"/>
                <w:highlight w:val="none"/>
                <w:lang w:val="en-US" w:eastAsia="zh-CN"/>
              </w:rPr>
              <w:t>根据《“十四五”主要污染物总量控制规划编制技术指南》及陕西省有关规定，国家“十四五”主要污染物总量控制因子为：</w:t>
            </w:r>
            <w:r>
              <w:rPr>
                <w:rFonts w:hint="default" w:ascii="Times New Roman" w:hAnsi="Times New Roman" w:eastAsia="宋体" w:cs="Times New Roman"/>
                <w:color w:val="auto"/>
                <w:sz w:val="24"/>
                <w:highlight w:val="none"/>
                <w:lang w:val="en-US" w:eastAsia="zh-CN"/>
              </w:rPr>
              <w:t>COD</w:t>
            </w:r>
            <w:r>
              <w:rPr>
                <w:rFonts w:hint="eastAsia" w:ascii="Times New Roman" w:hAnsi="Times New Roman" w:eastAsia="宋体" w:cs="Times New Roman"/>
                <w:color w:val="auto"/>
                <w:sz w:val="24"/>
                <w:highlight w:val="none"/>
                <w:lang w:val="en-US" w:eastAsia="zh-CN"/>
              </w:rPr>
              <w:t>、氨氮、</w:t>
            </w:r>
            <w:r>
              <w:rPr>
                <w:rFonts w:hint="default" w:ascii="Times New Roman" w:hAnsi="Times New Roman" w:eastAsia="宋体" w:cs="Times New Roman"/>
                <w:color w:val="auto"/>
                <w:sz w:val="24"/>
                <w:highlight w:val="none"/>
                <w:lang w:val="en-US" w:eastAsia="zh-CN"/>
              </w:rPr>
              <w:t>NOx</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VOCs</w:t>
            </w:r>
            <w:r>
              <w:rPr>
                <w:rFonts w:hint="eastAsia" w:ascii="Times New Roman" w:hAnsi="Times New Roman" w:eastAsia="宋体" w:cs="Times New Roman"/>
                <w:color w:val="auto"/>
                <w:sz w:val="24"/>
                <w:highlight w:val="none"/>
                <w:lang w:val="en-US" w:eastAsia="zh-CN"/>
              </w:rPr>
              <w:t>。</w:t>
            </w:r>
          </w:p>
          <w:p w14:paraId="3FB23D1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color w:val="auto"/>
                <w:kern w:val="0"/>
                <w:sz w:val="24"/>
                <w:szCs w:val="24"/>
                <w:lang w:eastAsia="zh-CN"/>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污染物排放</w:t>
            </w:r>
            <w:r>
              <w:rPr>
                <w:rFonts w:hint="default" w:ascii="Times New Roman" w:hAnsi="Times New Roman" w:eastAsia="宋体" w:cs="Times New Roman"/>
                <w:color w:val="auto"/>
                <w:sz w:val="24"/>
                <w:highlight w:val="none"/>
              </w:rPr>
              <w:t>总量为：</w:t>
            </w:r>
            <w:r>
              <w:rPr>
                <w:rFonts w:hint="default" w:ascii="Times New Roman" w:hAnsi="Times New Roman" w:eastAsia="宋体" w:cs="Times New Roman"/>
                <w:color w:val="auto"/>
                <w:sz w:val="24"/>
                <w:highlight w:val="none"/>
                <w:lang w:val="en-US" w:eastAsia="zh-CN"/>
              </w:rPr>
              <w:t>COD：0.</w:t>
            </w:r>
            <w:r>
              <w:rPr>
                <w:rFonts w:hint="eastAsia" w:ascii="Times New Roman" w:hAnsi="Times New Roman" w:eastAsia="宋体" w:cs="Times New Roman"/>
                <w:color w:val="auto"/>
                <w:sz w:val="24"/>
                <w:highlight w:val="none"/>
                <w:lang w:val="en-US" w:eastAsia="zh-CN"/>
              </w:rPr>
              <w:t>213</w:t>
            </w:r>
            <w:r>
              <w:rPr>
                <w:rFonts w:hint="default" w:ascii="Times New Roman" w:hAnsi="Times New Roman" w:eastAsia="宋体" w:cs="Times New Roman"/>
                <w:color w:val="auto"/>
                <w:sz w:val="24"/>
                <w:highlight w:val="none"/>
                <w:lang w:val="en-US" w:eastAsia="zh-CN"/>
              </w:rPr>
              <w:t>t/a、氨氮：0.0</w:t>
            </w:r>
            <w:r>
              <w:rPr>
                <w:rFonts w:hint="eastAsia" w:ascii="Times New Roman" w:hAnsi="Times New Roman" w:eastAsia="宋体" w:cs="Times New Roman"/>
                <w:color w:val="auto"/>
                <w:sz w:val="24"/>
                <w:highlight w:val="none"/>
                <w:lang w:val="en-US" w:eastAsia="zh-CN"/>
              </w:rPr>
              <w:t>18</w:t>
            </w:r>
            <w:r>
              <w:rPr>
                <w:rFonts w:hint="default" w:ascii="Times New Roman" w:hAnsi="Times New Roman" w:eastAsia="宋体" w:cs="Times New Roman"/>
                <w:color w:val="auto"/>
                <w:sz w:val="24"/>
                <w:highlight w:val="none"/>
                <w:lang w:val="en-US" w:eastAsia="zh-CN"/>
              </w:rPr>
              <w:t>t/a</w:t>
            </w:r>
            <w:bookmarkEnd w:id="7"/>
            <w:r>
              <w:rPr>
                <w:rFonts w:hint="eastAsia" w:ascii="Times New Roman" w:hAnsi="Times New Roman" w:eastAsia="宋体" w:cs="Times New Roman"/>
                <w:color w:val="auto"/>
                <w:sz w:val="24"/>
                <w:highlight w:val="none"/>
                <w:lang w:eastAsia="zh-CN"/>
              </w:rPr>
              <w:t>。</w:t>
            </w:r>
          </w:p>
        </w:tc>
      </w:tr>
    </w:tbl>
    <w:p w14:paraId="05675635">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6"/>
          <w:szCs w:val="36"/>
        </w:rPr>
        <w:br w:type="page"/>
      </w:r>
      <w:r>
        <w:rPr>
          <w:rFonts w:eastAsia="黑体"/>
          <w:snapToGrid w:val="0"/>
          <w:color w:val="auto"/>
          <w:kern w:val="0"/>
          <w:sz w:val="30"/>
          <w:szCs w:val="30"/>
        </w:rPr>
        <w:t>四、主要环境影响和保护措施</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8502"/>
      </w:tblGrid>
      <w:tr w14:paraId="19CC4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5" w:type="pct"/>
            <w:vAlign w:val="center"/>
          </w:tcPr>
          <w:p w14:paraId="46D825E2">
            <w:pPr>
              <w:widowControl/>
              <w:adjustRightInd w:val="0"/>
              <w:snapToGrid w:val="0"/>
              <w:spacing w:line="240" w:lineRule="auto"/>
              <w:jc w:val="center"/>
              <w:rPr>
                <w:color w:val="auto"/>
                <w:sz w:val="24"/>
              </w:rPr>
            </w:pPr>
            <w:r>
              <w:rPr>
                <w:color w:val="auto"/>
                <w:sz w:val="24"/>
              </w:rPr>
              <w:t>施工</w:t>
            </w:r>
          </w:p>
          <w:p w14:paraId="5716ED3A">
            <w:pPr>
              <w:widowControl/>
              <w:adjustRightInd w:val="0"/>
              <w:snapToGrid w:val="0"/>
              <w:spacing w:line="240" w:lineRule="auto"/>
              <w:jc w:val="center"/>
              <w:rPr>
                <w:color w:val="auto"/>
                <w:sz w:val="24"/>
              </w:rPr>
            </w:pPr>
            <w:r>
              <w:rPr>
                <w:color w:val="auto"/>
                <w:sz w:val="24"/>
              </w:rPr>
              <w:t>期环</w:t>
            </w:r>
          </w:p>
          <w:p w14:paraId="582AA5D4">
            <w:pPr>
              <w:widowControl/>
              <w:adjustRightInd w:val="0"/>
              <w:snapToGrid w:val="0"/>
              <w:spacing w:line="240" w:lineRule="auto"/>
              <w:jc w:val="center"/>
              <w:rPr>
                <w:color w:val="auto"/>
                <w:sz w:val="24"/>
              </w:rPr>
            </w:pPr>
            <w:r>
              <w:rPr>
                <w:color w:val="auto"/>
                <w:sz w:val="24"/>
              </w:rPr>
              <w:t>境保</w:t>
            </w:r>
          </w:p>
          <w:p w14:paraId="1634796E">
            <w:pPr>
              <w:widowControl/>
              <w:adjustRightInd w:val="0"/>
              <w:snapToGrid w:val="0"/>
              <w:spacing w:line="240" w:lineRule="auto"/>
              <w:jc w:val="center"/>
              <w:rPr>
                <w:color w:val="auto"/>
                <w:sz w:val="24"/>
              </w:rPr>
            </w:pPr>
            <w:r>
              <w:rPr>
                <w:color w:val="auto"/>
                <w:sz w:val="24"/>
              </w:rPr>
              <w:t>护措</w:t>
            </w:r>
          </w:p>
          <w:p w14:paraId="1ECFB5B9">
            <w:pPr>
              <w:spacing w:line="240" w:lineRule="auto"/>
              <w:jc w:val="center"/>
              <w:rPr>
                <w:bCs/>
                <w:color w:val="auto"/>
                <w:sz w:val="24"/>
              </w:rPr>
            </w:pPr>
            <w:r>
              <w:rPr>
                <w:color w:val="auto"/>
                <w:sz w:val="24"/>
              </w:rPr>
              <w:t>施</w:t>
            </w:r>
          </w:p>
        </w:tc>
        <w:tc>
          <w:tcPr>
            <w:tcW w:w="4714" w:type="pct"/>
            <w:vAlign w:val="center"/>
          </w:tcPr>
          <w:p w14:paraId="0BCE2A12">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360" w:firstLineChars="150"/>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本项目</w:t>
            </w:r>
            <w:r>
              <w:rPr>
                <w:rFonts w:hint="eastAsia" w:cs="Times New Roman"/>
                <w:bCs/>
                <w:color w:val="auto"/>
                <w:sz w:val="24"/>
                <w:szCs w:val="24"/>
                <w:lang w:val="en-US" w:eastAsia="zh-CN"/>
              </w:rPr>
              <w:t>租赁现有厂房，厂房目前为空置状态</w:t>
            </w:r>
            <w:r>
              <w:rPr>
                <w:rFonts w:hint="default" w:ascii="Times New Roman" w:hAnsi="Times New Roman" w:eastAsia="宋体" w:cs="Times New Roman"/>
                <w:bCs/>
                <w:color w:val="auto"/>
                <w:sz w:val="24"/>
                <w:szCs w:val="24"/>
                <w:lang w:val="en-US" w:eastAsia="zh-CN"/>
              </w:rPr>
              <w:t>，不需新建构筑物，</w:t>
            </w:r>
            <w:r>
              <w:rPr>
                <w:rFonts w:hint="eastAsia" w:cs="Times New Roman"/>
                <w:bCs/>
                <w:color w:val="auto"/>
                <w:sz w:val="24"/>
                <w:szCs w:val="24"/>
                <w:lang w:val="en-US" w:eastAsia="zh-CN"/>
              </w:rPr>
              <w:t>施工期仅</w:t>
            </w:r>
            <w:r>
              <w:rPr>
                <w:rFonts w:hint="default" w:ascii="Times New Roman" w:hAnsi="Times New Roman" w:eastAsia="宋体" w:cs="Times New Roman"/>
                <w:bCs/>
                <w:color w:val="auto"/>
                <w:sz w:val="24"/>
                <w:szCs w:val="24"/>
                <w:lang w:val="en-US" w:eastAsia="zh-CN"/>
              </w:rPr>
              <w:t>进行设备</w:t>
            </w:r>
            <w:r>
              <w:rPr>
                <w:rFonts w:hint="eastAsia" w:cs="Times New Roman"/>
                <w:bCs/>
                <w:color w:val="auto"/>
                <w:sz w:val="24"/>
                <w:szCs w:val="24"/>
                <w:lang w:val="en-US" w:eastAsia="zh-CN"/>
              </w:rPr>
              <w:t>、环保设备</w:t>
            </w:r>
            <w:r>
              <w:rPr>
                <w:rFonts w:hint="default" w:ascii="Times New Roman" w:hAnsi="Times New Roman" w:eastAsia="宋体" w:cs="Times New Roman"/>
                <w:bCs/>
                <w:color w:val="auto"/>
                <w:sz w:val="24"/>
                <w:szCs w:val="24"/>
                <w:lang w:val="en-US" w:eastAsia="zh-CN"/>
              </w:rPr>
              <w:t>安装。</w:t>
            </w:r>
            <w:r>
              <w:rPr>
                <w:rFonts w:hint="default" w:ascii="Times New Roman" w:hAnsi="Times New Roman" w:eastAsia="宋体" w:cs="Times New Roman"/>
                <w:bCs/>
                <w:color w:val="auto"/>
                <w:sz w:val="24"/>
                <w:szCs w:val="24"/>
              </w:rPr>
              <w:t>项目施工期主要污染物有：废气（扬尘、运输车辆机械尾气）、废水（施工人员生活污水）、噪声（机械噪声、车辆交通噪声）、固体废物（施工人员生活垃圾、废包装物）等</w:t>
            </w:r>
            <w:r>
              <w:rPr>
                <w:rFonts w:hint="eastAsia" w:cs="Times New Roman"/>
                <w:bCs/>
                <w:color w:val="auto"/>
                <w:sz w:val="24"/>
                <w:szCs w:val="24"/>
                <w:lang w:eastAsia="zh-CN"/>
              </w:rPr>
              <w:t>，</w:t>
            </w:r>
            <w:r>
              <w:rPr>
                <w:rFonts w:hint="eastAsia" w:cs="Times New Roman"/>
                <w:bCs/>
                <w:color w:val="auto"/>
                <w:sz w:val="24"/>
                <w:szCs w:val="24"/>
                <w:lang w:val="en-US" w:eastAsia="zh-CN"/>
              </w:rPr>
              <w:t>无施工废水产生</w:t>
            </w:r>
            <w:r>
              <w:rPr>
                <w:rFonts w:hint="default" w:ascii="Times New Roman" w:hAnsi="Times New Roman" w:eastAsia="宋体" w:cs="Times New Roman"/>
                <w:bCs/>
                <w:color w:val="auto"/>
                <w:sz w:val="24"/>
                <w:szCs w:val="24"/>
              </w:rPr>
              <w:t>。</w:t>
            </w:r>
          </w:p>
          <w:p w14:paraId="7FBB7E1D">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1、施工期废气环境保护措施</w:t>
            </w:r>
          </w:p>
          <w:p w14:paraId="4251ED80">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本项目设备安装阶段废气主要为运输车辆、设备安装产生的少量粉尘及汽车尾气，设备安装阶段运输车辆较少，经大气扩散后对周围环境影响较小。这些施工过程中产生的大气污染均为暂时性污染，随着施工过程的结束，该污染环节也将随之消失。</w:t>
            </w:r>
          </w:p>
          <w:p w14:paraId="338FF4E3">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2、施工期废水环境保护措施</w:t>
            </w:r>
          </w:p>
          <w:p w14:paraId="3B9A5817">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本项目在现有</w:t>
            </w:r>
            <w:r>
              <w:rPr>
                <w:rFonts w:hint="eastAsia" w:cs="Times New Roman"/>
                <w:bCs/>
                <w:color w:val="auto"/>
                <w:sz w:val="24"/>
                <w:szCs w:val="24"/>
                <w:lang w:val="en-US" w:eastAsia="zh-CN"/>
              </w:rPr>
              <w:t>厂房内</w:t>
            </w:r>
            <w:r>
              <w:rPr>
                <w:rFonts w:hint="default" w:ascii="Times New Roman" w:hAnsi="Times New Roman" w:eastAsia="宋体" w:cs="Times New Roman"/>
                <w:bCs/>
                <w:color w:val="auto"/>
                <w:sz w:val="24"/>
                <w:szCs w:val="24"/>
              </w:rPr>
              <w:t>施工，施工人员生活污水依托现有</w:t>
            </w:r>
            <w:r>
              <w:rPr>
                <w:rFonts w:hint="default" w:ascii="Times New Roman" w:hAnsi="Times New Roman" w:cs="Times New Roman"/>
                <w:bCs/>
                <w:color w:val="auto"/>
                <w:sz w:val="24"/>
                <w:szCs w:val="24"/>
                <w:lang w:val="en-US" w:eastAsia="zh-CN"/>
              </w:rPr>
              <w:t>生活</w:t>
            </w:r>
            <w:r>
              <w:rPr>
                <w:rFonts w:hint="default" w:ascii="Times New Roman" w:hAnsi="Times New Roman" w:eastAsia="宋体" w:cs="Times New Roman"/>
                <w:bCs/>
                <w:color w:val="auto"/>
                <w:sz w:val="24"/>
                <w:szCs w:val="24"/>
              </w:rPr>
              <w:t>设施。</w:t>
            </w:r>
          </w:p>
          <w:p w14:paraId="4BEAFB13">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3、施工期噪声环境保护措施</w:t>
            </w:r>
          </w:p>
          <w:p w14:paraId="241302C9">
            <w:pPr>
              <w:adjustRightInd w:val="0"/>
              <w:snapToGrid w:val="0"/>
              <w:spacing w:line="360" w:lineRule="auto"/>
              <w:ind w:firstLine="360" w:firstLineChars="150"/>
              <w:rPr>
                <w:rFonts w:hint="eastAsia"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rPr>
              <w:t>本项目</w:t>
            </w:r>
            <w:r>
              <w:rPr>
                <w:rFonts w:hint="eastAsia" w:ascii="Times New Roman" w:hAnsi="Times New Roman" w:eastAsia="宋体" w:cs="Times New Roman"/>
                <w:bCs/>
                <w:color w:val="auto"/>
                <w:sz w:val="24"/>
                <w:szCs w:val="24"/>
                <w:lang w:val="en-US" w:eastAsia="zh-CN"/>
              </w:rPr>
              <w:t>主体建筑已建成，施工期仅</w:t>
            </w:r>
            <w:r>
              <w:rPr>
                <w:rFonts w:hint="default" w:ascii="Times New Roman" w:hAnsi="Times New Roman" w:eastAsia="宋体" w:cs="Times New Roman"/>
                <w:bCs/>
                <w:color w:val="auto"/>
                <w:sz w:val="24"/>
                <w:szCs w:val="24"/>
              </w:rPr>
              <w:t>在现有厂房内</w:t>
            </w:r>
            <w:r>
              <w:rPr>
                <w:rFonts w:hint="eastAsia" w:ascii="Times New Roman" w:hAnsi="Times New Roman" w:eastAsia="宋体" w:cs="Times New Roman"/>
                <w:bCs/>
                <w:color w:val="auto"/>
                <w:sz w:val="24"/>
                <w:szCs w:val="24"/>
                <w:lang w:val="en-US" w:eastAsia="zh-CN"/>
              </w:rPr>
              <w:t>安装</w:t>
            </w:r>
            <w:r>
              <w:rPr>
                <w:rFonts w:hint="default" w:ascii="Times New Roman" w:hAnsi="Times New Roman" w:eastAsia="宋体" w:cs="Times New Roman"/>
                <w:bCs/>
                <w:color w:val="auto"/>
                <w:sz w:val="24"/>
                <w:szCs w:val="24"/>
              </w:rPr>
              <w:t>相关生产设备，施工期主要为设备安装</w:t>
            </w:r>
            <w:r>
              <w:rPr>
                <w:rFonts w:hint="eastAsia"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rPr>
              <w:t>调试过程产生的偶发性噪声</w:t>
            </w:r>
            <w:r>
              <w:rPr>
                <w:rFonts w:hint="eastAsia" w:ascii="Times New Roman" w:hAnsi="Times New Roman" w:eastAsia="宋体" w:cs="Times New Roman"/>
                <w:bCs/>
                <w:color w:val="auto"/>
                <w:sz w:val="24"/>
                <w:szCs w:val="24"/>
                <w:lang w:eastAsia="zh-CN"/>
              </w:rPr>
              <w:t>。</w:t>
            </w:r>
          </w:p>
          <w:p w14:paraId="586A7320">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1）</w:t>
            </w:r>
            <w:r>
              <w:rPr>
                <w:rFonts w:hint="eastAsia" w:ascii="Times New Roman" w:hAnsi="Times New Roman" w:eastAsia="宋体" w:cs="Times New Roman"/>
                <w:bCs/>
                <w:color w:val="auto"/>
                <w:sz w:val="24"/>
                <w:szCs w:val="24"/>
              </w:rPr>
              <w:t>施工期通过使用低噪声机械，以减轻设备噪声对周围环境的影响</w:t>
            </w:r>
            <w:r>
              <w:rPr>
                <w:rFonts w:hint="eastAsia" w:ascii="Times New Roman" w:hAnsi="Times New Roman" w:eastAsia="宋体" w:cs="Times New Roman"/>
                <w:bCs/>
                <w:color w:val="auto"/>
                <w:sz w:val="24"/>
                <w:szCs w:val="24"/>
                <w:lang w:eastAsia="zh-CN"/>
              </w:rPr>
              <w:t>；</w:t>
            </w:r>
          </w:p>
          <w:p w14:paraId="09DA82DA">
            <w:pPr>
              <w:adjustRightInd w:val="0"/>
              <w:snapToGrid w:val="0"/>
              <w:spacing w:line="360" w:lineRule="auto"/>
              <w:ind w:firstLine="360" w:firstLineChars="150"/>
              <w:rPr>
                <w:rFonts w:hint="eastAsia"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rPr>
              <w:t>2）</w:t>
            </w:r>
            <w:r>
              <w:rPr>
                <w:rFonts w:hint="eastAsia" w:ascii="Times New Roman" w:hAnsi="Times New Roman" w:eastAsia="宋体" w:cs="Times New Roman"/>
                <w:bCs/>
                <w:color w:val="auto"/>
                <w:sz w:val="24"/>
                <w:szCs w:val="24"/>
              </w:rPr>
              <w:t>合理安排施工时间，避开中午休息时间和夜间施工</w:t>
            </w:r>
            <w:r>
              <w:rPr>
                <w:rFonts w:hint="eastAsia" w:ascii="Times New Roman" w:hAnsi="Times New Roman" w:eastAsia="宋体" w:cs="Times New Roman"/>
                <w:bCs/>
                <w:color w:val="auto"/>
                <w:sz w:val="24"/>
                <w:szCs w:val="24"/>
                <w:lang w:eastAsia="zh-CN"/>
              </w:rPr>
              <w:t>；</w:t>
            </w:r>
          </w:p>
          <w:p w14:paraId="53B49541">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3）车辆进出施工场地时，禁止鸣笛，运行线路应按规定路线进行，材料运输车辆进入场地需安排专人指挥，材料装卸采用人工传递，严禁抛掷或汽车一次性下料；</w:t>
            </w:r>
          </w:p>
          <w:p w14:paraId="4A40412B">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lang w:val="en-US" w:eastAsia="zh-CN"/>
              </w:rPr>
              <w:t>4）</w:t>
            </w:r>
            <w:r>
              <w:rPr>
                <w:rFonts w:hint="default" w:ascii="Times New Roman" w:hAnsi="Times New Roman" w:eastAsia="宋体" w:cs="Times New Roman"/>
                <w:bCs/>
                <w:color w:val="auto"/>
                <w:sz w:val="24"/>
                <w:szCs w:val="24"/>
              </w:rPr>
              <w:t>加强工人管理，文明施工，严禁高声喧哗。</w:t>
            </w:r>
          </w:p>
          <w:p w14:paraId="77EDA1C4">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采取以上措施，施工场界噪声对周边环境影响较小。</w:t>
            </w:r>
          </w:p>
          <w:p w14:paraId="4AC1211F">
            <w:pPr>
              <w:adjustRightInd w:val="0"/>
              <w:snapToGrid w:val="0"/>
              <w:spacing w:line="360" w:lineRule="auto"/>
              <w:ind w:firstLine="360" w:firstLineChars="15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4、施工期固废环境保护措施</w:t>
            </w:r>
          </w:p>
          <w:p w14:paraId="330E232C">
            <w:pPr>
              <w:pStyle w:val="57"/>
              <w:snapToGrid/>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本项目施工期固体废物主要为设备安装产生的废包装材料及施工人员生活垃圾。施工期设备安装产生的废包装材料外售综合利用，不随意丢弃。施工人员生活垃圾定点收集后，</w:t>
            </w:r>
            <w:r>
              <w:rPr>
                <w:rFonts w:hint="default" w:ascii="Times New Roman" w:hAnsi="Times New Roman" w:eastAsia="宋体" w:cs="Times New Roman"/>
                <w:bCs/>
                <w:color w:val="auto"/>
                <w:sz w:val="24"/>
                <w:szCs w:val="24"/>
                <w:lang w:val="en-US" w:eastAsia="zh-CN"/>
              </w:rPr>
              <w:t>定期交由当地环卫部门进行处置</w:t>
            </w:r>
            <w:r>
              <w:rPr>
                <w:rFonts w:hint="default" w:ascii="Times New Roman" w:hAnsi="Times New Roman" w:eastAsia="宋体" w:cs="Times New Roman"/>
                <w:bCs/>
                <w:color w:val="auto"/>
                <w:sz w:val="24"/>
                <w:szCs w:val="24"/>
              </w:rPr>
              <w:t>，对环境影响较小。</w:t>
            </w:r>
          </w:p>
          <w:p w14:paraId="0E290CCF">
            <w:pPr>
              <w:spacing w:line="360" w:lineRule="auto"/>
              <w:ind w:firstLine="480" w:firstLineChars="200"/>
              <w:jc w:val="both"/>
              <w:rPr>
                <w:color w:val="auto"/>
              </w:rPr>
            </w:pPr>
            <w:r>
              <w:rPr>
                <w:rFonts w:hint="default" w:ascii="Times New Roman" w:hAnsi="Times New Roman" w:eastAsia="宋体" w:cs="Times New Roman"/>
                <w:bCs/>
                <w:color w:val="auto"/>
                <w:sz w:val="24"/>
                <w:szCs w:val="24"/>
              </w:rPr>
              <w:t>由于项目施工周期较短，故在采取措施的情况下，项目施工期对周围环境影响较小。</w:t>
            </w:r>
          </w:p>
        </w:tc>
      </w:tr>
      <w:tr w14:paraId="0F0CF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5" w:type="pct"/>
            <w:vAlign w:val="center"/>
          </w:tcPr>
          <w:p w14:paraId="0E6BAAE2">
            <w:pPr>
              <w:adjustRightInd w:val="0"/>
              <w:snapToGrid w:val="0"/>
              <w:spacing w:line="360" w:lineRule="auto"/>
              <w:jc w:val="center"/>
              <w:rPr>
                <w:bCs/>
                <w:color w:val="auto"/>
                <w:sz w:val="24"/>
              </w:rPr>
            </w:pPr>
            <w:r>
              <w:rPr>
                <w:bCs/>
                <w:color w:val="auto"/>
                <w:sz w:val="24"/>
              </w:rPr>
              <w:t>运营</w:t>
            </w:r>
          </w:p>
          <w:p w14:paraId="7BF7046C">
            <w:pPr>
              <w:adjustRightInd w:val="0"/>
              <w:snapToGrid w:val="0"/>
              <w:spacing w:line="360" w:lineRule="auto"/>
              <w:jc w:val="center"/>
              <w:rPr>
                <w:bCs/>
                <w:color w:val="auto"/>
                <w:sz w:val="24"/>
              </w:rPr>
            </w:pPr>
            <w:r>
              <w:rPr>
                <w:bCs/>
                <w:color w:val="auto"/>
                <w:sz w:val="24"/>
              </w:rPr>
              <w:t>期环</w:t>
            </w:r>
          </w:p>
          <w:p w14:paraId="66EE2B3D">
            <w:pPr>
              <w:adjustRightInd w:val="0"/>
              <w:snapToGrid w:val="0"/>
              <w:spacing w:line="360" w:lineRule="auto"/>
              <w:jc w:val="center"/>
              <w:rPr>
                <w:bCs/>
                <w:color w:val="auto"/>
                <w:sz w:val="24"/>
              </w:rPr>
            </w:pPr>
            <w:r>
              <w:rPr>
                <w:bCs/>
                <w:color w:val="auto"/>
                <w:sz w:val="24"/>
              </w:rPr>
              <w:t>境影</w:t>
            </w:r>
          </w:p>
          <w:p w14:paraId="462EA02A">
            <w:pPr>
              <w:adjustRightInd w:val="0"/>
              <w:snapToGrid w:val="0"/>
              <w:spacing w:line="360" w:lineRule="auto"/>
              <w:jc w:val="center"/>
              <w:rPr>
                <w:bCs/>
                <w:color w:val="auto"/>
                <w:sz w:val="24"/>
              </w:rPr>
            </w:pPr>
            <w:r>
              <w:rPr>
                <w:bCs/>
                <w:color w:val="auto"/>
                <w:sz w:val="24"/>
              </w:rPr>
              <w:t>响和</w:t>
            </w:r>
          </w:p>
          <w:p w14:paraId="676B0436">
            <w:pPr>
              <w:adjustRightInd w:val="0"/>
              <w:snapToGrid w:val="0"/>
              <w:spacing w:line="360" w:lineRule="auto"/>
              <w:jc w:val="center"/>
              <w:rPr>
                <w:bCs/>
                <w:color w:val="auto"/>
                <w:sz w:val="24"/>
              </w:rPr>
            </w:pPr>
            <w:r>
              <w:rPr>
                <w:bCs/>
                <w:color w:val="auto"/>
                <w:sz w:val="24"/>
              </w:rPr>
              <w:t>保护</w:t>
            </w:r>
          </w:p>
          <w:p w14:paraId="1AAD65ED">
            <w:pPr>
              <w:spacing w:line="360" w:lineRule="auto"/>
              <w:jc w:val="center"/>
              <w:rPr>
                <w:color w:val="0000FF"/>
              </w:rPr>
            </w:pPr>
            <w:r>
              <w:rPr>
                <w:bCs/>
                <w:color w:val="auto"/>
                <w:sz w:val="24"/>
              </w:rPr>
              <w:t>措施</w:t>
            </w:r>
          </w:p>
        </w:tc>
        <w:tc>
          <w:tcPr>
            <w:tcW w:w="4714" w:type="pct"/>
          </w:tcPr>
          <w:p w14:paraId="1E91C7C7">
            <w:pPr>
              <w:spacing w:line="360" w:lineRule="auto"/>
              <w:ind w:firstLine="482" w:firstLineChars="200"/>
              <w:rPr>
                <w:b/>
                <w:bCs/>
                <w:color w:val="auto"/>
                <w:kern w:val="0"/>
                <w:sz w:val="24"/>
                <w:szCs w:val="20"/>
              </w:rPr>
            </w:pPr>
            <w:r>
              <w:rPr>
                <w:rFonts w:hint="eastAsia"/>
                <w:b/>
                <w:bCs/>
                <w:color w:val="auto"/>
                <w:kern w:val="0"/>
                <w:sz w:val="24"/>
                <w:szCs w:val="20"/>
                <w:lang w:val="en-US" w:eastAsia="zh-CN"/>
              </w:rPr>
              <w:t>1</w:t>
            </w:r>
            <w:r>
              <w:rPr>
                <w:b/>
                <w:bCs/>
                <w:color w:val="auto"/>
                <w:kern w:val="0"/>
                <w:sz w:val="24"/>
                <w:szCs w:val="20"/>
              </w:rPr>
              <w:t>、废气</w:t>
            </w:r>
          </w:p>
          <w:p w14:paraId="6B88CFA8">
            <w:pPr>
              <w:spacing w:line="360" w:lineRule="auto"/>
              <w:ind w:firstLine="480" w:firstLineChars="200"/>
              <w:rPr>
                <w:color w:val="0000FF"/>
                <w:sz w:val="24"/>
                <w:szCs w:val="22"/>
              </w:rPr>
            </w:pPr>
            <w:r>
              <w:rPr>
                <w:rFonts w:hint="eastAsia"/>
                <w:color w:val="auto"/>
                <w:sz w:val="24"/>
                <w:szCs w:val="22"/>
                <w:lang w:val="en-US" w:eastAsia="zh-CN"/>
              </w:rPr>
              <w:t>本项目</w:t>
            </w:r>
            <w:r>
              <w:rPr>
                <w:color w:val="auto"/>
                <w:sz w:val="24"/>
                <w:szCs w:val="22"/>
              </w:rPr>
              <w:t>运营期</w:t>
            </w:r>
            <w:r>
              <w:rPr>
                <w:rFonts w:hint="eastAsia"/>
                <w:color w:val="auto"/>
                <w:sz w:val="24"/>
                <w:szCs w:val="22"/>
                <w:lang w:val="en-US" w:eastAsia="zh-CN"/>
              </w:rPr>
              <w:t>产生的废气主要为打磨粉尘、喷砂粉尘，不涉及新污染物</w:t>
            </w:r>
            <w:r>
              <w:rPr>
                <w:color w:val="auto"/>
                <w:sz w:val="24"/>
                <w:szCs w:val="22"/>
              </w:rPr>
              <w:t>。</w:t>
            </w:r>
          </w:p>
          <w:p w14:paraId="50C77B83">
            <w:pPr>
              <w:adjustRightInd w:val="0"/>
              <w:snapToGrid w:val="0"/>
              <w:spacing w:line="360" w:lineRule="auto"/>
              <w:ind w:firstLine="480"/>
              <w:rPr>
                <w:b/>
                <w:bCs/>
                <w:color w:val="auto"/>
                <w:sz w:val="24"/>
                <w:highlight w:val="none"/>
              </w:rPr>
            </w:pPr>
            <w:r>
              <w:rPr>
                <w:rFonts w:hint="eastAsia"/>
                <w:b/>
                <w:bCs/>
                <w:color w:val="auto"/>
                <w:sz w:val="24"/>
                <w:highlight w:val="none"/>
                <w:lang w:eastAsia="zh-CN"/>
              </w:rPr>
              <w:t>（</w:t>
            </w:r>
            <w:r>
              <w:rPr>
                <w:rFonts w:hint="eastAsia"/>
                <w:b/>
                <w:bCs/>
                <w:color w:val="auto"/>
                <w:sz w:val="24"/>
                <w:highlight w:val="none"/>
                <w:lang w:val="en-US" w:eastAsia="zh-CN"/>
              </w:rPr>
              <w:t>1</w:t>
            </w:r>
            <w:r>
              <w:rPr>
                <w:rFonts w:hint="eastAsia"/>
                <w:b/>
                <w:bCs/>
                <w:color w:val="auto"/>
                <w:sz w:val="24"/>
                <w:highlight w:val="none"/>
                <w:lang w:eastAsia="zh-CN"/>
              </w:rPr>
              <w:t>）</w:t>
            </w:r>
            <w:r>
              <w:rPr>
                <w:b/>
                <w:bCs/>
                <w:color w:val="auto"/>
                <w:sz w:val="24"/>
                <w:highlight w:val="none"/>
              </w:rPr>
              <w:t>废气污染源产排情况</w:t>
            </w:r>
          </w:p>
          <w:p w14:paraId="0CF90B97">
            <w:pPr>
              <w:pStyle w:val="57"/>
              <w:snapToGrid/>
              <w:rPr>
                <w:color w:val="auto"/>
                <w:highlight w:val="none"/>
              </w:rPr>
            </w:pPr>
            <w:r>
              <w:rPr>
                <w:color w:val="auto"/>
                <w:highlight w:val="none"/>
              </w:rPr>
              <w:t>本项目废气产排信息见表4-1，废气排放口信息见表4-2。</w:t>
            </w:r>
          </w:p>
          <w:p w14:paraId="36D174F0">
            <w:pPr>
              <w:pStyle w:val="23"/>
              <w:spacing w:after="0"/>
              <w:ind w:left="0" w:leftChars="0" w:firstLine="0" w:firstLineChars="0"/>
              <w:jc w:val="center"/>
              <w:rPr>
                <w:b/>
                <w:bCs/>
                <w:color w:val="auto"/>
                <w:sz w:val="21"/>
                <w:szCs w:val="16"/>
                <w:highlight w:val="none"/>
              </w:rPr>
            </w:pPr>
            <w:r>
              <w:rPr>
                <w:b/>
                <w:bCs/>
                <w:color w:val="auto"/>
                <w:sz w:val="21"/>
                <w:szCs w:val="16"/>
                <w:highlight w:val="none"/>
              </w:rPr>
              <w:t>表4-1  项目废气产排情况一览表</w:t>
            </w:r>
          </w:p>
          <w:tbl>
            <w:tblPr>
              <w:tblStyle w:val="25"/>
              <w:tblW w:w="83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760"/>
              <w:gridCol w:w="627"/>
              <w:gridCol w:w="640"/>
              <w:gridCol w:w="1035"/>
              <w:gridCol w:w="660"/>
              <w:gridCol w:w="735"/>
              <w:gridCol w:w="1725"/>
              <w:gridCol w:w="780"/>
              <w:gridCol w:w="732"/>
            </w:tblGrid>
            <w:tr w14:paraId="582B88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5" w:type="dxa"/>
                  <w:vMerge w:val="restart"/>
                  <w:tcBorders>
                    <w:tl2br w:val="nil"/>
                    <w:tr2bl w:val="nil"/>
                  </w:tcBorders>
                  <w:vAlign w:val="center"/>
                </w:tcPr>
                <w:p w14:paraId="3A57D6FE">
                  <w:pPr>
                    <w:jc w:val="center"/>
                    <w:rPr>
                      <w:color w:val="auto"/>
                      <w:sz w:val="18"/>
                      <w:szCs w:val="18"/>
                      <w:highlight w:val="none"/>
                    </w:rPr>
                  </w:pPr>
                  <w:r>
                    <w:rPr>
                      <w:color w:val="auto"/>
                      <w:sz w:val="18"/>
                      <w:szCs w:val="18"/>
                      <w:highlight w:val="none"/>
                    </w:rPr>
                    <w:t>产污</w:t>
                  </w:r>
                </w:p>
                <w:p w14:paraId="1CC0B763">
                  <w:pPr>
                    <w:jc w:val="center"/>
                    <w:rPr>
                      <w:color w:val="auto"/>
                      <w:sz w:val="18"/>
                      <w:szCs w:val="18"/>
                      <w:highlight w:val="none"/>
                    </w:rPr>
                  </w:pPr>
                  <w:r>
                    <w:rPr>
                      <w:color w:val="auto"/>
                      <w:sz w:val="18"/>
                      <w:szCs w:val="18"/>
                      <w:highlight w:val="none"/>
                    </w:rPr>
                    <w:t>环节</w:t>
                  </w:r>
                </w:p>
              </w:tc>
              <w:tc>
                <w:tcPr>
                  <w:tcW w:w="760" w:type="dxa"/>
                  <w:vMerge w:val="restart"/>
                  <w:tcBorders>
                    <w:tl2br w:val="nil"/>
                    <w:tr2bl w:val="nil"/>
                  </w:tcBorders>
                  <w:vAlign w:val="center"/>
                </w:tcPr>
                <w:p w14:paraId="6022C428">
                  <w:pPr>
                    <w:jc w:val="center"/>
                    <w:rPr>
                      <w:color w:val="auto"/>
                      <w:sz w:val="18"/>
                      <w:szCs w:val="18"/>
                      <w:highlight w:val="none"/>
                    </w:rPr>
                  </w:pPr>
                  <w:r>
                    <w:rPr>
                      <w:color w:val="auto"/>
                      <w:sz w:val="18"/>
                      <w:szCs w:val="18"/>
                      <w:highlight w:val="none"/>
                    </w:rPr>
                    <w:t>污染物种类</w:t>
                  </w:r>
                </w:p>
              </w:tc>
              <w:tc>
                <w:tcPr>
                  <w:tcW w:w="627" w:type="dxa"/>
                  <w:vMerge w:val="restart"/>
                  <w:tcBorders>
                    <w:tl2br w:val="nil"/>
                    <w:tr2bl w:val="nil"/>
                  </w:tcBorders>
                  <w:vAlign w:val="center"/>
                </w:tcPr>
                <w:p w14:paraId="577C13FC">
                  <w:pPr>
                    <w:jc w:val="center"/>
                    <w:rPr>
                      <w:color w:val="auto"/>
                      <w:sz w:val="18"/>
                      <w:szCs w:val="18"/>
                      <w:highlight w:val="none"/>
                    </w:rPr>
                  </w:pPr>
                  <w:r>
                    <w:rPr>
                      <w:color w:val="auto"/>
                      <w:sz w:val="18"/>
                      <w:szCs w:val="18"/>
                      <w:highlight w:val="none"/>
                    </w:rPr>
                    <w:t>排放</w:t>
                  </w:r>
                </w:p>
                <w:p w14:paraId="6B8D4CF7">
                  <w:pPr>
                    <w:jc w:val="center"/>
                    <w:rPr>
                      <w:color w:val="auto"/>
                      <w:sz w:val="18"/>
                      <w:szCs w:val="18"/>
                      <w:highlight w:val="none"/>
                    </w:rPr>
                  </w:pPr>
                  <w:r>
                    <w:rPr>
                      <w:color w:val="auto"/>
                      <w:sz w:val="18"/>
                      <w:szCs w:val="18"/>
                      <w:highlight w:val="none"/>
                    </w:rPr>
                    <w:t>形式</w:t>
                  </w:r>
                </w:p>
              </w:tc>
              <w:tc>
                <w:tcPr>
                  <w:tcW w:w="640" w:type="dxa"/>
                  <w:vMerge w:val="restart"/>
                  <w:tcBorders>
                    <w:tl2br w:val="nil"/>
                    <w:tr2bl w:val="nil"/>
                  </w:tcBorders>
                  <w:vAlign w:val="center"/>
                </w:tcPr>
                <w:p w14:paraId="56C9CB0A">
                  <w:pPr>
                    <w:jc w:val="center"/>
                    <w:rPr>
                      <w:rFonts w:ascii="Times New Roman" w:cs="Times New Roman"/>
                      <w:color w:val="auto"/>
                      <w:sz w:val="18"/>
                      <w:szCs w:val="18"/>
                      <w:highlight w:val="none"/>
                    </w:rPr>
                  </w:pPr>
                  <w:r>
                    <w:rPr>
                      <w:color w:val="auto"/>
                      <w:sz w:val="18"/>
                      <w:szCs w:val="18"/>
                      <w:highlight w:val="none"/>
                    </w:rPr>
                    <w:t>产生量</w:t>
                  </w:r>
                  <w:r>
                    <w:rPr>
                      <w:rFonts w:ascii="Times New Roman" w:cs="Times New Roman"/>
                      <w:color w:val="auto"/>
                      <w:sz w:val="18"/>
                      <w:szCs w:val="18"/>
                      <w:highlight w:val="none"/>
                    </w:rPr>
                    <w:t>t/a</w:t>
                  </w:r>
                </w:p>
              </w:tc>
              <w:tc>
                <w:tcPr>
                  <w:tcW w:w="1035" w:type="dxa"/>
                  <w:vMerge w:val="restart"/>
                  <w:tcBorders>
                    <w:tl2br w:val="nil"/>
                    <w:tr2bl w:val="nil"/>
                  </w:tcBorders>
                  <w:vAlign w:val="center"/>
                </w:tcPr>
                <w:p w14:paraId="7BFCDC85">
                  <w:pPr>
                    <w:jc w:val="center"/>
                    <w:rPr>
                      <w:color w:val="auto"/>
                      <w:sz w:val="18"/>
                      <w:szCs w:val="18"/>
                      <w:highlight w:val="none"/>
                    </w:rPr>
                  </w:pPr>
                  <w:r>
                    <w:rPr>
                      <w:color w:val="auto"/>
                      <w:sz w:val="18"/>
                      <w:szCs w:val="18"/>
                      <w:highlight w:val="none"/>
                    </w:rPr>
                    <w:t>主要防治措施</w:t>
                  </w:r>
                </w:p>
              </w:tc>
              <w:tc>
                <w:tcPr>
                  <w:tcW w:w="660" w:type="dxa"/>
                  <w:vMerge w:val="restart"/>
                  <w:tcBorders>
                    <w:tl2br w:val="nil"/>
                    <w:tr2bl w:val="nil"/>
                  </w:tcBorders>
                  <w:vAlign w:val="center"/>
                </w:tcPr>
                <w:p w14:paraId="181D0641">
                  <w:pPr>
                    <w:jc w:val="center"/>
                    <w:rPr>
                      <w:color w:val="auto"/>
                      <w:sz w:val="18"/>
                      <w:szCs w:val="18"/>
                      <w:highlight w:val="none"/>
                    </w:rPr>
                  </w:pPr>
                  <w:r>
                    <w:rPr>
                      <w:color w:val="auto"/>
                      <w:sz w:val="18"/>
                      <w:szCs w:val="18"/>
                      <w:highlight w:val="none"/>
                    </w:rPr>
                    <w:t>处理</w:t>
                  </w:r>
                  <w:r>
                    <w:rPr>
                      <w:rFonts w:hint="eastAsia"/>
                      <w:color w:val="auto"/>
                      <w:sz w:val="18"/>
                      <w:szCs w:val="18"/>
                      <w:highlight w:val="none"/>
                      <w:lang w:val="en-US" w:eastAsia="zh-CN"/>
                    </w:rPr>
                    <w:t>/集气</w:t>
                  </w:r>
                  <w:r>
                    <w:rPr>
                      <w:color w:val="auto"/>
                      <w:sz w:val="18"/>
                      <w:szCs w:val="18"/>
                      <w:highlight w:val="none"/>
                    </w:rPr>
                    <w:t xml:space="preserve">效率% </w:t>
                  </w:r>
                </w:p>
              </w:tc>
              <w:tc>
                <w:tcPr>
                  <w:tcW w:w="735" w:type="dxa"/>
                  <w:vMerge w:val="restart"/>
                  <w:tcBorders>
                    <w:tl2br w:val="nil"/>
                    <w:tr2bl w:val="nil"/>
                  </w:tcBorders>
                  <w:vAlign w:val="center"/>
                </w:tcPr>
                <w:p w14:paraId="4648D18B">
                  <w:pPr>
                    <w:jc w:val="center"/>
                    <w:rPr>
                      <w:color w:val="auto"/>
                      <w:sz w:val="18"/>
                      <w:szCs w:val="18"/>
                      <w:highlight w:val="none"/>
                    </w:rPr>
                  </w:pPr>
                  <w:r>
                    <w:rPr>
                      <w:color w:val="auto"/>
                      <w:sz w:val="18"/>
                      <w:szCs w:val="18"/>
                      <w:highlight w:val="none"/>
                    </w:rPr>
                    <w:t>排放浓度mg/m</w:t>
                  </w:r>
                  <w:r>
                    <w:rPr>
                      <w:color w:val="auto"/>
                      <w:sz w:val="18"/>
                      <w:szCs w:val="18"/>
                      <w:highlight w:val="none"/>
                      <w:vertAlign w:val="superscript"/>
                    </w:rPr>
                    <w:t>3</w:t>
                  </w:r>
                </w:p>
              </w:tc>
              <w:tc>
                <w:tcPr>
                  <w:tcW w:w="2505" w:type="dxa"/>
                  <w:gridSpan w:val="2"/>
                  <w:tcBorders>
                    <w:tl2br w:val="nil"/>
                    <w:tr2bl w:val="nil"/>
                  </w:tcBorders>
                  <w:vAlign w:val="center"/>
                </w:tcPr>
                <w:p w14:paraId="35F82FB7">
                  <w:pPr>
                    <w:jc w:val="center"/>
                    <w:rPr>
                      <w:color w:val="auto"/>
                      <w:sz w:val="18"/>
                      <w:szCs w:val="18"/>
                      <w:highlight w:val="none"/>
                    </w:rPr>
                  </w:pPr>
                  <w:r>
                    <w:rPr>
                      <w:color w:val="auto"/>
                      <w:sz w:val="18"/>
                      <w:szCs w:val="18"/>
                      <w:highlight w:val="none"/>
                    </w:rPr>
                    <w:t>污染物排放标准</w:t>
                  </w:r>
                </w:p>
              </w:tc>
              <w:tc>
                <w:tcPr>
                  <w:tcW w:w="732" w:type="dxa"/>
                  <w:vMerge w:val="restart"/>
                  <w:tcBorders>
                    <w:tl2br w:val="nil"/>
                    <w:tr2bl w:val="nil"/>
                  </w:tcBorders>
                  <w:vAlign w:val="center"/>
                </w:tcPr>
                <w:p w14:paraId="3F9388FB">
                  <w:pPr>
                    <w:jc w:val="center"/>
                    <w:rPr>
                      <w:color w:val="auto"/>
                      <w:sz w:val="18"/>
                      <w:szCs w:val="18"/>
                      <w:highlight w:val="none"/>
                    </w:rPr>
                  </w:pPr>
                  <w:r>
                    <w:rPr>
                      <w:color w:val="auto"/>
                      <w:sz w:val="18"/>
                      <w:szCs w:val="18"/>
                      <w:highlight w:val="none"/>
                    </w:rPr>
                    <w:t>排放量t/a</w:t>
                  </w:r>
                </w:p>
              </w:tc>
            </w:tr>
            <w:tr w14:paraId="36D578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5" w:type="dxa"/>
                  <w:vMerge w:val="continue"/>
                  <w:tcBorders>
                    <w:tl2br w:val="nil"/>
                    <w:tr2bl w:val="nil"/>
                  </w:tcBorders>
                  <w:vAlign w:val="center"/>
                </w:tcPr>
                <w:p w14:paraId="2538B565">
                  <w:pPr>
                    <w:jc w:val="center"/>
                    <w:rPr>
                      <w:color w:val="auto"/>
                      <w:sz w:val="18"/>
                      <w:szCs w:val="18"/>
                      <w:highlight w:val="none"/>
                    </w:rPr>
                  </w:pPr>
                </w:p>
              </w:tc>
              <w:tc>
                <w:tcPr>
                  <w:tcW w:w="760" w:type="dxa"/>
                  <w:vMerge w:val="continue"/>
                  <w:tcBorders>
                    <w:tl2br w:val="nil"/>
                    <w:tr2bl w:val="nil"/>
                  </w:tcBorders>
                  <w:vAlign w:val="center"/>
                </w:tcPr>
                <w:p w14:paraId="61B61B41">
                  <w:pPr>
                    <w:jc w:val="center"/>
                    <w:rPr>
                      <w:color w:val="auto"/>
                      <w:sz w:val="18"/>
                      <w:szCs w:val="18"/>
                      <w:highlight w:val="none"/>
                    </w:rPr>
                  </w:pPr>
                </w:p>
              </w:tc>
              <w:tc>
                <w:tcPr>
                  <w:tcW w:w="627" w:type="dxa"/>
                  <w:vMerge w:val="continue"/>
                  <w:tcBorders>
                    <w:tl2br w:val="nil"/>
                    <w:tr2bl w:val="nil"/>
                  </w:tcBorders>
                  <w:vAlign w:val="center"/>
                </w:tcPr>
                <w:p w14:paraId="53DDC5E1">
                  <w:pPr>
                    <w:jc w:val="center"/>
                    <w:rPr>
                      <w:color w:val="auto"/>
                      <w:sz w:val="18"/>
                      <w:szCs w:val="18"/>
                      <w:highlight w:val="none"/>
                    </w:rPr>
                  </w:pPr>
                </w:p>
              </w:tc>
              <w:tc>
                <w:tcPr>
                  <w:tcW w:w="640" w:type="dxa"/>
                  <w:vMerge w:val="continue"/>
                  <w:tcBorders>
                    <w:tl2br w:val="nil"/>
                    <w:tr2bl w:val="nil"/>
                  </w:tcBorders>
                  <w:vAlign w:val="center"/>
                </w:tcPr>
                <w:p w14:paraId="0D1E3E33">
                  <w:pPr>
                    <w:jc w:val="center"/>
                    <w:rPr>
                      <w:color w:val="auto"/>
                      <w:sz w:val="18"/>
                      <w:szCs w:val="18"/>
                      <w:highlight w:val="none"/>
                    </w:rPr>
                  </w:pPr>
                </w:p>
              </w:tc>
              <w:tc>
                <w:tcPr>
                  <w:tcW w:w="1035" w:type="dxa"/>
                  <w:vMerge w:val="continue"/>
                  <w:tcBorders>
                    <w:tl2br w:val="nil"/>
                    <w:tr2bl w:val="nil"/>
                  </w:tcBorders>
                  <w:vAlign w:val="center"/>
                </w:tcPr>
                <w:p w14:paraId="76A250E0">
                  <w:pPr>
                    <w:jc w:val="center"/>
                    <w:rPr>
                      <w:color w:val="auto"/>
                      <w:sz w:val="18"/>
                      <w:szCs w:val="18"/>
                      <w:highlight w:val="none"/>
                    </w:rPr>
                  </w:pPr>
                </w:p>
              </w:tc>
              <w:tc>
                <w:tcPr>
                  <w:tcW w:w="660" w:type="dxa"/>
                  <w:vMerge w:val="continue"/>
                  <w:tcBorders>
                    <w:tl2br w:val="nil"/>
                    <w:tr2bl w:val="nil"/>
                  </w:tcBorders>
                  <w:vAlign w:val="center"/>
                </w:tcPr>
                <w:p w14:paraId="236E6746">
                  <w:pPr>
                    <w:jc w:val="center"/>
                    <w:rPr>
                      <w:color w:val="auto"/>
                      <w:sz w:val="18"/>
                      <w:szCs w:val="18"/>
                      <w:highlight w:val="none"/>
                    </w:rPr>
                  </w:pPr>
                </w:p>
              </w:tc>
              <w:tc>
                <w:tcPr>
                  <w:tcW w:w="735" w:type="dxa"/>
                  <w:vMerge w:val="continue"/>
                  <w:tcBorders>
                    <w:tl2br w:val="nil"/>
                    <w:tr2bl w:val="nil"/>
                  </w:tcBorders>
                  <w:vAlign w:val="center"/>
                </w:tcPr>
                <w:p w14:paraId="77A22CF1">
                  <w:pPr>
                    <w:jc w:val="center"/>
                    <w:rPr>
                      <w:color w:val="auto"/>
                      <w:sz w:val="18"/>
                      <w:szCs w:val="18"/>
                      <w:highlight w:val="none"/>
                    </w:rPr>
                  </w:pPr>
                </w:p>
              </w:tc>
              <w:tc>
                <w:tcPr>
                  <w:tcW w:w="1725" w:type="dxa"/>
                  <w:tcBorders>
                    <w:tl2br w:val="nil"/>
                    <w:tr2bl w:val="nil"/>
                  </w:tcBorders>
                  <w:vAlign w:val="center"/>
                </w:tcPr>
                <w:p w14:paraId="6FA49268">
                  <w:pPr>
                    <w:jc w:val="center"/>
                    <w:rPr>
                      <w:color w:val="auto"/>
                      <w:sz w:val="18"/>
                      <w:szCs w:val="18"/>
                      <w:highlight w:val="none"/>
                    </w:rPr>
                  </w:pPr>
                  <w:r>
                    <w:rPr>
                      <w:color w:val="auto"/>
                      <w:sz w:val="18"/>
                      <w:szCs w:val="18"/>
                      <w:highlight w:val="none"/>
                    </w:rPr>
                    <w:t>标准名称</w:t>
                  </w:r>
                </w:p>
              </w:tc>
              <w:tc>
                <w:tcPr>
                  <w:tcW w:w="780" w:type="dxa"/>
                  <w:tcBorders>
                    <w:tl2br w:val="nil"/>
                    <w:tr2bl w:val="nil"/>
                  </w:tcBorders>
                  <w:vAlign w:val="center"/>
                </w:tcPr>
                <w:p w14:paraId="586D7B43">
                  <w:pPr>
                    <w:jc w:val="center"/>
                    <w:rPr>
                      <w:color w:val="auto"/>
                      <w:sz w:val="18"/>
                      <w:szCs w:val="18"/>
                      <w:highlight w:val="none"/>
                    </w:rPr>
                  </w:pPr>
                  <w:r>
                    <w:rPr>
                      <w:color w:val="auto"/>
                      <w:sz w:val="18"/>
                      <w:szCs w:val="18"/>
                      <w:highlight w:val="none"/>
                    </w:rPr>
                    <w:t>浓度</w:t>
                  </w:r>
                </w:p>
                <w:p w14:paraId="4105127F">
                  <w:pPr>
                    <w:jc w:val="center"/>
                    <w:rPr>
                      <w:color w:val="auto"/>
                      <w:sz w:val="18"/>
                      <w:szCs w:val="18"/>
                      <w:highlight w:val="none"/>
                    </w:rPr>
                  </w:pPr>
                  <w:r>
                    <w:rPr>
                      <w:color w:val="auto"/>
                      <w:sz w:val="18"/>
                      <w:szCs w:val="18"/>
                      <w:highlight w:val="none"/>
                    </w:rPr>
                    <w:t>限值mg/m</w:t>
                  </w:r>
                  <w:r>
                    <w:rPr>
                      <w:color w:val="auto"/>
                      <w:sz w:val="18"/>
                      <w:szCs w:val="18"/>
                      <w:highlight w:val="none"/>
                      <w:vertAlign w:val="superscript"/>
                    </w:rPr>
                    <w:t>3</w:t>
                  </w:r>
                </w:p>
              </w:tc>
              <w:tc>
                <w:tcPr>
                  <w:tcW w:w="732" w:type="dxa"/>
                  <w:vMerge w:val="continue"/>
                  <w:tcBorders>
                    <w:tl2br w:val="nil"/>
                    <w:tr2bl w:val="nil"/>
                  </w:tcBorders>
                  <w:vAlign w:val="center"/>
                </w:tcPr>
                <w:p w14:paraId="3D3ED1F0">
                  <w:pPr>
                    <w:jc w:val="center"/>
                    <w:rPr>
                      <w:color w:val="auto"/>
                      <w:sz w:val="18"/>
                      <w:szCs w:val="18"/>
                      <w:highlight w:val="none"/>
                    </w:rPr>
                  </w:pPr>
                </w:p>
              </w:tc>
            </w:tr>
            <w:tr w14:paraId="1EE906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5" w:type="dxa"/>
                  <w:tcBorders>
                    <w:tl2br w:val="nil"/>
                    <w:tr2bl w:val="nil"/>
                  </w:tcBorders>
                  <w:vAlign w:val="center"/>
                </w:tcPr>
                <w:p w14:paraId="7B12355A">
                  <w:pPr>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喷砂</w:t>
                  </w:r>
                </w:p>
              </w:tc>
              <w:tc>
                <w:tcPr>
                  <w:tcW w:w="760" w:type="dxa"/>
                  <w:tcBorders>
                    <w:tl2br w:val="nil"/>
                    <w:tr2bl w:val="nil"/>
                  </w:tcBorders>
                  <w:vAlign w:val="center"/>
                </w:tcPr>
                <w:p w14:paraId="2BC79290">
                  <w:pPr>
                    <w:jc w:val="center"/>
                    <w:rPr>
                      <w:color w:val="auto"/>
                      <w:sz w:val="18"/>
                      <w:szCs w:val="18"/>
                      <w:highlight w:val="none"/>
                    </w:rPr>
                  </w:pPr>
                  <w:r>
                    <w:rPr>
                      <w:rFonts w:hint="eastAsia"/>
                      <w:color w:val="auto"/>
                      <w:sz w:val="18"/>
                      <w:szCs w:val="18"/>
                      <w:highlight w:val="none"/>
                      <w:lang w:val="en-US" w:eastAsia="zh-CN"/>
                    </w:rPr>
                    <w:t>颗粒物</w:t>
                  </w:r>
                </w:p>
              </w:tc>
              <w:tc>
                <w:tcPr>
                  <w:tcW w:w="627" w:type="dxa"/>
                  <w:tcBorders>
                    <w:tl2br w:val="nil"/>
                    <w:tr2bl w:val="nil"/>
                  </w:tcBorders>
                  <w:vAlign w:val="center"/>
                </w:tcPr>
                <w:p w14:paraId="4626EFA6">
                  <w:pPr>
                    <w:jc w:val="center"/>
                    <w:rPr>
                      <w:rFonts w:hint="eastAsia" w:eastAsia="宋体"/>
                      <w:color w:val="auto"/>
                      <w:sz w:val="18"/>
                      <w:szCs w:val="18"/>
                      <w:highlight w:val="none"/>
                      <w:lang w:val="en-US" w:eastAsia="zh-CN"/>
                    </w:rPr>
                  </w:pPr>
                  <w:r>
                    <w:rPr>
                      <w:rFonts w:hint="eastAsia"/>
                      <w:color w:val="auto"/>
                      <w:sz w:val="18"/>
                      <w:szCs w:val="18"/>
                      <w:highlight w:val="none"/>
                      <w:lang w:val="en-US" w:eastAsia="zh-CN"/>
                    </w:rPr>
                    <w:t>无组织</w:t>
                  </w:r>
                </w:p>
              </w:tc>
              <w:tc>
                <w:tcPr>
                  <w:tcW w:w="640" w:type="dxa"/>
                  <w:tcBorders>
                    <w:tl2br w:val="nil"/>
                    <w:tr2bl w:val="nil"/>
                  </w:tcBorders>
                  <w:vAlign w:val="center"/>
                </w:tcPr>
                <w:p w14:paraId="6A42E330">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0.729</w:t>
                  </w:r>
                </w:p>
              </w:tc>
              <w:tc>
                <w:tcPr>
                  <w:tcW w:w="1035" w:type="dxa"/>
                  <w:tcBorders>
                    <w:tl2br w:val="nil"/>
                    <w:tr2bl w:val="nil"/>
                  </w:tcBorders>
                  <w:vAlign w:val="center"/>
                </w:tcPr>
                <w:p w14:paraId="6678B9E4">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管道+袋式除尘器</w:t>
                  </w:r>
                </w:p>
              </w:tc>
              <w:tc>
                <w:tcPr>
                  <w:tcW w:w="660" w:type="dxa"/>
                  <w:tcBorders>
                    <w:tl2br w:val="nil"/>
                    <w:tr2bl w:val="nil"/>
                  </w:tcBorders>
                  <w:vAlign w:val="center"/>
                </w:tcPr>
                <w:p w14:paraId="25ED0115">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95/95</w:t>
                  </w:r>
                </w:p>
              </w:tc>
              <w:tc>
                <w:tcPr>
                  <w:tcW w:w="735" w:type="dxa"/>
                  <w:tcBorders>
                    <w:tl2br w:val="nil"/>
                    <w:tr2bl w:val="nil"/>
                  </w:tcBorders>
                  <w:vAlign w:val="center"/>
                </w:tcPr>
                <w:p w14:paraId="04C346A5">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w:t>
                  </w:r>
                </w:p>
              </w:tc>
              <w:tc>
                <w:tcPr>
                  <w:tcW w:w="1725" w:type="dxa"/>
                  <w:vMerge w:val="restart"/>
                  <w:tcBorders>
                    <w:tl2br w:val="nil"/>
                    <w:tr2bl w:val="nil"/>
                  </w:tcBorders>
                  <w:vAlign w:val="center"/>
                </w:tcPr>
                <w:p w14:paraId="0C5BFD0C">
                  <w:pPr>
                    <w:jc w:val="center"/>
                    <w:rPr>
                      <w:color w:val="auto"/>
                      <w:sz w:val="18"/>
                      <w:szCs w:val="18"/>
                      <w:highlight w:val="none"/>
                    </w:rPr>
                  </w:pPr>
                  <w:r>
                    <w:rPr>
                      <w:rFonts w:hint="eastAsia"/>
                      <w:color w:val="auto"/>
                      <w:sz w:val="18"/>
                      <w:szCs w:val="18"/>
                      <w:highlight w:val="none"/>
                      <w:lang w:eastAsia="zh-CN"/>
                    </w:rPr>
                    <w:t>《</w:t>
                  </w:r>
                  <w:r>
                    <w:rPr>
                      <w:color w:val="auto"/>
                      <w:sz w:val="18"/>
                      <w:szCs w:val="18"/>
                      <w:highlight w:val="none"/>
                    </w:rPr>
                    <w:t>大气污染物综合排放标准》（GB16297-1996）</w:t>
                  </w:r>
                </w:p>
              </w:tc>
              <w:tc>
                <w:tcPr>
                  <w:tcW w:w="780" w:type="dxa"/>
                  <w:tcBorders>
                    <w:tl2br w:val="nil"/>
                    <w:tr2bl w:val="nil"/>
                  </w:tcBorders>
                  <w:vAlign w:val="center"/>
                </w:tcPr>
                <w:p w14:paraId="49954B0B">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1.0</w:t>
                  </w:r>
                </w:p>
              </w:tc>
              <w:tc>
                <w:tcPr>
                  <w:tcW w:w="732" w:type="dxa"/>
                  <w:tcBorders>
                    <w:tl2br w:val="nil"/>
                    <w:tr2bl w:val="nil"/>
                  </w:tcBorders>
                  <w:vAlign w:val="center"/>
                </w:tcPr>
                <w:p w14:paraId="5A6CD53A">
                  <w:pPr>
                    <w:jc w:val="center"/>
                    <w:rPr>
                      <w:rFonts w:hint="default" w:eastAsia="宋体"/>
                      <w:color w:val="auto"/>
                      <w:sz w:val="18"/>
                      <w:szCs w:val="18"/>
                      <w:highlight w:val="none"/>
                      <w:lang w:val="en-US" w:eastAsia="zh-CN"/>
                    </w:rPr>
                  </w:pPr>
                  <w:r>
                    <w:rPr>
                      <w:color w:val="auto"/>
                      <w:sz w:val="18"/>
                      <w:szCs w:val="18"/>
                      <w:highlight w:val="none"/>
                    </w:rPr>
                    <w:t>0.</w:t>
                  </w:r>
                  <w:r>
                    <w:rPr>
                      <w:rFonts w:hint="eastAsia"/>
                      <w:color w:val="auto"/>
                      <w:sz w:val="18"/>
                      <w:szCs w:val="18"/>
                      <w:highlight w:val="none"/>
                      <w:lang w:val="en-US" w:eastAsia="zh-CN"/>
                    </w:rPr>
                    <w:t>071</w:t>
                  </w:r>
                </w:p>
              </w:tc>
            </w:tr>
            <w:tr w14:paraId="51496B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25" w:type="dxa"/>
                  <w:vMerge w:val="restart"/>
                  <w:tcBorders>
                    <w:tl2br w:val="nil"/>
                    <w:tr2bl w:val="nil"/>
                  </w:tcBorders>
                  <w:vAlign w:val="center"/>
                </w:tcPr>
                <w:p w14:paraId="0CEED06E">
                  <w:pPr>
                    <w:jc w:val="center"/>
                    <w:rPr>
                      <w:rFonts w:hint="eastAsia" w:ascii="Times New Roman" w:hAnsi="Times New Roman" w:eastAsia="宋体" w:cs="Times New Roman"/>
                      <w:bCs/>
                      <w:color w:val="auto"/>
                      <w:kern w:val="2"/>
                      <w:sz w:val="18"/>
                      <w:szCs w:val="18"/>
                      <w:highlight w:val="none"/>
                      <w:lang w:val="en-US" w:eastAsia="zh-CN" w:bidi="ar-SA"/>
                    </w:rPr>
                  </w:pPr>
                  <w:r>
                    <w:rPr>
                      <w:rFonts w:hint="eastAsia" w:cs="Times New Roman"/>
                      <w:color w:val="auto"/>
                      <w:sz w:val="18"/>
                      <w:szCs w:val="18"/>
                      <w:highlight w:val="none"/>
                      <w:lang w:val="en-US" w:eastAsia="zh-CN"/>
                    </w:rPr>
                    <w:t>打磨</w:t>
                  </w:r>
                </w:p>
              </w:tc>
              <w:tc>
                <w:tcPr>
                  <w:tcW w:w="760" w:type="dxa"/>
                  <w:tcBorders>
                    <w:tl2br w:val="nil"/>
                    <w:tr2bl w:val="nil"/>
                  </w:tcBorders>
                  <w:vAlign w:val="center"/>
                </w:tcPr>
                <w:p w14:paraId="594AF712">
                  <w:pPr>
                    <w:jc w:val="center"/>
                    <w:rPr>
                      <w:color w:val="auto"/>
                      <w:sz w:val="18"/>
                      <w:szCs w:val="18"/>
                      <w:highlight w:val="none"/>
                    </w:rPr>
                  </w:pPr>
                  <w:r>
                    <w:rPr>
                      <w:rFonts w:hint="eastAsia"/>
                      <w:color w:val="auto"/>
                      <w:sz w:val="18"/>
                      <w:szCs w:val="18"/>
                      <w:highlight w:val="none"/>
                      <w:lang w:val="en-US" w:eastAsia="zh-CN"/>
                    </w:rPr>
                    <w:t>颗粒物</w:t>
                  </w:r>
                </w:p>
              </w:tc>
              <w:tc>
                <w:tcPr>
                  <w:tcW w:w="627" w:type="dxa"/>
                  <w:tcBorders>
                    <w:tl2br w:val="nil"/>
                    <w:tr2bl w:val="nil"/>
                  </w:tcBorders>
                  <w:vAlign w:val="center"/>
                </w:tcPr>
                <w:p w14:paraId="0E947CAE">
                  <w:pPr>
                    <w:jc w:val="center"/>
                    <w:rPr>
                      <w:color w:val="auto"/>
                      <w:sz w:val="18"/>
                      <w:szCs w:val="18"/>
                      <w:highlight w:val="none"/>
                    </w:rPr>
                  </w:pPr>
                  <w:r>
                    <w:rPr>
                      <w:color w:val="auto"/>
                      <w:sz w:val="18"/>
                      <w:szCs w:val="18"/>
                      <w:highlight w:val="none"/>
                    </w:rPr>
                    <w:t>有组织</w:t>
                  </w:r>
                </w:p>
              </w:tc>
              <w:tc>
                <w:tcPr>
                  <w:tcW w:w="640" w:type="dxa"/>
                  <w:tcBorders>
                    <w:tl2br w:val="nil"/>
                    <w:tr2bl w:val="nil"/>
                  </w:tcBorders>
                  <w:vAlign w:val="center"/>
                </w:tcPr>
                <w:p w14:paraId="6C20030C">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8.826</w:t>
                  </w:r>
                </w:p>
              </w:tc>
              <w:tc>
                <w:tcPr>
                  <w:tcW w:w="1035" w:type="dxa"/>
                  <w:tcBorders>
                    <w:tl2br w:val="nil"/>
                    <w:tr2bl w:val="nil"/>
                  </w:tcBorders>
                  <w:vAlign w:val="center"/>
                </w:tcPr>
                <w:p w14:paraId="53177269">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负压收集+水旋喷淋塔</w:t>
                  </w:r>
                </w:p>
              </w:tc>
              <w:tc>
                <w:tcPr>
                  <w:tcW w:w="660" w:type="dxa"/>
                  <w:tcBorders>
                    <w:tl2br w:val="nil"/>
                    <w:tr2bl w:val="nil"/>
                  </w:tcBorders>
                  <w:vAlign w:val="center"/>
                </w:tcPr>
                <w:p w14:paraId="60074ECA">
                  <w:pPr>
                    <w:jc w:val="center"/>
                    <w:rPr>
                      <w:rFonts w:hint="default"/>
                      <w:color w:val="auto"/>
                      <w:sz w:val="18"/>
                      <w:szCs w:val="18"/>
                      <w:highlight w:val="none"/>
                      <w:lang w:val="en-US"/>
                    </w:rPr>
                  </w:pPr>
                  <w:r>
                    <w:rPr>
                      <w:rFonts w:hint="eastAsia"/>
                      <w:color w:val="auto"/>
                      <w:sz w:val="18"/>
                      <w:szCs w:val="18"/>
                      <w:highlight w:val="none"/>
                      <w:lang w:val="en-US" w:eastAsia="zh-CN"/>
                    </w:rPr>
                    <w:t>85/85</w:t>
                  </w:r>
                </w:p>
              </w:tc>
              <w:tc>
                <w:tcPr>
                  <w:tcW w:w="735" w:type="dxa"/>
                  <w:tcBorders>
                    <w:tl2br w:val="nil"/>
                    <w:tr2bl w:val="nil"/>
                  </w:tcBorders>
                  <w:vAlign w:val="center"/>
                </w:tcPr>
                <w:p w14:paraId="2E5FB9E7">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13.79</w:t>
                  </w:r>
                </w:p>
              </w:tc>
              <w:tc>
                <w:tcPr>
                  <w:tcW w:w="1725" w:type="dxa"/>
                  <w:vMerge w:val="continue"/>
                  <w:tcBorders>
                    <w:tl2br w:val="nil"/>
                    <w:tr2bl w:val="nil"/>
                  </w:tcBorders>
                  <w:vAlign w:val="center"/>
                </w:tcPr>
                <w:p w14:paraId="237894AE">
                  <w:pPr>
                    <w:jc w:val="center"/>
                    <w:rPr>
                      <w:color w:val="auto"/>
                      <w:sz w:val="18"/>
                      <w:szCs w:val="18"/>
                      <w:highlight w:val="none"/>
                    </w:rPr>
                  </w:pPr>
                </w:p>
              </w:tc>
              <w:tc>
                <w:tcPr>
                  <w:tcW w:w="780" w:type="dxa"/>
                  <w:tcBorders>
                    <w:tl2br w:val="nil"/>
                    <w:tr2bl w:val="nil"/>
                  </w:tcBorders>
                  <w:vAlign w:val="center"/>
                </w:tcPr>
                <w:p w14:paraId="6F4905DB">
                  <w:pPr>
                    <w:jc w:val="center"/>
                    <w:rPr>
                      <w:color w:val="auto"/>
                      <w:sz w:val="18"/>
                      <w:szCs w:val="18"/>
                      <w:highlight w:val="none"/>
                    </w:rPr>
                  </w:pPr>
                  <w:r>
                    <w:rPr>
                      <w:rFonts w:hint="eastAsia"/>
                      <w:color w:val="auto"/>
                      <w:sz w:val="18"/>
                      <w:szCs w:val="18"/>
                      <w:highlight w:val="none"/>
                      <w:lang w:val="en-US" w:eastAsia="zh-CN"/>
                    </w:rPr>
                    <w:t>120</w:t>
                  </w:r>
                </w:p>
              </w:tc>
              <w:tc>
                <w:tcPr>
                  <w:tcW w:w="732" w:type="dxa"/>
                  <w:tcBorders>
                    <w:tl2br w:val="nil"/>
                    <w:tr2bl w:val="nil"/>
                  </w:tcBorders>
                  <w:vAlign w:val="center"/>
                </w:tcPr>
                <w:p w14:paraId="751B1AE4">
                  <w:pPr>
                    <w:jc w:val="center"/>
                    <w:rPr>
                      <w:rFonts w:hint="default" w:eastAsia="宋体"/>
                      <w:color w:val="auto"/>
                      <w:sz w:val="18"/>
                      <w:szCs w:val="18"/>
                      <w:highlight w:val="none"/>
                      <w:lang w:val="en-US" w:eastAsia="zh-CN"/>
                    </w:rPr>
                  </w:pPr>
                  <w:r>
                    <w:rPr>
                      <w:rFonts w:hint="eastAsia" w:eastAsia="宋体"/>
                      <w:color w:val="auto"/>
                      <w:sz w:val="18"/>
                      <w:szCs w:val="18"/>
                      <w:highlight w:val="none"/>
                      <w:lang w:val="en-US" w:eastAsia="zh-CN"/>
                    </w:rPr>
                    <w:t>1.324</w:t>
                  </w:r>
                </w:p>
              </w:tc>
            </w:tr>
            <w:tr w14:paraId="7AADAF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25" w:type="dxa"/>
                  <w:vMerge w:val="continue"/>
                  <w:tcBorders>
                    <w:tl2br w:val="nil"/>
                    <w:tr2bl w:val="nil"/>
                  </w:tcBorders>
                  <w:shd w:val="clear" w:color="auto" w:fill="auto"/>
                  <w:vAlign w:val="center"/>
                </w:tcPr>
                <w:p w14:paraId="60D06F9B">
                  <w:pPr>
                    <w:jc w:val="center"/>
                    <w:rPr>
                      <w:rFonts w:hint="eastAsia" w:ascii="Times New Roman" w:hAnsi="Times New Roman" w:eastAsia="宋体" w:cs="Times New Roman"/>
                      <w:bCs/>
                      <w:color w:val="auto"/>
                      <w:kern w:val="2"/>
                      <w:sz w:val="18"/>
                      <w:szCs w:val="18"/>
                      <w:highlight w:val="none"/>
                      <w:lang w:val="en-US" w:eastAsia="zh-CN" w:bidi="ar-SA"/>
                    </w:rPr>
                  </w:pPr>
                </w:p>
              </w:tc>
              <w:tc>
                <w:tcPr>
                  <w:tcW w:w="760" w:type="dxa"/>
                  <w:tcBorders>
                    <w:tl2br w:val="nil"/>
                    <w:tr2bl w:val="nil"/>
                  </w:tcBorders>
                  <w:shd w:val="clear" w:color="auto" w:fill="auto"/>
                  <w:vAlign w:val="center"/>
                </w:tcPr>
                <w:p w14:paraId="40B33937">
                  <w:pPr>
                    <w:jc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颗粒物</w:t>
                  </w:r>
                </w:p>
              </w:tc>
              <w:tc>
                <w:tcPr>
                  <w:tcW w:w="627" w:type="dxa"/>
                  <w:tcBorders>
                    <w:tl2br w:val="nil"/>
                    <w:tr2bl w:val="nil"/>
                  </w:tcBorders>
                  <w:shd w:val="clear" w:color="auto" w:fill="auto"/>
                  <w:vAlign w:val="center"/>
                </w:tcPr>
                <w:p w14:paraId="3FFCD192">
                  <w:pPr>
                    <w:jc w:val="center"/>
                    <w:rPr>
                      <w:rFonts w:ascii="Times New Roman" w:hAnsi="Times New Roman" w:eastAsia="宋体" w:cs="Times New Roman"/>
                      <w:color w:val="auto"/>
                      <w:kern w:val="2"/>
                      <w:sz w:val="18"/>
                      <w:szCs w:val="18"/>
                      <w:highlight w:val="none"/>
                      <w:lang w:val="en-US" w:eastAsia="zh-CN" w:bidi="ar-SA"/>
                    </w:rPr>
                  </w:pPr>
                  <w:r>
                    <w:rPr>
                      <w:color w:val="auto"/>
                      <w:sz w:val="18"/>
                      <w:szCs w:val="18"/>
                      <w:highlight w:val="none"/>
                    </w:rPr>
                    <w:t>无组织</w:t>
                  </w:r>
                </w:p>
              </w:tc>
              <w:tc>
                <w:tcPr>
                  <w:tcW w:w="640" w:type="dxa"/>
                  <w:tcBorders>
                    <w:tl2br w:val="nil"/>
                    <w:tr2bl w:val="nil"/>
                  </w:tcBorders>
                  <w:shd w:val="clear" w:color="auto" w:fill="auto"/>
                  <w:vAlign w:val="center"/>
                </w:tcPr>
                <w:p w14:paraId="7530FF0A">
                  <w:pPr>
                    <w:jc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1.557</w:t>
                  </w:r>
                </w:p>
              </w:tc>
              <w:tc>
                <w:tcPr>
                  <w:tcW w:w="1035" w:type="dxa"/>
                  <w:tcBorders>
                    <w:tl2br w:val="nil"/>
                    <w:tr2bl w:val="nil"/>
                  </w:tcBorders>
                  <w:shd w:val="clear" w:color="auto" w:fill="auto"/>
                  <w:vAlign w:val="center"/>
                </w:tcPr>
                <w:p w14:paraId="2FA06E99">
                  <w:pPr>
                    <w:jc w:val="center"/>
                    <w:rPr>
                      <w:rFonts w:hint="eastAsia" w:ascii="Times New Roman" w:hAnsi="Times New Roman" w:eastAsia="宋体" w:cs="Times New Roman"/>
                      <w:color w:val="auto"/>
                      <w:kern w:val="2"/>
                      <w:sz w:val="18"/>
                      <w:szCs w:val="18"/>
                      <w:highlight w:val="none"/>
                      <w:lang w:val="en-US" w:eastAsia="zh-CN" w:bidi="ar-SA"/>
                    </w:rPr>
                  </w:pPr>
                  <w:r>
                    <w:rPr>
                      <w:color w:val="auto"/>
                      <w:sz w:val="18"/>
                      <w:szCs w:val="18"/>
                      <w:highlight w:val="none"/>
                    </w:rPr>
                    <w:t>封闭厂房</w:t>
                  </w:r>
                </w:p>
              </w:tc>
              <w:tc>
                <w:tcPr>
                  <w:tcW w:w="660" w:type="dxa"/>
                  <w:tcBorders>
                    <w:tl2br w:val="nil"/>
                    <w:tr2bl w:val="nil"/>
                  </w:tcBorders>
                  <w:shd w:val="clear" w:color="auto" w:fill="auto"/>
                  <w:vAlign w:val="center"/>
                </w:tcPr>
                <w:p w14:paraId="03C83F83">
                  <w:pPr>
                    <w:jc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w:t>
                  </w:r>
                </w:p>
              </w:tc>
              <w:tc>
                <w:tcPr>
                  <w:tcW w:w="735" w:type="dxa"/>
                  <w:tcBorders>
                    <w:tl2br w:val="nil"/>
                    <w:tr2bl w:val="nil"/>
                  </w:tcBorders>
                  <w:shd w:val="clear" w:color="auto" w:fill="auto"/>
                  <w:vAlign w:val="center"/>
                </w:tcPr>
                <w:p w14:paraId="0C7E7182">
                  <w:pPr>
                    <w:jc w:val="center"/>
                    <w:rPr>
                      <w:rFonts w:hint="eastAsia" w:ascii="Times New Roman" w:hAnsi="Times New Roman" w:eastAsia="宋体" w:cs="Times New Roman"/>
                      <w:color w:val="auto"/>
                      <w:kern w:val="2"/>
                      <w:sz w:val="18"/>
                      <w:szCs w:val="18"/>
                      <w:highlight w:val="none"/>
                      <w:lang w:val="en-US" w:eastAsia="zh-CN" w:bidi="ar-SA"/>
                    </w:rPr>
                  </w:pPr>
                  <w:r>
                    <w:rPr>
                      <w:color w:val="auto"/>
                      <w:sz w:val="18"/>
                      <w:szCs w:val="18"/>
                      <w:highlight w:val="none"/>
                    </w:rPr>
                    <w:t>/</w:t>
                  </w:r>
                </w:p>
              </w:tc>
              <w:tc>
                <w:tcPr>
                  <w:tcW w:w="1725" w:type="dxa"/>
                  <w:vMerge w:val="continue"/>
                  <w:tcBorders>
                    <w:tl2br w:val="nil"/>
                    <w:tr2bl w:val="nil"/>
                  </w:tcBorders>
                  <w:shd w:val="clear" w:color="auto" w:fill="auto"/>
                  <w:vAlign w:val="center"/>
                </w:tcPr>
                <w:p w14:paraId="26BA5810">
                  <w:pPr>
                    <w:jc w:val="center"/>
                    <w:rPr>
                      <w:rFonts w:ascii="Times New Roman" w:hAnsi="Times New Roman" w:eastAsia="宋体" w:cs="Times New Roman"/>
                      <w:color w:val="auto"/>
                      <w:kern w:val="2"/>
                      <w:sz w:val="18"/>
                      <w:szCs w:val="18"/>
                      <w:highlight w:val="none"/>
                      <w:lang w:val="en-US" w:eastAsia="zh-CN" w:bidi="ar-SA"/>
                    </w:rPr>
                  </w:pPr>
                </w:p>
              </w:tc>
              <w:tc>
                <w:tcPr>
                  <w:tcW w:w="780" w:type="dxa"/>
                  <w:tcBorders>
                    <w:tl2br w:val="nil"/>
                    <w:tr2bl w:val="nil"/>
                  </w:tcBorders>
                  <w:shd w:val="clear" w:color="auto" w:fill="auto"/>
                  <w:vAlign w:val="center"/>
                </w:tcPr>
                <w:p w14:paraId="3BA6C080">
                  <w:pPr>
                    <w:jc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1.0</w:t>
                  </w:r>
                </w:p>
              </w:tc>
              <w:tc>
                <w:tcPr>
                  <w:tcW w:w="732" w:type="dxa"/>
                  <w:tcBorders>
                    <w:tl2br w:val="nil"/>
                    <w:tr2bl w:val="nil"/>
                  </w:tcBorders>
                  <w:shd w:val="clear" w:color="auto" w:fill="auto"/>
                  <w:vAlign w:val="center"/>
                </w:tcPr>
                <w:p w14:paraId="62CEA8E1">
                  <w:pPr>
                    <w:jc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1.557</w:t>
                  </w:r>
                </w:p>
              </w:tc>
            </w:tr>
          </w:tbl>
          <w:p w14:paraId="68FA1D93">
            <w:pPr>
              <w:pStyle w:val="23"/>
              <w:spacing w:after="0"/>
              <w:ind w:left="0" w:leftChars="0" w:firstLine="0" w:firstLineChars="0"/>
              <w:jc w:val="center"/>
              <w:rPr>
                <w:b/>
                <w:bCs/>
                <w:color w:val="auto"/>
                <w:sz w:val="21"/>
                <w:szCs w:val="16"/>
                <w:highlight w:val="none"/>
              </w:rPr>
            </w:pPr>
            <w:r>
              <w:rPr>
                <w:b/>
                <w:bCs/>
                <w:color w:val="auto"/>
                <w:sz w:val="21"/>
                <w:szCs w:val="16"/>
                <w:highlight w:val="none"/>
              </w:rPr>
              <w:t>表4-2  项目废气排放口基本情况表</w:t>
            </w:r>
          </w:p>
          <w:tbl>
            <w:tblPr>
              <w:tblStyle w:val="24"/>
              <w:tblW w:w="8301"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1177"/>
              <w:gridCol w:w="823"/>
              <w:gridCol w:w="889"/>
              <w:gridCol w:w="1620"/>
              <w:gridCol w:w="1117"/>
              <w:gridCol w:w="736"/>
              <w:gridCol w:w="1005"/>
              <w:gridCol w:w="934"/>
            </w:tblGrid>
            <w:tr w14:paraId="43DD30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1177" w:type="dxa"/>
                  <w:tcBorders>
                    <w:tl2br w:val="nil"/>
                    <w:tr2bl w:val="nil"/>
                  </w:tcBorders>
                  <w:vAlign w:val="center"/>
                </w:tcPr>
                <w:p w14:paraId="615F3E07">
                  <w:pPr>
                    <w:snapToGrid w:val="0"/>
                    <w:spacing w:before="36" w:beforeLines="15" w:after="36" w:afterLines="15"/>
                    <w:jc w:val="center"/>
                    <w:rPr>
                      <w:color w:val="auto"/>
                      <w:szCs w:val="21"/>
                      <w:highlight w:val="none"/>
                      <w:lang w:val="en-GB"/>
                    </w:rPr>
                  </w:pPr>
                  <w:r>
                    <w:rPr>
                      <w:color w:val="auto"/>
                      <w:szCs w:val="21"/>
                      <w:highlight w:val="none"/>
                      <w:lang w:val="en-GB"/>
                    </w:rPr>
                    <w:t>名称</w:t>
                  </w:r>
                </w:p>
              </w:tc>
              <w:tc>
                <w:tcPr>
                  <w:tcW w:w="823" w:type="dxa"/>
                  <w:tcBorders>
                    <w:tl2br w:val="nil"/>
                    <w:tr2bl w:val="nil"/>
                  </w:tcBorders>
                  <w:vAlign w:val="center"/>
                </w:tcPr>
                <w:p w14:paraId="742268A6">
                  <w:pPr>
                    <w:snapToGrid w:val="0"/>
                    <w:spacing w:before="36" w:beforeLines="15" w:after="36" w:afterLines="15"/>
                    <w:jc w:val="center"/>
                    <w:rPr>
                      <w:color w:val="auto"/>
                      <w:szCs w:val="21"/>
                      <w:highlight w:val="none"/>
                    </w:rPr>
                  </w:pPr>
                  <w:r>
                    <w:rPr>
                      <w:color w:val="auto"/>
                      <w:szCs w:val="21"/>
                      <w:highlight w:val="none"/>
                    </w:rPr>
                    <w:t>编号</w:t>
                  </w:r>
                </w:p>
              </w:tc>
              <w:tc>
                <w:tcPr>
                  <w:tcW w:w="889" w:type="dxa"/>
                  <w:tcBorders>
                    <w:tl2br w:val="nil"/>
                    <w:tr2bl w:val="nil"/>
                  </w:tcBorders>
                  <w:vAlign w:val="center"/>
                </w:tcPr>
                <w:p w14:paraId="31872211">
                  <w:pPr>
                    <w:snapToGrid w:val="0"/>
                    <w:spacing w:before="36" w:beforeLines="15" w:after="36" w:afterLines="15"/>
                    <w:jc w:val="center"/>
                    <w:rPr>
                      <w:color w:val="auto"/>
                      <w:szCs w:val="21"/>
                      <w:highlight w:val="none"/>
                    </w:rPr>
                  </w:pPr>
                  <w:r>
                    <w:rPr>
                      <w:color w:val="auto"/>
                      <w:szCs w:val="21"/>
                      <w:highlight w:val="none"/>
                    </w:rPr>
                    <w:t>类型</w:t>
                  </w:r>
                </w:p>
              </w:tc>
              <w:tc>
                <w:tcPr>
                  <w:tcW w:w="1620" w:type="dxa"/>
                  <w:tcBorders>
                    <w:tl2br w:val="nil"/>
                    <w:tr2bl w:val="nil"/>
                  </w:tcBorders>
                  <w:vAlign w:val="center"/>
                </w:tcPr>
                <w:p w14:paraId="72D30853">
                  <w:pPr>
                    <w:snapToGrid w:val="0"/>
                    <w:spacing w:before="36" w:beforeLines="15" w:after="36" w:afterLines="15"/>
                    <w:jc w:val="center"/>
                    <w:rPr>
                      <w:color w:val="auto"/>
                      <w:szCs w:val="21"/>
                      <w:highlight w:val="none"/>
                      <w:lang w:val="en-GB"/>
                    </w:rPr>
                  </w:pPr>
                  <w:r>
                    <w:rPr>
                      <w:color w:val="auto"/>
                      <w:szCs w:val="21"/>
                      <w:highlight w:val="none"/>
                      <w:lang w:val="en-GB"/>
                    </w:rPr>
                    <w:t>排气筒底部中心坐标</w:t>
                  </w:r>
                </w:p>
              </w:tc>
              <w:tc>
                <w:tcPr>
                  <w:tcW w:w="1117" w:type="dxa"/>
                  <w:tcBorders>
                    <w:tl2br w:val="nil"/>
                    <w:tr2bl w:val="nil"/>
                  </w:tcBorders>
                  <w:vAlign w:val="center"/>
                </w:tcPr>
                <w:p w14:paraId="51B2F20A">
                  <w:pPr>
                    <w:snapToGrid w:val="0"/>
                    <w:spacing w:before="36" w:beforeLines="15" w:after="36" w:afterLines="15"/>
                    <w:jc w:val="center"/>
                    <w:rPr>
                      <w:color w:val="auto"/>
                      <w:szCs w:val="21"/>
                      <w:highlight w:val="none"/>
                      <w:lang w:val="en-GB"/>
                    </w:rPr>
                  </w:pPr>
                  <w:r>
                    <w:rPr>
                      <w:color w:val="auto"/>
                      <w:szCs w:val="21"/>
                      <w:highlight w:val="none"/>
                      <w:lang w:val="en-GB"/>
                    </w:rPr>
                    <w:t>排气筒底部海拔高度/m</w:t>
                  </w:r>
                </w:p>
              </w:tc>
              <w:tc>
                <w:tcPr>
                  <w:tcW w:w="736" w:type="dxa"/>
                  <w:tcBorders>
                    <w:tl2br w:val="nil"/>
                    <w:tr2bl w:val="nil"/>
                  </w:tcBorders>
                  <w:vAlign w:val="center"/>
                </w:tcPr>
                <w:p w14:paraId="0DA2EFD5">
                  <w:pPr>
                    <w:snapToGrid w:val="0"/>
                    <w:spacing w:before="36" w:beforeLines="15" w:after="36" w:afterLines="15"/>
                    <w:jc w:val="center"/>
                    <w:rPr>
                      <w:color w:val="auto"/>
                      <w:szCs w:val="21"/>
                      <w:highlight w:val="none"/>
                      <w:lang w:val="en-GB"/>
                    </w:rPr>
                  </w:pPr>
                  <w:r>
                    <w:rPr>
                      <w:color w:val="auto"/>
                      <w:szCs w:val="21"/>
                      <w:highlight w:val="none"/>
                      <w:lang w:val="en-GB"/>
                    </w:rPr>
                    <w:t>排气筒高度/m</w:t>
                  </w:r>
                </w:p>
              </w:tc>
              <w:tc>
                <w:tcPr>
                  <w:tcW w:w="1005" w:type="dxa"/>
                  <w:tcBorders>
                    <w:tl2br w:val="nil"/>
                    <w:tr2bl w:val="nil"/>
                  </w:tcBorders>
                  <w:vAlign w:val="center"/>
                </w:tcPr>
                <w:p w14:paraId="5A77CFE9">
                  <w:pPr>
                    <w:snapToGrid w:val="0"/>
                    <w:spacing w:before="36" w:beforeLines="15" w:after="36" w:afterLines="15"/>
                    <w:jc w:val="center"/>
                    <w:rPr>
                      <w:color w:val="auto"/>
                      <w:szCs w:val="21"/>
                      <w:highlight w:val="none"/>
                      <w:lang w:val="en-GB"/>
                    </w:rPr>
                  </w:pPr>
                  <w:r>
                    <w:rPr>
                      <w:color w:val="auto"/>
                      <w:szCs w:val="21"/>
                      <w:highlight w:val="none"/>
                      <w:lang w:val="en-GB"/>
                    </w:rPr>
                    <w:t>排气筒出口内径/m</w:t>
                  </w:r>
                </w:p>
              </w:tc>
              <w:tc>
                <w:tcPr>
                  <w:tcW w:w="934" w:type="dxa"/>
                  <w:tcBorders>
                    <w:tl2br w:val="nil"/>
                    <w:tr2bl w:val="nil"/>
                  </w:tcBorders>
                  <w:vAlign w:val="center"/>
                </w:tcPr>
                <w:p w14:paraId="1A819C27">
                  <w:pPr>
                    <w:snapToGrid w:val="0"/>
                    <w:spacing w:before="36" w:beforeLines="15" w:after="36" w:afterLines="15"/>
                    <w:jc w:val="center"/>
                    <w:rPr>
                      <w:color w:val="auto"/>
                      <w:szCs w:val="21"/>
                      <w:highlight w:val="none"/>
                      <w:lang w:val="en-GB"/>
                    </w:rPr>
                  </w:pPr>
                  <w:r>
                    <w:rPr>
                      <w:color w:val="auto"/>
                      <w:szCs w:val="21"/>
                      <w:highlight w:val="none"/>
                      <w:lang w:val="en-GB"/>
                    </w:rPr>
                    <w:t>烟气温度</w:t>
                  </w:r>
                </w:p>
                <w:p w14:paraId="72F8A84E">
                  <w:pPr>
                    <w:snapToGrid w:val="0"/>
                    <w:spacing w:before="36" w:beforeLines="15" w:after="36" w:afterLines="15"/>
                    <w:jc w:val="center"/>
                    <w:rPr>
                      <w:color w:val="auto"/>
                      <w:szCs w:val="21"/>
                      <w:highlight w:val="none"/>
                      <w:lang w:val="en-GB"/>
                    </w:rPr>
                  </w:pPr>
                  <w:r>
                    <w:rPr>
                      <w:color w:val="auto"/>
                      <w:szCs w:val="21"/>
                      <w:highlight w:val="none"/>
                      <w:lang w:val="en-GB"/>
                    </w:rPr>
                    <w:t>/℃</w:t>
                  </w:r>
                </w:p>
              </w:tc>
            </w:tr>
            <w:tr w14:paraId="7F3E57B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657" w:hRule="atLeast"/>
                <w:jc w:val="center"/>
              </w:trPr>
              <w:tc>
                <w:tcPr>
                  <w:tcW w:w="1177" w:type="dxa"/>
                  <w:vMerge w:val="restart"/>
                  <w:tcBorders>
                    <w:tl2br w:val="nil"/>
                    <w:tr2bl w:val="nil"/>
                  </w:tcBorders>
                  <w:vAlign w:val="center"/>
                </w:tcPr>
                <w:p w14:paraId="1C0BA18E">
                  <w:pPr>
                    <w:snapToGrid w:val="0"/>
                    <w:spacing w:before="36" w:beforeLines="15" w:after="36" w:afterLines="15"/>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打磨废气</w:t>
                  </w:r>
                  <w:r>
                    <w:rPr>
                      <w:rFonts w:ascii="Times New Roman" w:hAnsi="Times New Roman" w:eastAsia="宋体" w:cs="Times New Roman"/>
                      <w:color w:val="auto"/>
                      <w:szCs w:val="21"/>
                      <w:highlight w:val="none"/>
                    </w:rPr>
                    <w:t>排气筒</w:t>
                  </w:r>
                </w:p>
              </w:tc>
              <w:tc>
                <w:tcPr>
                  <w:tcW w:w="823" w:type="dxa"/>
                  <w:tcBorders>
                    <w:tl2br w:val="nil"/>
                    <w:tr2bl w:val="nil"/>
                  </w:tcBorders>
                  <w:vAlign w:val="center"/>
                </w:tcPr>
                <w:p w14:paraId="25CF4A56">
                  <w:pPr>
                    <w:snapToGrid w:val="0"/>
                    <w:spacing w:before="36" w:beforeLines="15" w:after="36" w:afterLines="15"/>
                    <w:jc w:val="center"/>
                    <w:rPr>
                      <w:color w:val="auto"/>
                      <w:szCs w:val="21"/>
                      <w:highlight w:val="none"/>
                    </w:rPr>
                  </w:pPr>
                  <w:r>
                    <w:rPr>
                      <w:color w:val="auto"/>
                      <w:szCs w:val="21"/>
                      <w:highlight w:val="none"/>
                    </w:rPr>
                    <w:t>DA001</w:t>
                  </w:r>
                </w:p>
              </w:tc>
              <w:tc>
                <w:tcPr>
                  <w:tcW w:w="889" w:type="dxa"/>
                  <w:vMerge w:val="restart"/>
                  <w:tcBorders>
                    <w:tl2br w:val="nil"/>
                    <w:tr2bl w:val="nil"/>
                  </w:tcBorders>
                  <w:vAlign w:val="center"/>
                </w:tcPr>
                <w:p w14:paraId="097CC15A">
                  <w:pPr>
                    <w:snapToGrid w:val="0"/>
                    <w:spacing w:before="36" w:beforeLines="15" w:after="36" w:afterLines="15"/>
                    <w:jc w:val="center"/>
                    <w:rPr>
                      <w:color w:val="auto"/>
                      <w:szCs w:val="21"/>
                      <w:highlight w:val="none"/>
                    </w:rPr>
                  </w:pPr>
                  <w:r>
                    <w:rPr>
                      <w:color w:val="auto"/>
                      <w:szCs w:val="21"/>
                      <w:highlight w:val="none"/>
                    </w:rPr>
                    <w:t>一般</w:t>
                  </w:r>
                </w:p>
                <w:p w14:paraId="647477B0">
                  <w:pPr>
                    <w:snapToGrid w:val="0"/>
                    <w:spacing w:before="36" w:beforeLines="15" w:after="36" w:afterLines="15"/>
                    <w:jc w:val="center"/>
                    <w:rPr>
                      <w:color w:val="auto"/>
                      <w:szCs w:val="21"/>
                      <w:highlight w:val="none"/>
                    </w:rPr>
                  </w:pPr>
                  <w:r>
                    <w:rPr>
                      <w:color w:val="auto"/>
                      <w:szCs w:val="21"/>
                      <w:highlight w:val="none"/>
                    </w:rPr>
                    <w:t>排放口</w:t>
                  </w:r>
                </w:p>
              </w:tc>
              <w:tc>
                <w:tcPr>
                  <w:tcW w:w="1620" w:type="dxa"/>
                  <w:tcBorders>
                    <w:tl2br w:val="nil"/>
                    <w:tr2bl w:val="nil"/>
                  </w:tcBorders>
                  <w:vAlign w:val="center"/>
                </w:tcPr>
                <w:p w14:paraId="053D527E">
                  <w:pPr>
                    <w:snapToGrid w:val="0"/>
                    <w:spacing w:before="36" w:beforeLines="15" w:after="36" w:afterLines="15"/>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10</w:t>
                  </w:r>
                  <w:r>
                    <w:rPr>
                      <w:rFonts w:hint="eastAsia" w:cs="Times New Roman"/>
                      <w:color w:val="auto"/>
                      <w:szCs w:val="21"/>
                      <w:highlight w:val="none"/>
                      <w:lang w:val="en-US" w:eastAsia="zh-CN"/>
                    </w:rPr>
                    <w:t>8</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56</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29.24</w:t>
                  </w:r>
                  <w:r>
                    <w:rPr>
                      <w:rFonts w:hint="default" w:ascii="Times New Roman" w:hAnsi="Times New Roman" w:cs="Times New Roman"/>
                      <w:color w:val="auto"/>
                      <w:szCs w:val="21"/>
                      <w:highlight w:val="none"/>
                    </w:rPr>
                    <w:t>"</w:t>
                  </w:r>
                </w:p>
                <w:p w14:paraId="2483B49D">
                  <w:pPr>
                    <w:snapToGrid w:val="0"/>
                    <w:spacing w:before="36" w:beforeLines="15" w:after="36" w:afterLines="15"/>
                    <w:jc w:val="center"/>
                    <w:rPr>
                      <w:color w:val="auto"/>
                      <w:szCs w:val="21"/>
                      <w:highlight w:val="none"/>
                    </w:rPr>
                  </w:pPr>
                  <w:r>
                    <w:rPr>
                      <w:rFonts w:hint="default" w:ascii="Times New Roman" w:hAnsi="Times New Roman" w:cs="Times New Roman"/>
                      <w:color w:val="auto"/>
                      <w:szCs w:val="21"/>
                      <w:highlight w:val="none"/>
                    </w:rPr>
                    <w:t>34°</w:t>
                  </w:r>
                  <w:r>
                    <w:rPr>
                      <w:rFonts w:hint="eastAsia" w:cs="Times New Roman"/>
                      <w:color w:val="auto"/>
                      <w:szCs w:val="21"/>
                      <w:highlight w:val="none"/>
                      <w:lang w:val="en-US" w:eastAsia="zh-CN"/>
                    </w:rPr>
                    <w:t>31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27.12</w:t>
                  </w:r>
                  <w:r>
                    <w:rPr>
                      <w:rFonts w:hint="default" w:ascii="Times New Roman" w:hAnsi="Times New Roman" w:cs="Times New Roman"/>
                      <w:color w:val="auto"/>
                      <w:szCs w:val="21"/>
                      <w:highlight w:val="none"/>
                    </w:rPr>
                    <w:t>"</w:t>
                  </w:r>
                </w:p>
              </w:tc>
              <w:tc>
                <w:tcPr>
                  <w:tcW w:w="1117" w:type="dxa"/>
                  <w:tcBorders>
                    <w:tl2br w:val="nil"/>
                    <w:tr2bl w:val="nil"/>
                  </w:tcBorders>
                  <w:vAlign w:val="center"/>
                </w:tcPr>
                <w:p w14:paraId="19BE4A01">
                  <w:pPr>
                    <w:snapToGrid w:val="0"/>
                    <w:spacing w:before="36" w:beforeLines="15" w:after="36" w:afterLines="15"/>
                    <w:jc w:val="center"/>
                    <w:rPr>
                      <w:rFonts w:hint="default" w:eastAsia="宋体"/>
                      <w:color w:val="auto"/>
                      <w:szCs w:val="21"/>
                      <w:highlight w:val="none"/>
                      <w:lang w:val="en-US" w:eastAsia="zh-CN"/>
                    </w:rPr>
                  </w:pPr>
                  <w:r>
                    <w:rPr>
                      <w:rFonts w:hint="eastAsia"/>
                      <w:color w:val="auto"/>
                      <w:szCs w:val="21"/>
                      <w:highlight w:val="none"/>
                      <w:lang w:val="en-US" w:eastAsia="zh-CN"/>
                    </w:rPr>
                    <w:t>397</w:t>
                  </w:r>
                </w:p>
              </w:tc>
              <w:tc>
                <w:tcPr>
                  <w:tcW w:w="736" w:type="dxa"/>
                  <w:tcBorders>
                    <w:tl2br w:val="nil"/>
                    <w:tr2bl w:val="nil"/>
                  </w:tcBorders>
                  <w:vAlign w:val="center"/>
                </w:tcPr>
                <w:p w14:paraId="7FB8A7E0">
                  <w:pPr>
                    <w:snapToGrid w:val="0"/>
                    <w:spacing w:before="36" w:beforeLines="15" w:after="36" w:afterLines="15"/>
                    <w:jc w:val="center"/>
                    <w:rPr>
                      <w:color w:val="auto"/>
                      <w:szCs w:val="21"/>
                      <w:highlight w:val="none"/>
                    </w:rPr>
                  </w:pPr>
                  <w:r>
                    <w:rPr>
                      <w:color w:val="auto"/>
                      <w:szCs w:val="21"/>
                      <w:highlight w:val="none"/>
                    </w:rPr>
                    <w:t>15</w:t>
                  </w:r>
                </w:p>
              </w:tc>
              <w:tc>
                <w:tcPr>
                  <w:tcW w:w="1005" w:type="dxa"/>
                  <w:tcBorders>
                    <w:tl2br w:val="nil"/>
                    <w:tr2bl w:val="nil"/>
                  </w:tcBorders>
                  <w:vAlign w:val="center"/>
                </w:tcPr>
                <w:p w14:paraId="4C24A97E">
                  <w:pPr>
                    <w:snapToGrid w:val="0"/>
                    <w:spacing w:before="36" w:beforeLines="15" w:after="36" w:afterLines="15"/>
                    <w:jc w:val="center"/>
                    <w:rPr>
                      <w:rFonts w:hint="eastAsia" w:eastAsia="宋体"/>
                      <w:color w:val="auto"/>
                      <w:szCs w:val="21"/>
                      <w:highlight w:val="none"/>
                      <w:lang w:eastAsia="zh-CN"/>
                    </w:rPr>
                  </w:pPr>
                  <w:r>
                    <w:rPr>
                      <w:color w:val="auto"/>
                      <w:szCs w:val="21"/>
                      <w:highlight w:val="none"/>
                    </w:rPr>
                    <w:t>0.</w:t>
                  </w:r>
                  <w:r>
                    <w:rPr>
                      <w:rFonts w:hint="eastAsia"/>
                      <w:color w:val="auto"/>
                      <w:szCs w:val="21"/>
                      <w:highlight w:val="none"/>
                      <w:lang w:val="en-US" w:eastAsia="zh-CN"/>
                    </w:rPr>
                    <w:t>4</w:t>
                  </w:r>
                </w:p>
              </w:tc>
              <w:tc>
                <w:tcPr>
                  <w:tcW w:w="934" w:type="dxa"/>
                  <w:tcBorders>
                    <w:tl2br w:val="nil"/>
                    <w:tr2bl w:val="nil"/>
                  </w:tcBorders>
                  <w:vAlign w:val="center"/>
                </w:tcPr>
                <w:p w14:paraId="662CABB3">
                  <w:pPr>
                    <w:snapToGrid w:val="0"/>
                    <w:spacing w:before="36" w:beforeLines="15" w:after="36" w:afterLines="15"/>
                    <w:jc w:val="center"/>
                    <w:rPr>
                      <w:rFonts w:hint="default" w:eastAsia="宋体"/>
                      <w:color w:val="auto"/>
                      <w:szCs w:val="21"/>
                      <w:highlight w:val="none"/>
                      <w:lang w:val="en-US" w:eastAsia="zh-CN"/>
                    </w:rPr>
                  </w:pPr>
                  <w:r>
                    <w:rPr>
                      <w:rFonts w:hint="eastAsia"/>
                      <w:color w:val="auto"/>
                      <w:szCs w:val="21"/>
                      <w:highlight w:val="none"/>
                      <w:lang w:val="en-US" w:eastAsia="zh-CN"/>
                    </w:rPr>
                    <w:t>20</w:t>
                  </w:r>
                </w:p>
              </w:tc>
            </w:tr>
            <w:tr w14:paraId="58A0889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657" w:hRule="atLeast"/>
                <w:jc w:val="center"/>
              </w:trPr>
              <w:tc>
                <w:tcPr>
                  <w:tcW w:w="1177" w:type="dxa"/>
                  <w:vMerge w:val="continue"/>
                  <w:tcBorders>
                    <w:tl2br w:val="nil"/>
                    <w:tr2bl w:val="nil"/>
                  </w:tcBorders>
                  <w:vAlign w:val="center"/>
                </w:tcPr>
                <w:p w14:paraId="4B06951D">
                  <w:pPr>
                    <w:snapToGrid w:val="0"/>
                    <w:spacing w:before="36" w:beforeLines="15" w:after="36" w:afterLines="15"/>
                    <w:jc w:val="center"/>
                    <w:rPr>
                      <w:rFonts w:hint="eastAsia" w:ascii="Times New Roman" w:hAnsi="Times New Roman" w:eastAsia="宋体" w:cs="Times New Roman"/>
                      <w:color w:val="auto"/>
                      <w:szCs w:val="21"/>
                      <w:highlight w:val="none"/>
                      <w:lang w:val="en-US" w:eastAsia="zh-CN"/>
                    </w:rPr>
                  </w:pPr>
                </w:p>
              </w:tc>
              <w:tc>
                <w:tcPr>
                  <w:tcW w:w="823" w:type="dxa"/>
                  <w:tcBorders>
                    <w:tl2br w:val="nil"/>
                    <w:tr2bl w:val="nil"/>
                  </w:tcBorders>
                  <w:vAlign w:val="center"/>
                </w:tcPr>
                <w:p w14:paraId="0D73AA37">
                  <w:pPr>
                    <w:snapToGrid w:val="0"/>
                    <w:spacing w:before="36" w:beforeLines="15" w:after="36" w:afterLines="15"/>
                    <w:jc w:val="center"/>
                    <w:rPr>
                      <w:rFonts w:hint="eastAsia" w:eastAsia="宋体"/>
                      <w:color w:val="auto"/>
                      <w:szCs w:val="21"/>
                      <w:highlight w:val="none"/>
                      <w:lang w:eastAsia="zh-CN"/>
                    </w:rPr>
                  </w:pPr>
                  <w:r>
                    <w:rPr>
                      <w:color w:val="auto"/>
                      <w:szCs w:val="21"/>
                      <w:highlight w:val="none"/>
                    </w:rPr>
                    <w:t>DA00</w:t>
                  </w:r>
                  <w:r>
                    <w:rPr>
                      <w:rFonts w:hint="eastAsia"/>
                      <w:color w:val="auto"/>
                      <w:szCs w:val="21"/>
                      <w:highlight w:val="none"/>
                      <w:lang w:val="en-US" w:eastAsia="zh-CN"/>
                    </w:rPr>
                    <w:t>2</w:t>
                  </w:r>
                </w:p>
              </w:tc>
              <w:tc>
                <w:tcPr>
                  <w:tcW w:w="889" w:type="dxa"/>
                  <w:vMerge w:val="continue"/>
                  <w:tcBorders>
                    <w:tl2br w:val="nil"/>
                    <w:tr2bl w:val="nil"/>
                  </w:tcBorders>
                  <w:vAlign w:val="center"/>
                </w:tcPr>
                <w:p w14:paraId="3BEE352A">
                  <w:pPr>
                    <w:snapToGrid w:val="0"/>
                    <w:spacing w:before="36" w:beforeLines="15" w:after="36" w:afterLines="15"/>
                    <w:jc w:val="center"/>
                    <w:rPr>
                      <w:color w:val="auto"/>
                      <w:szCs w:val="21"/>
                      <w:highlight w:val="none"/>
                    </w:rPr>
                  </w:pPr>
                </w:p>
              </w:tc>
              <w:tc>
                <w:tcPr>
                  <w:tcW w:w="1620" w:type="dxa"/>
                  <w:tcBorders>
                    <w:tl2br w:val="nil"/>
                    <w:tr2bl w:val="nil"/>
                  </w:tcBorders>
                  <w:vAlign w:val="center"/>
                </w:tcPr>
                <w:p w14:paraId="41AA3145">
                  <w:pPr>
                    <w:snapToGrid w:val="0"/>
                    <w:spacing w:before="36" w:beforeLines="15" w:after="36" w:afterLines="15"/>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10</w:t>
                  </w:r>
                  <w:r>
                    <w:rPr>
                      <w:rFonts w:hint="eastAsia" w:cs="Times New Roman"/>
                      <w:color w:val="auto"/>
                      <w:szCs w:val="21"/>
                      <w:highlight w:val="none"/>
                      <w:lang w:val="en-US" w:eastAsia="zh-CN"/>
                    </w:rPr>
                    <w:t>8</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56</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29.65</w:t>
                  </w:r>
                  <w:r>
                    <w:rPr>
                      <w:rFonts w:hint="default" w:ascii="Times New Roman" w:hAnsi="Times New Roman" w:cs="Times New Roman"/>
                      <w:color w:val="auto"/>
                      <w:szCs w:val="21"/>
                      <w:highlight w:val="none"/>
                    </w:rPr>
                    <w:t>"</w:t>
                  </w:r>
                </w:p>
                <w:p w14:paraId="6BDD9996">
                  <w:pPr>
                    <w:snapToGrid w:val="0"/>
                    <w:spacing w:before="36" w:beforeLines="15" w:after="36" w:afterLines="15"/>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34°</w:t>
                  </w:r>
                  <w:r>
                    <w:rPr>
                      <w:rFonts w:hint="eastAsia" w:cs="Times New Roman"/>
                      <w:color w:val="auto"/>
                      <w:szCs w:val="21"/>
                      <w:highlight w:val="none"/>
                      <w:lang w:val="en-US" w:eastAsia="zh-CN"/>
                    </w:rPr>
                    <w:t>31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27.16</w:t>
                  </w:r>
                  <w:r>
                    <w:rPr>
                      <w:rFonts w:hint="default" w:ascii="Times New Roman" w:hAnsi="Times New Roman" w:cs="Times New Roman"/>
                      <w:color w:val="auto"/>
                      <w:szCs w:val="21"/>
                      <w:highlight w:val="none"/>
                    </w:rPr>
                    <w:t>"</w:t>
                  </w:r>
                </w:p>
              </w:tc>
              <w:tc>
                <w:tcPr>
                  <w:tcW w:w="1117" w:type="dxa"/>
                  <w:tcBorders>
                    <w:tl2br w:val="nil"/>
                    <w:tr2bl w:val="nil"/>
                  </w:tcBorders>
                  <w:shd w:val="clear" w:color="auto" w:fill="auto"/>
                  <w:vAlign w:val="center"/>
                </w:tcPr>
                <w:p w14:paraId="35C84202">
                  <w:pPr>
                    <w:snapToGrid w:val="0"/>
                    <w:spacing w:before="36" w:beforeLines="15" w:after="36" w:afterLines="15"/>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397</w:t>
                  </w:r>
                </w:p>
              </w:tc>
              <w:tc>
                <w:tcPr>
                  <w:tcW w:w="736" w:type="dxa"/>
                  <w:tcBorders>
                    <w:tl2br w:val="nil"/>
                    <w:tr2bl w:val="nil"/>
                  </w:tcBorders>
                  <w:shd w:val="clear" w:color="auto" w:fill="auto"/>
                  <w:vAlign w:val="center"/>
                </w:tcPr>
                <w:p w14:paraId="16007201">
                  <w:pPr>
                    <w:snapToGrid w:val="0"/>
                    <w:spacing w:before="36" w:beforeLines="15" w:after="36" w:afterLines="15"/>
                    <w:jc w:val="center"/>
                    <w:rPr>
                      <w:rFonts w:ascii="Times New Roman" w:hAnsi="Times New Roman" w:eastAsia="宋体" w:cs="Times New Roman"/>
                      <w:color w:val="auto"/>
                      <w:kern w:val="2"/>
                      <w:sz w:val="21"/>
                      <w:szCs w:val="21"/>
                      <w:highlight w:val="none"/>
                      <w:lang w:val="en-US" w:eastAsia="zh-CN" w:bidi="ar-SA"/>
                    </w:rPr>
                  </w:pPr>
                  <w:r>
                    <w:rPr>
                      <w:color w:val="auto"/>
                      <w:szCs w:val="21"/>
                      <w:highlight w:val="none"/>
                    </w:rPr>
                    <w:t>15</w:t>
                  </w:r>
                </w:p>
              </w:tc>
              <w:tc>
                <w:tcPr>
                  <w:tcW w:w="1005" w:type="dxa"/>
                  <w:tcBorders>
                    <w:tl2br w:val="nil"/>
                    <w:tr2bl w:val="nil"/>
                  </w:tcBorders>
                  <w:shd w:val="clear" w:color="auto" w:fill="auto"/>
                  <w:vAlign w:val="center"/>
                </w:tcPr>
                <w:p w14:paraId="5275C1F6">
                  <w:pPr>
                    <w:snapToGrid w:val="0"/>
                    <w:spacing w:before="36" w:beforeLines="15" w:after="36" w:afterLines="15"/>
                    <w:jc w:val="center"/>
                    <w:rPr>
                      <w:rFonts w:hint="eastAsia" w:ascii="Times New Roman" w:hAnsi="Times New Roman" w:eastAsia="宋体" w:cs="Times New Roman"/>
                      <w:color w:val="auto"/>
                      <w:kern w:val="2"/>
                      <w:sz w:val="21"/>
                      <w:szCs w:val="21"/>
                      <w:highlight w:val="none"/>
                      <w:lang w:val="en-US" w:eastAsia="zh-CN" w:bidi="ar-SA"/>
                    </w:rPr>
                  </w:pPr>
                  <w:r>
                    <w:rPr>
                      <w:color w:val="auto"/>
                      <w:szCs w:val="21"/>
                      <w:highlight w:val="none"/>
                    </w:rPr>
                    <w:t>0.</w:t>
                  </w:r>
                  <w:r>
                    <w:rPr>
                      <w:rFonts w:hint="eastAsia"/>
                      <w:color w:val="auto"/>
                      <w:szCs w:val="21"/>
                      <w:highlight w:val="none"/>
                      <w:lang w:val="en-US" w:eastAsia="zh-CN"/>
                    </w:rPr>
                    <w:t>4</w:t>
                  </w:r>
                </w:p>
              </w:tc>
              <w:tc>
                <w:tcPr>
                  <w:tcW w:w="934" w:type="dxa"/>
                  <w:tcBorders>
                    <w:tl2br w:val="nil"/>
                    <w:tr2bl w:val="nil"/>
                  </w:tcBorders>
                  <w:shd w:val="clear" w:color="auto" w:fill="auto"/>
                  <w:vAlign w:val="center"/>
                </w:tcPr>
                <w:p w14:paraId="7DC8429B">
                  <w:pPr>
                    <w:snapToGrid w:val="0"/>
                    <w:spacing w:before="36" w:beforeLines="15" w:after="36" w:afterLines="15"/>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20</w:t>
                  </w:r>
                </w:p>
              </w:tc>
            </w:tr>
          </w:tbl>
          <w:p w14:paraId="5D6FB36D">
            <w:pPr>
              <w:adjustRightInd w:val="0"/>
              <w:snapToGrid w:val="0"/>
              <w:spacing w:before="120" w:beforeLines="50" w:line="360" w:lineRule="auto"/>
              <w:ind w:firstLine="482"/>
              <w:rPr>
                <w:b/>
                <w:bCs/>
                <w:color w:val="auto"/>
                <w:sz w:val="24"/>
                <w:highlight w:val="none"/>
              </w:rPr>
            </w:pPr>
            <w:r>
              <w:rPr>
                <w:rFonts w:hint="eastAsia"/>
                <w:b/>
                <w:bCs/>
                <w:color w:val="auto"/>
                <w:sz w:val="24"/>
                <w:highlight w:val="none"/>
                <w:lang w:eastAsia="zh-CN"/>
              </w:rPr>
              <w:t>（</w:t>
            </w:r>
            <w:r>
              <w:rPr>
                <w:rFonts w:hint="eastAsia"/>
                <w:b/>
                <w:bCs/>
                <w:color w:val="auto"/>
                <w:sz w:val="24"/>
                <w:highlight w:val="none"/>
                <w:lang w:val="en-US" w:eastAsia="zh-CN"/>
              </w:rPr>
              <w:t>2</w:t>
            </w:r>
            <w:r>
              <w:rPr>
                <w:rFonts w:hint="eastAsia"/>
                <w:b/>
                <w:bCs/>
                <w:color w:val="auto"/>
                <w:sz w:val="24"/>
                <w:highlight w:val="none"/>
                <w:lang w:eastAsia="zh-CN"/>
              </w:rPr>
              <w:t>）</w:t>
            </w:r>
            <w:r>
              <w:rPr>
                <w:b/>
                <w:bCs/>
                <w:color w:val="auto"/>
                <w:sz w:val="24"/>
                <w:highlight w:val="none"/>
              </w:rPr>
              <w:t>源强核算过程</w:t>
            </w:r>
          </w:p>
          <w:p w14:paraId="406DE639">
            <w:pPr>
              <w:numPr>
                <w:ilvl w:val="0"/>
                <w:numId w:val="0"/>
              </w:numPr>
              <w:kinsoku w:val="0"/>
              <w:autoSpaceDE w:val="0"/>
              <w:autoSpaceDN w:val="0"/>
              <w:adjustRightInd w:val="0"/>
              <w:spacing w:line="360" w:lineRule="auto"/>
              <w:ind w:firstLine="480" w:firstLineChars="200"/>
              <w:rPr>
                <w:rFonts w:hint="eastAsia" w:cs="Times New Roman"/>
                <w:color w:val="auto"/>
                <w:sz w:val="24"/>
                <w:lang w:val="en-US" w:eastAsia="zh-CN"/>
              </w:rPr>
            </w:pPr>
            <w:r>
              <w:rPr>
                <w:rFonts w:hint="eastAsia" w:cs="Times New Roman"/>
                <w:color w:val="auto"/>
                <w:kern w:val="2"/>
                <w:sz w:val="24"/>
                <w:szCs w:val="24"/>
                <w:lang w:val="en-US" w:eastAsia="zh-CN" w:bidi="ar-SA"/>
              </w:rPr>
              <w:t>1</w:t>
            </w:r>
            <w:r>
              <w:rPr>
                <w:rFonts w:hint="eastAsia" w:ascii="Times New Roman" w:hAnsi="Times New Roman" w:eastAsia="宋体" w:cs="Times New Roman"/>
                <w:color w:val="auto"/>
                <w:kern w:val="2"/>
                <w:sz w:val="24"/>
                <w:szCs w:val="24"/>
                <w:lang w:val="en-US" w:eastAsia="zh-CN" w:bidi="ar-SA"/>
              </w:rPr>
              <w:t>）</w:t>
            </w:r>
            <w:r>
              <w:rPr>
                <w:rFonts w:hint="eastAsia" w:cs="Times New Roman"/>
                <w:color w:val="auto"/>
                <w:sz w:val="24"/>
                <w:lang w:val="en-US" w:eastAsia="zh-CN"/>
              </w:rPr>
              <w:t>喷砂粉尘</w:t>
            </w:r>
          </w:p>
          <w:p w14:paraId="03338A6E">
            <w:pPr>
              <w:spacing w:line="360" w:lineRule="auto"/>
              <w:ind w:firstLine="480" w:firstLineChars="200"/>
              <w:rPr>
                <w:rFonts w:hint="eastAsia"/>
                <w:color w:val="auto"/>
                <w:sz w:val="24"/>
                <w:lang w:val="en-US" w:eastAsia="zh-CN"/>
              </w:rPr>
            </w:pPr>
            <w:r>
              <w:rPr>
                <w:rFonts w:hint="eastAsia"/>
                <w:b w:val="0"/>
                <w:bCs w:val="0"/>
                <w:color w:val="auto"/>
                <w:sz w:val="24"/>
                <w:lang w:val="en-US" w:eastAsia="zh-CN"/>
              </w:rPr>
              <w:t>项目外购的钛铸件振壳后需进行喷砂处理，以去除铸件表面的微小毛刺，并使铸件表面产生细微的凹凸面。喷砂工序会产生粉尘，本项目喷砂机</w:t>
            </w:r>
            <w:r>
              <w:rPr>
                <w:rFonts w:hint="eastAsia" w:cs="Times New Roman"/>
                <w:color w:val="auto"/>
                <w:kern w:val="0"/>
                <w:sz w:val="24"/>
                <w:szCs w:val="20"/>
                <w:lang w:val="en-US" w:eastAsia="zh-CN"/>
              </w:rPr>
              <w:t>密闭，配套吹灰系统及除尘器，因粉尘量极小，</w:t>
            </w:r>
            <w:r>
              <w:rPr>
                <w:rFonts w:hint="eastAsia"/>
                <w:b w:val="0"/>
                <w:bCs w:val="0"/>
                <w:color w:val="auto"/>
                <w:sz w:val="24"/>
                <w:lang w:val="en-US" w:eastAsia="zh-CN"/>
              </w:rPr>
              <w:t>喷砂粉尘经除尘器净化处理后</w:t>
            </w:r>
            <w:r>
              <w:rPr>
                <w:rFonts w:hint="eastAsia"/>
                <w:color w:val="auto"/>
                <w:sz w:val="24"/>
                <w:lang w:val="en-US" w:eastAsia="zh-CN"/>
              </w:rPr>
              <w:t>无组织排放。</w:t>
            </w:r>
          </w:p>
          <w:p w14:paraId="0086506B">
            <w:pPr>
              <w:spacing w:line="360" w:lineRule="auto"/>
              <w:ind w:firstLine="480" w:firstLineChars="200"/>
              <w:rPr>
                <w:rFonts w:hint="eastAsia" w:cs="Times New Roman"/>
                <w:color w:val="0000FF"/>
                <w:sz w:val="24"/>
                <w:lang w:val="en-US" w:eastAsia="zh-CN"/>
              </w:rPr>
            </w:pPr>
            <w:r>
              <w:rPr>
                <w:rFonts w:hint="default" w:ascii="Times New Roman" w:hAnsi="Times New Roman" w:cs="Times New Roman"/>
                <w:color w:val="auto"/>
                <w:sz w:val="24"/>
                <w:szCs w:val="24"/>
                <w:highlight w:val="none"/>
              </w:rPr>
              <w:t>根据《排放源统计调查产排污核算方法和系数手册》（2021年第24号）中的《33-37</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431-434机械行业系数手册》中</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06预处理</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中产污系数，</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bCs/>
                <w:color w:val="auto"/>
                <w:sz w:val="24"/>
                <w:szCs w:val="24"/>
                <w:highlight w:val="none"/>
              </w:rPr>
              <w:t>钢材（含板材、构件等）、铝材（含板材、构件等）、铝合金（含板材、构件等）、铁材、</w:t>
            </w:r>
            <w:r>
              <w:rPr>
                <w:rFonts w:hint="eastAsia" w:cs="Times New Roman"/>
                <w:bCs/>
                <w:color w:val="auto"/>
                <w:sz w:val="24"/>
                <w:szCs w:val="24"/>
                <w:highlight w:val="none"/>
                <w:lang w:eastAsia="zh-CN"/>
              </w:rPr>
              <w:t>其他</w:t>
            </w:r>
            <w:r>
              <w:rPr>
                <w:rFonts w:hint="default" w:ascii="Times New Roman" w:hAnsi="Times New Roman" w:cs="Times New Roman"/>
                <w:bCs/>
                <w:color w:val="auto"/>
                <w:sz w:val="24"/>
                <w:szCs w:val="24"/>
                <w:highlight w:val="none"/>
              </w:rPr>
              <w:t>金属材料在抛丸、喷砂、打磨、滚筒过程颗粒物产尘系数为2.19kg/t-原料</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bCs/>
                <w:color w:val="auto"/>
                <w:sz w:val="24"/>
                <w:szCs w:val="24"/>
                <w:highlight w:val="none"/>
              </w:rPr>
              <w:t>根据建设单位提供资料，</w:t>
            </w:r>
            <w:r>
              <w:rPr>
                <w:rFonts w:hint="eastAsia"/>
                <w:b w:val="0"/>
                <w:bCs w:val="0"/>
                <w:color w:val="auto"/>
                <w:sz w:val="24"/>
                <w:lang w:val="en-US" w:eastAsia="zh-CN"/>
              </w:rPr>
              <w:t>本项目钛铸件的年用量约340t，陶瓷壳的重量约占总重量的2%，则振壳后钛铸件的重量约333t，喷砂工序年工作时间约900h/a，则喷砂粉尘产生量为0.729t/a，0.81kg/h。</w:t>
            </w:r>
          </w:p>
          <w:p w14:paraId="527C62DD">
            <w:pPr>
              <w:spacing w:line="360" w:lineRule="auto"/>
              <w:ind w:firstLine="480" w:firstLineChars="200"/>
              <w:contextualSpacing/>
              <w:rPr>
                <w:rFonts w:hint="eastAsia" w:cs="Times New Roman"/>
                <w:color w:val="0000FF"/>
                <w:sz w:val="24"/>
                <w:lang w:val="en-US" w:eastAsia="zh-CN"/>
              </w:rPr>
            </w:pPr>
            <w:r>
              <w:rPr>
                <w:rFonts w:hint="eastAsia" w:cs="Times New Roman"/>
                <w:color w:val="auto"/>
                <w:kern w:val="0"/>
                <w:sz w:val="24"/>
                <w:szCs w:val="20"/>
                <w:lang w:val="en-US" w:eastAsia="zh-CN"/>
              </w:rPr>
              <w:t>根据建设单位提供的设计资料，2台喷砂机配套的</w:t>
            </w:r>
            <w:r>
              <w:rPr>
                <w:rFonts w:hint="eastAsia" w:eastAsia="宋体" w:cs="Times New Roman"/>
                <w:color w:val="auto"/>
                <w:sz w:val="24"/>
                <w:lang w:val="en-US" w:eastAsia="zh-CN"/>
              </w:rPr>
              <w:t>袋式除尘器</w:t>
            </w:r>
            <w:r>
              <w:rPr>
                <w:rFonts w:hint="eastAsia" w:cs="Times New Roman"/>
                <w:color w:val="auto"/>
                <w:sz w:val="24"/>
                <w:lang w:val="en-US" w:eastAsia="zh-CN"/>
              </w:rPr>
              <w:t>风机</w:t>
            </w:r>
            <w:r>
              <w:rPr>
                <w:rFonts w:ascii="Times New Roman" w:hAnsi="Times New Roman" w:eastAsia="宋体" w:cs="Times New Roman"/>
                <w:color w:val="auto"/>
                <w:sz w:val="24"/>
              </w:rPr>
              <w:t>风量</w:t>
            </w:r>
            <w:r>
              <w:rPr>
                <w:rFonts w:hint="eastAsia" w:cs="Times New Roman"/>
                <w:color w:val="auto"/>
                <w:sz w:val="24"/>
                <w:lang w:val="en-US" w:eastAsia="zh-CN"/>
              </w:rPr>
              <w:t>合计为30</w:t>
            </w:r>
            <w:r>
              <w:rPr>
                <w:rFonts w:ascii="Times New Roman" w:hAnsi="Times New Roman" w:eastAsia="宋体" w:cs="Times New Roman"/>
                <w:color w:val="auto"/>
                <w:sz w:val="24"/>
              </w:rPr>
              <w:t>00m</w:t>
            </w:r>
            <w:r>
              <w:rPr>
                <w:rFonts w:ascii="Times New Roman" w:hAnsi="Times New Roman" w:eastAsia="宋体" w:cs="Times New Roman"/>
                <w:color w:val="auto"/>
                <w:sz w:val="24"/>
                <w:vertAlign w:val="superscript"/>
              </w:rPr>
              <w:t>3</w:t>
            </w:r>
            <w:r>
              <w:rPr>
                <w:rFonts w:ascii="Times New Roman" w:hAnsi="Times New Roman" w:eastAsia="宋体" w:cs="Times New Roman"/>
                <w:color w:val="auto"/>
                <w:sz w:val="24"/>
              </w:rPr>
              <w:t>/h</w:t>
            </w:r>
            <w:r>
              <w:rPr>
                <w:rFonts w:hint="eastAsia" w:cs="Times New Roman"/>
                <w:color w:val="auto"/>
                <w:sz w:val="24"/>
                <w:highlight w:val="none"/>
                <w:lang w:eastAsia="zh-CN"/>
              </w:rPr>
              <w:t>，</w:t>
            </w:r>
            <w:r>
              <w:rPr>
                <w:rFonts w:hint="eastAsia" w:cs="Times New Roman"/>
                <w:color w:val="auto"/>
                <w:sz w:val="24"/>
                <w:highlight w:val="none"/>
                <w:lang w:val="en-US" w:eastAsia="zh-CN"/>
              </w:rPr>
              <w:t>喷砂机</w:t>
            </w:r>
            <w:r>
              <w:rPr>
                <w:rFonts w:hint="default" w:ascii="Times New Roman" w:hAnsi="Times New Roman" w:cs="Times New Roman"/>
                <w:bCs/>
                <w:color w:val="auto"/>
                <w:sz w:val="24"/>
                <w:szCs w:val="24"/>
                <w:highlight w:val="none"/>
                <w:lang w:val="en-US" w:eastAsia="zh-CN"/>
              </w:rPr>
              <w:t>为全封闭，除尘器</w:t>
            </w:r>
            <w:r>
              <w:rPr>
                <w:rFonts w:hint="eastAsia" w:ascii="Times New Roman" w:hAnsi="Times New Roman" w:cs="Times New Roman"/>
                <w:bCs/>
                <w:color w:val="auto"/>
                <w:sz w:val="24"/>
                <w:szCs w:val="24"/>
                <w:highlight w:val="none"/>
                <w:lang w:val="en-US" w:eastAsia="zh-CN"/>
              </w:rPr>
              <w:t>与喷砂机</w:t>
            </w:r>
            <w:r>
              <w:rPr>
                <w:rFonts w:hint="default" w:ascii="Times New Roman" w:hAnsi="Times New Roman" w:cs="Times New Roman"/>
                <w:bCs/>
                <w:color w:val="auto"/>
                <w:sz w:val="24"/>
                <w:szCs w:val="24"/>
                <w:highlight w:val="none"/>
                <w:lang w:val="en-US" w:eastAsia="zh-CN"/>
              </w:rPr>
              <w:t>采用密闭管道连接</w:t>
            </w:r>
            <w:r>
              <w:rPr>
                <w:rFonts w:hint="eastAsia" w:ascii="Times New Roman" w:hAnsi="Times New Roman" w:cs="Times New Roman"/>
                <w:bCs/>
                <w:color w:val="auto"/>
                <w:sz w:val="24"/>
                <w:szCs w:val="24"/>
                <w:highlight w:val="none"/>
                <w:lang w:val="en-US" w:eastAsia="zh-CN"/>
              </w:rPr>
              <w:t>，</w:t>
            </w:r>
            <w:r>
              <w:rPr>
                <w:rFonts w:hint="eastAsia" w:cs="Times New Roman"/>
                <w:bCs/>
                <w:color w:val="auto"/>
                <w:sz w:val="24"/>
                <w:szCs w:val="24"/>
                <w:highlight w:val="none"/>
                <w:lang w:val="en-US" w:eastAsia="zh-CN"/>
              </w:rPr>
              <w:t>根据《</w:t>
            </w:r>
            <w:r>
              <w:rPr>
                <w:rFonts w:hint="eastAsia" w:ascii="Times New Roman" w:hAnsi="Times New Roman" w:cs="Times New Roman"/>
                <w:bCs/>
                <w:color w:val="auto"/>
                <w:sz w:val="24"/>
                <w:szCs w:val="24"/>
                <w:highlight w:val="none"/>
                <w:lang w:val="en-US" w:eastAsia="zh-CN"/>
              </w:rPr>
              <w:t>陕西省排污许可制支撑空气质量持续改善实施方案</w:t>
            </w:r>
            <w:r>
              <w:rPr>
                <w:rFonts w:hint="eastAsia" w:cs="Times New Roman"/>
                <w:bCs/>
                <w:color w:val="auto"/>
                <w:sz w:val="24"/>
                <w:szCs w:val="24"/>
                <w:highlight w:val="none"/>
                <w:lang w:val="en-US" w:eastAsia="zh-CN"/>
              </w:rPr>
              <w:t>》，采用管道收集，</w:t>
            </w:r>
            <w:r>
              <w:rPr>
                <w:rFonts w:hint="default" w:ascii="Times New Roman" w:hAnsi="Times New Roman" w:cs="Times New Roman"/>
                <w:bCs/>
                <w:color w:val="auto"/>
                <w:sz w:val="24"/>
                <w:szCs w:val="24"/>
                <w:highlight w:val="none"/>
                <w:lang w:val="en-US" w:eastAsia="zh-CN"/>
              </w:rPr>
              <w:t>收集效率</w:t>
            </w:r>
            <w:r>
              <w:rPr>
                <w:rFonts w:hint="eastAsia" w:cs="Times New Roman"/>
                <w:bCs/>
                <w:color w:val="auto"/>
                <w:sz w:val="24"/>
                <w:szCs w:val="24"/>
                <w:highlight w:val="none"/>
                <w:lang w:val="en-US" w:eastAsia="zh-CN"/>
              </w:rPr>
              <w:t>按</w:t>
            </w:r>
            <w:r>
              <w:rPr>
                <w:rFonts w:hint="default" w:ascii="Times New Roman" w:hAnsi="Times New Roman" w:cs="Times New Roman"/>
                <w:bCs/>
                <w:color w:val="auto"/>
                <w:sz w:val="24"/>
                <w:szCs w:val="24"/>
                <w:highlight w:val="none"/>
                <w:lang w:val="en-US" w:eastAsia="zh-CN"/>
              </w:rPr>
              <w:t>9</w:t>
            </w:r>
            <w:r>
              <w:rPr>
                <w:rFonts w:hint="eastAsia" w:ascii="Times New Roman" w:hAnsi="Times New Roman" w:cs="Times New Roman"/>
                <w:bCs/>
                <w:color w:val="auto"/>
                <w:sz w:val="24"/>
                <w:szCs w:val="24"/>
                <w:highlight w:val="none"/>
                <w:lang w:val="en-US" w:eastAsia="zh-CN"/>
              </w:rPr>
              <w:t>5</w:t>
            </w:r>
            <w:r>
              <w:rPr>
                <w:rFonts w:hint="default" w:ascii="Times New Roman" w:hAnsi="Times New Roman" w:cs="Times New Roman"/>
                <w:bCs/>
                <w:color w:val="auto"/>
                <w:sz w:val="24"/>
                <w:szCs w:val="24"/>
                <w:highlight w:val="none"/>
                <w:lang w:val="en-US" w:eastAsia="zh-CN"/>
              </w:rPr>
              <w:t>%</w:t>
            </w:r>
            <w:r>
              <w:rPr>
                <w:rFonts w:hint="eastAsia" w:cs="Times New Roman"/>
                <w:bCs/>
                <w:color w:val="auto"/>
                <w:sz w:val="24"/>
                <w:szCs w:val="24"/>
                <w:highlight w:val="none"/>
                <w:lang w:val="en-US" w:eastAsia="zh-CN"/>
              </w:rPr>
              <w:t>考虑</w:t>
            </w:r>
            <w:r>
              <w:rPr>
                <w:rFonts w:hint="eastAsia" w:ascii="Times New Roman" w:hAnsi="Times New Roman" w:cs="Times New Roman"/>
                <w:bCs/>
                <w:color w:val="auto"/>
                <w:sz w:val="24"/>
                <w:szCs w:val="24"/>
                <w:highlight w:val="none"/>
                <w:lang w:val="en-US" w:eastAsia="zh-CN"/>
              </w:rPr>
              <w:t>。</w:t>
            </w:r>
            <w:r>
              <w:rPr>
                <w:rFonts w:hint="default" w:ascii="Times New Roman" w:hAnsi="Times New Roman" w:cs="Times New Roman"/>
                <w:bCs/>
                <w:color w:val="auto"/>
                <w:sz w:val="24"/>
                <w:szCs w:val="24"/>
                <w:highlight w:val="none"/>
                <w:lang w:val="en-US" w:eastAsia="zh-CN"/>
              </w:rPr>
              <w:t>根据《排放源统计调查产排污核算方法和系数手册》（2021年第24号）中的《33-37，431-434机械行业系数手册》中“06预处理”中产污系数，袋式除尘器处理效率为95%</w:t>
            </w:r>
            <w:r>
              <w:rPr>
                <w:rFonts w:hint="eastAsia" w:cs="Times New Roman"/>
                <w:color w:val="auto"/>
                <w:sz w:val="24"/>
                <w:lang w:val="en-US" w:eastAsia="zh-CN"/>
              </w:rPr>
              <w:t>，喷砂工序废气无组织排放，则喷砂工序</w:t>
            </w:r>
            <w:r>
              <w:rPr>
                <w:rFonts w:hint="eastAsia" w:ascii="Times New Roman" w:hAnsi="Times New Roman" w:eastAsia="宋体" w:cs="Times New Roman"/>
                <w:color w:val="auto"/>
                <w:sz w:val="24"/>
                <w:lang w:val="en-US" w:eastAsia="zh-CN"/>
              </w:rPr>
              <w:t>颗粒物无组织</w:t>
            </w:r>
            <w:r>
              <w:rPr>
                <w:rFonts w:ascii="Times New Roman" w:hAnsi="Times New Roman" w:eastAsia="宋体" w:cs="Times New Roman"/>
                <w:color w:val="auto"/>
                <w:sz w:val="24"/>
              </w:rPr>
              <w:t>排放量为</w:t>
            </w:r>
            <w:r>
              <w:rPr>
                <w:rFonts w:hint="eastAsia" w:cs="Times New Roman"/>
                <w:color w:val="auto"/>
                <w:sz w:val="24"/>
                <w:lang w:val="en-US" w:eastAsia="zh-CN"/>
              </w:rPr>
              <w:t>0.071</w:t>
            </w:r>
            <w:r>
              <w:rPr>
                <w:rFonts w:hint="eastAsia" w:ascii="Times New Roman" w:hAnsi="Times New Roman" w:eastAsia="宋体" w:cs="Times New Roman"/>
                <w:color w:val="auto"/>
                <w:sz w:val="24"/>
              </w:rPr>
              <w:t>t</w:t>
            </w:r>
            <w:r>
              <w:rPr>
                <w:rFonts w:ascii="Times New Roman" w:hAnsi="Times New Roman" w:eastAsia="宋体" w:cs="Times New Roman"/>
                <w:color w:val="auto"/>
                <w:sz w:val="24"/>
              </w:rPr>
              <w:t>/a，</w:t>
            </w:r>
            <w:r>
              <w:rPr>
                <w:rFonts w:hint="eastAsia" w:ascii="Times New Roman" w:hAnsi="Times New Roman" w:eastAsia="宋体" w:cs="Times New Roman"/>
                <w:color w:val="auto"/>
                <w:sz w:val="24"/>
                <w:lang w:val="en-US" w:eastAsia="zh-CN"/>
              </w:rPr>
              <w:t>排放速率为</w:t>
            </w:r>
            <w:r>
              <w:rPr>
                <w:rFonts w:hint="eastAsia" w:cs="Times New Roman"/>
                <w:color w:val="auto"/>
                <w:sz w:val="24"/>
                <w:lang w:val="en-US" w:eastAsia="zh-CN"/>
              </w:rPr>
              <w:t>0.079</w:t>
            </w:r>
            <w:r>
              <w:rPr>
                <w:rFonts w:ascii="Times New Roman" w:hAnsi="Times New Roman" w:eastAsia="宋体" w:cs="Times New Roman"/>
                <w:color w:val="auto"/>
                <w:sz w:val="24"/>
              </w:rPr>
              <w:t>kg/h</w:t>
            </w:r>
            <w:r>
              <w:rPr>
                <w:rFonts w:hint="eastAsia" w:ascii="Times New Roman" w:hAnsi="Times New Roman" w:eastAsia="宋体" w:cs="Times New Roman"/>
                <w:color w:val="auto"/>
                <w:sz w:val="24"/>
                <w:lang w:eastAsia="zh-CN"/>
              </w:rPr>
              <w:t>。</w:t>
            </w:r>
          </w:p>
          <w:p w14:paraId="1774E78B">
            <w:pPr>
              <w:numPr>
                <w:ilvl w:val="0"/>
                <w:numId w:val="0"/>
              </w:numPr>
              <w:kinsoku w:val="0"/>
              <w:autoSpaceDE w:val="0"/>
              <w:autoSpaceDN w:val="0"/>
              <w:adjustRightInd w:val="0"/>
              <w:spacing w:line="360" w:lineRule="auto"/>
              <w:ind w:firstLine="480" w:firstLineChars="200"/>
              <w:rPr>
                <w:rFonts w:hint="default" w:cs="Times New Roman"/>
                <w:color w:val="auto"/>
                <w:sz w:val="24"/>
                <w:lang w:val="en-US" w:eastAsia="zh-CN"/>
              </w:rPr>
            </w:pPr>
            <w:r>
              <w:rPr>
                <w:rFonts w:hint="eastAsia" w:cs="Times New Roman"/>
                <w:color w:val="auto"/>
                <w:sz w:val="24"/>
                <w:lang w:val="en-US" w:eastAsia="zh-CN"/>
              </w:rPr>
              <w:t>2）打磨粉尘</w:t>
            </w:r>
          </w:p>
          <w:p w14:paraId="76F5DF93">
            <w:pPr>
              <w:spacing w:line="360" w:lineRule="auto"/>
              <w:ind w:firstLine="480" w:firstLineChars="200"/>
              <w:contextualSpacing/>
              <w:rPr>
                <w:rFonts w:hint="eastAsia"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项目外购钛及钛合金板坯、钛棒以及喷砂处理后的钛铸件需进行打磨处理，</w:t>
            </w:r>
            <w:r>
              <w:rPr>
                <w:rFonts w:hint="eastAsia"/>
                <w:b w:val="0"/>
                <w:bCs w:val="0"/>
                <w:color w:val="auto"/>
                <w:sz w:val="24"/>
                <w:lang w:val="en-US" w:eastAsia="zh-CN"/>
              </w:rPr>
              <w:t>去除钛材表面锈迹及不平整处。根据建设单位提供资料，由于行业要求，打磨粉尘处理措施需采用湿式除尘法</w:t>
            </w:r>
            <w:r>
              <w:rPr>
                <w:rFonts w:hint="eastAsia" w:ascii="Times New Roman" w:hAnsi="Times New Roman" w:eastAsia="宋体" w:cs="Times New Roman"/>
                <w:bCs/>
                <w:color w:val="auto"/>
                <w:sz w:val="24"/>
                <w:szCs w:val="24"/>
                <w:highlight w:val="none"/>
                <w:lang w:val="en-US" w:eastAsia="zh-CN"/>
              </w:rPr>
              <w:t>。</w:t>
            </w:r>
            <w:r>
              <w:rPr>
                <w:rFonts w:hint="eastAsia" w:cs="Times New Roman"/>
                <w:color w:val="auto"/>
                <w:sz w:val="24"/>
                <w:lang w:val="en-US" w:eastAsia="zh-CN"/>
              </w:rPr>
              <w:t>根据</w:t>
            </w:r>
            <w:r>
              <w:rPr>
                <w:rFonts w:hint="eastAsia" w:cs="Times New Roman"/>
                <w:color w:val="auto"/>
                <w:kern w:val="0"/>
                <w:sz w:val="24"/>
                <w:szCs w:val="20"/>
                <w:lang w:val="en-US" w:eastAsia="zh-CN"/>
              </w:rPr>
              <w:t>建设单位提供的设计资料，</w:t>
            </w:r>
            <w:r>
              <w:rPr>
                <w:rFonts w:hint="eastAsia" w:ascii="Times New Roman" w:hAnsi="Times New Roman" w:eastAsia="宋体" w:cs="Times New Roman"/>
                <w:bCs/>
                <w:color w:val="auto"/>
                <w:sz w:val="24"/>
                <w:szCs w:val="24"/>
                <w:highlight w:val="none"/>
                <w:lang w:val="en-US" w:eastAsia="zh-CN"/>
              </w:rPr>
              <w:t>本</w:t>
            </w:r>
            <w:r>
              <w:rPr>
                <w:rFonts w:hint="eastAsia" w:cs="Times New Roman"/>
                <w:bCs/>
                <w:color w:val="auto"/>
                <w:sz w:val="24"/>
                <w:szCs w:val="24"/>
                <w:highlight w:val="none"/>
                <w:lang w:val="en-US" w:eastAsia="zh-CN"/>
              </w:rPr>
              <w:t>项目共设置22台打磨机，</w:t>
            </w:r>
            <w:r>
              <w:rPr>
                <w:rFonts w:hint="eastAsia" w:ascii="Times New Roman" w:hAnsi="Times New Roman" w:cs="Times New Roman"/>
                <w:bCs/>
                <w:color w:val="auto"/>
                <w:sz w:val="24"/>
                <w:szCs w:val="24"/>
                <w:highlight w:val="none"/>
                <w:lang w:val="en-US" w:eastAsia="zh-CN"/>
              </w:rPr>
              <w:t>打磨</w:t>
            </w:r>
            <w:r>
              <w:rPr>
                <w:rFonts w:hint="default" w:ascii="Times New Roman" w:hAnsi="Times New Roman" w:cs="Times New Roman"/>
                <w:bCs/>
                <w:color w:val="auto"/>
                <w:sz w:val="24"/>
                <w:szCs w:val="24"/>
                <w:highlight w:val="none"/>
                <w:lang w:val="en-US" w:eastAsia="zh-CN"/>
              </w:rPr>
              <w:t>工序设置固定工位，</w:t>
            </w:r>
            <w:r>
              <w:rPr>
                <w:rFonts w:hint="eastAsia" w:cs="Times New Roman"/>
                <w:bCs/>
                <w:color w:val="auto"/>
                <w:sz w:val="24"/>
                <w:szCs w:val="24"/>
                <w:highlight w:val="none"/>
                <w:lang w:val="en-US" w:eastAsia="zh-CN"/>
              </w:rPr>
              <w:t>东西两列布设，每列配套建设1座喷淋塔，</w:t>
            </w:r>
            <w:r>
              <w:rPr>
                <w:rFonts w:hint="eastAsia"/>
                <w:b w:val="0"/>
                <w:bCs w:val="0"/>
                <w:color w:val="auto"/>
                <w:sz w:val="24"/>
                <w:lang w:val="en-US" w:eastAsia="zh-CN"/>
              </w:rPr>
              <w:t>共</w:t>
            </w:r>
            <w:r>
              <w:rPr>
                <w:rFonts w:hint="eastAsia" w:ascii="Times New Roman" w:hAnsi="Times New Roman" w:eastAsia="宋体" w:cs="Times New Roman"/>
                <w:bCs/>
                <w:color w:val="auto"/>
                <w:sz w:val="24"/>
                <w:szCs w:val="24"/>
                <w:highlight w:val="none"/>
                <w:lang w:val="en-US" w:eastAsia="zh-CN"/>
              </w:rPr>
              <w:t>建设2座相同类型喷淋塔，</w:t>
            </w:r>
            <w:r>
              <w:rPr>
                <w:rFonts w:hint="eastAsia" w:cs="Times New Roman"/>
                <w:color w:val="auto"/>
                <w:kern w:val="0"/>
                <w:sz w:val="24"/>
                <w:szCs w:val="20"/>
                <w:lang w:val="en-US" w:eastAsia="zh-CN"/>
              </w:rPr>
              <w:t>除尘设备配套的风机风量分别为10000m</w:t>
            </w:r>
            <w:r>
              <w:rPr>
                <w:rFonts w:hint="eastAsia" w:cs="Times New Roman"/>
                <w:color w:val="auto"/>
                <w:kern w:val="0"/>
                <w:sz w:val="24"/>
                <w:szCs w:val="20"/>
                <w:vertAlign w:val="superscript"/>
                <w:lang w:val="en-US" w:eastAsia="zh-CN"/>
              </w:rPr>
              <w:t>3</w:t>
            </w:r>
            <w:r>
              <w:rPr>
                <w:rFonts w:hint="eastAsia" w:cs="Times New Roman"/>
                <w:color w:val="auto"/>
                <w:kern w:val="0"/>
                <w:sz w:val="24"/>
                <w:szCs w:val="20"/>
                <w:lang w:val="en-US" w:eastAsia="zh-CN"/>
              </w:rPr>
              <w:t>/h，</w:t>
            </w:r>
            <w:r>
              <w:rPr>
                <w:rFonts w:hint="eastAsia" w:ascii="Times New Roman" w:hAnsi="Times New Roman" w:eastAsia="宋体" w:cs="Times New Roman"/>
                <w:bCs/>
                <w:color w:val="auto"/>
                <w:sz w:val="24"/>
                <w:szCs w:val="24"/>
                <w:highlight w:val="none"/>
                <w:lang w:val="en-US" w:eastAsia="zh-CN"/>
              </w:rPr>
              <w:t>打磨粉尘经喷淋塔除尘处理后分别经15m高排气筒排放。</w:t>
            </w:r>
          </w:p>
          <w:p w14:paraId="355D4D55">
            <w:pPr>
              <w:spacing w:line="360" w:lineRule="auto"/>
              <w:ind w:firstLine="480" w:firstLineChars="200"/>
              <w:contextualSpacing/>
              <w:rPr>
                <w:rFonts w:hint="default" w:ascii="Times New Roman" w:hAnsi="Times New Roman" w:cs="Times New Roman"/>
                <w:color w:val="0000FF"/>
                <w:sz w:val="24"/>
                <w:lang w:val="en-US" w:eastAsia="zh-CN"/>
              </w:rPr>
            </w:pPr>
            <w:r>
              <w:rPr>
                <w:rFonts w:hint="default" w:ascii="Times New Roman" w:hAnsi="Times New Roman" w:cs="Times New Roman"/>
                <w:color w:val="auto"/>
                <w:sz w:val="24"/>
                <w:szCs w:val="24"/>
                <w:highlight w:val="none"/>
              </w:rPr>
              <w:t>根据《排放源统计调查产排污核算方法和系数手册》（2021年第24号）中的《33-37</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431-434机械行业系数手册》中</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06预处理</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中产污系数，</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bCs/>
                <w:color w:val="auto"/>
                <w:sz w:val="24"/>
                <w:szCs w:val="24"/>
                <w:highlight w:val="none"/>
              </w:rPr>
              <w:t>钢材（含板材、构件等）、铝材（含板材、构件等）、铝合金（含板材、构件等）、铁材、</w:t>
            </w:r>
            <w:r>
              <w:rPr>
                <w:rFonts w:hint="eastAsia" w:cs="Times New Roman"/>
                <w:bCs/>
                <w:color w:val="auto"/>
                <w:sz w:val="24"/>
                <w:szCs w:val="24"/>
                <w:highlight w:val="none"/>
                <w:lang w:eastAsia="zh-CN"/>
              </w:rPr>
              <w:t>其他</w:t>
            </w:r>
            <w:r>
              <w:rPr>
                <w:rFonts w:hint="default" w:ascii="Times New Roman" w:hAnsi="Times New Roman" w:cs="Times New Roman"/>
                <w:bCs/>
                <w:color w:val="auto"/>
                <w:sz w:val="24"/>
                <w:szCs w:val="24"/>
                <w:highlight w:val="none"/>
              </w:rPr>
              <w:t>金属材料在抛丸、喷砂、打磨、滚筒过程颗粒物产尘系数为2.19kg/t-原料</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w:t>
            </w:r>
            <w:r>
              <w:rPr>
                <w:rFonts w:hint="eastAsia"/>
                <w:b w:val="0"/>
                <w:bCs w:val="0"/>
                <w:color w:val="auto"/>
                <w:sz w:val="24"/>
                <w:lang w:val="en-US" w:eastAsia="zh-CN"/>
              </w:rPr>
              <w:t>本项目年打磨钛材4741t（其中钛及钛合金板坯2204t、钛棒2204t、去壳钛铸件333t），则打磨粉尘产生量为10.383t/a，</w:t>
            </w:r>
            <w:r>
              <w:rPr>
                <w:rFonts w:hint="eastAsia" w:cs="Times New Roman"/>
                <w:color w:val="auto"/>
                <w:sz w:val="24"/>
                <w:lang w:val="en-US" w:eastAsia="zh-CN"/>
              </w:rPr>
              <w:t>2.163</w:t>
            </w:r>
            <w:r>
              <w:rPr>
                <w:rFonts w:ascii="Times New Roman" w:hAnsi="Times New Roman" w:eastAsia="宋体" w:cs="Times New Roman"/>
                <w:color w:val="auto"/>
                <w:sz w:val="24"/>
              </w:rPr>
              <w:t>kg/h</w:t>
            </w:r>
            <w:r>
              <w:rPr>
                <w:rFonts w:hint="eastAsia"/>
                <w:b w:val="0"/>
                <w:bCs w:val="0"/>
                <w:color w:val="auto"/>
                <w:sz w:val="24"/>
                <w:lang w:val="en-US" w:eastAsia="zh-CN"/>
              </w:rPr>
              <w:t>。</w:t>
            </w:r>
          </w:p>
          <w:p w14:paraId="0D8B0B61">
            <w:pPr>
              <w:spacing w:line="360" w:lineRule="auto"/>
              <w:ind w:firstLine="480" w:firstLineChars="200"/>
              <w:contextualSpacing/>
              <w:rPr>
                <w:rFonts w:hint="default" w:eastAsia="宋体" w:cs="Times New Roman"/>
                <w:color w:val="0000FF"/>
                <w:sz w:val="24"/>
                <w:lang w:val="en-US" w:eastAsia="zh-CN"/>
              </w:rPr>
            </w:pPr>
            <w:r>
              <w:rPr>
                <w:rFonts w:hint="eastAsia" w:cs="Times New Roman"/>
                <w:color w:val="auto"/>
                <w:sz w:val="24"/>
                <w:lang w:val="en-US" w:eastAsia="zh-CN"/>
              </w:rPr>
              <w:t>根据</w:t>
            </w:r>
            <w:r>
              <w:rPr>
                <w:rFonts w:hint="eastAsia" w:cs="Times New Roman"/>
                <w:color w:val="auto"/>
                <w:kern w:val="0"/>
                <w:sz w:val="24"/>
                <w:szCs w:val="20"/>
                <w:lang w:val="en-US" w:eastAsia="zh-CN"/>
              </w:rPr>
              <w:t>建设单位提供的设计资料，</w:t>
            </w:r>
            <w:r>
              <w:rPr>
                <w:rFonts w:hint="default" w:ascii="Times New Roman" w:hAnsi="Times New Roman" w:cs="Times New Roman"/>
                <w:bCs/>
                <w:color w:val="auto"/>
                <w:sz w:val="24"/>
                <w:szCs w:val="24"/>
                <w:highlight w:val="none"/>
                <w:lang w:val="en-US" w:eastAsia="zh-CN"/>
              </w:rPr>
              <w:t>项目</w:t>
            </w:r>
            <w:r>
              <w:rPr>
                <w:rFonts w:hint="eastAsia" w:ascii="Times New Roman" w:hAnsi="Times New Roman" w:cs="Times New Roman"/>
                <w:bCs/>
                <w:color w:val="auto"/>
                <w:sz w:val="24"/>
                <w:szCs w:val="24"/>
                <w:highlight w:val="none"/>
                <w:lang w:val="en-US" w:eastAsia="zh-CN"/>
              </w:rPr>
              <w:t>打磨</w:t>
            </w:r>
            <w:r>
              <w:rPr>
                <w:rFonts w:hint="default" w:ascii="Times New Roman" w:hAnsi="Times New Roman" w:cs="Times New Roman"/>
                <w:bCs/>
                <w:color w:val="auto"/>
                <w:sz w:val="24"/>
                <w:szCs w:val="24"/>
                <w:highlight w:val="none"/>
                <w:lang w:val="en-US" w:eastAsia="zh-CN"/>
              </w:rPr>
              <w:t>工序设置固定工位，</w:t>
            </w:r>
            <w:r>
              <w:rPr>
                <w:rFonts w:hint="eastAsia" w:ascii="Times New Roman" w:hAnsi="Times New Roman" w:cs="Times New Roman"/>
                <w:bCs/>
                <w:color w:val="auto"/>
                <w:sz w:val="24"/>
                <w:szCs w:val="24"/>
                <w:highlight w:val="none"/>
                <w:lang w:val="en-US" w:eastAsia="zh-CN"/>
              </w:rPr>
              <w:t>工位采用侧吸风负压收集</w:t>
            </w:r>
            <w:r>
              <w:rPr>
                <w:rFonts w:hint="eastAsia" w:cs="Times New Roman"/>
                <w:bCs/>
                <w:color w:val="auto"/>
                <w:sz w:val="24"/>
                <w:szCs w:val="24"/>
                <w:highlight w:val="none"/>
                <w:lang w:val="en-US" w:eastAsia="zh-CN"/>
              </w:rPr>
              <w:t>，</w:t>
            </w:r>
            <w:r>
              <w:rPr>
                <w:rFonts w:hint="eastAsia" w:cs="Times New Roman"/>
                <w:color w:val="auto"/>
                <w:sz w:val="24"/>
                <w:lang w:val="en-US" w:eastAsia="zh-CN"/>
              </w:rPr>
              <w:t>打磨工序工作时间为4800h/a</w:t>
            </w:r>
            <w:r>
              <w:rPr>
                <w:rFonts w:hint="eastAsia" w:cs="Times New Roman"/>
                <w:color w:val="auto"/>
                <w:kern w:val="0"/>
                <w:sz w:val="24"/>
                <w:szCs w:val="20"/>
                <w:lang w:val="en-US" w:eastAsia="zh-CN"/>
              </w:rPr>
              <w:t>。</w:t>
            </w:r>
            <w:r>
              <w:rPr>
                <w:rFonts w:hint="eastAsia" w:cs="Times New Roman"/>
                <w:bCs/>
                <w:color w:val="auto"/>
                <w:sz w:val="24"/>
                <w:szCs w:val="24"/>
                <w:highlight w:val="none"/>
                <w:lang w:val="en-US" w:eastAsia="zh-CN"/>
              </w:rPr>
              <w:t>根据《</w:t>
            </w:r>
            <w:r>
              <w:rPr>
                <w:rFonts w:hint="eastAsia" w:ascii="Times New Roman" w:hAnsi="Times New Roman" w:cs="Times New Roman"/>
                <w:bCs/>
                <w:color w:val="auto"/>
                <w:sz w:val="24"/>
                <w:szCs w:val="24"/>
                <w:highlight w:val="none"/>
                <w:lang w:val="en-US" w:eastAsia="zh-CN"/>
              </w:rPr>
              <w:t>陕西省排污许可制支撑空气质量持续改善实施方案</w:t>
            </w:r>
            <w:r>
              <w:rPr>
                <w:rFonts w:hint="eastAsia" w:cs="Times New Roman"/>
                <w:bCs/>
                <w:color w:val="auto"/>
                <w:sz w:val="24"/>
                <w:szCs w:val="24"/>
                <w:highlight w:val="none"/>
                <w:lang w:val="en-US" w:eastAsia="zh-CN"/>
              </w:rPr>
              <w:t>》，</w:t>
            </w:r>
            <w:r>
              <w:rPr>
                <w:rFonts w:hint="default" w:ascii="Times New Roman" w:hAnsi="Times New Roman" w:cs="Times New Roman"/>
                <w:bCs/>
                <w:color w:val="auto"/>
                <w:sz w:val="24"/>
                <w:szCs w:val="24"/>
                <w:highlight w:val="none"/>
                <w:lang w:val="en-US" w:eastAsia="zh-CN"/>
              </w:rPr>
              <w:t>收集效率</w:t>
            </w:r>
            <w:r>
              <w:rPr>
                <w:rFonts w:hint="eastAsia" w:cs="Times New Roman"/>
                <w:bCs/>
                <w:color w:val="auto"/>
                <w:sz w:val="24"/>
                <w:szCs w:val="24"/>
                <w:highlight w:val="none"/>
                <w:lang w:val="en-US" w:eastAsia="zh-CN"/>
              </w:rPr>
              <w:t>按85</w:t>
            </w:r>
            <w:r>
              <w:rPr>
                <w:rFonts w:hint="default" w:ascii="Times New Roman" w:hAnsi="Times New Roman" w:cs="Times New Roman"/>
                <w:bCs/>
                <w:color w:val="auto"/>
                <w:sz w:val="24"/>
                <w:szCs w:val="24"/>
                <w:highlight w:val="none"/>
                <w:lang w:val="en-US" w:eastAsia="zh-CN"/>
              </w:rPr>
              <w:t>%</w:t>
            </w:r>
            <w:r>
              <w:rPr>
                <w:rFonts w:hint="eastAsia" w:cs="Times New Roman"/>
                <w:bCs/>
                <w:color w:val="auto"/>
                <w:sz w:val="24"/>
                <w:szCs w:val="24"/>
                <w:highlight w:val="none"/>
                <w:lang w:val="en-US" w:eastAsia="zh-CN"/>
              </w:rPr>
              <w:t>考虑</w:t>
            </w:r>
            <w:r>
              <w:rPr>
                <w:rFonts w:hint="eastAsia" w:ascii="Times New Roman" w:hAnsi="Times New Roman" w:cs="Times New Roman"/>
                <w:bCs/>
                <w:color w:val="auto"/>
                <w:sz w:val="24"/>
                <w:szCs w:val="24"/>
                <w:highlight w:val="none"/>
                <w:lang w:val="en-US" w:eastAsia="zh-CN"/>
              </w:rPr>
              <w:t>，</w:t>
            </w:r>
            <w:r>
              <w:rPr>
                <w:rFonts w:hint="eastAsia" w:cs="Times New Roman"/>
                <w:color w:val="auto"/>
                <w:spacing w:val="0"/>
                <w:kern w:val="2"/>
                <w:position w:val="0"/>
                <w:sz w:val="24"/>
                <w:szCs w:val="24"/>
                <w:highlight w:val="none"/>
                <w:lang w:val="en-US" w:eastAsia="zh-CN"/>
              </w:rPr>
              <w:t>根据</w:t>
            </w:r>
            <w:r>
              <w:rPr>
                <w:rFonts w:hint="eastAsia" w:ascii="Times New Roman" w:hAnsi="Times New Roman" w:cs="Times New Roman"/>
                <w:color w:val="auto"/>
                <w:sz w:val="24"/>
                <w:lang w:val="en-US" w:eastAsia="zh-CN"/>
              </w:rPr>
              <w:t>《工业源产排污核算方法和系数手册》，</w:t>
            </w:r>
            <w:r>
              <w:rPr>
                <w:rFonts w:hint="eastAsia" w:cs="Times New Roman"/>
                <w:color w:val="auto"/>
                <w:sz w:val="24"/>
                <w:lang w:val="en-US" w:eastAsia="zh-CN"/>
              </w:rPr>
              <w:t>喷淋塔除尘</w:t>
            </w:r>
            <w:r>
              <w:rPr>
                <w:rFonts w:hint="eastAsia" w:cs="Times New Roman"/>
                <w:color w:val="auto"/>
                <w:sz w:val="24"/>
                <w:highlight w:val="none"/>
                <w:lang w:val="en-US" w:eastAsia="zh-CN"/>
              </w:rPr>
              <w:t>效率按85%计</w:t>
            </w:r>
            <w:r>
              <w:rPr>
                <w:rFonts w:hint="eastAsia" w:cs="Times New Roman"/>
                <w:color w:val="auto"/>
                <w:sz w:val="24"/>
                <w:lang w:val="en-US" w:eastAsia="zh-CN"/>
              </w:rPr>
              <w:t>，则</w:t>
            </w:r>
            <w:r>
              <w:rPr>
                <w:rFonts w:hint="eastAsia" w:ascii="Times New Roman" w:hAnsi="Times New Roman" w:eastAsia="宋体" w:cs="Times New Roman"/>
                <w:color w:val="auto"/>
                <w:sz w:val="24"/>
                <w:lang w:val="en-US" w:eastAsia="zh-CN"/>
              </w:rPr>
              <w:t>颗粒物</w:t>
            </w:r>
            <w:r>
              <w:rPr>
                <w:rFonts w:hint="eastAsia" w:cs="Times New Roman"/>
                <w:color w:val="auto"/>
                <w:sz w:val="24"/>
                <w:lang w:val="en-US" w:eastAsia="zh-CN"/>
              </w:rPr>
              <w:t>有组织</w:t>
            </w:r>
            <w:r>
              <w:rPr>
                <w:rFonts w:ascii="Times New Roman" w:hAnsi="Times New Roman" w:eastAsia="宋体" w:cs="Times New Roman"/>
                <w:color w:val="auto"/>
                <w:sz w:val="24"/>
              </w:rPr>
              <w:t>排放量为</w:t>
            </w:r>
            <w:r>
              <w:rPr>
                <w:rFonts w:hint="eastAsia" w:cs="Times New Roman"/>
                <w:color w:val="auto"/>
                <w:sz w:val="24"/>
                <w:lang w:val="en-US" w:eastAsia="zh-CN"/>
              </w:rPr>
              <w:t>1.324</w:t>
            </w:r>
            <w:r>
              <w:rPr>
                <w:rFonts w:hint="eastAsia" w:ascii="Times New Roman" w:hAnsi="Times New Roman" w:eastAsia="宋体" w:cs="Times New Roman"/>
                <w:color w:val="auto"/>
                <w:sz w:val="24"/>
              </w:rPr>
              <w:t>t</w:t>
            </w:r>
            <w:r>
              <w:rPr>
                <w:rFonts w:ascii="Times New Roman" w:hAnsi="Times New Roman" w:eastAsia="宋体" w:cs="Times New Roman"/>
                <w:color w:val="auto"/>
                <w:sz w:val="24"/>
              </w:rPr>
              <w:t>/a，</w:t>
            </w:r>
            <w:r>
              <w:rPr>
                <w:rFonts w:hint="eastAsia" w:ascii="Times New Roman" w:hAnsi="Times New Roman" w:eastAsia="宋体" w:cs="Times New Roman"/>
                <w:color w:val="auto"/>
                <w:sz w:val="24"/>
                <w:lang w:val="en-US" w:eastAsia="zh-CN"/>
              </w:rPr>
              <w:t>排放速率为</w:t>
            </w:r>
            <w:r>
              <w:rPr>
                <w:rFonts w:hint="eastAsia" w:cs="Times New Roman"/>
                <w:color w:val="auto"/>
                <w:sz w:val="24"/>
                <w:lang w:val="en-US" w:eastAsia="zh-CN"/>
              </w:rPr>
              <w:t>0.276</w:t>
            </w:r>
            <w:r>
              <w:rPr>
                <w:rFonts w:ascii="Times New Roman" w:hAnsi="Times New Roman" w:eastAsia="宋体" w:cs="Times New Roman"/>
                <w:color w:val="auto"/>
                <w:sz w:val="24"/>
              </w:rPr>
              <w:t>kg/h，</w:t>
            </w:r>
            <w:r>
              <w:rPr>
                <w:rFonts w:hint="eastAsia" w:ascii="Times New Roman" w:hAnsi="Times New Roman" w:eastAsia="宋体" w:cs="Times New Roman"/>
                <w:color w:val="auto"/>
                <w:sz w:val="24"/>
                <w:lang w:val="en-US" w:eastAsia="zh-CN"/>
              </w:rPr>
              <w:t>排放浓度为</w:t>
            </w:r>
            <w:r>
              <w:rPr>
                <w:rFonts w:hint="eastAsia" w:cs="Times New Roman"/>
                <w:color w:val="auto"/>
                <w:sz w:val="24"/>
                <w:lang w:val="en-US" w:eastAsia="zh-CN"/>
              </w:rPr>
              <w:t>27.58</w:t>
            </w:r>
            <w:r>
              <w:rPr>
                <w:rFonts w:ascii="Times New Roman" w:hAnsi="Times New Roman" w:eastAsia="宋体" w:cs="Times New Roman"/>
                <w:color w:val="auto"/>
                <w:sz w:val="24"/>
              </w:rPr>
              <w:t>mg/m</w:t>
            </w:r>
            <w:r>
              <w:rPr>
                <w:rFonts w:ascii="Times New Roman" w:hAnsi="Times New Roman" w:eastAsia="宋体" w:cs="Times New Roman"/>
                <w:color w:val="auto"/>
                <w:sz w:val="24"/>
                <w:szCs w:val="22"/>
                <w:vertAlign w:val="superscript"/>
              </w:rPr>
              <w:t>3</w:t>
            </w:r>
            <w:r>
              <w:rPr>
                <w:rFonts w:hint="eastAsia" w:hAnsi="宋体" w:cs="Times New Roman"/>
                <w:color w:val="auto"/>
                <w:sz w:val="24"/>
                <w:szCs w:val="24"/>
                <w:lang w:eastAsia="zh-CN"/>
              </w:rPr>
              <w:t>；</w:t>
            </w:r>
            <w:r>
              <w:rPr>
                <w:rFonts w:hint="eastAsia" w:hAnsi="宋体" w:cs="Times New Roman"/>
                <w:color w:val="auto"/>
                <w:sz w:val="24"/>
                <w:szCs w:val="24"/>
                <w:lang w:val="en-US" w:eastAsia="zh-CN"/>
              </w:rPr>
              <w:t>无组织排放量为1.557t/a，排放速率为0.324kg/h</w:t>
            </w:r>
            <w:r>
              <w:rPr>
                <w:rFonts w:hint="default" w:ascii="Times New Roman" w:hAnsi="宋体" w:eastAsia="宋体" w:cs="Times New Roman"/>
                <w:color w:val="auto"/>
                <w:sz w:val="24"/>
                <w:szCs w:val="24"/>
              </w:rPr>
              <w:t>。</w:t>
            </w:r>
            <w:r>
              <w:rPr>
                <w:rFonts w:hint="eastAsia" w:hAnsi="宋体" w:cs="Times New Roman"/>
                <w:color w:val="auto"/>
                <w:sz w:val="24"/>
                <w:szCs w:val="24"/>
                <w:lang w:val="en-US" w:eastAsia="zh-CN"/>
              </w:rPr>
              <w:t>本次评价按照两列打磨设备打磨工件的能力、工作时间相同考虑。</w:t>
            </w:r>
          </w:p>
          <w:p w14:paraId="78AF14C6">
            <w:pPr>
              <w:pStyle w:val="58"/>
              <w:keepNext w:val="0"/>
              <w:keepLines w:val="0"/>
              <w:pageBreakBefore w:val="0"/>
              <w:widowControl w:val="0"/>
              <w:kinsoku/>
              <w:wordWrap/>
              <w:overflowPunct/>
              <w:topLinePunct w:val="0"/>
              <w:autoSpaceDE/>
              <w:autoSpaceDN/>
              <w:bidi w:val="0"/>
              <w:adjustRightInd/>
              <w:snapToGrid/>
              <w:ind w:firstLine="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表4-</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lang w:val="en-US" w:eastAsia="zh-CN"/>
              </w:rPr>
              <w:t xml:space="preserve">  本项目</w:t>
            </w:r>
            <w:r>
              <w:rPr>
                <w:rFonts w:hint="eastAsia" w:cs="Times New Roman"/>
                <w:color w:val="auto"/>
                <w:highlight w:val="none"/>
                <w:lang w:val="en-US" w:eastAsia="zh-CN"/>
              </w:rPr>
              <w:t>废气</w:t>
            </w:r>
            <w:r>
              <w:rPr>
                <w:rFonts w:hint="default" w:ascii="Times New Roman" w:hAnsi="Times New Roman" w:cs="Times New Roman"/>
                <w:color w:val="auto"/>
                <w:highlight w:val="none"/>
              </w:rPr>
              <w:t>产排污情况</w:t>
            </w:r>
            <w:r>
              <w:rPr>
                <w:rFonts w:hint="default" w:ascii="Times New Roman" w:hAnsi="Times New Roman" w:cs="Times New Roman"/>
                <w:color w:val="auto"/>
                <w:highlight w:val="none"/>
                <w:lang w:val="en-US" w:eastAsia="zh-CN"/>
              </w:rPr>
              <w:t>一览表</w:t>
            </w:r>
          </w:p>
          <w:tbl>
            <w:tblPr>
              <w:tblStyle w:val="24"/>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9"/>
              <w:gridCol w:w="920"/>
              <w:gridCol w:w="427"/>
              <w:gridCol w:w="893"/>
              <w:gridCol w:w="968"/>
              <w:gridCol w:w="1200"/>
              <w:gridCol w:w="924"/>
              <w:gridCol w:w="1061"/>
              <w:gridCol w:w="1187"/>
            </w:tblGrid>
            <w:tr w14:paraId="5DF518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2" w:type="pct"/>
                  <w:tcBorders>
                    <w:tl2br w:val="nil"/>
                    <w:tr2bl w:val="nil"/>
                  </w:tcBorders>
                  <w:noWrap w:val="0"/>
                  <w:vAlign w:val="center"/>
                </w:tcPr>
                <w:p w14:paraId="1839B78D">
                  <w:pPr>
                    <w:pStyle w:val="47"/>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产污环节</w:t>
                  </w:r>
                </w:p>
              </w:tc>
              <w:tc>
                <w:tcPr>
                  <w:tcW w:w="555" w:type="pct"/>
                  <w:tcBorders>
                    <w:tl2br w:val="nil"/>
                    <w:tr2bl w:val="nil"/>
                  </w:tcBorders>
                  <w:noWrap w:val="0"/>
                  <w:vAlign w:val="center"/>
                </w:tcPr>
                <w:p w14:paraId="63B66D67">
                  <w:pPr>
                    <w:pStyle w:val="47"/>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污染因子</w:t>
                  </w:r>
                </w:p>
              </w:tc>
              <w:tc>
                <w:tcPr>
                  <w:tcW w:w="797" w:type="pct"/>
                  <w:gridSpan w:val="2"/>
                  <w:tcBorders>
                    <w:tl2br w:val="nil"/>
                    <w:tr2bl w:val="nil"/>
                  </w:tcBorders>
                  <w:noWrap w:val="0"/>
                  <w:vAlign w:val="center"/>
                </w:tcPr>
                <w:p w14:paraId="5E859F2F">
                  <w:pPr>
                    <w:pStyle w:val="47"/>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排放形式</w:t>
                  </w:r>
                </w:p>
              </w:tc>
              <w:tc>
                <w:tcPr>
                  <w:tcW w:w="584" w:type="pct"/>
                  <w:tcBorders>
                    <w:tl2br w:val="nil"/>
                    <w:tr2bl w:val="nil"/>
                  </w:tcBorders>
                  <w:noWrap w:val="0"/>
                  <w:vAlign w:val="center"/>
                </w:tcPr>
                <w:p w14:paraId="6B92FE12">
                  <w:pPr>
                    <w:pStyle w:val="47"/>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产生量（t/a）</w:t>
                  </w:r>
                </w:p>
              </w:tc>
              <w:tc>
                <w:tcPr>
                  <w:tcW w:w="724" w:type="pct"/>
                  <w:tcBorders>
                    <w:tl2br w:val="nil"/>
                    <w:tr2bl w:val="nil"/>
                  </w:tcBorders>
                  <w:noWrap w:val="0"/>
                  <w:vAlign w:val="center"/>
                </w:tcPr>
                <w:p w14:paraId="575FF4A3">
                  <w:pPr>
                    <w:pStyle w:val="47"/>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产生速率（kg/h）</w:t>
                  </w:r>
                </w:p>
              </w:tc>
              <w:tc>
                <w:tcPr>
                  <w:tcW w:w="558" w:type="pct"/>
                  <w:tcBorders>
                    <w:tl2br w:val="nil"/>
                    <w:tr2bl w:val="nil"/>
                  </w:tcBorders>
                  <w:noWrap w:val="0"/>
                  <w:vAlign w:val="center"/>
                </w:tcPr>
                <w:p w14:paraId="535911DA">
                  <w:pPr>
                    <w:pStyle w:val="47"/>
                    <w:ind w:firstLine="0" w:firstLineChars="0"/>
                    <w:rPr>
                      <w:rFonts w:hint="default" w:ascii="Times New Roman" w:hAnsi="Times New Roman" w:cs="Times New Roman"/>
                      <w:snapToGrid w:val="0"/>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排放量（t/a）</w:t>
                  </w:r>
                </w:p>
              </w:tc>
              <w:tc>
                <w:tcPr>
                  <w:tcW w:w="640" w:type="pct"/>
                  <w:tcBorders>
                    <w:tl2br w:val="nil"/>
                    <w:tr2bl w:val="nil"/>
                  </w:tcBorders>
                  <w:noWrap w:val="0"/>
                  <w:vAlign w:val="center"/>
                </w:tcPr>
                <w:p w14:paraId="5A7C959E">
                  <w:pPr>
                    <w:pStyle w:val="47"/>
                    <w:ind w:firstLine="0" w:firstLineChars="0"/>
                    <w:rPr>
                      <w:rFonts w:hint="default" w:ascii="Times New Roman" w:hAnsi="Times New Roman" w:cs="Times New Roman"/>
                      <w:snapToGrid w:val="0"/>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排放速率（kg/h）</w:t>
                  </w:r>
                </w:p>
              </w:tc>
              <w:tc>
                <w:tcPr>
                  <w:tcW w:w="716" w:type="pct"/>
                  <w:tcBorders>
                    <w:tl2br w:val="nil"/>
                    <w:tr2bl w:val="nil"/>
                  </w:tcBorders>
                  <w:noWrap w:val="0"/>
                  <w:vAlign w:val="center"/>
                </w:tcPr>
                <w:p w14:paraId="4EEAEE54">
                  <w:pPr>
                    <w:pStyle w:val="47"/>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排放浓度（</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lang w:val="en-US" w:eastAsia="zh-CN"/>
                    </w:rPr>
                    <w:t>）</w:t>
                  </w:r>
                </w:p>
              </w:tc>
            </w:tr>
            <w:tr w14:paraId="34574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2" w:type="pct"/>
                  <w:vMerge w:val="restart"/>
                  <w:tcBorders>
                    <w:tl2br w:val="nil"/>
                    <w:tr2bl w:val="nil"/>
                  </w:tcBorders>
                  <w:noWrap w:val="0"/>
                  <w:vAlign w:val="center"/>
                </w:tcPr>
                <w:p w14:paraId="605F2CAF">
                  <w:pPr>
                    <w:pStyle w:val="47"/>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打磨</w:t>
                  </w:r>
                </w:p>
              </w:tc>
              <w:tc>
                <w:tcPr>
                  <w:tcW w:w="555" w:type="pct"/>
                  <w:vMerge w:val="restart"/>
                  <w:tcBorders>
                    <w:tl2br w:val="nil"/>
                    <w:tr2bl w:val="nil"/>
                  </w:tcBorders>
                  <w:noWrap w:val="0"/>
                  <w:vAlign w:val="center"/>
                </w:tcPr>
                <w:p w14:paraId="53AA05EE">
                  <w:pPr>
                    <w:pStyle w:val="47"/>
                    <w:ind w:firstLine="0" w:firstLineChars="0"/>
                    <w:rPr>
                      <w:rFonts w:hint="default" w:ascii="Times New Roman" w:hAnsi="Times New Roman" w:cs="Times New Roman"/>
                      <w:snapToGrid w:val="0"/>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颗粒物</w:t>
                  </w:r>
                </w:p>
              </w:tc>
              <w:tc>
                <w:tcPr>
                  <w:tcW w:w="257" w:type="pct"/>
                  <w:vMerge w:val="restart"/>
                  <w:tcBorders>
                    <w:tl2br w:val="nil"/>
                    <w:tr2bl w:val="nil"/>
                  </w:tcBorders>
                  <w:noWrap/>
                  <w:vAlign w:val="center"/>
                </w:tcPr>
                <w:p w14:paraId="7F2C637E">
                  <w:pPr>
                    <w:pStyle w:val="47"/>
                    <w:ind w:firstLine="0" w:firstLineChars="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有</w:t>
                  </w:r>
                  <w:r>
                    <w:rPr>
                      <w:rFonts w:hint="default" w:ascii="Times New Roman" w:hAnsi="Times New Roman" w:cs="Times New Roman"/>
                      <w:color w:val="auto"/>
                      <w:sz w:val="21"/>
                      <w:szCs w:val="21"/>
                      <w:highlight w:val="none"/>
                    </w:rPr>
                    <w:t>组织</w:t>
                  </w:r>
                </w:p>
              </w:tc>
              <w:tc>
                <w:tcPr>
                  <w:tcW w:w="539" w:type="pct"/>
                  <w:tcBorders>
                    <w:tl2br w:val="nil"/>
                    <w:tr2bl w:val="nil"/>
                  </w:tcBorders>
                  <w:noWrap/>
                  <w:vAlign w:val="center"/>
                </w:tcPr>
                <w:p w14:paraId="2B49CB13">
                  <w:pPr>
                    <w:pStyle w:val="47"/>
                    <w:ind w:firstLine="0" w:firstLineChars="0"/>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DA001</w:t>
                  </w:r>
                </w:p>
              </w:tc>
              <w:tc>
                <w:tcPr>
                  <w:tcW w:w="584" w:type="pct"/>
                  <w:tcBorders>
                    <w:tl2br w:val="nil"/>
                    <w:tr2bl w:val="nil"/>
                  </w:tcBorders>
                  <w:noWrap w:val="0"/>
                  <w:vAlign w:val="center"/>
                </w:tcPr>
                <w:p w14:paraId="17636FCA">
                  <w:pPr>
                    <w:keepNext w:val="0"/>
                    <w:keepLines w:val="0"/>
                    <w:widowControl/>
                    <w:suppressLineNumbers w:val="0"/>
                    <w:jc w:val="center"/>
                    <w:textAlignment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4.413</w:t>
                  </w:r>
                </w:p>
              </w:tc>
              <w:tc>
                <w:tcPr>
                  <w:tcW w:w="724" w:type="pct"/>
                  <w:tcBorders>
                    <w:tl2br w:val="nil"/>
                    <w:tr2bl w:val="nil"/>
                  </w:tcBorders>
                  <w:noWrap/>
                  <w:vAlign w:val="center"/>
                </w:tcPr>
                <w:p w14:paraId="35C46A8C">
                  <w:pPr>
                    <w:keepNext w:val="0"/>
                    <w:keepLines w:val="0"/>
                    <w:widowControl/>
                    <w:suppressLineNumbers w:val="0"/>
                    <w:jc w:val="center"/>
                    <w:textAlignment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0.92</w:t>
                  </w:r>
                </w:p>
              </w:tc>
              <w:tc>
                <w:tcPr>
                  <w:tcW w:w="558" w:type="pct"/>
                  <w:tcBorders>
                    <w:tl2br w:val="nil"/>
                    <w:tr2bl w:val="nil"/>
                  </w:tcBorders>
                  <w:noWrap/>
                  <w:vAlign w:val="center"/>
                </w:tcPr>
                <w:p w14:paraId="0CED540F">
                  <w:pPr>
                    <w:keepNext w:val="0"/>
                    <w:keepLines w:val="0"/>
                    <w:widowControl/>
                    <w:suppressLineNumbers w:val="0"/>
                    <w:jc w:val="center"/>
                    <w:textAlignment w:val="center"/>
                    <w:rPr>
                      <w:rFonts w:hint="default" w:ascii="Times New Roman" w:hAnsi="Times New Roman" w:cs="Times New Roman"/>
                      <w:snapToGrid w:val="0"/>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0.662</w:t>
                  </w:r>
                </w:p>
              </w:tc>
              <w:tc>
                <w:tcPr>
                  <w:tcW w:w="640" w:type="pct"/>
                  <w:tcBorders>
                    <w:tl2br w:val="nil"/>
                    <w:tr2bl w:val="nil"/>
                  </w:tcBorders>
                  <w:noWrap/>
                  <w:vAlign w:val="center"/>
                </w:tcPr>
                <w:p w14:paraId="47C8F2A3">
                  <w:pPr>
                    <w:keepNext w:val="0"/>
                    <w:keepLines w:val="0"/>
                    <w:widowControl/>
                    <w:suppressLineNumbers w:val="0"/>
                    <w:jc w:val="center"/>
                    <w:textAlignment w:val="center"/>
                    <w:rPr>
                      <w:rFonts w:hint="default" w:ascii="Times New Roman" w:hAnsi="Times New Roman"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ascii="Times New Roman" w:hAnsi="Times New Roman" w:eastAsia="宋体" w:cs="Times New Roman"/>
                      <w:i w:val="0"/>
                      <w:iCs w:val="0"/>
                      <w:color w:val="auto"/>
                      <w:kern w:val="0"/>
                      <w:sz w:val="21"/>
                      <w:szCs w:val="21"/>
                      <w:highlight w:val="none"/>
                      <w:u w:val="none"/>
                      <w:lang w:val="en-US" w:eastAsia="zh-CN" w:bidi="ar"/>
                    </w:rPr>
                    <w:t>138</w:t>
                  </w:r>
                </w:p>
              </w:tc>
              <w:tc>
                <w:tcPr>
                  <w:tcW w:w="716" w:type="pct"/>
                  <w:tcBorders>
                    <w:tl2br w:val="nil"/>
                    <w:tr2bl w:val="nil"/>
                  </w:tcBorders>
                  <w:noWrap/>
                  <w:vAlign w:val="center"/>
                </w:tcPr>
                <w:p w14:paraId="69EF7010">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13.79</w:t>
                  </w:r>
                </w:p>
              </w:tc>
            </w:tr>
            <w:tr w14:paraId="288B39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2" w:type="pct"/>
                  <w:vMerge w:val="continue"/>
                  <w:tcBorders>
                    <w:tl2br w:val="nil"/>
                    <w:tr2bl w:val="nil"/>
                  </w:tcBorders>
                  <w:noWrap w:val="0"/>
                  <w:vAlign w:val="center"/>
                </w:tcPr>
                <w:p w14:paraId="48808580">
                  <w:pPr>
                    <w:pStyle w:val="47"/>
                    <w:rPr>
                      <w:rFonts w:hint="eastAsia" w:cs="Times New Roman"/>
                      <w:color w:val="auto"/>
                      <w:sz w:val="21"/>
                      <w:szCs w:val="21"/>
                      <w:highlight w:val="none"/>
                      <w:lang w:val="en-US" w:eastAsia="zh-CN"/>
                    </w:rPr>
                  </w:pPr>
                </w:p>
              </w:tc>
              <w:tc>
                <w:tcPr>
                  <w:tcW w:w="555" w:type="pct"/>
                  <w:vMerge w:val="continue"/>
                  <w:tcBorders>
                    <w:tl2br w:val="nil"/>
                    <w:tr2bl w:val="nil"/>
                  </w:tcBorders>
                  <w:noWrap w:val="0"/>
                  <w:vAlign w:val="center"/>
                </w:tcPr>
                <w:p w14:paraId="16549DA6">
                  <w:pPr>
                    <w:pStyle w:val="47"/>
                    <w:ind w:firstLine="0" w:firstLineChars="0"/>
                    <w:rPr>
                      <w:rFonts w:hint="default" w:ascii="Times New Roman" w:hAnsi="Times New Roman" w:cs="Times New Roman"/>
                      <w:color w:val="auto"/>
                      <w:sz w:val="21"/>
                      <w:szCs w:val="21"/>
                      <w:highlight w:val="none"/>
                    </w:rPr>
                  </w:pPr>
                </w:p>
              </w:tc>
              <w:tc>
                <w:tcPr>
                  <w:tcW w:w="257" w:type="pct"/>
                  <w:vMerge w:val="continue"/>
                  <w:tcBorders>
                    <w:tl2br w:val="nil"/>
                    <w:tr2bl w:val="nil"/>
                  </w:tcBorders>
                  <w:noWrap/>
                  <w:vAlign w:val="center"/>
                </w:tcPr>
                <w:p w14:paraId="65B215E2">
                  <w:pPr>
                    <w:pStyle w:val="47"/>
                    <w:ind w:firstLine="0" w:firstLineChars="0"/>
                    <w:rPr>
                      <w:rFonts w:hint="default" w:ascii="Times New Roman" w:hAnsi="Times New Roman" w:cs="Times New Roman"/>
                      <w:color w:val="auto"/>
                      <w:sz w:val="21"/>
                      <w:szCs w:val="21"/>
                      <w:highlight w:val="none"/>
                      <w:lang w:val="en-US" w:eastAsia="zh-CN"/>
                    </w:rPr>
                  </w:pPr>
                </w:p>
              </w:tc>
              <w:tc>
                <w:tcPr>
                  <w:tcW w:w="539" w:type="pct"/>
                  <w:tcBorders>
                    <w:tl2br w:val="nil"/>
                    <w:tr2bl w:val="nil"/>
                  </w:tcBorders>
                  <w:noWrap/>
                  <w:vAlign w:val="center"/>
                </w:tcPr>
                <w:p w14:paraId="17242EF1">
                  <w:pPr>
                    <w:pStyle w:val="47"/>
                    <w:ind w:firstLine="0" w:firstLineChars="0"/>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DA002</w:t>
                  </w:r>
                </w:p>
              </w:tc>
              <w:tc>
                <w:tcPr>
                  <w:tcW w:w="584" w:type="pct"/>
                  <w:tcBorders>
                    <w:tl2br w:val="nil"/>
                    <w:tr2bl w:val="nil"/>
                  </w:tcBorders>
                  <w:noWrap w:val="0"/>
                  <w:vAlign w:val="center"/>
                </w:tcPr>
                <w:p w14:paraId="399F08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4.413</w:t>
                  </w:r>
                </w:p>
              </w:tc>
              <w:tc>
                <w:tcPr>
                  <w:tcW w:w="724" w:type="pct"/>
                  <w:tcBorders>
                    <w:tl2br w:val="nil"/>
                    <w:tr2bl w:val="nil"/>
                  </w:tcBorders>
                  <w:noWrap/>
                  <w:vAlign w:val="center"/>
                </w:tcPr>
                <w:p w14:paraId="0BBC96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0.92</w:t>
                  </w:r>
                </w:p>
              </w:tc>
              <w:tc>
                <w:tcPr>
                  <w:tcW w:w="558" w:type="pct"/>
                  <w:tcBorders>
                    <w:tl2br w:val="nil"/>
                    <w:tr2bl w:val="nil"/>
                  </w:tcBorders>
                  <w:noWrap/>
                  <w:vAlign w:val="center"/>
                </w:tcPr>
                <w:p w14:paraId="366B5E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0.662</w:t>
                  </w:r>
                </w:p>
              </w:tc>
              <w:tc>
                <w:tcPr>
                  <w:tcW w:w="640" w:type="pct"/>
                  <w:tcBorders>
                    <w:tl2br w:val="nil"/>
                    <w:tr2bl w:val="nil"/>
                  </w:tcBorders>
                  <w:noWrap/>
                  <w:vAlign w:val="center"/>
                </w:tcPr>
                <w:p w14:paraId="3CE236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0.138</w:t>
                  </w:r>
                </w:p>
              </w:tc>
              <w:tc>
                <w:tcPr>
                  <w:tcW w:w="716" w:type="pct"/>
                  <w:tcBorders>
                    <w:tl2br w:val="nil"/>
                    <w:tr2bl w:val="nil"/>
                  </w:tcBorders>
                  <w:noWrap/>
                  <w:vAlign w:val="center"/>
                </w:tcPr>
                <w:p w14:paraId="3AF8CDB0">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13.79</w:t>
                  </w:r>
                </w:p>
              </w:tc>
            </w:tr>
            <w:tr w14:paraId="711207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2" w:type="pct"/>
                  <w:vMerge w:val="continue"/>
                  <w:tcBorders>
                    <w:tl2br w:val="nil"/>
                    <w:tr2bl w:val="nil"/>
                  </w:tcBorders>
                  <w:noWrap w:val="0"/>
                  <w:vAlign w:val="center"/>
                </w:tcPr>
                <w:p w14:paraId="0BD0165A">
                  <w:pPr>
                    <w:pStyle w:val="47"/>
                    <w:rPr>
                      <w:rFonts w:hint="eastAsia" w:ascii="Times New Roman" w:hAnsi="Times New Roman" w:cs="Times New Roman"/>
                      <w:color w:val="auto"/>
                      <w:sz w:val="21"/>
                      <w:szCs w:val="21"/>
                      <w:highlight w:val="none"/>
                      <w:lang w:val="en-US" w:eastAsia="zh-CN"/>
                    </w:rPr>
                  </w:pPr>
                </w:p>
              </w:tc>
              <w:tc>
                <w:tcPr>
                  <w:tcW w:w="555" w:type="pct"/>
                  <w:vMerge w:val="continue"/>
                  <w:tcBorders>
                    <w:tl2br w:val="nil"/>
                    <w:tr2bl w:val="nil"/>
                  </w:tcBorders>
                  <w:noWrap w:val="0"/>
                  <w:vAlign w:val="center"/>
                </w:tcPr>
                <w:p w14:paraId="6F39A3A9">
                  <w:pPr>
                    <w:pStyle w:val="47"/>
                    <w:ind w:firstLine="0" w:firstLineChars="0"/>
                    <w:rPr>
                      <w:rFonts w:hint="default" w:ascii="Times New Roman" w:hAnsi="Times New Roman" w:cs="Times New Roman"/>
                      <w:snapToGrid w:val="0"/>
                      <w:color w:val="auto"/>
                      <w:kern w:val="2"/>
                      <w:sz w:val="21"/>
                      <w:szCs w:val="21"/>
                      <w:highlight w:val="none"/>
                      <w:lang w:val="en-US" w:eastAsia="zh-CN" w:bidi="ar-SA"/>
                    </w:rPr>
                  </w:pPr>
                </w:p>
              </w:tc>
              <w:tc>
                <w:tcPr>
                  <w:tcW w:w="797" w:type="pct"/>
                  <w:gridSpan w:val="2"/>
                  <w:tcBorders>
                    <w:tl2br w:val="nil"/>
                    <w:tr2bl w:val="nil"/>
                  </w:tcBorders>
                  <w:noWrap/>
                  <w:vAlign w:val="center"/>
                </w:tcPr>
                <w:p w14:paraId="2E181105">
                  <w:pPr>
                    <w:pStyle w:val="47"/>
                    <w:ind w:firstLine="0" w:firstLineChars="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无组织</w:t>
                  </w:r>
                </w:p>
              </w:tc>
              <w:tc>
                <w:tcPr>
                  <w:tcW w:w="584" w:type="pct"/>
                  <w:tcBorders>
                    <w:tl2br w:val="nil"/>
                    <w:tr2bl w:val="nil"/>
                  </w:tcBorders>
                  <w:noWrap w:val="0"/>
                  <w:vAlign w:val="center"/>
                </w:tcPr>
                <w:p w14:paraId="423BCEC4">
                  <w:pPr>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snapToGrid w:val="0"/>
                      <w:color w:val="auto"/>
                      <w:kern w:val="2"/>
                      <w:sz w:val="21"/>
                      <w:szCs w:val="21"/>
                      <w:highlight w:val="none"/>
                      <w:lang w:val="en-US" w:eastAsia="zh-CN" w:bidi="ar-SA"/>
                    </w:rPr>
                    <w:t>1.557</w:t>
                  </w:r>
                </w:p>
              </w:tc>
              <w:tc>
                <w:tcPr>
                  <w:tcW w:w="724" w:type="pct"/>
                  <w:tcBorders>
                    <w:tl2br w:val="nil"/>
                    <w:tr2bl w:val="nil"/>
                  </w:tcBorders>
                  <w:noWrap/>
                  <w:vAlign w:val="center"/>
                </w:tcPr>
                <w:p w14:paraId="6E19028C">
                  <w:pPr>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snapToGrid w:val="0"/>
                      <w:color w:val="auto"/>
                      <w:kern w:val="2"/>
                      <w:sz w:val="21"/>
                      <w:szCs w:val="21"/>
                      <w:highlight w:val="none"/>
                      <w:lang w:val="en-US" w:eastAsia="zh-CN" w:bidi="ar-SA"/>
                    </w:rPr>
                    <w:t>0.324</w:t>
                  </w:r>
                </w:p>
              </w:tc>
              <w:tc>
                <w:tcPr>
                  <w:tcW w:w="558" w:type="pct"/>
                  <w:tcBorders>
                    <w:tl2br w:val="nil"/>
                    <w:tr2bl w:val="nil"/>
                  </w:tcBorders>
                  <w:noWrap/>
                  <w:vAlign w:val="center"/>
                </w:tcPr>
                <w:p w14:paraId="7978C26A">
                  <w:pPr>
                    <w:keepNext w:val="0"/>
                    <w:keepLines w:val="0"/>
                    <w:widowControl/>
                    <w:suppressLineNumbers w:val="0"/>
                    <w:jc w:val="center"/>
                    <w:textAlignment w:val="center"/>
                    <w:rPr>
                      <w:rFonts w:hint="default" w:ascii="Times New Roman" w:hAnsi="Times New Roman" w:cs="Times New Roman"/>
                      <w:snapToGrid w:val="0"/>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1.557</w:t>
                  </w:r>
                </w:p>
              </w:tc>
              <w:tc>
                <w:tcPr>
                  <w:tcW w:w="640" w:type="pct"/>
                  <w:tcBorders>
                    <w:tl2br w:val="nil"/>
                    <w:tr2bl w:val="nil"/>
                  </w:tcBorders>
                  <w:noWrap/>
                  <w:vAlign w:val="center"/>
                </w:tcPr>
                <w:p w14:paraId="6993097C">
                  <w:pPr>
                    <w:keepNext w:val="0"/>
                    <w:keepLines w:val="0"/>
                    <w:widowControl/>
                    <w:suppressLineNumbers w:val="0"/>
                    <w:jc w:val="center"/>
                    <w:textAlignment w:val="center"/>
                    <w:rPr>
                      <w:rFonts w:hint="default" w:ascii="Times New Roman" w:hAnsi="Times New Roman"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ascii="Times New Roman" w:hAnsi="Times New Roman" w:eastAsia="宋体" w:cs="Times New Roman"/>
                      <w:i w:val="0"/>
                      <w:iCs w:val="0"/>
                      <w:color w:val="auto"/>
                      <w:kern w:val="0"/>
                      <w:sz w:val="21"/>
                      <w:szCs w:val="21"/>
                      <w:highlight w:val="none"/>
                      <w:u w:val="none"/>
                      <w:lang w:val="en-US" w:eastAsia="zh-CN" w:bidi="ar"/>
                    </w:rPr>
                    <w:t>324</w:t>
                  </w:r>
                </w:p>
              </w:tc>
              <w:tc>
                <w:tcPr>
                  <w:tcW w:w="716" w:type="pct"/>
                  <w:tcBorders>
                    <w:tl2br w:val="nil"/>
                    <w:tr2bl w:val="nil"/>
                  </w:tcBorders>
                  <w:noWrap/>
                  <w:vAlign w:val="center"/>
                </w:tcPr>
                <w:p w14:paraId="18EEB830">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0E63A7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2" w:type="pct"/>
                  <w:tcBorders>
                    <w:tl2br w:val="nil"/>
                    <w:tr2bl w:val="nil"/>
                  </w:tcBorders>
                  <w:noWrap w:val="0"/>
                  <w:vAlign w:val="center"/>
                </w:tcPr>
                <w:p w14:paraId="77EBBC9D">
                  <w:pPr>
                    <w:pStyle w:val="47"/>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喷砂</w:t>
                  </w:r>
                </w:p>
              </w:tc>
              <w:tc>
                <w:tcPr>
                  <w:tcW w:w="555" w:type="pct"/>
                  <w:tcBorders>
                    <w:tl2br w:val="nil"/>
                    <w:tr2bl w:val="nil"/>
                  </w:tcBorders>
                  <w:noWrap w:val="0"/>
                  <w:vAlign w:val="center"/>
                </w:tcPr>
                <w:p w14:paraId="5804477F">
                  <w:pPr>
                    <w:pStyle w:val="47"/>
                    <w:ind w:firstLine="0" w:firstLineChars="0"/>
                    <w:rPr>
                      <w:rFonts w:hint="default" w:ascii="Times New Roman" w:hAnsi="Times New Roman" w:cs="Times New Roman"/>
                      <w:snapToGrid w:val="0"/>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颗粒物</w:t>
                  </w:r>
                </w:p>
              </w:tc>
              <w:tc>
                <w:tcPr>
                  <w:tcW w:w="797" w:type="pct"/>
                  <w:gridSpan w:val="2"/>
                  <w:tcBorders>
                    <w:tl2br w:val="nil"/>
                    <w:tr2bl w:val="nil"/>
                  </w:tcBorders>
                  <w:noWrap/>
                  <w:vAlign w:val="center"/>
                </w:tcPr>
                <w:p w14:paraId="75DFA68F">
                  <w:pPr>
                    <w:pStyle w:val="47"/>
                    <w:ind w:firstLine="0" w:firstLineChars="0"/>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无组织</w:t>
                  </w:r>
                </w:p>
              </w:tc>
              <w:tc>
                <w:tcPr>
                  <w:tcW w:w="584" w:type="pct"/>
                  <w:tcBorders>
                    <w:tl2br w:val="nil"/>
                    <w:tr2bl w:val="nil"/>
                  </w:tcBorders>
                  <w:noWrap w:val="0"/>
                  <w:vAlign w:val="center"/>
                </w:tcPr>
                <w:p w14:paraId="040538AE">
                  <w:pPr>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snapToGrid w:val="0"/>
                      <w:color w:val="auto"/>
                      <w:kern w:val="2"/>
                      <w:sz w:val="21"/>
                      <w:szCs w:val="21"/>
                      <w:highlight w:val="none"/>
                      <w:lang w:val="en-US" w:eastAsia="zh-CN" w:bidi="ar-SA"/>
                    </w:rPr>
                    <w:t>0.729</w:t>
                  </w:r>
                </w:p>
              </w:tc>
              <w:tc>
                <w:tcPr>
                  <w:tcW w:w="724" w:type="pct"/>
                  <w:tcBorders>
                    <w:tl2br w:val="nil"/>
                    <w:tr2bl w:val="nil"/>
                  </w:tcBorders>
                  <w:noWrap/>
                  <w:vAlign w:val="center"/>
                </w:tcPr>
                <w:p w14:paraId="32D1654F">
                  <w:pPr>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snapToGrid w:val="0"/>
                      <w:color w:val="auto"/>
                      <w:kern w:val="2"/>
                      <w:sz w:val="21"/>
                      <w:szCs w:val="21"/>
                      <w:highlight w:val="none"/>
                      <w:lang w:val="en-US" w:eastAsia="zh-CN" w:bidi="ar-SA"/>
                    </w:rPr>
                    <w:t>0.81</w:t>
                  </w:r>
                </w:p>
              </w:tc>
              <w:tc>
                <w:tcPr>
                  <w:tcW w:w="558" w:type="pct"/>
                  <w:tcBorders>
                    <w:tl2br w:val="nil"/>
                    <w:tr2bl w:val="nil"/>
                  </w:tcBorders>
                  <w:noWrap/>
                  <w:vAlign w:val="center"/>
                </w:tcPr>
                <w:p w14:paraId="645B78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0.071</w:t>
                  </w:r>
                </w:p>
              </w:tc>
              <w:tc>
                <w:tcPr>
                  <w:tcW w:w="640" w:type="pct"/>
                  <w:tcBorders>
                    <w:tl2br w:val="nil"/>
                    <w:tr2bl w:val="nil"/>
                  </w:tcBorders>
                  <w:noWrap/>
                  <w:vAlign w:val="center"/>
                </w:tcPr>
                <w:p w14:paraId="439AFC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0.079</w:t>
                  </w:r>
                </w:p>
              </w:tc>
              <w:tc>
                <w:tcPr>
                  <w:tcW w:w="716" w:type="pct"/>
                  <w:tcBorders>
                    <w:tl2br w:val="nil"/>
                    <w:tr2bl w:val="nil"/>
                  </w:tcBorders>
                  <w:noWrap/>
                  <w:vAlign w:val="center"/>
                </w:tcPr>
                <w:p w14:paraId="2FCC8BAF">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bl>
          <w:p w14:paraId="607404D2">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default" w:ascii="Times New Roman" w:hAnsi="Times New Roman"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（3）</w:t>
            </w:r>
            <w:r>
              <w:rPr>
                <w:rFonts w:hint="default" w:ascii="Times New Roman" w:hAnsi="Times New Roman" w:cs="Times New Roman"/>
                <w:b/>
                <w:bCs/>
                <w:color w:val="auto"/>
                <w:sz w:val="24"/>
                <w:highlight w:val="none"/>
              </w:rPr>
              <w:t>达标排放情况</w:t>
            </w:r>
            <w:r>
              <w:rPr>
                <w:rFonts w:hint="default" w:ascii="Times New Roman" w:hAnsi="Times New Roman" w:cs="Times New Roman"/>
                <w:b/>
                <w:bCs/>
                <w:color w:val="auto"/>
                <w:sz w:val="24"/>
                <w:highlight w:val="none"/>
                <w:lang w:val="en-US" w:eastAsia="zh-CN"/>
              </w:rPr>
              <w:t>及影响</w:t>
            </w:r>
            <w:r>
              <w:rPr>
                <w:rFonts w:hint="default" w:ascii="Times New Roman" w:hAnsi="Times New Roman" w:cs="Times New Roman"/>
                <w:b/>
                <w:bCs/>
                <w:color w:val="auto"/>
                <w:sz w:val="24"/>
                <w:highlight w:val="none"/>
              </w:rPr>
              <w:t>分析</w:t>
            </w:r>
          </w:p>
          <w:p w14:paraId="177236AE">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highlight w:val="none"/>
              </w:rPr>
              <w:t>根据以上废气产排情况分析，</w:t>
            </w:r>
            <w:r>
              <w:rPr>
                <w:rFonts w:hint="default" w:ascii="Times New Roman" w:hAnsi="Times New Roman" w:cs="Times New Roman"/>
                <w:bCs/>
                <w:color w:val="auto"/>
                <w:sz w:val="24"/>
                <w:lang w:val="en-US" w:eastAsia="zh-CN"/>
              </w:rPr>
              <w:t>本项目打磨粉尘经</w:t>
            </w:r>
            <w:r>
              <w:rPr>
                <w:rFonts w:hint="eastAsia" w:cs="Times New Roman"/>
                <w:bCs/>
                <w:color w:val="auto"/>
                <w:sz w:val="24"/>
                <w:lang w:val="en-US" w:eastAsia="zh-CN"/>
              </w:rPr>
              <w:t>水旋喷淋塔除尘处理后分别经2根15m高排气筒排放；喷砂粉尘经配套袋式除尘器处理后在车间内无组织排放</w:t>
            </w:r>
            <w:r>
              <w:rPr>
                <w:rFonts w:hint="eastAsia" w:ascii="Times New Roman" w:hAnsi="Times New Roman" w:eastAsia="宋体" w:cs="Times New Roman"/>
                <w:color w:val="auto"/>
                <w:sz w:val="24"/>
                <w:szCs w:val="24"/>
                <w:highlight w:val="none"/>
                <w:lang w:val="en-US" w:eastAsia="zh-CN"/>
              </w:rPr>
              <w:t>。</w:t>
            </w:r>
          </w:p>
          <w:p w14:paraId="391B10EC">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DA001</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DA00</w:t>
            </w:r>
            <w:r>
              <w:rPr>
                <w:rFonts w:hint="eastAsia" w:ascii="Times New Roman" w:hAnsi="Times New Roman" w:eastAsia="宋体" w:cs="Times New Roman"/>
                <w:color w:val="auto"/>
                <w:sz w:val="24"/>
                <w:szCs w:val="24"/>
                <w:highlight w:val="none"/>
                <w:lang w:val="en-US" w:eastAsia="zh-CN"/>
              </w:rPr>
              <w:t>2排气筒</w:t>
            </w:r>
            <w:r>
              <w:rPr>
                <w:rFonts w:hint="default" w:ascii="Times New Roman" w:hAnsi="Times New Roman" w:eastAsia="宋体" w:cs="Times New Roman"/>
                <w:color w:val="auto"/>
                <w:sz w:val="24"/>
                <w:szCs w:val="24"/>
                <w:highlight w:val="none"/>
                <w:lang w:val="en-US" w:eastAsia="zh-CN"/>
              </w:rPr>
              <w:t>颗粒物最大排放浓度为</w:t>
            </w:r>
            <w:r>
              <w:rPr>
                <w:rFonts w:hint="eastAsia" w:ascii="Times New Roman" w:hAnsi="Times New Roman" w:cs="Times New Roman"/>
                <w:color w:val="auto"/>
                <w:sz w:val="24"/>
                <w:szCs w:val="24"/>
                <w:highlight w:val="none"/>
                <w:lang w:val="en-US" w:eastAsia="zh-CN"/>
              </w:rPr>
              <w:t>13.79</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eastAsia" w:ascii="Times New Roman" w:hAnsi="Times New Roman" w:cs="Times New Roman"/>
                <w:color w:val="auto"/>
                <w:sz w:val="24"/>
                <w:highlight w:val="none"/>
                <w:vertAlign w:val="baseline"/>
                <w:lang w:val="en-US" w:eastAsia="zh-CN"/>
              </w:rPr>
              <w:t>≤120</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vertAlign w:val="baseline"/>
                <w:lang w:eastAsia="zh-CN"/>
              </w:rPr>
              <w:t>，</w:t>
            </w:r>
            <w:r>
              <w:rPr>
                <w:rFonts w:hint="default" w:ascii="Times New Roman" w:hAnsi="Times New Roman" w:cs="Times New Roman"/>
                <w:color w:val="auto"/>
                <w:sz w:val="24"/>
                <w:highlight w:val="none"/>
                <w:vertAlign w:val="baseline"/>
                <w:lang w:val="en-US" w:eastAsia="zh-CN"/>
              </w:rPr>
              <w:t>排放速率0.</w:t>
            </w:r>
            <w:r>
              <w:rPr>
                <w:rFonts w:hint="eastAsia" w:ascii="Times New Roman" w:hAnsi="Times New Roman" w:cs="Times New Roman"/>
                <w:color w:val="auto"/>
                <w:sz w:val="24"/>
                <w:highlight w:val="none"/>
                <w:vertAlign w:val="baseline"/>
                <w:lang w:val="en-US" w:eastAsia="zh-CN"/>
              </w:rPr>
              <w:t>138</w:t>
            </w:r>
            <w:r>
              <w:rPr>
                <w:rFonts w:hint="default" w:ascii="Times New Roman" w:hAnsi="Times New Roman" w:cs="Times New Roman"/>
                <w:color w:val="auto"/>
                <w:sz w:val="24"/>
                <w:highlight w:val="none"/>
                <w:vertAlign w:val="baseline"/>
                <w:lang w:val="en-US" w:eastAsia="zh-CN"/>
              </w:rPr>
              <w:t>kg/h</w:t>
            </w:r>
            <w:r>
              <w:rPr>
                <w:rFonts w:hint="eastAsia" w:ascii="Times New Roman" w:hAnsi="Times New Roman" w:cs="Times New Roman"/>
                <w:color w:val="auto"/>
                <w:sz w:val="24"/>
                <w:highlight w:val="none"/>
                <w:vertAlign w:val="baseline"/>
                <w:lang w:val="en-US" w:eastAsia="zh-CN"/>
              </w:rPr>
              <w:t>≤3.5</w:t>
            </w:r>
            <w:r>
              <w:rPr>
                <w:rFonts w:hint="default" w:ascii="Times New Roman" w:hAnsi="Times New Roman" w:cs="Times New Roman"/>
                <w:color w:val="auto"/>
                <w:sz w:val="24"/>
                <w:highlight w:val="none"/>
                <w:vertAlign w:val="baseline"/>
                <w:lang w:val="en-US" w:eastAsia="zh-CN"/>
              </w:rPr>
              <w:t>kg/h</w:t>
            </w:r>
            <w:r>
              <w:rPr>
                <w:rFonts w:hint="eastAsia" w:ascii="Times New Roman" w:hAnsi="Times New Roman" w:cs="Times New Roman"/>
                <w:color w:val="auto"/>
                <w:sz w:val="24"/>
                <w:highlight w:val="none"/>
                <w:vertAlign w:val="baseline"/>
                <w:lang w:val="en-US" w:eastAsia="zh-CN"/>
              </w:rPr>
              <w:t>；</w:t>
            </w:r>
            <w:r>
              <w:rPr>
                <w:rFonts w:hint="default" w:ascii="Times New Roman" w:hAnsi="Times New Roman" w:cs="Times New Roman"/>
                <w:color w:val="auto"/>
                <w:sz w:val="24"/>
                <w:highlight w:val="none"/>
                <w:vertAlign w:val="baseline"/>
                <w:lang w:val="en-US" w:eastAsia="zh-CN"/>
              </w:rPr>
              <w:t>满足</w:t>
            </w:r>
            <w:r>
              <w:rPr>
                <w:rFonts w:hint="default" w:ascii="Times New Roman" w:hAnsi="Times New Roman" w:eastAsia="宋体" w:cs="Times New Roman"/>
                <w:color w:val="auto"/>
                <w:sz w:val="24"/>
                <w:szCs w:val="24"/>
                <w:highlight w:val="none"/>
                <w:lang w:val="en-US" w:eastAsia="zh-CN"/>
              </w:rPr>
              <w:t>《大气污染物综合排放标准》（GB16297-1996）限值。</w:t>
            </w:r>
          </w:p>
          <w:p w14:paraId="243AB47F">
            <w:pPr>
              <w:spacing w:line="360" w:lineRule="auto"/>
              <w:ind w:firstLine="480" w:firstLineChars="200"/>
              <w:rPr>
                <w:rFonts w:hint="default" w:ascii="Times New Roman" w:hAnsi="Times New Roman" w:cs="Times New Roman"/>
                <w:color w:val="auto"/>
                <w:sz w:val="24"/>
                <w:highlight w:val="yellow"/>
              </w:rPr>
            </w:pPr>
            <w:r>
              <w:rPr>
                <w:rFonts w:hint="default" w:ascii="Times New Roman" w:hAnsi="Times New Roman" w:cs="Times New Roman"/>
                <w:color w:val="auto"/>
                <w:sz w:val="24"/>
                <w:highlight w:val="none"/>
                <w:lang w:val="en-US" w:eastAsia="zh-CN"/>
              </w:rPr>
              <w:t>经过估算，</w:t>
            </w:r>
            <w:r>
              <w:rPr>
                <w:rFonts w:hint="default" w:ascii="Times New Roman" w:hAnsi="Times New Roman" w:cs="Times New Roman"/>
                <w:color w:val="auto"/>
                <w:sz w:val="24"/>
                <w:szCs w:val="24"/>
                <w:highlight w:val="none"/>
              </w:rPr>
              <w:t>本项目</w:t>
            </w:r>
            <w:r>
              <w:rPr>
                <w:rFonts w:hint="default" w:ascii="Times New Roman" w:hAnsi="Times New Roman" w:cs="Times New Roman"/>
                <w:color w:val="auto"/>
                <w:sz w:val="24"/>
                <w:szCs w:val="24"/>
                <w:highlight w:val="none"/>
                <w:lang w:val="en-US" w:eastAsia="zh-CN"/>
              </w:rPr>
              <w:t>厂界</w:t>
            </w:r>
            <w:r>
              <w:rPr>
                <w:rFonts w:hint="default" w:ascii="Times New Roman" w:hAnsi="Times New Roman" w:cs="Times New Roman"/>
                <w:color w:val="auto"/>
                <w:sz w:val="24"/>
                <w:szCs w:val="24"/>
                <w:highlight w:val="none"/>
              </w:rPr>
              <w:t>无组织</w:t>
            </w:r>
            <w:r>
              <w:rPr>
                <w:rFonts w:hint="default" w:ascii="Times New Roman" w:hAnsi="Times New Roman" w:cs="Times New Roman"/>
                <w:color w:val="auto"/>
                <w:sz w:val="24"/>
                <w:szCs w:val="24"/>
                <w:highlight w:val="none"/>
                <w:lang w:val="en-US" w:eastAsia="zh-CN"/>
              </w:rPr>
              <w:t>颗粒物排放浓度满足</w:t>
            </w:r>
            <w:r>
              <w:rPr>
                <w:rFonts w:hint="default" w:ascii="Times New Roman" w:hAnsi="Times New Roman" w:eastAsia="宋体" w:cs="Times New Roman"/>
                <w:color w:val="auto"/>
                <w:sz w:val="24"/>
                <w:szCs w:val="24"/>
                <w:highlight w:val="none"/>
                <w:lang w:val="en-US" w:eastAsia="zh-CN"/>
              </w:rPr>
              <w:t>《大气污染物综合排放标准》（GB16297-1996）限值要求</w:t>
            </w:r>
            <w:r>
              <w:rPr>
                <w:rFonts w:hint="default" w:ascii="Times New Roman" w:hAnsi="Times New Roman" w:cs="Times New Roman"/>
                <w:color w:val="auto"/>
                <w:sz w:val="24"/>
                <w:szCs w:val="24"/>
                <w:highlight w:val="none"/>
              </w:rPr>
              <w:t>。</w:t>
            </w:r>
          </w:p>
          <w:p w14:paraId="3F2AF54A">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综上所述，项目产生的废气</w:t>
            </w:r>
            <w:r>
              <w:rPr>
                <w:rFonts w:hint="default" w:ascii="Times New Roman" w:hAnsi="Times New Roman" w:cs="Times New Roman"/>
                <w:color w:val="auto"/>
                <w:sz w:val="24"/>
                <w:highlight w:val="none"/>
              </w:rPr>
              <w:t>对周边环境影响较小。</w:t>
            </w:r>
          </w:p>
          <w:p w14:paraId="5FFB2360">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eastAsia="zh-CN"/>
              </w:rPr>
              <w:t>（</w:t>
            </w:r>
            <w:r>
              <w:rPr>
                <w:rFonts w:hint="eastAsia" w:cs="Times New Roman"/>
                <w:b/>
                <w:bCs/>
                <w:color w:val="auto"/>
                <w:sz w:val="24"/>
                <w:highlight w:val="none"/>
                <w:lang w:val="en-US" w:eastAsia="zh-CN"/>
              </w:rPr>
              <w:t>4</w:t>
            </w:r>
            <w:r>
              <w:rPr>
                <w:rFonts w:hint="eastAsia" w:cs="Times New Roman"/>
                <w:b/>
                <w:bCs/>
                <w:color w:val="auto"/>
                <w:sz w:val="24"/>
                <w:highlight w:val="none"/>
                <w:lang w:eastAsia="zh-CN"/>
              </w:rPr>
              <w:t>）</w:t>
            </w:r>
            <w:r>
              <w:rPr>
                <w:rFonts w:ascii="Times New Roman" w:hAnsi="Times New Roman" w:eastAsia="宋体" w:cs="Times New Roman"/>
                <w:b/>
                <w:bCs/>
                <w:color w:val="auto"/>
                <w:sz w:val="24"/>
                <w:highlight w:val="none"/>
              </w:rPr>
              <w:t>污染防治措施可行性</w:t>
            </w:r>
            <w:r>
              <w:rPr>
                <w:rFonts w:hint="default" w:ascii="Times New Roman" w:hAnsi="Times New Roman" w:eastAsia="宋体" w:cs="Times New Roman"/>
                <w:b/>
                <w:bCs/>
                <w:color w:val="auto"/>
                <w:sz w:val="24"/>
                <w:highlight w:val="none"/>
              </w:rPr>
              <w:t>分析</w:t>
            </w:r>
          </w:p>
          <w:p w14:paraId="2993D917">
            <w:pPr>
              <w:spacing w:line="360" w:lineRule="auto"/>
              <w:ind w:firstLine="480" w:firstLineChars="200"/>
              <w:rPr>
                <w:rFonts w:hint="default" w:ascii="Times New Roman" w:hAnsi="Times New Roman" w:cs="Times New Roman"/>
                <w:bCs/>
                <w:color w:val="auto"/>
                <w:sz w:val="24"/>
                <w:lang w:val="en-US"/>
              </w:rPr>
            </w:pPr>
            <w:r>
              <w:rPr>
                <w:rFonts w:hint="default" w:ascii="Times New Roman" w:hAnsi="Times New Roman" w:eastAsia="宋体" w:cs="Times New Roman"/>
                <w:color w:val="auto"/>
                <w:sz w:val="24"/>
                <w:szCs w:val="24"/>
                <w:highlight w:val="none"/>
                <w:lang w:val="en-US" w:eastAsia="zh-CN"/>
              </w:rPr>
              <w:t>项目所属行业尚未发布行业排污许可技术规范和行业污染防治可行技术指南，</w:t>
            </w:r>
            <w:r>
              <w:rPr>
                <w:rFonts w:hint="eastAsia" w:ascii="Times New Roman" w:hAnsi="Times New Roman" w:cs="Times New Roman"/>
                <w:color w:val="auto"/>
                <w:sz w:val="24"/>
                <w:szCs w:val="24"/>
                <w:highlight w:val="none"/>
                <w:lang w:val="en-US" w:eastAsia="zh-CN"/>
              </w:rPr>
              <w:t>本项目</w:t>
            </w:r>
            <w:r>
              <w:rPr>
                <w:rFonts w:hint="default" w:ascii="Times New Roman" w:hAnsi="Times New Roman" w:cs="Times New Roman"/>
                <w:bCs/>
                <w:color w:val="auto"/>
                <w:sz w:val="24"/>
                <w:lang w:val="en-US" w:eastAsia="zh-CN"/>
              </w:rPr>
              <w:t>参照《排污许可证申请与核发技术规范</w:t>
            </w:r>
            <w:r>
              <w:rPr>
                <w:rFonts w:hint="eastAsia" w:cs="Times New Roman"/>
                <w:bCs/>
                <w:color w:val="auto"/>
                <w:sz w:val="24"/>
                <w:lang w:val="en-US" w:eastAsia="zh-CN"/>
              </w:rPr>
              <w:t xml:space="preserve"> </w:t>
            </w:r>
            <w:r>
              <w:rPr>
                <w:rFonts w:hint="default" w:ascii="Times New Roman" w:hAnsi="Times New Roman" w:cs="Times New Roman"/>
                <w:bCs/>
                <w:color w:val="auto"/>
                <w:sz w:val="24"/>
                <w:lang w:val="en-US" w:eastAsia="zh-CN"/>
              </w:rPr>
              <w:t>铁路、船舶、航空航天和其他运输设备制造业》（HJ1124-2020）中表5：预处理生产单元机械预处理产污环节打磨</w:t>
            </w:r>
            <w:r>
              <w:rPr>
                <w:rFonts w:hint="eastAsia" w:cs="Times New Roman"/>
                <w:bCs/>
                <w:color w:val="auto"/>
                <w:sz w:val="24"/>
                <w:lang w:val="en-US" w:eastAsia="zh-CN"/>
              </w:rPr>
              <w:t>、喷砂</w:t>
            </w:r>
            <w:r>
              <w:rPr>
                <w:rFonts w:hint="default" w:ascii="Times New Roman" w:hAnsi="Times New Roman" w:cs="Times New Roman"/>
                <w:bCs/>
                <w:color w:val="auto"/>
                <w:sz w:val="24"/>
                <w:lang w:val="en-US" w:eastAsia="zh-CN"/>
              </w:rPr>
              <w:t>设备产生的颗粒物，可行的污染防治技术包括袋式除尘、湿式除尘。</w:t>
            </w:r>
            <w:r>
              <w:rPr>
                <w:rFonts w:hint="eastAsia" w:cs="Times New Roman"/>
                <w:bCs/>
                <w:color w:val="auto"/>
                <w:sz w:val="24"/>
                <w:lang w:val="en-US" w:eastAsia="zh-CN"/>
              </w:rPr>
              <w:t>根据</w:t>
            </w:r>
            <w:r>
              <w:rPr>
                <w:rFonts w:hint="eastAsia" w:cs="Times New Roman"/>
                <w:bCs/>
                <w:color w:val="auto"/>
                <w:sz w:val="24"/>
                <w:lang w:val="en-US" w:eastAsia="zh-CN"/>
              </w:rPr>
              <w:fldChar w:fldCharType="begin"/>
            </w:r>
            <w:r>
              <w:rPr>
                <w:rFonts w:hint="eastAsia" w:cs="Times New Roman"/>
                <w:bCs/>
                <w:color w:val="auto"/>
                <w:sz w:val="24"/>
                <w:lang w:val="en-US" w:eastAsia="zh-CN"/>
              </w:rPr>
              <w:instrText xml:space="preserve"> HYPERLINK "https://www.mee.gov.cn/ywdt/gsgg/gongshi/gsq/202409/W020240920400041409039.pdf" </w:instrText>
            </w:r>
            <w:r>
              <w:rPr>
                <w:rFonts w:hint="eastAsia" w:cs="Times New Roman"/>
                <w:bCs/>
                <w:color w:val="auto"/>
                <w:sz w:val="24"/>
                <w:lang w:val="en-US" w:eastAsia="zh-CN"/>
              </w:rPr>
              <w:fldChar w:fldCharType="separate"/>
            </w:r>
            <w:r>
              <w:rPr>
                <w:rFonts w:hint="eastAsia" w:cs="Times New Roman"/>
                <w:bCs/>
                <w:color w:val="auto"/>
                <w:sz w:val="24"/>
                <w:lang w:val="en-US" w:eastAsia="zh-CN"/>
              </w:rPr>
              <w:t>《国家污染防治技术指导目录（2024年，限制类和淘汰类）》（公示稿）</w:t>
            </w:r>
            <w:r>
              <w:rPr>
                <w:rFonts w:hint="eastAsia" w:cs="Times New Roman"/>
                <w:bCs/>
                <w:color w:val="auto"/>
                <w:sz w:val="24"/>
                <w:lang w:val="en-US" w:eastAsia="zh-CN"/>
              </w:rPr>
              <w:fldChar w:fldCharType="end"/>
            </w:r>
            <w:r>
              <w:rPr>
                <w:rFonts w:hint="eastAsia" w:cs="Times New Roman"/>
                <w:bCs/>
                <w:color w:val="auto"/>
                <w:sz w:val="24"/>
                <w:lang w:val="en-US" w:eastAsia="zh-CN"/>
              </w:rPr>
              <w:t>，洗涤、水膜（浴）、文丘里湿法除尘技术为限制类技术。</w:t>
            </w:r>
          </w:p>
          <w:p w14:paraId="78D5BB28">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lang w:val="en-US" w:eastAsia="zh-CN"/>
              </w:rPr>
              <w:t>本项目打磨粉尘经</w:t>
            </w:r>
            <w:r>
              <w:rPr>
                <w:rFonts w:hint="eastAsia" w:cs="Times New Roman"/>
                <w:bCs/>
                <w:color w:val="auto"/>
                <w:sz w:val="24"/>
                <w:lang w:val="en-US" w:eastAsia="zh-CN"/>
              </w:rPr>
              <w:t>水旋喷淋塔除尘处理后分别经2根15m高排气筒排放；喷砂粉尘经配套袋式除尘器处理后在车间内无组织排放，均属于</w:t>
            </w:r>
            <w:r>
              <w:rPr>
                <w:rFonts w:hint="default" w:ascii="Times New Roman" w:hAnsi="Times New Roman" w:cs="Times New Roman"/>
                <w:bCs/>
                <w:color w:val="auto"/>
                <w:sz w:val="24"/>
                <w:lang w:val="en-US" w:eastAsia="zh-CN"/>
              </w:rPr>
              <w:t>《排污许可证申请与核发技术规范 铁路、船舶、航空航天和其他运输设备制造业》（HJ 1124</w:t>
            </w:r>
            <w:r>
              <w:rPr>
                <w:rFonts w:hint="eastAsia" w:cs="Times New Roman"/>
                <w:bCs/>
                <w:color w:val="auto"/>
                <w:sz w:val="24"/>
                <w:lang w:val="en-US" w:eastAsia="zh-CN"/>
              </w:rPr>
              <w:t>-</w:t>
            </w:r>
            <w:r>
              <w:rPr>
                <w:rFonts w:hint="default" w:ascii="Times New Roman" w:hAnsi="Times New Roman" w:cs="Times New Roman"/>
                <w:bCs/>
                <w:color w:val="auto"/>
                <w:sz w:val="24"/>
                <w:lang w:val="en-US" w:eastAsia="zh-CN"/>
              </w:rPr>
              <w:t>2020）中推荐的污染防治措施</w:t>
            </w:r>
            <w:r>
              <w:rPr>
                <w:rFonts w:hint="eastAsia" w:cs="Times New Roman"/>
                <w:bCs/>
                <w:color w:val="auto"/>
                <w:sz w:val="24"/>
                <w:lang w:val="en-US" w:eastAsia="zh-CN"/>
              </w:rPr>
              <w:t>，同时不属于</w:t>
            </w:r>
            <w:r>
              <w:rPr>
                <w:rFonts w:hint="eastAsia" w:cs="Times New Roman"/>
                <w:bCs/>
                <w:color w:val="auto"/>
                <w:sz w:val="24"/>
                <w:lang w:val="en-US" w:eastAsia="zh-CN"/>
              </w:rPr>
              <w:fldChar w:fldCharType="begin"/>
            </w:r>
            <w:r>
              <w:rPr>
                <w:rFonts w:hint="eastAsia" w:cs="Times New Roman"/>
                <w:bCs/>
                <w:color w:val="auto"/>
                <w:sz w:val="24"/>
                <w:lang w:val="en-US" w:eastAsia="zh-CN"/>
              </w:rPr>
              <w:instrText xml:space="preserve"> HYPERLINK "https://www.mee.gov.cn/ywdt/gsgg/gongshi/gsq/202409/W020240920400041409039.pdf" </w:instrText>
            </w:r>
            <w:r>
              <w:rPr>
                <w:rFonts w:hint="eastAsia" w:cs="Times New Roman"/>
                <w:bCs/>
                <w:color w:val="auto"/>
                <w:sz w:val="24"/>
                <w:lang w:val="en-US" w:eastAsia="zh-CN"/>
              </w:rPr>
              <w:fldChar w:fldCharType="separate"/>
            </w:r>
            <w:r>
              <w:rPr>
                <w:rFonts w:hint="eastAsia" w:cs="Times New Roman"/>
                <w:bCs/>
                <w:color w:val="auto"/>
                <w:sz w:val="24"/>
                <w:lang w:val="en-US" w:eastAsia="zh-CN"/>
              </w:rPr>
              <w:t>《国家污染防治技术指导目录（2024年，限制类和淘汰类）》（公示稿）</w:t>
            </w:r>
            <w:r>
              <w:rPr>
                <w:rFonts w:hint="eastAsia" w:cs="Times New Roman"/>
                <w:bCs/>
                <w:color w:val="auto"/>
                <w:sz w:val="24"/>
                <w:lang w:val="en-US" w:eastAsia="zh-CN"/>
              </w:rPr>
              <w:fldChar w:fldCharType="end"/>
            </w:r>
            <w:r>
              <w:rPr>
                <w:rFonts w:hint="eastAsia" w:cs="Times New Roman"/>
                <w:bCs/>
                <w:color w:val="auto"/>
                <w:sz w:val="24"/>
                <w:lang w:val="en-US" w:eastAsia="zh-CN"/>
              </w:rPr>
              <w:t>中的限制类技术</w:t>
            </w:r>
            <w:r>
              <w:rPr>
                <w:rFonts w:hint="default" w:ascii="Times New Roman" w:hAnsi="Times New Roman" w:cs="Times New Roman"/>
                <w:bCs/>
                <w:color w:val="auto"/>
                <w:sz w:val="24"/>
                <w:lang w:val="en-US" w:eastAsia="zh-CN"/>
              </w:rPr>
              <w:t>。</w:t>
            </w:r>
            <w:r>
              <w:rPr>
                <w:rFonts w:hint="eastAsia" w:cs="Times New Roman"/>
                <w:bCs/>
                <w:color w:val="auto"/>
                <w:sz w:val="24"/>
                <w:lang w:val="en-US" w:eastAsia="zh-CN"/>
              </w:rPr>
              <w:t>故</w:t>
            </w:r>
            <w:r>
              <w:rPr>
                <w:rFonts w:hint="default" w:ascii="Times New Roman" w:hAnsi="Times New Roman" w:cs="Times New Roman"/>
                <w:bCs/>
                <w:color w:val="auto"/>
                <w:sz w:val="24"/>
                <w:lang w:val="en-US" w:eastAsia="zh-CN"/>
              </w:rPr>
              <w:t>本项目打磨</w:t>
            </w:r>
            <w:r>
              <w:rPr>
                <w:rFonts w:hint="eastAsia" w:cs="Times New Roman"/>
                <w:bCs/>
                <w:color w:val="auto"/>
                <w:sz w:val="24"/>
                <w:lang w:val="en-US" w:eastAsia="zh-CN"/>
              </w:rPr>
              <w:t>、喷砂</w:t>
            </w:r>
            <w:r>
              <w:rPr>
                <w:rFonts w:hint="default" w:ascii="Times New Roman" w:hAnsi="Times New Roman" w:cs="Times New Roman"/>
                <w:bCs/>
                <w:color w:val="auto"/>
                <w:sz w:val="24"/>
                <w:lang w:val="en-US" w:eastAsia="zh-CN"/>
              </w:rPr>
              <w:t>粉尘废气措施合理可行。</w:t>
            </w:r>
          </w:p>
          <w:p w14:paraId="41E9ECBC">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w:t>
            </w:r>
            <w:r>
              <w:rPr>
                <w:rFonts w:hint="eastAsia" w:cs="Times New Roman"/>
                <w:b/>
                <w:bCs/>
                <w:color w:val="auto"/>
                <w:sz w:val="24"/>
                <w:highlight w:val="none"/>
                <w:lang w:val="en-US" w:eastAsia="zh-CN"/>
              </w:rPr>
              <w:t>5</w:t>
            </w:r>
            <w:r>
              <w:rPr>
                <w:rFonts w:hint="eastAsia" w:ascii="Times New Roman" w:hAnsi="Times New Roman" w:eastAsia="宋体" w:cs="Times New Roman"/>
                <w:b/>
                <w:bCs/>
                <w:color w:val="auto"/>
                <w:sz w:val="24"/>
                <w:highlight w:val="none"/>
                <w:lang w:val="en-US" w:eastAsia="zh-CN"/>
              </w:rPr>
              <w:t>）排气筒设置合理性分析</w:t>
            </w:r>
          </w:p>
          <w:p w14:paraId="0E028B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bCs/>
                <w:color w:val="FF0000"/>
                <w:sz w:val="24"/>
                <w:szCs w:val="22"/>
              </w:rPr>
            </w:pPr>
            <w:r>
              <w:rPr>
                <w:rFonts w:hint="default" w:ascii="Times New Roman" w:hAnsi="Times New Roman" w:eastAsia="宋体" w:cs="Times New Roman"/>
                <w:color w:val="auto"/>
                <w:kern w:val="24"/>
                <w:sz w:val="24"/>
                <w:szCs w:val="24"/>
              </w:rPr>
              <w:t>根据《大气污染物综合排放标准》（GB16297-1996）</w:t>
            </w:r>
            <w:r>
              <w:rPr>
                <w:rFonts w:hint="eastAsia" w:ascii="Times New Roman" w:hAnsi="Times New Roman" w:eastAsia="宋体" w:cs="Times New Roman"/>
                <w:color w:val="auto"/>
                <w:kern w:val="24"/>
                <w:sz w:val="24"/>
                <w:szCs w:val="24"/>
                <w:lang w:val="en-US" w:eastAsia="zh-CN"/>
              </w:rPr>
              <w:t>7.4“新污染源的排气筒一般不低于15m。本项目排气筒高度为15m，满足要求。</w:t>
            </w:r>
            <w:r>
              <w:rPr>
                <w:rFonts w:hint="eastAsia"/>
                <w:color w:val="auto"/>
                <w:sz w:val="24"/>
                <w:szCs w:val="32"/>
                <w:lang w:val="en-US" w:eastAsia="zh-CN"/>
              </w:rPr>
              <w:t>根据</w:t>
            </w:r>
            <w:r>
              <w:rPr>
                <w:rFonts w:hAnsi="宋体"/>
                <w:color w:val="auto"/>
                <w:sz w:val="24"/>
                <w:lang w:val="zh-TW"/>
              </w:rPr>
              <w:t>《大气污染物综合排放标准》</w:t>
            </w:r>
            <w:r>
              <w:rPr>
                <w:rFonts w:hint="eastAsia" w:hAnsi="宋体"/>
                <w:color w:val="auto"/>
                <w:sz w:val="24"/>
                <w:lang w:val="zh-TW"/>
              </w:rPr>
              <w:t>（</w:t>
            </w:r>
            <w:r>
              <w:rPr>
                <w:rFonts w:hAnsi="宋体"/>
                <w:color w:val="auto"/>
                <w:sz w:val="24"/>
                <w:lang w:val="zh-TW"/>
              </w:rPr>
              <w:t>GB16297-1996</w:t>
            </w:r>
            <w:r>
              <w:rPr>
                <w:rFonts w:hint="eastAsia" w:hAnsi="宋体"/>
                <w:color w:val="auto"/>
                <w:sz w:val="24"/>
                <w:lang w:val="zh-TW"/>
              </w:rPr>
              <w:t>），</w:t>
            </w:r>
            <w:r>
              <w:rPr>
                <w:rFonts w:hint="eastAsia" w:hAnsi="宋体"/>
                <w:color w:val="auto"/>
                <w:sz w:val="24"/>
                <w:lang w:val="zh-TW" w:eastAsia="zh-CN"/>
              </w:rPr>
              <w:t>“</w:t>
            </w:r>
            <w:r>
              <w:rPr>
                <w:rFonts w:hint="eastAsia" w:hAnsi="宋体"/>
                <w:color w:val="auto"/>
                <w:sz w:val="24"/>
              </w:rPr>
              <w:t>排气筒高度应高出周围200m半径范围的建筑5m以上</w:t>
            </w:r>
            <w:r>
              <w:rPr>
                <w:rFonts w:hint="eastAsia" w:hAnsi="宋体"/>
                <w:color w:val="auto"/>
                <w:sz w:val="24"/>
                <w:lang w:val="zh-TW" w:eastAsia="zh-CN"/>
              </w:rPr>
              <w:t>”</w:t>
            </w:r>
            <w:r>
              <w:rPr>
                <w:rFonts w:hint="eastAsia" w:hAnsi="宋体"/>
                <w:color w:val="auto"/>
                <w:sz w:val="24"/>
                <w:lang w:eastAsia="zh-CN"/>
              </w:rPr>
              <w:t>，</w:t>
            </w:r>
            <w:r>
              <w:rPr>
                <w:rFonts w:hint="eastAsia" w:hAnsi="宋体"/>
                <w:color w:val="auto"/>
                <w:sz w:val="24"/>
                <w:lang w:val="en-US" w:eastAsia="zh-CN"/>
              </w:rPr>
              <w:t>本项目</w:t>
            </w:r>
            <w:r>
              <w:rPr>
                <w:rFonts w:hint="eastAsia"/>
                <w:color w:val="auto"/>
                <w:kern w:val="0"/>
                <w:sz w:val="24"/>
                <w:lang w:bidi="ar"/>
              </w:rPr>
              <w:t>周围半径200m范围内最高建筑物</w:t>
            </w:r>
            <w:r>
              <w:rPr>
                <w:rFonts w:hint="eastAsia"/>
                <w:bCs/>
                <w:color w:val="auto"/>
                <w:sz w:val="24"/>
                <w:szCs w:val="22"/>
              </w:rPr>
              <w:t>为</w:t>
            </w:r>
            <w:r>
              <w:rPr>
                <w:rFonts w:hint="eastAsia" w:ascii="Times New Roman" w:hAnsi="Times New Roman" w:eastAsia="宋体" w:cs="Times New Roman"/>
                <w:color w:val="auto"/>
                <w:sz w:val="24"/>
                <w:szCs w:val="24"/>
                <w:highlight w:val="none"/>
                <w:lang w:val="en-US" w:eastAsia="zh-CN"/>
              </w:rPr>
              <w:t>项目厂房</w:t>
            </w:r>
            <w:r>
              <w:rPr>
                <w:rFonts w:hint="eastAsia"/>
                <w:bCs/>
                <w:color w:val="auto"/>
                <w:sz w:val="24"/>
                <w:szCs w:val="22"/>
              </w:rPr>
              <w:t>，约为</w:t>
            </w:r>
            <w:r>
              <w:rPr>
                <w:rFonts w:hint="eastAsia"/>
                <w:bCs/>
                <w:color w:val="auto"/>
                <w:sz w:val="24"/>
                <w:szCs w:val="22"/>
                <w:lang w:val="en-US" w:eastAsia="zh-CN"/>
              </w:rPr>
              <w:t>8.5</w:t>
            </w:r>
            <w:r>
              <w:rPr>
                <w:rFonts w:hint="eastAsia"/>
                <w:bCs/>
                <w:color w:val="auto"/>
                <w:sz w:val="24"/>
                <w:szCs w:val="22"/>
              </w:rPr>
              <w:t>m，本项目排气筒高度为</w:t>
            </w:r>
            <w:r>
              <w:rPr>
                <w:rFonts w:hint="eastAsia"/>
                <w:bCs/>
                <w:color w:val="auto"/>
                <w:sz w:val="24"/>
                <w:szCs w:val="22"/>
                <w:lang w:val="en-US" w:eastAsia="zh-CN"/>
              </w:rPr>
              <w:t>15</w:t>
            </w:r>
            <w:r>
              <w:rPr>
                <w:rFonts w:hint="eastAsia"/>
                <w:bCs/>
                <w:color w:val="auto"/>
                <w:sz w:val="24"/>
                <w:szCs w:val="22"/>
              </w:rPr>
              <w:t>m，符合高出周围</w:t>
            </w:r>
            <w:r>
              <w:rPr>
                <w:rFonts w:hint="eastAsia" w:hAnsi="宋体"/>
                <w:color w:val="auto"/>
                <w:sz w:val="24"/>
              </w:rPr>
              <w:t>200m半径范围的建筑5m以上</w:t>
            </w:r>
            <w:r>
              <w:rPr>
                <w:rFonts w:hint="eastAsia" w:hAnsi="宋体"/>
                <w:color w:val="auto"/>
                <w:sz w:val="24"/>
                <w:lang w:val="en-US" w:eastAsia="zh-CN"/>
              </w:rPr>
              <w:t>要求</w:t>
            </w:r>
            <w:r>
              <w:rPr>
                <w:rFonts w:hint="eastAsia" w:hAnsi="宋体"/>
                <w:color w:val="auto"/>
                <w:sz w:val="24"/>
              </w:rPr>
              <w:t>。</w:t>
            </w:r>
          </w:p>
          <w:p w14:paraId="1CA24991">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w:t>
            </w:r>
            <w:r>
              <w:rPr>
                <w:rFonts w:hint="eastAsia" w:cs="Times New Roman"/>
                <w:b/>
                <w:bCs/>
                <w:color w:val="auto"/>
                <w:sz w:val="24"/>
                <w:highlight w:val="none"/>
                <w:lang w:val="en-US" w:eastAsia="zh-CN"/>
              </w:rPr>
              <w:t>6</w:t>
            </w:r>
            <w:r>
              <w:rPr>
                <w:rFonts w:hint="eastAsia" w:ascii="Times New Roman" w:hAnsi="Times New Roman" w:eastAsia="宋体" w:cs="Times New Roman"/>
                <w:b/>
                <w:bCs/>
                <w:color w:val="auto"/>
                <w:sz w:val="24"/>
                <w:highlight w:val="none"/>
                <w:lang w:val="en-US" w:eastAsia="zh-CN"/>
              </w:rPr>
              <w:t>）</w:t>
            </w:r>
            <w:r>
              <w:rPr>
                <w:rFonts w:hint="default" w:ascii="Times New Roman" w:hAnsi="Times New Roman" w:eastAsia="宋体" w:cs="Times New Roman"/>
                <w:b/>
                <w:bCs/>
                <w:color w:val="auto"/>
                <w:sz w:val="24"/>
                <w:highlight w:val="none"/>
                <w:lang w:val="en-US" w:eastAsia="zh-CN"/>
              </w:rPr>
              <w:t>非正常情况污染排放</w:t>
            </w:r>
          </w:p>
          <w:p w14:paraId="722C911F">
            <w:pPr>
              <w:wordWrap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项目非正常情况主要是设备开停时环保</w:t>
            </w:r>
            <w:r>
              <w:rPr>
                <w:rFonts w:hint="eastAsia" w:cs="Times New Roman"/>
                <w:color w:val="auto"/>
                <w:sz w:val="24"/>
                <w:szCs w:val="32"/>
                <w:highlight w:val="none"/>
                <w:lang w:val="en-US" w:eastAsia="zh-CN"/>
              </w:rPr>
              <w:t>设施</w:t>
            </w:r>
            <w:r>
              <w:rPr>
                <w:rFonts w:hint="default" w:ascii="Times New Roman" w:hAnsi="Times New Roman" w:eastAsia="宋体" w:cs="Times New Roman"/>
                <w:color w:val="auto"/>
                <w:sz w:val="24"/>
                <w:szCs w:val="32"/>
                <w:highlight w:val="none"/>
                <w:lang w:val="en-US" w:eastAsia="zh-CN"/>
              </w:rPr>
              <w:t>未提前开启</w:t>
            </w:r>
            <w:r>
              <w:rPr>
                <w:rFonts w:hint="eastAsia" w:cs="Times New Roman"/>
                <w:color w:val="auto"/>
                <w:sz w:val="24"/>
                <w:szCs w:val="32"/>
                <w:highlight w:val="none"/>
                <w:lang w:val="en-US" w:eastAsia="zh-CN"/>
              </w:rPr>
              <w:t>或环保设施故障无法运行</w:t>
            </w:r>
            <w:r>
              <w:rPr>
                <w:rFonts w:hint="default" w:ascii="Times New Roman" w:hAnsi="Times New Roman" w:eastAsia="宋体" w:cs="Times New Roman"/>
                <w:color w:val="auto"/>
                <w:sz w:val="24"/>
                <w:szCs w:val="32"/>
                <w:highlight w:val="none"/>
                <w:lang w:val="en-US" w:eastAsia="zh-CN"/>
              </w:rPr>
              <w:t>，造成废气超标排放，以最不利情况下废气处理系统</w:t>
            </w:r>
            <w:r>
              <w:rPr>
                <w:rFonts w:hint="eastAsia" w:cs="Times New Roman"/>
                <w:color w:val="auto"/>
                <w:sz w:val="24"/>
                <w:szCs w:val="32"/>
                <w:highlight w:val="none"/>
                <w:lang w:val="en-US" w:eastAsia="zh-CN"/>
              </w:rPr>
              <w:t>收集、处理</w:t>
            </w:r>
            <w:r>
              <w:rPr>
                <w:rFonts w:hint="default" w:ascii="Times New Roman" w:hAnsi="Times New Roman" w:eastAsia="宋体" w:cs="Times New Roman"/>
                <w:color w:val="auto"/>
                <w:sz w:val="24"/>
                <w:szCs w:val="32"/>
                <w:highlight w:val="none"/>
                <w:lang w:val="en-US" w:eastAsia="zh-CN"/>
              </w:rPr>
              <w:t>效率为零考虑，源强最大的时段废气排放1h对周围环境的影响，具体见下表。</w:t>
            </w:r>
          </w:p>
          <w:p w14:paraId="41865E09">
            <w:pPr>
              <w:autoSpaceDE w:val="0"/>
              <w:autoSpaceDN w:val="0"/>
              <w:spacing w:line="240" w:lineRule="auto"/>
              <w:jc w:val="center"/>
              <w:rPr>
                <w:rFonts w:hint="default" w:ascii="Times New Roman" w:hAnsi="Times New Roman" w:eastAsia="宋体" w:cs="Times New Roman"/>
                <w:b/>
                <w:color w:val="auto"/>
                <w:szCs w:val="21"/>
                <w:lang w:val="en-US" w:eastAsia="zh-CN"/>
              </w:rPr>
            </w:pPr>
            <w:r>
              <w:rPr>
                <w:rFonts w:hint="default" w:ascii="Times New Roman" w:hAnsi="Times New Roman" w:eastAsia="宋体" w:cs="Times New Roman"/>
                <w:b/>
                <w:color w:val="auto"/>
                <w:szCs w:val="21"/>
                <w:lang w:val="en-US" w:eastAsia="zh-CN"/>
              </w:rPr>
              <w:t>表</w:t>
            </w:r>
            <w:r>
              <w:rPr>
                <w:rFonts w:hint="eastAsia" w:cs="Times New Roman"/>
                <w:b/>
                <w:color w:val="auto"/>
                <w:szCs w:val="21"/>
                <w:lang w:val="en-US" w:eastAsia="zh-CN"/>
              </w:rPr>
              <w:t xml:space="preserve">4-4   </w:t>
            </w:r>
            <w:r>
              <w:rPr>
                <w:rFonts w:hint="default" w:ascii="Times New Roman" w:hAnsi="Times New Roman" w:eastAsia="宋体" w:cs="Times New Roman"/>
                <w:b/>
                <w:color w:val="auto"/>
                <w:szCs w:val="21"/>
                <w:lang w:val="en-US" w:eastAsia="zh-CN"/>
              </w:rPr>
              <w:t>非正常情况废气排放情况一览表</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959"/>
              <w:gridCol w:w="1952"/>
              <w:gridCol w:w="1814"/>
              <w:gridCol w:w="1558"/>
            </w:tblGrid>
            <w:tr w14:paraId="5CA254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786" w:type="pct"/>
                  <w:tcBorders>
                    <w:tl2br w:val="nil"/>
                    <w:tr2bl w:val="nil"/>
                  </w:tcBorders>
                  <w:noWrap w:val="0"/>
                  <w:vAlign w:val="center"/>
                </w:tcPr>
                <w:p w14:paraId="11382140">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产排污环节</w:t>
                  </w:r>
                </w:p>
              </w:tc>
              <w:tc>
                <w:tcPr>
                  <w:tcW w:w="1178" w:type="pct"/>
                  <w:tcBorders>
                    <w:tl2br w:val="nil"/>
                    <w:tr2bl w:val="nil"/>
                  </w:tcBorders>
                  <w:noWrap w:val="0"/>
                  <w:vAlign w:val="center"/>
                </w:tcPr>
                <w:p w14:paraId="665E5F7E">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打磨工序</w:t>
                  </w:r>
                </w:p>
              </w:tc>
              <w:tc>
                <w:tcPr>
                  <w:tcW w:w="2035" w:type="pct"/>
                  <w:gridSpan w:val="2"/>
                  <w:tcBorders>
                    <w:tl2br w:val="nil"/>
                    <w:tr2bl w:val="nil"/>
                  </w:tcBorders>
                  <w:noWrap w:val="0"/>
                  <w:vAlign w:val="center"/>
                </w:tcPr>
                <w:p w14:paraId="381E4060">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喷砂工序</w:t>
                  </w:r>
                </w:p>
              </w:tc>
            </w:tr>
            <w:tr w14:paraId="6CBCD35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786" w:type="pct"/>
                  <w:tcBorders>
                    <w:tl2br w:val="nil"/>
                    <w:tr2bl w:val="nil"/>
                  </w:tcBorders>
                  <w:noWrap w:val="0"/>
                  <w:vAlign w:val="center"/>
                </w:tcPr>
                <w:p w14:paraId="4E6B682B">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污染物种类</w:t>
                  </w:r>
                </w:p>
              </w:tc>
              <w:tc>
                <w:tcPr>
                  <w:tcW w:w="1178" w:type="pct"/>
                  <w:tcBorders>
                    <w:tl2br w:val="nil"/>
                    <w:tr2bl w:val="nil"/>
                  </w:tcBorders>
                  <w:noWrap w:val="0"/>
                  <w:vAlign w:val="center"/>
                </w:tcPr>
                <w:p w14:paraId="7137BCF2">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1095" w:type="pct"/>
                  <w:tcBorders>
                    <w:tl2br w:val="nil"/>
                    <w:tr2bl w:val="nil"/>
                  </w:tcBorders>
                  <w:noWrap w:val="0"/>
                  <w:vAlign w:val="center"/>
                </w:tcPr>
                <w:p w14:paraId="22E5E012">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颗粒物DA001</w:t>
                  </w:r>
                </w:p>
              </w:tc>
              <w:tc>
                <w:tcPr>
                  <w:tcW w:w="940" w:type="pct"/>
                  <w:tcBorders>
                    <w:tl2br w:val="nil"/>
                    <w:tr2bl w:val="nil"/>
                  </w:tcBorders>
                  <w:noWrap w:val="0"/>
                  <w:vAlign w:val="center"/>
                </w:tcPr>
                <w:p w14:paraId="4F02C310">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颗粒物DA002</w:t>
                  </w:r>
                </w:p>
              </w:tc>
            </w:tr>
            <w:tr w14:paraId="1BC667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786" w:type="pct"/>
                  <w:tcBorders>
                    <w:tl2br w:val="nil"/>
                    <w:tr2bl w:val="nil"/>
                  </w:tcBorders>
                  <w:noWrap w:val="0"/>
                  <w:vAlign w:val="center"/>
                </w:tcPr>
                <w:p w14:paraId="2D3118E4">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排放浓度mg/m</w:t>
                  </w:r>
                  <w:r>
                    <w:rPr>
                      <w:rFonts w:hint="eastAsia" w:cs="Times New Roman"/>
                      <w:b w:val="0"/>
                      <w:bCs w:val="0"/>
                      <w:color w:val="auto"/>
                      <w:szCs w:val="21"/>
                      <w:highlight w:val="none"/>
                      <w:vertAlign w:val="superscript"/>
                      <w:lang w:val="en-US" w:eastAsia="zh-CN"/>
                    </w:rPr>
                    <w:t>3</w:t>
                  </w:r>
                </w:p>
              </w:tc>
              <w:tc>
                <w:tcPr>
                  <w:tcW w:w="1178" w:type="pct"/>
                  <w:tcBorders>
                    <w:tl2br w:val="nil"/>
                    <w:tr2bl w:val="nil"/>
                  </w:tcBorders>
                  <w:noWrap w:val="0"/>
                  <w:vAlign w:val="center"/>
                </w:tcPr>
                <w:p w14:paraId="2B8F85AD">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w:t>
                  </w:r>
                </w:p>
              </w:tc>
              <w:tc>
                <w:tcPr>
                  <w:tcW w:w="1095" w:type="pct"/>
                  <w:tcBorders>
                    <w:tl2br w:val="nil"/>
                    <w:tr2bl w:val="nil"/>
                  </w:tcBorders>
                  <w:noWrap w:val="0"/>
                  <w:vAlign w:val="center"/>
                </w:tcPr>
                <w:p w14:paraId="7078E7B4">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108.15</w:t>
                  </w:r>
                </w:p>
              </w:tc>
              <w:tc>
                <w:tcPr>
                  <w:tcW w:w="940" w:type="pct"/>
                  <w:tcBorders>
                    <w:tl2br w:val="nil"/>
                    <w:tr2bl w:val="nil"/>
                  </w:tcBorders>
                  <w:noWrap w:val="0"/>
                  <w:vAlign w:val="center"/>
                </w:tcPr>
                <w:p w14:paraId="58063CB6">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108.15</w:t>
                  </w:r>
                </w:p>
              </w:tc>
            </w:tr>
            <w:tr w14:paraId="286931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786" w:type="pct"/>
                  <w:tcBorders>
                    <w:tl2br w:val="nil"/>
                    <w:tr2bl w:val="nil"/>
                  </w:tcBorders>
                  <w:noWrap w:val="0"/>
                  <w:vAlign w:val="center"/>
                </w:tcPr>
                <w:p w14:paraId="2A651112">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持续时间</w:t>
                  </w:r>
                </w:p>
              </w:tc>
              <w:tc>
                <w:tcPr>
                  <w:tcW w:w="3213" w:type="pct"/>
                  <w:gridSpan w:val="3"/>
                  <w:tcBorders>
                    <w:tl2br w:val="nil"/>
                    <w:tr2bl w:val="nil"/>
                  </w:tcBorders>
                  <w:noWrap w:val="0"/>
                  <w:vAlign w:val="center"/>
                </w:tcPr>
                <w:p w14:paraId="4CC04FD3">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1h</w:t>
                  </w:r>
                </w:p>
              </w:tc>
            </w:tr>
            <w:tr w14:paraId="6095F3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786" w:type="pct"/>
                  <w:tcBorders>
                    <w:tl2br w:val="nil"/>
                    <w:tr2bl w:val="nil"/>
                  </w:tcBorders>
                  <w:noWrap w:val="0"/>
                  <w:vAlign w:val="center"/>
                </w:tcPr>
                <w:p w14:paraId="59107725">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排放量kg</w:t>
                  </w:r>
                </w:p>
              </w:tc>
              <w:tc>
                <w:tcPr>
                  <w:tcW w:w="1178" w:type="pct"/>
                  <w:tcBorders>
                    <w:tl2br w:val="nil"/>
                    <w:tr2bl w:val="nil"/>
                  </w:tcBorders>
                  <w:noWrap w:val="0"/>
                  <w:vAlign w:val="center"/>
                </w:tcPr>
                <w:p w14:paraId="0E432D98">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0.81</w:t>
                  </w:r>
                </w:p>
              </w:tc>
              <w:tc>
                <w:tcPr>
                  <w:tcW w:w="1095" w:type="pct"/>
                  <w:tcBorders>
                    <w:tl2br w:val="nil"/>
                    <w:tr2bl w:val="nil"/>
                  </w:tcBorders>
                  <w:noWrap w:val="0"/>
                  <w:vAlign w:val="center"/>
                </w:tcPr>
                <w:p w14:paraId="202BD62E">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1.082</w:t>
                  </w:r>
                </w:p>
              </w:tc>
              <w:tc>
                <w:tcPr>
                  <w:tcW w:w="940" w:type="pct"/>
                  <w:tcBorders>
                    <w:tl2br w:val="nil"/>
                    <w:tr2bl w:val="nil"/>
                  </w:tcBorders>
                  <w:noWrap w:val="0"/>
                  <w:vAlign w:val="center"/>
                </w:tcPr>
                <w:p w14:paraId="510B1E1D">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1.082</w:t>
                  </w:r>
                </w:p>
              </w:tc>
            </w:tr>
          </w:tbl>
          <w:p w14:paraId="55258D32">
            <w:pPr>
              <w:wordWrap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kern w:val="2"/>
                <w:sz w:val="24"/>
                <w:szCs w:val="32"/>
                <w:highlight w:val="none"/>
                <w:lang w:val="en-US" w:eastAsia="zh-CN" w:bidi="ar-SA"/>
              </w:rPr>
              <w:t>防治措施：</w:t>
            </w:r>
            <w:r>
              <w:rPr>
                <w:rFonts w:hint="eastAsia" w:cs="Times New Roman"/>
                <w:color w:val="auto"/>
                <w:kern w:val="2"/>
                <w:sz w:val="24"/>
                <w:szCs w:val="32"/>
                <w:highlight w:val="none"/>
                <w:lang w:val="en-US" w:eastAsia="zh-CN" w:bidi="ar-SA"/>
              </w:rPr>
              <w:t>在非正常工况下，需</w:t>
            </w:r>
            <w:r>
              <w:rPr>
                <w:rFonts w:hint="default" w:ascii="Times New Roman" w:hAnsi="Times New Roman" w:eastAsia="宋体" w:cs="Times New Roman"/>
                <w:color w:val="auto"/>
                <w:kern w:val="2"/>
                <w:sz w:val="24"/>
                <w:szCs w:val="32"/>
                <w:highlight w:val="none"/>
                <w:lang w:val="en-US" w:eastAsia="zh-CN" w:bidi="ar-SA"/>
              </w:rPr>
              <w:t>严格控制生产，装置</w:t>
            </w:r>
            <w:r>
              <w:rPr>
                <w:rFonts w:hint="eastAsia" w:cs="Times New Roman"/>
                <w:color w:val="auto"/>
                <w:kern w:val="2"/>
                <w:sz w:val="24"/>
                <w:szCs w:val="32"/>
                <w:highlight w:val="none"/>
                <w:lang w:val="en-US" w:eastAsia="zh-CN" w:bidi="ar-SA"/>
              </w:rPr>
              <w:t>开启</w:t>
            </w:r>
            <w:r>
              <w:rPr>
                <w:rFonts w:hint="default" w:ascii="Times New Roman" w:hAnsi="Times New Roman" w:eastAsia="宋体" w:cs="Times New Roman"/>
                <w:color w:val="auto"/>
                <w:kern w:val="2"/>
                <w:sz w:val="24"/>
                <w:szCs w:val="32"/>
                <w:highlight w:val="none"/>
                <w:lang w:val="en-US" w:eastAsia="zh-CN" w:bidi="ar-SA"/>
              </w:rPr>
              <w:t>时先运行废气处理系统，</w:t>
            </w:r>
            <w:r>
              <w:rPr>
                <w:rFonts w:hint="eastAsia" w:cs="Times New Roman"/>
                <w:color w:val="auto"/>
                <w:kern w:val="2"/>
                <w:sz w:val="24"/>
                <w:szCs w:val="32"/>
                <w:highlight w:val="none"/>
                <w:lang w:val="en-US" w:eastAsia="zh-CN" w:bidi="ar-SA"/>
              </w:rPr>
              <w:t>关闭</w:t>
            </w:r>
            <w:r>
              <w:rPr>
                <w:rFonts w:hint="default" w:ascii="Times New Roman" w:hAnsi="Times New Roman" w:eastAsia="宋体" w:cs="Times New Roman"/>
                <w:color w:val="auto"/>
                <w:kern w:val="2"/>
                <w:sz w:val="24"/>
                <w:szCs w:val="32"/>
                <w:highlight w:val="none"/>
                <w:lang w:val="en-US" w:eastAsia="zh-CN" w:bidi="ar-SA"/>
              </w:rPr>
              <w:t>时后停废气处理装置，避免开停时出现废气事故排放；加强废气处理设施的运营维护，定期检修、定期更换</w:t>
            </w:r>
            <w:r>
              <w:rPr>
                <w:rFonts w:hint="eastAsia" w:cs="Times New Roman"/>
                <w:color w:val="auto"/>
                <w:kern w:val="2"/>
                <w:sz w:val="24"/>
                <w:szCs w:val="32"/>
                <w:highlight w:val="none"/>
                <w:lang w:val="en-US" w:eastAsia="zh-CN" w:bidi="ar-SA"/>
              </w:rPr>
              <w:t>布袋</w:t>
            </w:r>
            <w:r>
              <w:rPr>
                <w:rFonts w:hint="default" w:ascii="Times New Roman" w:hAnsi="Times New Roman" w:eastAsia="宋体" w:cs="Times New Roman"/>
                <w:color w:val="auto"/>
                <w:kern w:val="2"/>
                <w:sz w:val="24"/>
                <w:szCs w:val="32"/>
                <w:highlight w:val="none"/>
                <w:lang w:val="en-US" w:eastAsia="zh-CN" w:bidi="ar-SA"/>
              </w:rPr>
              <w:t>，确保废气处理设施正常运行；当出现非正常排放时，建设单位应采取紧急处理措施，暂时停止生产，及时维修，直到生产设施或环保设施正常运转，坚决杜绝非正常排放。</w:t>
            </w:r>
          </w:p>
          <w:p w14:paraId="71547010">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w:t>
            </w:r>
            <w:r>
              <w:rPr>
                <w:rFonts w:hint="eastAsia" w:cs="Times New Roman"/>
                <w:b/>
                <w:bCs/>
                <w:color w:val="auto"/>
                <w:sz w:val="24"/>
                <w:highlight w:val="none"/>
                <w:lang w:val="en-US" w:eastAsia="zh-CN"/>
              </w:rPr>
              <w:t>7</w:t>
            </w:r>
            <w:r>
              <w:rPr>
                <w:rFonts w:hint="eastAsia" w:ascii="Times New Roman" w:hAnsi="Times New Roman" w:eastAsia="宋体" w:cs="Times New Roman"/>
                <w:b/>
                <w:bCs/>
                <w:color w:val="auto"/>
                <w:sz w:val="24"/>
                <w:highlight w:val="none"/>
                <w:lang w:val="en-US" w:eastAsia="zh-CN"/>
              </w:rPr>
              <w:t>）</w:t>
            </w:r>
            <w:r>
              <w:rPr>
                <w:rFonts w:hint="default" w:ascii="Times New Roman" w:hAnsi="Times New Roman" w:eastAsia="宋体" w:cs="Times New Roman"/>
                <w:b/>
                <w:bCs/>
                <w:color w:val="auto"/>
                <w:sz w:val="24"/>
                <w:highlight w:val="none"/>
                <w:lang w:val="en-US" w:eastAsia="zh-CN"/>
              </w:rPr>
              <w:t>废气监测计划</w:t>
            </w:r>
          </w:p>
          <w:p w14:paraId="758CDE57">
            <w:pPr>
              <w:wordWrap w:val="0"/>
              <w:spacing w:line="360" w:lineRule="auto"/>
              <w:ind w:firstLine="480" w:firstLineChars="200"/>
              <w:rPr>
                <w:rFonts w:hint="default" w:ascii="Times New Roman" w:hAnsi="Times New Roman" w:eastAsia="宋体" w:cs="Times New Roman"/>
                <w:bCs/>
                <w:color w:val="0000FF"/>
                <w:sz w:val="24"/>
                <w:szCs w:val="22"/>
              </w:rPr>
            </w:pPr>
            <w:r>
              <w:rPr>
                <w:rFonts w:hint="default" w:ascii="Times New Roman" w:hAnsi="Times New Roman" w:eastAsia="宋体" w:cs="Times New Roman"/>
                <w:color w:val="auto"/>
                <w:sz w:val="24"/>
                <w:szCs w:val="24"/>
                <w:highlight w:val="none"/>
                <w:lang w:val="en-US" w:eastAsia="zh-CN"/>
              </w:rPr>
              <w:t>项目所属行业尚未发布行业</w:t>
            </w:r>
            <w:r>
              <w:rPr>
                <w:rFonts w:hint="eastAsia" w:ascii="Times New Roman" w:hAnsi="Times New Roman" w:eastAsia="宋体" w:cs="Times New Roman"/>
                <w:color w:val="auto"/>
                <w:sz w:val="24"/>
                <w:szCs w:val="24"/>
                <w:highlight w:val="none"/>
                <w:lang w:val="en-US" w:eastAsia="zh-CN"/>
              </w:rPr>
              <w:t>自行监测技术指南，参考</w:t>
            </w:r>
            <w:r>
              <w:rPr>
                <w:rFonts w:hint="default" w:ascii="Times New Roman" w:hAnsi="Times New Roman" w:eastAsia="宋体" w:cs="Times New Roman"/>
                <w:color w:val="auto"/>
                <w:sz w:val="24"/>
                <w:vertAlign w:val="baseline"/>
                <w:lang w:val="en-US" w:eastAsia="zh-CN"/>
              </w:rPr>
              <w:t>《排污许可证申请与核发技术规范  总则》（HJ942-2018）、《排污单位自行监测技术指南 总则》（HJ819-2017）</w:t>
            </w:r>
            <w:r>
              <w:rPr>
                <w:rFonts w:hint="default" w:ascii="Times New Roman" w:hAnsi="Times New Roman" w:eastAsia="宋体" w:cs="Times New Roman"/>
                <w:color w:val="auto"/>
                <w:sz w:val="24"/>
                <w:lang w:val="en-US" w:eastAsia="zh-CN"/>
              </w:rPr>
              <w:t>，本项目属非重点排污单位，</w:t>
            </w:r>
            <w:r>
              <w:rPr>
                <w:rFonts w:hint="eastAsia" w:ascii="Times New Roman" w:hAnsi="Times New Roman" w:cs="Times New Roman"/>
                <w:color w:val="auto"/>
                <w:sz w:val="24"/>
                <w:lang w:val="en-US" w:eastAsia="zh-CN"/>
              </w:rPr>
              <w:t>打磨</w:t>
            </w:r>
            <w:r>
              <w:rPr>
                <w:rFonts w:hint="default" w:ascii="Times New Roman" w:hAnsi="Times New Roman" w:eastAsia="宋体" w:cs="Times New Roman"/>
                <w:color w:val="auto"/>
                <w:sz w:val="24"/>
                <w:lang w:val="en-US" w:eastAsia="zh-CN"/>
              </w:rPr>
              <w:t>废气排气筒为其他排放口，</w:t>
            </w:r>
            <w:r>
              <w:rPr>
                <w:rFonts w:hint="default" w:ascii="Times New Roman" w:hAnsi="Times New Roman" w:eastAsia="宋体" w:cs="Times New Roman"/>
                <w:color w:val="auto"/>
                <w:sz w:val="24"/>
              </w:rPr>
              <w:t>本项目废气监测计划</w:t>
            </w:r>
            <w:r>
              <w:rPr>
                <w:rFonts w:hint="default" w:ascii="Times New Roman" w:hAnsi="Times New Roman" w:eastAsia="宋体" w:cs="Times New Roman"/>
                <w:color w:val="auto"/>
                <w:sz w:val="24"/>
                <w:lang w:val="en-US" w:eastAsia="zh-CN"/>
              </w:rPr>
              <w:t>如下</w:t>
            </w:r>
            <w:r>
              <w:rPr>
                <w:rFonts w:hint="default" w:ascii="Times New Roman" w:hAnsi="Times New Roman" w:eastAsia="宋体" w:cs="Times New Roman"/>
                <w:color w:val="auto"/>
                <w:sz w:val="24"/>
              </w:rPr>
              <w:t>。</w:t>
            </w:r>
          </w:p>
          <w:p w14:paraId="4481248E">
            <w:pPr>
              <w:spacing w:line="240" w:lineRule="auto"/>
              <w:jc w:val="center"/>
              <w:rPr>
                <w:rFonts w:hint="eastAsia" w:ascii="Times New Roman" w:hAnsi="Times New Roman" w:eastAsia="宋体" w:cs="Times New Roman"/>
                <w:b/>
                <w:color w:val="auto"/>
                <w:kern w:val="0"/>
                <w:szCs w:val="21"/>
                <w:lang w:val="en-US" w:eastAsia="zh-CN"/>
              </w:rPr>
            </w:pPr>
            <w:r>
              <w:rPr>
                <w:rFonts w:hint="default" w:ascii="Times New Roman" w:hAnsi="Times New Roman" w:cs="Times New Roman"/>
                <w:b/>
                <w:color w:val="auto"/>
                <w:kern w:val="0"/>
                <w:szCs w:val="21"/>
              </w:rPr>
              <w:t>表</w:t>
            </w:r>
            <w:r>
              <w:rPr>
                <w:rFonts w:hint="eastAsia" w:cs="Times New Roman"/>
                <w:b/>
                <w:color w:val="auto"/>
                <w:kern w:val="0"/>
                <w:szCs w:val="21"/>
                <w:lang w:val="en-US" w:eastAsia="zh-CN"/>
              </w:rPr>
              <w:t xml:space="preserve">4-5   </w:t>
            </w:r>
            <w:r>
              <w:rPr>
                <w:rFonts w:hint="default" w:ascii="Times New Roman" w:hAnsi="Times New Roman" w:cs="Times New Roman"/>
                <w:b/>
                <w:color w:val="auto"/>
                <w:kern w:val="0"/>
                <w:szCs w:val="21"/>
              </w:rPr>
              <w:t>运营期</w:t>
            </w:r>
            <w:r>
              <w:rPr>
                <w:rFonts w:hint="eastAsia" w:cs="Times New Roman"/>
                <w:b/>
                <w:color w:val="auto"/>
                <w:kern w:val="0"/>
                <w:szCs w:val="21"/>
                <w:lang w:val="en-US" w:eastAsia="zh-CN"/>
              </w:rPr>
              <w:t>废气</w:t>
            </w:r>
            <w:r>
              <w:rPr>
                <w:rFonts w:hint="default" w:ascii="Times New Roman" w:hAnsi="Times New Roman" w:cs="Times New Roman"/>
                <w:b/>
                <w:color w:val="auto"/>
                <w:kern w:val="0"/>
                <w:szCs w:val="21"/>
              </w:rPr>
              <w:t>监测计划</w:t>
            </w:r>
            <w:r>
              <w:rPr>
                <w:rFonts w:hint="eastAsia" w:cs="Times New Roman"/>
                <w:b/>
                <w:color w:val="auto"/>
                <w:kern w:val="0"/>
                <w:szCs w:val="21"/>
                <w:lang w:val="en-US" w:eastAsia="zh-CN"/>
              </w:rPr>
              <w:t>一览表</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054"/>
              <w:gridCol w:w="1523"/>
              <w:gridCol w:w="1091"/>
              <w:gridCol w:w="1367"/>
              <w:gridCol w:w="2580"/>
            </w:tblGrid>
            <w:tr w14:paraId="361D5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gridSpan w:val="2"/>
                  <w:tcBorders>
                    <w:tl2br w:val="nil"/>
                    <w:tr2bl w:val="nil"/>
                  </w:tcBorders>
                  <w:noWrap w:val="0"/>
                  <w:vAlign w:val="center"/>
                </w:tcPr>
                <w:p w14:paraId="0E674EB6">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r>
                    <w:rPr>
                      <w:rFonts w:hint="default" w:ascii="Times New Roman" w:hAnsi="Times New Roman" w:cs="Times New Roman"/>
                      <w:color w:val="auto"/>
                    </w:rPr>
                    <w:t>项目</w:t>
                  </w:r>
                </w:p>
              </w:tc>
              <w:tc>
                <w:tcPr>
                  <w:tcW w:w="919" w:type="pct"/>
                  <w:tcBorders>
                    <w:tl2br w:val="nil"/>
                    <w:tr2bl w:val="nil"/>
                  </w:tcBorders>
                  <w:noWrap w:val="0"/>
                  <w:vAlign w:val="center"/>
                </w:tcPr>
                <w:p w14:paraId="4BBC4910">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r>
                    <w:rPr>
                      <w:rFonts w:hint="default" w:ascii="Times New Roman" w:hAnsi="Times New Roman" w:cs="Times New Roman"/>
                      <w:color w:val="auto"/>
                    </w:rPr>
                    <w:t>监测点位编号</w:t>
                  </w:r>
                </w:p>
              </w:tc>
              <w:tc>
                <w:tcPr>
                  <w:tcW w:w="658" w:type="pct"/>
                  <w:tcBorders>
                    <w:tl2br w:val="nil"/>
                    <w:tr2bl w:val="nil"/>
                  </w:tcBorders>
                  <w:noWrap w:val="0"/>
                  <w:vAlign w:val="center"/>
                </w:tcPr>
                <w:p w14:paraId="0617FF8C">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r>
                    <w:rPr>
                      <w:rFonts w:hint="default" w:ascii="Times New Roman" w:hAnsi="Times New Roman" w:cs="Times New Roman"/>
                      <w:color w:val="auto"/>
                    </w:rPr>
                    <w:t>监测因子</w:t>
                  </w:r>
                </w:p>
              </w:tc>
              <w:tc>
                <w:tcPr>
                  <w:tcW w:w="825" w:type="pct"/>
                  <w:tcBorders>
                    <w:tl2br w:val="nil"/>
                    <w:tr2bl w:val="nil"/>
                  </w:tcBorders>
                  <w:noWrap w:val="0"/>
                  <w:vAlign w:val="center"/>
                </w:tcPr>
                <w:p w14:paraId="025EEFD0">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r>
                    <w:rPr>
                      <w:rFonts w:hint="default" w:ascii="Times New Roman" w:hAnsi="Times New Roman" w:cs="Times New Roman"/>
                      <w:color w:val="auto"/>
                    </w:rPr>
                    <w:t>监测频次</w:t>
                  </w:r>
                </w:p>
              </w:tc>
              <w:tc>
                <w:tcPr>
                  <w:tcW w:w="1557" w:type="pct"/>
                  <w:tcBorders>
                    <w:tl2br w:val="nil"/>
                    <w:tr2bl w:val="nil"/>
                  </w:tcBorders>
                  <w:noWrap w:val="0"/>
                  <w:vAlign w:val="center"/>
                </w:tcPr>
                <w:p w14:paraId="04A3FFD7">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r>
                    <w:rPr>
                      <w:rFonts w:hint="default" w:ascii="Times New Roman" w:hAnsi="Times New Roman" w:cs="Times New Roman"/>
                      <w:color w:val="auto"/>
                    </w:rPr>
                    <w:t>执行标准</w:t>
                  </w:r>
                </w:p>
              </w:tc>
            </w:tr>
            <w:tr w14:paraId="5F5C53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3" w:type="pct"/>
                  <w:vMerge w:val="restart"/>
                  <w:tcBorders>
                    <w:tl2br w:val="nil"/>
                    <w:tr2bl w:val="nil"/>
                  </w:tcBorders>
                  <w:noWrap w:val="0"/>
                  <w:vAlign w:val="center"/>
                </w:tcPr>
                <w:p w14:paraId="71C25035">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r>
                    <w:rPr>
                      <w:rFonts w:hint="default" w:ascii="Times New Roman" w:hAnsi="Times New Roman" w:cs="Times New Roman"/>
                      <w:color w:val="auto"/>
                    </w:rPr>
                    <w:t>废气</w:t>
                  </w:r>
                </w:p>
              </w:tc>
              <w:tc>
                <w:tcPr>
                  <w:tcW w:w="636" w:type="pct"/>
                  <w:vMerge w:val="restart"/>
                  <w:tcBorders>
                    <w:tl2br w:val="nil"/>
                    <w:tr2bl w:val="nil"/>
                  </w:tcBorders>
                  <w:noWrap w:val="0"/>
                  <w:vAlign w:val="center"/>
                </w:tcPr>
                <w:p w14:paraId="43939842">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有组织</w:t>
                  </w:r>
                </w:p>
              </w:tc>
              <w:tc>
                <w:tcPr>
                  <w:tcW w:w="919" w:type="pct"/>
                  <w:tcBorders>
                    <w:tl2br w:val="nil"/>
                    <w:tr2bl w:val="nil"/>
                  </w:tcBorders>
                  <w:noWrap w:val="0"/>
                  <w:vAlign w:val="center"/>
                </w:tcPr>
                <w:p w14:paraId="1FE4F4C0">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DA001</w:t>
                  </w:r>
                </w:p>
              </w:tc>
              <w:tc>
                <w:tcPr>
                  <w:tcW w:w="658" w:type="pct"/>
                  <w:tcBorders>
                    <w:tl2br w:val="nil"/>
                    <w:tr2bl w:val="nil"/>
                  </w:tcBorders>
                  <w:noWrap w:val="0"/>
                  <w:vAlign w:val="center"/>
                </w:tcPr>
                <w:p w14:paraId="6243B996">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颗粒物</w:t>
                  </w:r>
                </w:p>
              </w:tc>
              <w:tc>
                <w:tcPr>
                  <w:tcW w:w="825" w:type="pct"/>
                  <w:tcBorders>
                    <w:tl2br w:val="nil"/>
                    <w:tr2bl w:val="nil"/>
                  </w:tcBorders>
                  <w:noWrap w:val="0"/>
                  <w:vAlign w:val="center"/>
                </w:tcPr>
                <w:p w14:paraId="4E49FA8A">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r>
                    <w:rPr>
                      <w:rFonts w:hint="default" w:ascii="Times New Roman" w:hAnsi="Times New Roman" w:cs="Times New Roman"/>
                      <w:color w:val="auto"/>
                    </w:rPr>
                    <w:t>1次/年</w:t>
                  </w:r>
                </w:p>
              </w:tc>
              <w:tc>
                <w:tcPr>
                  <w:tcW w:w="1557" w:type="pct"/>
                  <w:vMerge w:val="restart"/>
                  <w:tcBorders>
                    <w:tl2br w:val="nil"/>
                    <w:tr2bl w:val="nil"/>
                  </w:tcBorders>
                  <w:noWrap w:val="0"/>
                  <w:vAlign w:val="center"/>
                </w:tcPr>
                <w:p w14:paraId="28FB2C71">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r>
                    <w:rPr>
                      <w:rFonts w:hint="default" w:ascii="Times New Roman" w:hAnsi="Times New Roman" w:cs="Times New Roman"/>
                      <w:color w:val="auto"/>
                    </w:rPr>
                    <w:t>《大气污染物综合排放标准》（GB16297-1996）</w:t>
                  </w:r>
                </w:p>
              </w:tc>
            </w:tr>
            <w:tr w14:paraId="2FD3F5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3" w:type="pct"/>
                  <w:vMerge w:val="continue"/>
                  <w:tcBorders>
                    <w:tl2br w:val="nil"/>
                    <w:tr2bl w:val="nil"/>
                  </w:tcBorders>
                  <w:noWrap w:val="0"/>
                  <w:vAlign w:val="center"/>
                </w:tcPr>
                <w:p w14:paraId="707AF4A6">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p>
              </w:tc>
              <w:tc>
                <w:tcPr>
                  <w:tcW w:w="636" w:type="pct"/>
                  <w:vMerge w:val="continue"/>
                  <w:tcBorders>
                    <w:tl2br w:val="nil"/>
                    <w:tr2bl w:val="nil"/>
                  </w:tcBorders>
                  <w:noWrap w:val="0"/>
                  <w:vAlign w:val="center"/>
                </w:tcPr>
                <w:p w14:paraId="2E3512C9">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lang w:val="en-US" w:eastAsia="zh-CN"/>
                    </w:rPr>
                  </w:pPr>
                </w:p>
              </w:tc>
              <w:tc>
                <w:tcPr>
                  <w:tcW w:w="919" w:type="pct"/>
                  <w:tcBorders>
                    <w:tl2br w:val="nil"/>
                    <w:tr2bl w:val="nil"/>
                  </w:tcBorders>
                  <w:shd w:val="clear" w:color="auto" w:fill="auto"/>
                  <w:noWrap w:val="0"/>
                  <w:vAlign w:val="center"/>
                </w:tcPr>
                <w:p w14:paraId="0C3AFDBC">
                  <w:pPr>
                    <w:pStyle w:val="51"/>
                    <w:keepNext w:val="0"/>
                    <w:keepLines w:val="0"/>
                    <w:pageBreakBefore w:val="0"/>
                    <w:widowControl w:val="0"/>
                    <w:kinsoku/>
                    <w:wordWrap/>
                    <w:overflowPunct/>
                    <w:topLinePunct w:val="0"/>
                    <w:autoSpaceDE/>
                    <w:autoSpaceDN/>
                    <w:bidi w:val="0"/>
                    <w:adjustRightInd/>
                    <w:snapToGrid/>
                    <w:spacing w:after="0" w:line="240" w:lineRule="auto"/>
                    <w:ind w:right="0" w:rightChars="0"/>
                    <w:textAlignment w:val="auto"/>
                    <w:rPr>
                      <w:rFonts w:hint="default" w:ascii="Times New Roman" w:hAnsi="Times New Roman" w:eastAsia="宋体" w:cs="Times New Roman"/>
                      <w:color w:val="auto"/>
                      <w:kern w:val="21"/>
                      <w:sz w:val="21"/>
                      <w:szCs w:val="21"/>
                      <w:lang w:val="en-US" w:eastAsia="zh-CN" w:bidi="ar-SA"/>
                    </w:rPr>
                  </w:pPr>
                  <w:r>
                    <w:rPr>
                      <w:rFonts w:hint="default" w:ascii="Times New Roman" w:hAnsi="Times New Roman" w:cs="Times New Roman"/>
                      <w:color w:val="auto"/>
                      <w:lang w:val="en-US" w:eastAsia="zh-CN"/>
                    </w:rPr>
                    <w:t>DA00</w:t>
                  </w:r>
                  <w:r>
                    <w:rPr>
                      <w:rFonts w:hint="eastAsia" w:ascii="Times New Roman" w:hAnsi="Times New Roman" w:cs="Times New Roman"/>
                      <w:color w:val="auto"/>
                      <w:lang w:val="en-US" w:eastAsia="zh-CN"/>
                    </w:rPr>
                    <w:t>2</w:t>
                  </w:r>
                </w:p>
              </w:tc>
              <w:tc>
                <w:tcPr>
                  <w:tcW w:w="658" w:type="pct"/>
                  <w:tcBorders>
                    <w:tl2br w:val="nil"/>
                    <w:tr2bl w:val="nil"/>
                  </w:tcBorders>
                  <w:shd w:val="clear" w:color="auto" w:fill="auto"/>
                  <w:noWrap w:val="0"/>
                  <w:vAlign w:val="center"/>
                </w:tcPr>
                <w:p w14:paraId="4673AE30">
                  <w:pPr>
                    <w:pStyle w:val="51"/>
                    <w:keepNext w:val="0"/>
                    <w:keepLines w:val="0"/>
                    <w:pageBreakBefore w:val="0"/>
                    <w:widowControl w:val="0"/>
                    <w:kinsoku/>
                    <w:wordWrap/>
                    <w:overflowPunct/>
                    <w:topLinePunct w:val="0"/>
                    <w:autoSpaceDE/>
                    <w:autoSpaceDN/>
                    <w:bidi w:val="0"/>
                    <w:adjustRightInd/>
                    <w:snapToGrid/>
                    <w:spacing w:after="0" w:line="240" w:lineRule="auto"/>
                    <w:ind w:right="0" w:rightChars="0"/>
                    <w:textAlignment w:val="auto"/>
                    <w:rPr>
                      <w:rFonts w:hint="default" w:ascii="Times New Roman" w:hAnsi="Times New Roman" w:eastAsia="宋体" w:cs="Times New Roman"/>
                      <w:color w:val="auto"/>
                      <w:kern w:val="21"/>
                      <w:sz w:val="21"/>
                      <w:szCs w:val="21"/>
                      <w:lang w:val="en-US" w:eastAsia="zh-CN" w:bidi="ar-SA"/>
                    </w:rPr>
                  </w:pPr>
                  <w:r>
                    <w:rPr>
                      <w:rFonts w:hint="default" w:ascii="Times New Roman" w:hAnsi="Times New Roman" w:cs="Times New Roman"/>
                      <w:color w:val="auto"/>
                      <w:lang w:val="en-US" w:eastAsia="zh-CN"/>
                    </w:rPr>
                    <w:t>颗粒物</w:t>
                  </w:r>
                </w:p>
              </w:tc>
              <w:tc>
                <w:tcPr>
                  <w:tcW w:w="825" w:type="pct"/>
                  <w:tcBorders>
                    <w:tl2br w:val="nil"/>
                    <w:tr2bl w:val="nil"/>
                  </w:tcBorders>
                  <w:shd w:val="clear" w:color="auto" w:fill="auto"/>
                  <w:noWrap w:val="0"/>
                  <w:vAlign w:val="center"/>
                </w:tcPr>
                <w:p w14:paraId="425B9084">
                  <w:pPr>
                    <w:pStyle w:val="51"/>
                    <w:keepNext w:val="0"/>
                    <w:keepLines w:val="0"/>
                    <w:pageBreakBefore w:val="0"/>
                    <w:widowControl w:val="0"/>
                    <w:kinsoku/>
                    <w:wordWrap/>
                    <w:overflowPunct/>
                    <w:topLinePunct w:val="0"/>
                    <w:autoSpaceDE/>
                    <w:autoSpaceDN/>
                    <w:bidi w:val="0"/>
                    <w:adjustRightInd/>
                    <w:snapToGrid/>
                    <w:spacing w:after="0" w:line="240" w:lineRule="auto"/>
                    <w:ind w:right="0" w:rightChars="0"/>
                    <w:textAlignment w:val="auto"/>
                    <w:rPr>
                      <w:rFonts w:hint="default" w:ascii="Times New Roman" w:hAnsi="Times New Roman" w:eastAsia="宋体" w:cs="Times New Roman"/>
                      <w:color w:val="auto"/>
                      <w:kern w:val="21"/>
                      <w:sz w:val="21"/>
                      <w:szCs w:val="21"/>
                      <w:lang w:val="en-US" w:eastAsia="zh-CN" w:bidi="ar-SA"/>
                    </w:rPr>
                  </w:pPr>
                  <w:r>
                    <w:rPr>
                      <w:rFonts w:hint="default" w:ascii="Times New Roman" w:hAnsi="Times New Roman" w:cs="Times New Roman"/>
                      <w:color w:val="auto"/>
                    </w:rPr>
                    <w:t>1次/年</w:t>
                  </w:r>
                </w:p>
              </w:tc>
              <w:tc>
                <w:tcPr>
                  <w:tcW w:w="1557" w:type="pct"/>
                  <w:vMerge w:val="continue"/>
                  <w:tcBorders>
                    <w:tl2br w:val="nil"/>
                    <w:tr2bl w:val="nil"/>
                  </w:tcBorders>
                  <w:noWrap w:val="0"/>
                  <w:vAlign w:val="center"/>
                </w:tcPr>
                <w:p w14:paraId="64A92C98">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p>
              </w:tc>
            </w:tr>
            <w:tr w14:paraId="4AF771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3" w:type="pct"/>
                  <w:vMerge w:val="continue"/>
                  <w:tcBorders>
                    <w:tl2br w:val="nil"/>
                    <w:tr2bl w:val="nil"/>
                  </w:tcBorders>
                  <w:noWrap w:val="0"/>
                  <w:vAlign w:val="center"/>
                </w:tcPr>
                <w:p w14:paraId="698C4FE1">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p>
              </w:tc>
              <w:tc>
                <w:tcPr>
                  <w:tcW w:w="636" w:type="pct"/>
                  <w:tcBorders>
                    <w:tl2br w:val="nil"/>
                    <w:tr2bl w:val="nil"/>
                  </w:tcBorders>
                  <w:noWrap w:val="0"/>
                  <w:vAlign w:val="center"/>
                </w:tcPr>
                <w:p w14:paraId="72050C9F">
                  <w:pPr>
                    <w:pStyle w:val="51"/>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rPr>
                    <w:t>无组织</w:t>
                  </w:r>
                </w:p>
              </w:tc>
              <w:tc>
                <w:tcPr>
                  <w:tcW w:w="919" w:type="pct"/>
                  <w:tcBorders>
                    <w:tl2br w:val="nil"/>
                    <w:tr2bl w:val="nil"/>
                  </w:tcBorders>
                  <w:noWrap w:val="0"/>
                  <w:vAlign w:val="center"/>
                </w:tcPr>
                <w:p w14:paraId="56CA9562">
                  <w:pPr>
                    <w:pStyle w:val="51"/>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厂界</w:t>
                  </w:r>
                </w:p>
              </w:tc>
              <w:tc>
                <w:tcPr>
                  <w:tcW w:w="658" w:type="pct"/>
                  <w:tcBorders>
                    <w:tl2br w:val="nil"/>
                    <w:tr2bl w:val="nil"/>
                  </w:tcBorders>
                  <w:noWrap w:val="0"/>
                  <w:vAlign w:val="center"/>
                </w:tcPr>
                <w:p w14:paraId="064136A0">
                  <w:pPr>
                    <w:pStyle w:val="51"/>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rPr>
                    <w:t>颗粒物</w:t>
                  </w:r>
                </w:p>
              </w:tc>
              <w:tc>
                <w:tcPr>
                  <w:tcW w:w="825" w:type="pct"/>
                  <w:tcBorders>
                    <w:tl2br w:val="nil"/>
                    <w:tr2bl w:val="nil"/>
                  </w:tcBorders>
                  <w:noWrap w:val="0"/>
                  <w:vAlign w:val="center"/>
                </w:tcPr>
                <w:p w14:paraId="5D7076CB">
                  <w:pPr>
                    <w:pStyle w:val="51"/>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rPr>
                    <w:t>1次/年</w:t>
                  </w:r>
                </w:p>
              </w:tc>
              <w:tc>
                <w:tcPr>
                  <w:tcW w:w="1557" w:type="pct"/>
                  <w:vMerge w:val="continue"/>
                  <w:tcBorders>
                    <w:tl2br w:val="nil"/>
                    <w:tr2bl w:val="nil"/>
                  </w:tcBorders>
                  <w:noWrap w:val="0"/>
                  <w:vAlign w:val="center"/>
                </w:tcPr>
                <w:p w14:paraId="130A73B9">
                  <w:pPr>
                    <w:pStyle w:val="51"/>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color w:val="auto"/>
                    </w:rPr>
                  </w:pPr>
                </w:p>
              </w:tc>
            </w:tr>
          </w:tbl>
          <w:p w14:paraId="09243C15">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default" w:ascii="Times New Roman" w:hAnsi="Times New Roman" w:eastAsia="宋体" w:cs="Times New Roman"/>
                <w:b/>
                <w:bCs/>
                <w:color w:val="auto"/>
                <w:sz w:val="24"/>
              </w:rPr>
            </w:pPr>
            <w:r>
              <w:rPr>
                <w:rFonts w:hint="eastAsia" w:ascii="Times New Roman" w:hAnsi="Times New Roman" w:cs="Times New Roman"/>
                <w:b/>
                <w:bCs/>
                <w:color w:val="auto"/>
                <w:sz w:val="24"/>
                <w:lang w:val="en-US" w:eastAsia="zh-CN"/>
              </w:rPr>
              <w:t>2</w:t>
            </w:r>
            <w:r>
              <w:rPr>
                <w:rFonts w:hint="default" w:ascii="Times New Roman" w:hAnsi="Times New Roman" w:eastAsia="宋体" w:cs="Times New Roman"/>
                <w:b/>
                <w:bCs/>
                <w:color w:val="auto"/>
                <w:sz w:val="24"/>
              </w:rPr>
              <w:t>、废水</w:t>
            </w:r>
          </w:p>
          <w:p w14:paraId="5C8735E4">
            <w:pPr>
              <w:adjustRightInd w:val="0"/>
              <w:snapToGrid w:val="0"/>
              <w:spacing w:line="360" w:lineRule="auto"/>
              <w:ind w:firstLine="482" w:firstLineChars="200"/>
              <w:jc w:val="left"/>
              <w:rPr>
                <w:b/>
                <w:color w:val="auto"/>
                <w:kern w:val="0"/>
                <w:sz w:val="24"/>
              </w:rPr>
            </w:pPr>
            <w:r>
              <w:rPr>
                <w:rFonts w:hint="eastAsia"/>
                <w:b/>
                <w:color w:val="auto"/>
                <w:kern w:val="0"/>
                <w:sz w:val="24"/>
                <w:lang w:eastAsia="zh-CN"/>
              </w:rPr>
              <w:t>（</w:t>
            </w:r>
            <w:r>
              <w:rPr>
                <w:rFonts w:hint="eastAsia"/>
                <w:b/>
                <w:color w:val="auto"/>
                <w:kern w:val="0"/>
                <w:sz w:val="24"/>
                <w:lang w:val="en-US" w:eastAsia="zh-CN"/>
              </w:rPr>
              <w:t>1</w:t>
            </w:r>
            <w:r>
              <w:rPr>
                <w:rFonts w:hint="eastAsia"/>
                <w:b/>
                <w:color w:val="auto"/>
                <w:kern w:val="0"/>
                <w:sz w:val="24"/>
                <w:lang w:eastAsia="zh-CN"/>
              </w:rPr>
              <w:t>）</w:t>
            </w:r>
            <w:r>
              <w:rPr>
                <w:b/>
                <w:color w:val="auto"/>
                <w:kern w:val="0"/>
                <w:sz w:val="24"/>
              </w:rPr>
              <w:t>废水产排情况</w:t>
            </w:r>
          </w:p>
          <w:p w14:paraId="740FCAC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b/>
                <w:bCs/>
                <w:color w:val="auto"/>
                <w:sz w:val="24"/>
              </w:rPr>
            </w:pPr>
            <w:r>
              <w:rPr>
                <w:color w:val="auto"/>
                <w:kern w:val="0"/>
                <w:sz w:val="24"/>
              </w:rPr>
              <w:t>本项目废水</w:t>
            </w:r>
            <w:r>
              <w:rPr>
                <w:rFonts w:hint="eastAsia"/>
                <w:color w:val="auto"/>
                <w:kern w:val="0"/>
                <w:sz w:val="24"/>
                <w:lang w:val="en-US" w:eastAsia="zh-CN"/>
              </w:rPr>
              <w:t>主要为</w:t>
            </w:r>
            <w:r>
              <w:rPr>
                <w:color w:val="auto"/>
                <w:kern w:val="0"/>
                <w:sz w:val="24"/>
              </w:rPr>
              <w:t>生活污水</w:t>
            </w:r>
            <w:r>
              <w:rPr>
                <w:rFonts w:hint="eastAsia"/>
                <w:color w:val="auto"/>
                <w:kern w:val="0"/>
                <w:sz w:val="24"/>
                <w:lang w:eastAsia="zh-CN"/>
              </w:rPr>
              <w:t>，</w:t>
            </w:r>
            <w:r>
              <w:rPr>
                <w:rFonts w:hint="eastAsia"/>
                <w:color w:val="auto"/>
                <w:kern w:val="0"/>
                <w:sz w:val="24"/>
                <w:lang w:val="en-US" w:eastAsia="zh-CN"/>
              </w:rPr>
              <w:t>废水产生排放情况见表4-6</w:t>
            </w:r>
            <w:r>
              <w:rPr>
                <w:rFonts w:hint="eastAsia"/>
                <w:color w:val="auto"/>
                <w:sz w:val="24"/>
                <w:highlight w:val="none"/>
                <w:lang w:val="en-US" w:eastAsia="zh-CN"/>
              </w:rPr>
              <w:t>。</w:t>
            </w:r>
          </w:p>
          <w:p w14:paraId="76BD091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cs="Times New Roman"/>
                <w:b/>
                <w:color w:val="auto"/>
                <w:kern w:val="0"/>
                <w:sz w:val="21"/>
                <w:szCs w:val="18"/>
              </w:rPr>
              <w:t>表4-</w:t>
            </w:r>
            <w:r>
              <w:rPr>
                <w:rFonts w:hint="eastAsia" w:cs="Times New Roman"/>
                <w:b/>
                <w:color w:val="auto"/>
                <w:kern w:val="0"/>
                <w:sz w:val="21"/>
                <w:szCs w:val="18"/>
                <w:lang w:val="en-US" w:eastAsia="zh-CN"/>
              </w:rPr>
              <w:t>6</w:t>
            </w:r>
            <w:r>
              <w:rPr>
                <w:rFonts w:hint="default" w:ascii="Times New Roman" w:hAnsi="Times New Roman" w:cs="Times New Roman"/>
                <w:b/>
                <w:color w:val="auto"/>
                <w:kern w:val="0"/>
                <w:sz w:val="21"/>
                <w:szCs w:val="18"/>
              </w:rPr>
              <w:t xml:space="preserve">  项目废水产排情</w:t>
            </w:r>
            <w:r>
              <w:rPr>
                <w:rFonts w:hint="default" w:ascii="Times New Roman" w:hAnsi="Times New Roman" w:eastAsia="宋体" w:cs="Times New Roman"/>
                <w:b/>
                <w:color w:val="auto"/>
                <w:kern w:val="0"/>
                <w:sz w:val="21"/>
                <w:szCs w:val="18"/>
              </w:rPr>
              <w:t>况</w:t>
            </w:r>
            <w:r>
              <w:rPr>
                <w:rFonts w:hint="default" w:ascii="Times New Roman" w:hAnsi="Times New Roman" w:eastAsia="宋体" w:cs="Times New Roman"/>
                <w:b/>
                <w:color w:val="auto"/>
                <w:kern w:val="0"/>
                <w:sz w:val="21"/>
                <w:szCs w:val="18"/>
                <w:lang w:val="en-US" w:eastAsia="zh-CN"/>
              </w:rPr>
              <w:t>一览表</w:t>
            </w:r>
          </w:p>
          <w:tbl>
            <w:tblPr>
              <w:tblStyle w:val="24"/>
              <w:tblW w:w="823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89"/>
              <w:gridCol w:w="1050"/>
              <w:gridCol w:w="1000"/>
              <w:gridCol w:w="2185"/>
              <w:gridCol w:w="2123"/>
              <w:gridCol w:w="787"/>
            </w:tblGrid>
            <w:tr w14:paraId="7BAF98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9" w:type="dxa"/>
                  <w:tcBorders>
                    <w:tl2br w:val="nil"/>
                    <w:tr2bl w:val="nil"/>
                  </w:tcBorders>
                  <w:noWrap w:val="0"/>
                  <w:tcMar>
                    <w:left w:w="28" w:type="dxa"/>
                    <w:right w:w="28" w:type="dxa"/>
                  </w:tcMar>
                  <w:vAlign w:val="center"/>
                </w:tcPr>
                <w:p w14:paraId="1C31B739">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color w:val="auto"/>
                      <w:sz w:val="21"/>
                      <w:szCs w:val="18"/>
                      <w:highlight w:val="none"/>
                    </w:rPr>
                    <w:t>废水来源</w:t>
                  </w:r>
                </w:p>
              </w:tc>
              <w:tc>
                <w:tcPr>
                  <w:tcW w:w="1050" w:type="dxa"/>
                  <w:tcBorders>
                    <w:tl2br w:val="nil"/>
                    <w:tr2bl w:val="nil"/>
                  </w:tcBorders>
                  <w:noWrap w:val="0"/>
                  <w:tcMar>
                    <w:left w:w="28" w:type="dxa"/>
                    <w:right w:w="28" w:type="dxa"/>
                  </w:tcMar>
                  <w:vAlign w:val="center"/>
                </w:tcPr>
                <w:p w14:paraId="12EFD8EF">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color w:val="auto"/>
                      <w:sz w:val="21"/>
                      <w:szCs w:val="18"/>
                      <w:highlight w:val="none"/>
                    </w:rPr>
                    <w:t>废水量</w:t>
                  </w:r>
                </w:p>
                <w:p w14:paraId="7F82F0ED">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snapToGrid w:val="0"/>
                      <w:color w:val="auto"/>
                      <w:sz w:val="21"/>
                      <w:szCs w:val="18"/>
                      <w:highlight w:val="none"/>
                    </w:rPr>
                    <w:t>m³/a</w:t>
                  </w:r>
                </w:p>
              </w:tc>
              <w:tc>
                <w:tcPr>
                  <w:tcW w:w="1000" w:type="dxa"/>
                  <w:tcBorders>
                    <w:tl2br w:val="nil"/>
                    <w:tr2bl w:val="nil"/>
                  </w:tcBorders>
                  <w:noWrap w:val="0"/>
                  <w:tcMar>
                    <w:left w:w="28" w:type="dxa"/>
                    <w:right w:w="28" w:type="dxa"/>
                  </w:tcMar>
                  <w:vAlign w:val="center"/>
                </w:tcPr>
                <w:p w14:paraId="2818CA41">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color w:val="auto"/>
                      <w:sz w:val="21"/>
                      <w:szCs w:val="18"/>
                      <w:highlight w:val="none"/>
                    </w:rPr>
                    <w:t>主要污染因子</w:t>
                  </w:r>
                </w:p>
              </w:tc>
              <w:tc>
                <w:tcPr>
                  <w:tcW w:w="2185" w:type="dxa"/>
                  <w:tcBorders>
                    <w:tl2br w:val="nil"/>
                    <w:tr2bl w:val="nil"/>
                  </w:tcBorders>
                  <w:noWrap w:val="0"/>
                  <w:tcMar>
                    <w:left w:w="28" w:type="dxa"/>
                    <w:right w:w="28" w:type="dxa"/>
                  </w:tcMar>
                  <w:vAlign w:val="center"/>
                </w:tcPr>
                <w:p w14:paraId="27DB56F5">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color w:val="auto"/>
                      <w:sz w:val="21"/>
                      <w:szCs w:val="18"/>
                      <w:highlight w:val="none"/>
                    </w:rPr>
                    <w:t>产生浓度及产生量</w:t>
                  </w:r>
                </w:p>
              </w:tc>
              <w:tc>
                <w:tcPr>
                  <w:tcW w:w="2123" w:type="dxa"/>
                  <w:tcBorders>
                    <w:tl2br w:val="nil"/>
                    <w:tr2bl w:val="nil"/>
                  </w:tcBorders>
                  <w:noWrap w:val="0"/>
                  <w:tcMar>
                    <w:left w:w="28" w:type="dxa"/>
                    <w:right w:w="28" w:type="dxa"/>
                  </w:tcMar>
                  <w:vAlign w:val="center"/>
                </w:tcPr>
                <w:p w14:paraId="6539C9FA">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color w:val="auto"/>
                      <w:sz w:val="21"/>
                      <w:szCs w:val="18"/>
                      <w:highlight w:val="none"/>
                    </w:rPr>
                    <w:t>排放浓度及排放量</w:t>
                  </w:r>
                </w:p>
              </w:tc>
              <w:tc>
                <w:tcPr>
                  <w:tcW w:w="787" w:type="dxa"/>
                  <w:tcBorders>
                    <w:tl2br w:val="nil"/>
                    <w:tr2bl w:val="nil"/>
                  </w:tcBorders>
                  <w:noWrap w:val="0"/>
                  <w:tcMar>
                    <w:left w:w="28" w:type="dxa"/>
                    <w:right w:w="28" w:type="dxa"/>
                  </w:tcMar>
                  <w:vAlign w:val="center"/>
                </w:tcPr>
                <w:p w14:paraId="3870459C">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color w:val="auto"/>
                      <w:sz w:val="21"/>
                      <w:szCs w:val="18"/>
                      <w:highlight w:val="none"/>
                    </w:rPr>
                    <w:t>排放去向</w:t>
                  </w:r>
                </w:p>
              </w:tc>
            </w:tr>
            <w:tr w14:paraId="692499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9" w:type="dxa"/>
                  <w:vMerge w:val="restart"/>
                  <w:tcBorders>
                    <w:tl2br w:val="nil"/>
                    <w:tr2bl w:val="nil"/>
                  </w:tcBorders>
                  <w:noWrap w:val="0"/>
                  <w:tcMar>
                    <w:left w:w="28" w:type="dxa"/>
                    <w:right w:w="28" w:type="dxa"/>
                  </w:tcMar>
                  <w:vAlign w:val="center"/>
                </w:tcPr>
                <w:p w14:paraId="2AF85A46">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color w:val="auto"/>
                      <w:sz w:val="21"/>
                      <w:szCs w:val="18"/>
                      <w:highlight w:val="none"/>
                    </w:rPr>
                    <w:t>生活污水</w:t>
                  </w:r>
                </w:p>
              </w:tc>
              <w:tc>
                <w:tcPr>
                  <w:tcW w:w="1050" w:type="dxa"/>
                  <w:vMerge w:val="restart"/>
                  <w:tcBorders>
                    <w:tl2br w:val="nil"/>
                    <w:tr2bl w:val="nil"/>
                  </w:tcBorders>
                  <w:noWrap w:val="0"/>
                  <w:tcMar>
                    <w:left w:w="28" w:type="dxa"/>
                    <w:right w:w="28" w:type="dxa"/>
                  </w:tcMar>
                  <w:vAlign w:val="center"/>
                </w:tcPr>
                <w:p w14:paraId="3D93C517">
                  <w:pPr>
                    <w:snapToGrid w:val="0"/>
                    <w:jc w:val="center"/>
                    <w:rPr>
                      <w:rFonts w:hint="default" w:ascii="Times New Roman" w:hAnsi="Times New Roman" w:eastAsia="宋体" w:cs="Times New Roman"/>
                      <w:b w:val="0"/>
                      <w:bCs/>
                      <w:color w:val="auto"/>
                      <w:sz w:val="21"/>
                      <w:szCs w:val="18"/>
                      <w:highlight w:val="none"/>
                      <w:lang w:val="en-US" w:eastAsia="zh-CN"/>
                    </w:rPr>
                  </w:pPr>
                  <w:r>
                    <w:rPr>
                      <w:rFonts w:hint="eastAsia" w:cs="Times New Roman"/>
                      <w:b w:val="0"/>
                      <w:bCs/>
                      <w:color w:val="auto"/>
                      <w:sz w:val="21"/>
                      <w:szCs w:val="18"/>
                      <w:highlight w:val="none"/>
                      <w:lang w:val="en-US" w:eastAsia="zh-CN"/>
                    </w:rPr>
                    <w:t>720</w:t>
                  </w:r>
                </w:p>
              </w:tc>
              <w:tc>
                <w:tcPr>
                  <w:tcW w:w="1000" w:type="dxa"/>
                  <w:tcBorders>
                    <w:tl2br w:val="nil"/>
                    <w:tr2bl w:val="nil"/>
                  </w:tcBorders>
                  <w:noWrap w:val="0"/>
                  <w:tcMar>
                    <w:left w:w="28" w:type="dxa"/>
                    <w:right w:w="28" w:type="dxa"/>
                  </w:tcMar>
                  <w:vAlign w:val="center"/>
                </w:tcPr>
                <w:p w14:paraId="26465CF2">
                  <w:pPr>
                    <w:snapToGrid w:val="0"/>
                    <w:jc w:val="center"/>
                    <w:rPr>
                      <w:rFonts w:hint="default" w:ascii="Times New Roman" w:hAnsi="Times New Roman" w:cs="Times New Roman"/>
                      <w:b w:val="0"/>
                      <w:bCs/>
                      <w:color w:val="auto"/>
                      <w:sz w:val="21"/>
                      <w:szCs w:val="18"/>
                      <w:highlight w:val="none"/>
                    </w:rPr>
                  </w:pPr>
                  <w:r>
                    <w:rPr>
                      <w:rFonts w:hint="default" w:ascii="Times New Roman" w:hAnsi="Times New Roman" w:cs="Times New Roman"/>
                      <w:b w:val="0"/>
                      <w:bCs/>
                      <w:color w:val="auto"/>
                      <w:sz w:val="21"/>
                      <w:szCs w:val="18"/>
                      <w:highlight w:val="none"/>
                    </w:rPr>
                    <w:t>COD</w:t>
                  </w:r>
                </w:p>
              </w:tc>
              <w:tc>
                <w:tcPr>
                  <w:tcW w:w="2185" w:type="dxa"/>
                  <w:tcBorders>
                    <w:tl2br w:val="nil"/>
                    <w:tr2bl w:val="nil"/>
                  </w:tcBorders>
                  <w:noWrap w:val="0"/>
                  <w:tcMar>
                    <w:left w:w="28" w:type="dxa"/>
                    <w:right w:w="28" w:type="dxa"/>
                  </w:tcMar>
                  <w:vAlign w:val="center"/>
                </w:tcPr>
                <w:p w14:paraId="18A704CA">
                  <w:pPr>
                    <w:autoSpaceDE w:val="0"/>
                    <w:autoSpaceDN w:val="0"/>
                    <w:adjustRightInd w:val="0"/>
                    <w:snapToGrid w:val="0"/>
                    <w:jc w:val="center"/>
                    <w:rPr>
                      <w:rFonts w:hint="default" w:ascii="Times New Roman" w:hAnsi="Times New Roman" w:cs="Times New Roman"/>
                      <w:b w:val="0"/>
                      <w:bCs/>
                      <w:color w:val="auto"/>
                      <w:kern w:val="0"/>
                      <w:sz w:val="21"/>
                      <w:szCs w:val="18"/>
                      <w:highlight w:val="none"/>
                    </w:rPr>
                  </w:pPr>
                  <w:r>
                    <w:rPr>
                      <w:rFonts w:hint="eastAsia" w:ascii="Times New Roman" w:hAnsi="Times New Roman" w:cs="Times New Roman"/>
                      <w:b w:val="0"/>
                      <w:bCs/>
                      <w:snapToGrid w:val="0"/>
                      <w:color w:val="auto"/>
                      <w:sz w:val="21"/>
                      <w:szCs w:val="18"/>
                      <w:highlight w:val="none"/>
                      <w:lang w:val="en-US" w:eastAsia="zh-CN"/>
                    </w:rPr>
                    <w:t>350</w:t>
                  </w:r>
                  <w:r>
                    <w:rPr>
                      <w:rFonts w:hint="default" w:ascii="Times New Roman" w:hAnsi="Times New Roman" w:cs="Times New Roman"/>
                      <w:b w:val="0"/>
                      <w:bCs/>
                      <w:snapToGrid w:val="0"/>
                      <w:color w:val="auto"/>
                      <w:sz w:val="21"/>
                      <w:szCs w:val="18"/>
                      <w:highlight w:val="none"/>
                    </w:rPr>
                    <w:t>mg/L、0.</w:t>
                  </w:r>
                  <w:r>
                    <w:rPr>
                      <w:rFonts w:hint="eastAsia" w:cs="Times New Roman"/>
                      <w:b w:val="0"/>
                      <w:bCs/>
                      <w:snapToGrid w:val="0"/>
                      <w:color w:val="auto"/>
                      <w:sz w:val="21"/>
                      <w:szCs w:val="18"/>
                      <w:highlight w:val="none"/>
                      <w:lang w:val="en-US" w:eastAsia="zh-CN"/>
                    </w:rPr>
                    <w:t>252</w:t>
                  </w:r>
                  <w:r>
                    <w:rPr>
                      <w:rFonts w:hint="default" w:ascii="Times New Roman" w:hAnsi="Times New Roman" w:cs="Times New Roman"/>
                      <w:b w:val="0"/>
                      <w:bCs/>
                      <w:snapToGrid w:val="0"/>
                      <w:color w:val="auto"/>
                      <w:sz w:val="21"/>
                      <w:szCs w:val="18"/>
                      <w:highlight w:val="none"/>
                    </w:rPr>
                    <w:t>t/a</w:t>
                  </w:r>
                </w:p>
              </w:tc>
              <w:tc>
                <w:tcPr>
                  <w:tcW w:w="2123" w:type="dxa"/>
                  <w:tcBorders>
                    <w:tl2br w:val="nil"/>
                    <w:tr2bl w:val="nil"/>
                  </w:tcBorders>
                  <w:noWrap w:val="0"/>
                  <w:tcMar>
                    <w:left w:w="28" w:type="dxa"/>
                    <w:right w:w="28" w:type="dxa"/>
                  </w:tcMar>
                  <w:vAlign w:val="center"/>
                </w:tcPr>
                <w:p w14:paraId="1225145B">
                  <w:pPr>
                    <w:autoSpaceDE w:val="0"/>
                    <w:autoSpaceDN w:val="0"/>
                    <w:adjustRightInd w:val="0"/>
                    <w:snapToGrid w:val="0"/>
                    <w:jc w:val="center"/>
                    <w:rPr>
                      <w:rFonts w:hint="default" w:ascii="Times New Roman" w:hAnsi="Times New Roman" w:cs="Times New Roman"/>
                      <w:b w:val="0"/>
                      <w:bCs/>
                      <w:color w:val="auto"/>
                      <w:sz w:val="21"/>
                      <w:szCs w:val="21"/>
                      <w:highlight w:val="none"/>
                    </w:rPr>
                  </w:pPr>
                  <w:r>
                    <w:rPr>
                      <w:rFonts w:hint="eastAsia" w:ascii="Times New Roman" w:hAnsi="Times New Roman" w:cs="Times New Roman"/>
                      <w:b w:val="0"/>
                      <w:bCs/>
                      <w:snapToGrid w:val="0"/>
                      <w:color w:val="auto"/>
                      <w:sz w:val="21"/>
                      <w:szCs w:val="18"/>
                      <w:highlight w:val="none"/>
                      <w:lang w:val="en-US" w:eastAsia="zh-CN"/>
                    </w:rPr>
                    <w:t>295.8</w:t>
                  </w:r>
                  <w:r>
                    <w:rPr>
                      <w:rFonts w:hint="default" w:ascii="Times New Roman" w:hAnsi="Times New Roman" w:cs="Times New Roman"/>
                      <w:b w:val="0"/>
                      <w:bCs/>
                      <w:snapToGrid w:val="0"/>
                      <w:color w:val="auto"/>
                      <w:sz w:val="21"/>
                      <w:szCs w:val="18"/>
                      <w:highlight w:val="none"/>
                    </w:rPr>
                    <w:t>mg/L、0.</w:t>
                  </w:r>
                  <w:r>
                    <w:rPr>
                      <w:rFonts w:hint="eastAsia" w:cs="Times New Roman"/>
                      <w:b w:val="0"/>
                      <w:bCs/>
                      <w:snapToGrid w:val="0"/>
                      <w:color w:val="auto"/>
                      <w:sz w:val="21"/>
                      <w:szCs w:val="18"/>
                      <w:highlight w:val="none"/>
                      <w:lang w:val="en-US" w:eastAsia="zh-CN"/>
                    </w:rPr>
                    <w:t>213</w:t>
                  </w:r>
                  <w:r>
                    <w:rPr>
                      <w:rFonts w:hint="default" w:ascii="Times New Roman" w:hAnsi="Times New Roman" w:cs="Times New Roman"/>
                      <w:b w:val="0"/>
                      <w:bCs/>
                      <w:snapToGrid w:val="0"/>
                      <w:color w:val="auto"/>
                      <w:sz w:val="21"/>
                      <w:szCs w:val="18"/>
                      <w:highlight w:val="none"/>
                    </w:rPr>
                    <w:t>t/a</w:t>
                  </w:r>
                </w:p>
              </w:tc>
              <w:tc>
                <w:tcPr>
                  <w:tcW w:w="787" w:type="dxa"/>
                  <w:vMerge w:val="restart"/>
                  <w:tcBorders>
                    <w:tl2br w:val="nil"/>
                    <w:tr2bl w:val="nil"/>
                  </w:tcBorders>
                  <w:noWrap w:val="0"/>
                  <w:tcMar>
                    <w:left w:w="28" w:type="dxa"/>
                    <w:right w:w="28" w:type="dxa"/>
                  </w:tcMar>
                  <w:vAlign w:val="center"/>
                </w:tcPr>
                <w:p w14:paraId="20188335">
                  <w:pPr>
                    <w:snapToGrid w:val="0"/>
                    <w:jc w:val="center"/>
                    <w:rPr>
                      <w:rFonts w:hint="default" w:ascii="Times New Roman" w:hAnsi="Times New Roman" w:eastAsia="宋体" w:cs="Times New Roman"/>
                      <w:b w:val="0"/>
                      <w:bCs/>
                      <w:snapToGrid w:val="0"/>
                      <w:color w:val="auto"/>
                      <w:sz w:val="21"/>
                      <w:szCs w:val="18"/>
                      <w:highlight w:val="none"/>
                      <w:lang w:val="en-US" w:eastAsia="zh-CN"/>
                    </w:rPr>
                  </w:pPr>
                  <w:r>
                    <w:rPr>
                      <w:rFonts w:hint="eastAsia" w:cs="Times New Roman"/>
                      <w:color w:val="auto"/>
                      <w:sz w:val="21"/>
                      <w:szCs w:val="21"/>
                      <w:vertAlign w:val="baseline"/>
                      <w:lang w:val="en-US" w:eastAsia="zh-CN"/>
                    </w:rPr>
                    <w:t>泾河新城第二</w:t>
                  </w:r>
                  <w:r>
                    <w:rPr>
                      <w:rFonts w:hint="eastAsia" w:ascii="Times New Roman" w:hAnsi="Times New Roman" w:cs="Times New Roman"/>
                      <w:b w:val="0"/>
                      <w:bCs/>
                      <w:snapToGrid w:val="0"/>
                      <w:color w:val="auto"/>
                      <w:sz w:val="21"/>
                      <w:szCs w:val="18"/>
                      <w:highlight w:val="none"/>
                      <w:lang w:val="en-US" w:eastAsia="zh-CN"/>
                    </w:rPr>
                    <w:t>污水处理厂</w:t>
                  </w:r>
                </w:p>
              </w:tc>
            </w:tr>
            <w:tr w14:paraId="657FC0C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9" w:type="dxa"/>
                  <w:vMerge w:val="continue"/>
                  <w:tcBorders>
                    <w:tl2br w:val="nil"/>
                    <w:tr2bl w:val="nil"/>
                  </w:tcBorders>
                  <w:noWrap w:val="0"/>
                  <w:tcMar>
                    <w:left w:w="28" w:type="dxa"/>
                    <w:right w:w="28" w:type="dxa"/>
                  </w:tcMar>
                  <w:vAlign w:val="center"/>
                </w:tcPr>
                <w:p w14:paraId="27CC1810">
                  <w:pPr>
                    <w:snapToGrid w:val="0"/>
                    <w:jc w:val="center"/>
                    <w:rPr>
                      <w:rFonts w:hint="default" w:ascii="Times New Roman" w:hAnsi="Times New Roman" w:cs="Times New Roman"/>
                      <w:color w:val="auto"/>
                      <w:sz w:val="21"/>
                      <w:szCs w:val="18"/>
                      <w:highlight w:val="none"/>
                    </w:rPr>
                  </w:pPr>
                </w:p>
              </w:tc>
              <w:tc>
                <w:tcPr>
                  <w:tcW w:w="1050" w:type="dxa"/>
                  <w:vMerge w:val="continue"/>
                  <w:tcBorders>
                    <w:tl2br w:val="nil"/>
                    <w:tr2bl w:val="nil"/>
                  </w:tcBorders>
                  <w:noWrap w:val="0"/>
                  <w:tcMar>
                    <w:left w:w="28" w:type="dxa"/>
                    <w:right w:w="28" w:type="dxa"/>
                  </w:tcMar>
                  <w:vAlign w:val="center"/>
                </w:tcPr>
                <w:p w14:paraId="042DDC52">
                  <w:pPr>
                    <w:snapToGrid w:val="0"/>
                    <w:jc w:val="center"/>
                    <w:rPr>
                      <w:rFonts w:hint="default" w:ascii="Times New Roman" w:hAnsi="Times New Roman" w:cs="Times New Roman"/>
                      <w:color w:val="auto"/>
                      <w:sz w:val="21"/>
                      <w:szCs w:val="18"/>
                      <w:highlight w:val="none"/>
                    </w:rPr>
                  </w:pPr>
                </w:p>
              </w:tc>
              <w:tc>
                <w:tcPr>
                  <w:tcW w:w="1000" w:type="dxa"/>
                  <w:tcBorders>
                    <w:tl2br w:val="nil"/>
                    <w:tr2bl w:val="nil"/>
                  </w:tcBorders>
                  <w:noWrap w:val="0"/>
                  <w:tcMar>
                    <w:left w:w="28" w:type="dxa"/>
                    <w:right w:w="28" w:type="dxa"/>
                  </w:tcMar>
                  <w:vAlign w:val="center"/>
                </w:tcPr>
                <w:p w14:paraId="42DBB515">
                  <w:pPr>
                    <w:snapToGrid w:val="0"/>
                    <w:jc w:val="center"/>
                    <w:rPr>
                      <w:rFonts w:hint="default" w:ascii="Times New Roman" w:hAnsi="Times New Roman" w:cs="Times New Roman"/>
                      <w:color w:val="auto"/>
                      <w:sz w:val="21"/>
                      <w:szCs w:val="18"/>
                      <w:highlight w:val="none"/>
                    </w:rPr>
                  </w:pPr>
                  <w:r>
                    <w:rPr>
                      <w:rFonts w:hint="default" w:ascii="Times New Roman" w:hAnsi="Times New Roman" w:cs="Times New Roman"/>
                      <w:color w:val="auto"/>
                      <w:sz w:val="21"/>
                      <w:szCs w:val="18"/>
                      <w:highlight w:val="none"/>
                    </w:rPr>
                    <w:t>BOD</w:t>
                  </w:r>
                  <w:r>
                    <w:rPr>
                      <w:rFonts w:hint="default" w:ascii="Times New Roman" w:hAnsi="Times New Roman" w:cs="Times New Roman"/>
                      <w:color w:val="auto"/>
                      <w:sz w:val="21"/>
                      <w:szCs w:val="18"/>
                      <w:highlight w:val="none"/>
                      <w:vertAlign w:val="subscript"/>
                    </w:rPr>
                    <w:t>5</w:t>
                  </w:r>
                </w:p>
              </w:tc>
              <w:tc>
                <w:tcPr>
                  <w:tcW w:w="2185" w:type="dxa"/>
                  <w:tcBorders>
                    <w:tl2br w:val="nil"/>
                    <w:tr2bl w:val="nil"/>
                  </w:tcBorders>
                  <w:noWrap w:val="0"/>
                  <w:tcMar>
                    <w:left w:w="28" w:type="dxa"/>
                    <w:right w:w="28" w:type="dxa"/>
                  </w:tcMar>
                  <w:vAlign w:val="center"/>
                </w:tcPr>
                <w:p w14:paraId="5BA09000">
                  <w:pPr>
                    <w:autoSpaceDE w:val="0"/>
                    <w:autoSpaceDN w:val="0"/>
                    <w:adjustRightInd w:val="0"/>
                    <w:snapToGrid w:val="0"/>
                    <w:jc w:val="center"/>
                    <w:rPr>
                      <w:rFonts w:hint="default" w:ascii="Times New Roman" w:hAnsi="Times New Roman" w:cs="Times New Roman"/>
                      <w:color w:val="auto"/>
                      <w:kern w:val="0"/>
                      <w:sz w:val="21"/>
                      <w:szCs w:val="18"/>
                      <w:highlight w:val="none"/>
                    </w:rPr>
                  </w:pPr>
                  <w:r>
                    <w:rPr>
                      <w:rFonts w:hint="eastAsia" w:ascii="Times New Roman" w:hAnsi="Times New Roman" w:cs="Times New Roman"/>
                      <w:snapToGrid w:val="0"/>
                      <w:color w:val="auto"/>
                      <w:sz w:val="21"/>
                      <w:szCs w:val="18"/>
                      <w:highlight w:val="none"/>
                      <w:lang w:val="en-US" w:eastAsia="zh-CN"/>
                    </w:rPr>
                    <w:t>200</w:t>
                  </w:r>
                  <w:r>
                    <w:rPr>
                      <w:rFonts w:hint="default" w:ascii="Times New Roman" w:hAnsi="Times New Roman" w:cs="Times New Roman"/>
                      <w:snapToGrid w:val="0"/>
                      <w:color w:val="auto"/>
                      <w:sz w:val="21"/>
                      <w:szCs w:val="18"/>
                      <w:highlight w:val="none"/>
                    </w:rPr>
                    <w:t>mg/L、0.</w:t>
                  </w:r>
                  <w:r>
                    <w:rPr>
                      <w:rFonts w:hint="eastAsia" w:cs="Times New Roman"/>
                      <w:snapToGrid w:val="0"/>
                      <w:color w:val="auto"/>
                      <w:sz w:val="21"/>
                      <w:szCs w:val="18"/>
                      <w:highlight w:val="none"/>
                      <w:lang w:val="en-US" w:eastAsia="zh-CN"/>
                    </w:rPr>
                    <w:t>144</w:t>
                  </w:r>
                  <w:r>
                    <w:rPr>
                      <w:rFonts w:hint="default" w:ascii="Times New Roman" w:hAnsi="Times New Roman" w:cs="Times New Roman"/>
                      <w:snapToGrid w:val="0"/>
                      <w:color w:val="auto"/>
                      <w:sz w:val="21"/>
                      <w:szCs w:val="18"/>
                      <w:highlight w:val="none"/>
                    </w:rPr>
                    <w:t>t/a</w:t>
                  </w:r>
                </w:p>
              </w:tc>
              <w:tc>
                <w:tcPr>
                  <w:tcW w:w="2123" w:type="dxa"/>
                  <w:tcBorders>
                    <w:tl2br w:val="nil"/>
                    <w:tr2bl w:val="nil"/>
                  </w:tcBorders>
                  <w:noWrap w:val="0"/>
                  <w:tcMar>
                    <w:left w:w="28" w:type="dxa"/>
                    <w:right w:w="28" w:type="dxa"/>
                  </w:tcMar>
                  <w:vAlign w:val="center"/>
                </w:tcPr>
                <w:p w14:paraId="7CD1006F">
                  <w:pPr>
                    <w:autoSpaceDE w:val="0"/>
                    <w:autoSpaceDN w:val="0"/>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snapToGrid w:val="0"/>
                      <w:color w:val="auto"/>
                      <w:sz w:val="21"/>
                      <w:szCs w:val="18"/>
                      <w:highlight w:val="none"/>
                      <w:lang w:val="en-US" w:eastAsia="zh-CN"/>
                    </w:rPr>
                    <w:t>1</w:t>
                  </w:r>
                  <w:r>
                    <w:rPr>
                      <w:rFonts w:hint="eastAsia" w:cs="Times New Roman"/>
                      <w:snapToGrid w:val="0"/>
                      <w:color w:val="auto"/>
                      <w:sz w:val="21"/>
                      <w:szCs w:val="18"/>
                      <w:highlight w:val="none"/>
                      <w:lang w:val="en-US" w:eastAsia="zh-CN"/>
                    </w:rPr>
                    <w:t>82</w:t>
                  </w:r>
                  <w:r>
                    <w:rPr>
                      <w:rFonts w:hint="default" w:ascii="Times New Roman" w:hAnsi="Times New Roman" w:cs="Times New Roman"/>
                      <w:snapToGrid w:val="0"/>
                      <w:color w:val="auto"/>
                      <w:sz w:val="21"/>
                      <w:szCs w:val="18"/>
                      <w:highlight w:val="none"/>
                    </w:rPr>
                    <w:t>mg/L、0.</w:t>
                  </w:r>
                  <w:r>
                    <w:rPr>
                      <w:rFonts w:hint="eastAsia" w:cs="Times New Roman"/>
                      <w:snapToGrid w:val="0"/>
                      <w:color w:val="auto"/>
                      <w:sz w:val="21"/>
                      <w:szCs w:val="18"/>
                      <w:highlight w:val="none"/>
                      <w:lang w:val="en-US" w:eastAsia="zh-CN"/>
                    </w:rPr>
                    <w:t>131</w:t>
                  </w:r>
                  <w:r>
                    <w:rPr>
                      <w:rFonts w:hint="default" w:ascii="Times New Roman" w:hAnsi="Times New Roman" w:cs="Times New Roman"/>
                      <w:snapToGrid w:val="0"/>
                      <w:color w:val="auto"/>
                      <w:sz w:val="21"/>
                      <w:szCs w:val="18"/>
                      <w:highlight w:val="none"/>
                    </w:rPr>
                    <w:t>t/a</w:t>
                  </w:r>
                </w:p>
              </w:tc>
              <w:tc>
                <w:tcPr>
                  <w:tcW w:w="787" w:type="dxa"/>
                  <w:vMerge w:val="continue"/>
                  <w:tcBorders>
                    <w:tl2br w:val="nil"/>
                    <w:tr2bl w:val="nil"/>
                  </w:tcBorders>
                  <w:noWrap w:val="0"/>
                  <w:tcMar>
                    <w:left w:w="28" w:type="dxa"/>
                    <w:right w:w="28" w:type="dxa"/>
                  </w:tcMar>
                  <w:vAlign w:val="center"/>
                </w:tcPr>
                <w:p w14:paraId="2B509D8A">
                  <w:pPr>
                    <w:snapToGrid w:val="0"/>
                    <w:jc w:val="center"/>
                    <w:rPr>
                      <w:rFonts w:hint="default" w:ascii="Times New Roman" w:hAnsi="Times New Roman" w:cs="Times New Roman"/>
                      <w:snapToGrid w:val="0"/>
                      <w:color w:val="auto"/>
                      <w:szCs w:val="21"/>
                      <w:highlight w:val="none"/>
                    </w:rPr>
                  </w:pPr>
                </w:p>
              </w:tc>
            </w:tr>
            <w:tr w14:paraId="3C109F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89" w:type="dxa"/>
                  <w:vMerge w:val="continue"/>
                  <w:tcBorders>
                    <w:tl2br w:val="nil"/>
                    <w:tr2bl w:val="nil"/>
                  </w:tcBorders>
                  <w:noWrap w:val="0"/>
                  <w:tcMar>
                    <w:left w:w="28" w:type="dxa"/>
                    <w:right w:w="28" w:type="dxa"/>
                  </w:tcMar>
                  <w:vAlign w:val="center"/>
                </w:tcPr>
                <w:p w14:paraId="65DAFE3B">
                  <w:pPr>
                    <w:snapToGrid w:val="0"/>
                    <w:jc w:val="center"/>
                    <w:rPr>
                      <w:rFonts w:hint="default" w:ascii="Times New Roman" w:hAnsi="Times New Roman" w:cs="Times New Roman"/>
                      <w:color w:val="auto"/>
                      <w:sz w:val="21"/>
                      <w:szCs w:val="18"/>
                      <w:highlight w:val="none"/>
                    </w:rPr>
                  </w:pPr>
                </w:p>
              </w:tc>
              <w:tc>
                <w:tcPr>
                  <w:tcW w:w="1050" w:type="dxa"/>
                  <w:vMerge w:val="continue"/>
                  <w:tcBorders>
                    <w:tl2br w:val="nil"/>
                    <w:tr2bl w:val="nil"/>
                  </w:tcBorders>
                  <w:noWrap w:val="0"/>
                  <w:tcMar>
                    <w:left w:w="28" w:type="dxa"/>
                    <w:right w:w="28" w:type="dxa"/>
                  </w:tcMar>
                  <w:vAlign w:val="center"/>
                </w:tcPr>
                <w:p w14:paraId="69F6ED06">
                  <w:pPr>
                    <w:snapToGrid w:val="0"/>
                    <w:jc w:val="center"/>
                    <w:rPr>
                      <w:rFonts w:hint="default" w:ascii="Times New Roman" w:hAnsi="Times New Roman" w:cs="Times New Roman"/>
                      <w:color w:val="auto"/>
                      <w:sz w:val="21"/>
                      <w:szCs w:val="18"/>
                      <w:highlight w:val="none"/>
                    </w:rPr>
                  </w:pPr>
                </w:p>
              </w:tc>
              <w:tc>
                <w:tcPr>
                  <w:tcW w:w="1000" w:type="dxa"/>
                  <w:tcBorders>
                    <w:tl2br w:val="nil"/>
                    <w:tr2bl w:val="nil"/>
                  </w:tcBorders>
                  <w:noWrap w:val="0"/>
                  <w:tcMar>
                    <w:left w:w="28" w:type="dxa"/>
                    <w:right w:w="28" w:type="dxa"/>
                  </w:tcMar>
                  <w:vAlign w:val="center"/>
                </w:tcPr>
                <w:p w14:paraId="5F297476">
                  <w:pPr>
                    <w:snapToGrid w:val="0"/>
                    <w:jc w:val="center"/>
                    <w:rPr>
                      <w:rFonts w:hint="default" w:ascii="Times New Roman" w:hAnsi="Times New Roman" w:cs="Times New Roman"/>
                      <w:color w:val="auto"/>
                      <w:sz w:val="21"/>
                      <w:szCs w:val="18"/>
                      <w:highlight w:val="none"/>
                    </w:rPr>
                  </w:pPr>
                  <w:r>
                    <w:rPr>
                      <w:rFonts w:hint="default" w:ascii="Times New Roman" w:hAnsi="Times New Roman" w:cs="Times New Roman"/>
                      <w:color w:val="auto"/>
                      <w:sz w:val="21"/>
                      <w:szCs w:val="18"/>
                      <w:highlight w:val="none"/>
                    </w:rPr>
                    <w:t>SS</w:t>
                  </w:r>
                </w:p>
              </w:tc>
              <w:tc>
                <w:tcPr>
                  <w:tcW w:w="2185" w:type="dxa"/>
                  <w:tcBorders>
                    <w:tl2br w:val="nil"/>
                    <w:tr2bl w:val="nil"/>
                  </w:tcBorders>
                  <w:noWrap w:val="0"/>
                  <w:tcMar>
                    <w:left w:w="28" w:type="dxa"/>
                    <w:right w:w="28" w:type="dxa"/>
                  </w:tcMar>
                  <w:vAlign w:val="center"/>
                </w:tcPr>
                <w:p w14:paraId="32B90D4E">
                  <w:pPr>
                    <w:autoSpaceDE w:val="0"/>
                    <w:autoSpaceDN w:val="0"/>
                    <w:adjustRightInd w:val="0"/>
                    <w:snapToGrid w:val="0"/>
                    <w:jc w:val="center"/>
                    <w:rPr>
                      <w:rFonts w:hint="default" w:ascii="Times New Roman" w:hAnsi="Times New Roman" w:cs="Times New Roman"/>
                      <w:color w:val="auto"/>
                      <w:kern w:val="0"/>
                      <w:sz w:val="21"/>
                      <w:szCs w:val="18"/>
                      <w:highlight w:val="none"/>
                    </w:rPr>
                  </w:pPr>
                  <w:r>
                    <w:rPr>
                      <w:rFonts w:hint="default" w:ascii="Times New Roman" w:hAnsi="Times New Roman" w:cs="Times New Roman"/>
                      <w:snapToGrid w:val="0"/>
                      <w:color w:val="auto"/>
                      <w:sz w:val="21"/>
                      <w:szCs w:val="18"/>
                      <w:highlight w:val="none"/>
                      <w:lang w:val="en-US" w:eastAsia="zh-CN"/>
                    </w:rPr>
                    <w:t>2</w:t>
                  </w:r>
                  <w:r>
                    <w:rPr>
                      <w:rFonts w:hint="eastAsia" w:ascii="Times New Roman" w:hAnsi="Times New Roman" w:cs="Times New Roman"/>
                      <w:snapToGrid w:val="0"/>
                      <w:color w:val="auto"/>
                      <w:sz w:val="21"/>
                      <w:szCs w:val="18"/>
                      <w:highlight w:val="none"/>
                      <w:lang w:val="en-US" w:eastAsia="zh-CN"/>
                    </w:rPr>
                    <w:t>00</w:t>
                  </w:r>
                  <w:r>
                    <w:rPr>
                      <w:rFonts w:hint="default" w:ascii="Times New Roman" w:hAnsi="Times New Roman" w:cs="Times New Roman"/>
                      <w:snapToGrid w:val="0"/>
                      <w:color w:val="auto"/>
                      <w:sz w:val="21"/>
                      <w:szCs w:val="18"/>
                      <w:highlight w:val="none"/>
                    </w:rPr>
                    <w:t>mg/L、0.</w:t>
                  </w:r>
                  <w:r>
                    <w:rPr>
                      <w:rFonts w:hint="eastAsia" w:cs="Times New Roman"/>
                      <w:snapToGrid w:val="0"/>
                      <w:color w:val="auto"/>
                      <w:sz w:val="21"/>
                      <w:szCs w:val="18"/>
                      <w:highlight w:val="none"/>
                      <w:lang w:val="en-US" w:eastAsia="zh-CN"/>
                    </w:rPr>
                    <w:t>144</w:t>
                  </w:r>
                  <w:r>
                    <w:rPr>
                      <w:rFonts w:hint="default" w:ascii="Times New Roman" w:hAnsi="Times New Roman" w:cs="Times New Roman"/>
                      <w:snapToGrid w:val="0"/>
                      <w:color w:val="auto"/>
                      <w:sz w:val="21"/>
                      <w:szCs w:val="18"/>
                      <w:highlight w:val="none"/>
                    </w:rPr>
                    <w:t>t/a</w:t>
                  </w:r>
                </w:p>
              </w:tc>
              <w:tc>
                <w:tcPr>
                  <w:tcW w:w="2123" w:type="dxa"/>
                  <w:tcBorders>
                    <w:tl2br w:val="nil"/>
                    <w:tr2bl w:val="nil"/>
                  </w:tcBorders>
                  <w:noWrap w:val="0"/>
                  <w:tcMar>
                    <w:left w:w="28" w:type="dxa"/>
                    <w:right w:w="28" w:type="dxa"/>
                  </w:tcMar>
                  <w:vAlign w:val="center"/>
                </w:tcPr>
                <w:p w14:paraId="3DF50770">
                  <w:pPr>
                    <w:autoSpaceDE w:val="0"/>
                    <w:autoSpaceDN w:val="0"/>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snapToGrid w:val="0"/>
                      <w:color w:val="auto"/>
                      <w:sz w:val="21"/>
                      <w:szCs w:val="18"/>
                      <w:highlight w:val="none"/>
                      <w:lang w:val="en-US" w:eastAsia="zh-CN"/>
                    </w:rPr>
                    <w:t>1</w:t>
                  </w:r>
                  <w:r>
                    <w:rPr>
                      <w:rFonts w:hint="eastAsia" w:ascii="Times New Roman" w:hAnsi="Times New Roman" w:cs="Times New Roman"/>
                      <w:snapToGrid w:val="0"/>
                      <w:color w:val="auto"/>
                      <w:sz w:val="21"/>
                      <w:szCs w:val="18"/>
                      <w:highlight w:val="none"/>
                      <w:lang w:val="en-US" w:eastAsia="zh-CN"/>
                    </w:rPr>
                    <w:t>00</w:t>
                  </w:r>
                  <w:r>
                    <w:rPr>
                      <w:rFonts w:hint="default" w:ascii="Times New Roman" w:hAnsi="Times New Roman" w:cs="Times New Roman"/>
                      <w:snapToGrid w:val="0"/>
                      <w:color w:val="auto"/>
                      <w:sz w:val="21"/>
                      <w:szCs w:val="18"/>
                      <w:highlight w:val="none"/>
                    </w:rPr>
                    <w:t>mg/L、0.</w:t>
                  </w:r>
                  <w:r>
                    <w:rPr>
                      <w:rFonts w:hint="eastAsia" w:ascii="Times New Roman" w:hAnsi="Times New Roman" w:cs="Times New Roman"/>
                      <w:snapToGrid w:val="0"/>
                      <w:color w:val="auto"/>
                      <w:sz w:val="21"/>
                      <w:szCs w:val="18"/>
                      <w:highlight w:val="none"/>
                      <w:lang w:val="en-US" w:eastAsia="zh-CN"/>
                    </w:rPr>
                    <w:t>0</w:t>
                  </w:r>
                  <w:r>
                    <w:rPr>
                      <w:rFonts w:hint="eastAsia" w:cs="Times New Roman"/>
                      <w:snapToGrid w:val="0"/>
                      <w:color w:val="auto"/>
                      <w:sz w:val="21"/>
                      <w:szCs w:val="18"/>
                      <w:highlight w:val="none"/>
                      <w:lang w:val="en-US" w:eastAsia="zh-CN"/>
                    </w:rPr>
                    <w:t>72</w:t>
                  </w:r>
                  <w:r>
                    <w:rPr>
                      <w:rFonts w:hint="default" w:ascii="Times New Roman" w:hAnsi="Times New Roman" w:cs="Times New Roman"/>
                      <w:snapToGrid w:val="0"/>
                      <w:color w:val="auto"/>
                      <w:sz w:val="21"/>
                      <w:szCs w:val="18"/>
                      <w:highlight w:val="none"/>
                    </w:rPr>
                    <w:t>t/a</w:t>
                  </w:r>
                </w:p>
              </w:tc>
              <w:tc>
                <w:tcPr>
                  <w:tcW w:w="787" w:type="dxa"/>
                  <w:vMerge w:val="continue"/>
                  <w:tcBorders>
                    <w:tl2br w:val="nil"/>
                    <w:tr2bl w:val="nil"/>
                  </w:tcBorders>
                  <w:noWrap w:val="0"/>
                  <w:tcMar>
                    <w:left w:w="28" w:type="dxa"/>
                    <w:right w:w="28" w:type="dxa"/>
                  </w:tcMar>
                  <w:vAlign w:val="center"/>
                </w:tcPr>
                <w:p w14:paraId="534C20AB">
                  <w:pPr>
                    <w:snapToGrid w:val="0"/>
                    <w:jc w:val="center"/>
                    <w:rPr>
                      <w:rFonts w:hint="default" w:ascii="Times New Roman" w:hAnsi="Times New Roman" w:cs="Times New Roman"/>
                      <w:snapToGrid w:val="0"/>
                      <w:color w:val="auto"/>
                      <w:szCs w:val="21"/>
                      <w:highlight w:val="none"/>
                    </w:rPr>
                  </w:pPr>
                </w:p>
              </w:tc>
            </w:tr>
            <w:tr w14:paraId="1FD28E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89" w:type="dxa"/>
                  <w:vMerge w:val="continue"/>
                  <w:tcBorders>
                    <w:tl2br w:val="nil"/>
                    <w:tr2bl w:val="nil"/>
                  </w:tcBorders>
                  <w:noWrap w:val="0"/>
                  <w:tcMar>
                    <w:left w:w="28" w:type="dxa"/>
                    <w:right w:w="28" w:type="dxa"/>
                  </w:tcMar>
                  <w:vAlign w:val="center"/>
                </w:tcPr>
                <w:p w14:paraId="4DA192E3">
                  <w:pPr>
                    <w:snapToGrid w:val="0"/>
                    <w:jc w:val="center"/>
                    <w:rPr>
                      <w:rFonts w:hint="default" w:ascii="Times New Roman" w:hAnsi="Times New Roman" w:cs="Times New Roman"/>
                      <w:color w:val="auto"/>
                      <w:sz w:val="21"/>
                      <w:szCs w:val="18"/>
                      <w:highlight w:val="none"/>
                    </w:rPr>
                  </w:pPr>
                </w:p>
              </w:tc>
              <w:tc>
                <w:tcPr>
                  <w:tcW w:w="1050" w:type="dxa"/>
                  <w:vMerge w:val="continue"/>
                  <w:tcBorders>
                    <w:tl2br w:val="nil"/>
                    <w:tr2bl w:val="nil"/>
                  </w:tcBorders>
                  <w:noWrap w:val="0"/>
                  <w:tcMar>
                    <w:left w:w="28" w:type="dxa"/>
                    <w:right w:w="28" w:type="dxa"/>
                  </w:tcMar>
                  <w:vAlign w:val="center"/>
                </w:tcPr>
                <w:p w14:paraId="7E11FCC1">
                  <w:pPr>
                    <w:snapToGrid w:val="0"/>
                    <w:jc w:val="center"/>
                    <w:rPr>
                      <w:rFonts w:hint="default" w:ascii="Times New Roman" w:hAnsi="Times New Roman" w:cs="Times New Roman"/>
                      <w:color w:val="auto"/>
                      <w:sz w:val="21"/>
                      <w:szCs w:val="18"/>
                      <w:highlight w:val="none"/>
                    </w:rPr>
                  </w:pPr>
                </w:p>
              </w:tc>
              <w:tc>
                <w:tcPr>
                  <w:tcW w:w="1000" w:type="dxa"/>
                  <w:tcBorders>
                    <w:tl2br w:val="nil"/>
                    <w:tr2bl w:val="nil"/>
                  </w:tcBorders>
                  <w:shd w:val="clear" w:color="auto" w:fill="auto"/>
                  <w:noWrap w:val="0"/>
                  <w:tcMar>
                    <w:left w:w="28" w:type="dxa"/>
                    <w:right w:w="28" w:type="dxa"/>
                  </w:tcMar>
                  <w:vAlign w:val="center"/>
                </w:tcPr>
                <w:p w14:paraId="5CCB6E55">
                  <w:pPr>
                    <w:snapToGrid w:val="0"/>
                    <w:jc w:val="center"/>
                    <w:rPr>
                      <w:rFonts w:hint="default" w:ascii="Times New Roman" w:hAnsi="Times New Roman" w:eastAsia="宋体" w:cs="Times New Roman"/>
                      <w:color w:val="auto"/>
                      <w:kern w:val="2"/>
                      <w:sz w:val="21"/>
                      <w:szCs w:val="18"/>
                      <w:highlight w:val="none"/>
                      <w:lang w:val="en-US" w:eastAsia="zh-CN" w:bidi="ar-SA"/>
                    </w:rPr>
                  </w:pPr>
                  <w:r>
                    <w:rPr>
                      <w:rFonts w:hint="default" w:ascii="Times New Roman" w:hAnsi="Times New Roman" w:cs="Times New Roman"/>
                      <w:color w:val="auto"/>
                      <w:sz w:val="21"/>
                      <w:szCs w:val="18"/>
                      <w:highlight w:val="none"/>
                    </w:rPr>
                    <w:t>NH</w:t>
                  </w:r>
                  <w:r>
                    <w:rPr>
                      <w:rFonts w:hint="default" w:ascii="Times New Roman" w:hAnsi="Times New Roman" w:cs="Times New Roman"/>
                      <w:color w:val="auto"/>
                      <w:sz w:val="21"/>
                      <w:szCs w:val="18"/>
                      <w:highlight w:val="none"/>
                      <w:vertAlign w:val="subscript"/>
                    </w:rPr>
                    <w:t>3</w:t>
                  </w:r>
                  <w:r>
                    <w:rPr>
                      <w:rFonts w:hint="default" w:ascii="Times New Roman" w:hAnsi="Times New Roman" w:cs="Times New Roman"/>
                      <w:color w:val="auto"/>
                      <w:sz w:val="21"/>
                      <w:szCs w:val="18"/>
                      <w:highlight w:val="none"/>
                    </w:rPr>
                    <w:t>-N</w:t>
                  </w:r>
                </w:p>
              </w:tc>
              <w:tc>
                <w:tcPr>
                  <w:tcW w:w="2185" w:type="dxa"/>
                  <w:tcBorders>
                    <w:tl2br w:val="nil"/>
                    <w:tr2bl w:val="nil"/>
                  </w:tcBorders>
                  <w:shd w:val="clear" w:color="auto" w:fill="auto"/>
                  <w:noWrap w:val="0"/>
                  <w:tcMar>
                    <w:left w:w="28" w:type="dxa"/>
                    <w:right w:w="28" w:type="dxa"/>
                  </w:tcMar>
                  <w:vAlign w:val="center"/>
                </w:tcPr>
                <w:p w14:paraId="2D4AAE5A">
                  <w:pPr>
                    <w:autoSpaceDE w:val="0"/>
                    <w:autoSpaceDN w:val="0"/>
                    <w:adjustRightInd w:val="0"/>
                    <w:snapToGrid w:val="0"/>
                    <w:jc w:val="center"/>
                    <w:rPr>
                      <w:rFonts w:hint="default" w:ascii="Times New Roman" w:hAnsi="Times New Roman" w:eastAsia="宋体" w:cs="Times New Roman"/>
                      <w:color w:val="auto"/>
                      <w:kern w:val="0"/>
                      <w:sz w:val="21"/>
                      <w:szCs w:val="18"/>
                      <w:highlight w:val="none"/>
                      <w:lang w:val="en-US" w:eastAsia="zh-CN" w:bidi="ar-SA"/>
                    </w:rPr>
                  </w:pPr>
                  <w:r>
                    <w:rPr>
                      <w:rFonts w:hint="default" w:ascii="Times New Roman" w:hAnsi="Times New Roman" w:cs="Times New Roman"/>
                      <w:snapToGrid w:val="0"/>
                      <w:color w:val="auto"/>
                      <w:sz w:val="21"/>
                      <w:szCs w:val="18"/>
                      <w:highlight w:val="none"/>
                    </w:rPr>
                    <w:t>2</w:t>
                  </w:r>
                  <w:r>
                    <w:rPr>
                      <w:rFonts w:hint="eastAsia" w:ascii="Times New Roman" w:hAnsi="Times New Roman" w:cs="Times New Roman"/>
                      <w:snapToGrid w:val="0"/>
                      <w:color w:val="auto"/>
                      <w:sz w:val="21"/>
                      <w:szCs w:val="18"/>
                      <w:highlight w:val="none"/>
                      <w:lang w:val="en-US" w:eastAsia="zh-CN"/>
                    </w:rPr>
                    <w:t>5</w:t>
                  </w:r>
                  <w:r>
                    <w:rPr>
                      <w:rFonts w:hint="default" w:ascii="Times New Roman" w:hAnsi="Times New Roman" w:cs="Times New Roman"/>
                      <w:snapToGrid w:val="0"/>
                      <w:color w:val="auto"/>
                      <w:sz w:val="21"/>
                      <w:szCs w:val="18"/>
                      <w:highlight w:val="none"/>
                    </w:rPr>
                    <w:t>mg/L、0.0</w:t>
                  </w:r>
                  <w:r>
                    <w:rPr>
                      <w:rFonts w:hint="eastAsia" w:cs="Times New Roman"/>
                      <w:snapToGrid w:val="0"/>
                      <w:color w:val="auto"/>
                      <w:sz w:val="21"/>
                      <w:szCs w:val="18"/>
                      <w:highlight w:val="none"/>
                      <w:lang w:val="en-US" w:eastAsia="zh-CN"/>
                    </w:rPr>
                    <w:t>18</w:t>
                  </w:r>
                  <w:r>
                    <w:rPr>
                      <w:rFonts w:hint="default" w:ascii="Times New Roman" w:hAnsi="Times New Roman" w:cs="Times New Roman"/>
                      <w:snapToGrid w:val="0"/>
                      <w:color w:val="auto"/>
                      <w:sz w:val="21"/>
                      <w:szCs w:val="18"/>
                      <w:highlight w:val="none"/>
                    </w:rPr>
                    <w:t>t/a</w:t>
                  </w:r>
                </w:p>
              </w:tc>
              <w:tc>
                <w:tcPr>
                  <w:tcW w:w="2123" w:type="dxa"/>
                  <w:tcBorders>
                    <w:tl2br w:val="nil"/>
                    <w:tr2bl w:val="nil"/>
                  </w:tcBorders>
                  <w:shd w:val="clear" w:color="auto" w:fill="auto"/>
                  <w:noWrap w:val="0"/>
                  <w:tcMar>
                    <w:left w:w="28" w:type="dxa"/>
                    <w:right w:w="28" w:type="dxa"/>
                  </w:tcMar>
                  <w:vAlign w:val="center"/>
                </w:tcPr>
                <w:p w14:paraId="6348BAC8">
                  <w:pPr>
                    <w:autoSpaceDE w:val="0"/>
                    <w:autoSpaceDN w:val="0"/>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snapToGrid w:val="0"/>
                      <w:color w:val="auto"/>
                      <w:sz w:val="21"/>
                      <w:szCs w:val="18"/>
                      <w:highlight w:val="none"/>
                    </w:rPr>
                    <w:t>2</w:t>
                  </w:r>
                  <w:r>
                    <w:rPr>
                      <w:rFonts w:hint="eastAsia" w:cs="Times New Roman"/>
                      <w:snapToGrid w:val="0"/>
                      <w:color w:val="auto"/>
                      <w:sz w:val="21"/>
                      <w:szCs w:val="18"/>
                      <w:highlight w:val="none"/>
                      <w:lang w:val="en-US" w:eastAsia="zh-CN"/>
                    </w:rPr>
                    <w:t>4</w:t>
                  </w:r>
                  <w:r>
                    <w:rPr>
                      <w:rFonts w:hint="default" w:ascii="Times New Roman" w:hAnsi="Times New Roman" w:cs="Times New Roman"/>
                      <w:snapToGrid w:val="0"/>
                      <w:color w:val="auto"/>
                      <w:sz w:val="21"/>
                      <w:szCs w:val="18"/>
                      <w:highlight w:val="none"/>
                    </w:rPr>
                    <w:t>mg/L、0.0</w:t>
                  </w:r>
                  <w:r>
                    <w:rPr>
                      <w:rFonts w:hint="eastAsia" w:cs="Times New Roman"/>
                      <w:snapToGrid w:val="0"/>
                      <w:color w:val="auto"/>
                      <w:sz w:val="21"/>
                      <w:szCs w:val="18"/>
                      <w:highlight w:val="none"/>
                      <w:lang w:val="en-US" w:eastAsia="zh-CN"/>
                    </w:rPr>
                    <w:t>18</w:t>
                  </w:r>
                  <w:r>
                    <w:rPr>
                      <w:rFonts w:hint="default" w:ascii="Times New Roman" w:hAnsi="Times New Roman" w:cs="Times New Roman"/>
                      <w:snapToGrid w:val="0"/>
                      <w:color w:val="auto"/>
                      <w:sz w:val="21"/>
                      <w:szCs w:val="18"/>
                      <w:highlight w:val="none"/>
                    </w:rPr>
                    <w:t>t/a</w:t>
                  </w:r>
                </w:p>
              </w:tc>
              <w:tc>
                <w:tcPr>
                  <w:tcW w:w="787" w:type="dxa"/>
                  <w:vMerge w:val="continue"/>
                  <w:tcBorders>
                    <w:tl2br w:val="nil"/>
                    <w:tr2bl w:val="nil"/>
                  </w:tcBorders>
                  <w:noWrap w:val="0"/>
                  <w:tcMar>
                    <w:left w:w="28" w:type="dxa"/>
                    <w:right w:w="28" w:type="dxa"/>
                  </w:tcMar>
                  <w:vAlign w:val="center"/>
                </w:tcPr>
                <w:p w14:paraId="3BEBBBF2">
                  <w:pPr>
                    <w:snapToGrid w:val="0"/>
                    <w:jc w:val="center"/>
                    <w:rPr>
                      <w:rFonts w:hint="default" w:ascii="Times New Roman" w:hAnsi="Times New Roman" w:cs="Times New Roman"/>
                      <w:snapToGrid w:val="0"/>
                      <w:color w:val="auto"/>
                      <w:szCs w:val="21"/>
                      <w:highlight w:val="none"/>
                    </w:rPr>
                  </w:pPr>
                </w:p>
              </w:tc>
            </w:tr>
            <w:tr w14:paraId="36EC22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89" w:type="dxa"/>
                  <w:vMerge w:val="continue"/>
                  <w:tcBorders>
                    <w:tl2br w:val="nil"/>
                    <w:tr2bl w:val="nil"/>
                  </w:tcBorders>
                  <w:noWrap w:val="0"/>
                  <w:tcMar>
                    <w:left w:w="28" w:type="dxa"/>
                    <w:right w:w="28" w:type="dxa"/>
                  </w:tcMar>
                  <w:vAlign w:val="center"/>
                </w:tcPr>
                <w:p w14:paraId="2942065F">
                  <w:pPr>
                    <w:snapToGrid w:val="0"/>
                    <w:jc w:val="center"/>
                    <w:rPr>
                      <w:rFonts w:hint="default" w:ascii="Times New Roman" w:hAnsi="Times New Roman" w:cs="Times New Roman"/>
                      <w:color w:val="auto"/>
                      <w:sz w:val="21"/>
                      <w:szCs w:val="18"/>
                      <w:highlight w:val="none"/>
                    </w:rPr>
                  </w:pPr>
                </w:p>
              </w:tc>
              <w:tc>
                <w:tcPr>
                  <w:tcW w:w="1050" w:type="dxa"/>
                  <w:vMerge w:val="continue"/>
                  <w:tcBorders>
                    <w:tl2br w:val="nil"/>
                    <w:tr2bl w:val="nil"/>
                  </w:tcBorders>
                  <w:noWrap w:val="0"/>
                  <w:tcMar>
                    <w:left w:w="28" w:type="dxa"/>
                    <w:right w:w="28" w:type="dxa"/>
                  </w:tcMar>
                  <w:vAlign w:val="center"/>
                </w:tcPr>
                <w:p w14:paraId="68D61CF4">
                  <w:pPr>
                    <w:snapToGrid w:val="0"/>
                    <w:jc w:val="center"/>
                    <w:rPr>
                      <w:rFonts w:hint="default" w:ascii="Times New Roman" w:hAnsi="Times New Roman" w:cs="Times New Roman"/>
                      <w:color w:val="auto"/>
                      <w:sz w:val="21"/>
                      <w:szCs w:val="18"/>
                      <w:highlight w:val="none"/>
                    </w:rPr>
                  </w:pPr>
                </w:p>
              </w:tc>
              <w:tc>
                <w:tcPr>
                  <w:tcW w:w="1000" w:type="dxa"/>
                  <w:tcBorders>
                    <w:tl2br w:val="nil"/>
                    <w:tr2bl w:val="nil"/>
                  </w:tcBorders>
                  <w:noWrap w:val="0"/>
                  <w:tcMar>
                    <w:left w:w="28" w:type="dxa"/>
                    <w:right w:w="28" w:type="dxa"/>
                  </w:tcMar>
                  <w:vAlign w:val="center"/>
                </w:tcPr>
                <w:p w14:paraId="7AED5475">
                  <w:pPr>
                    <w:snapToGrid w:val="0"/>
                    <w:jc w:val="center"/>
                    <w:rPr>
                      <w:rFonts w:hint="default" w:ascii="Times New Roman" w:hAnsi="Times New Roman" w:cs="Times New Roman"/>
                      <w:color w:val="auto"/>
                      <w:sz w:val="21"/>
                      <w:szCs w:val="18"/>
                      <w:highlight w:val="none"/>
                    </w:rPr>
                  </w:pPr>
                  <w:r>
                    <w:rPr>
                      <w:rFonts w:hint="eastAsia" w:cs="Times New Roman"/>
                      <w:b w:val="0"/>
                      <w:bCs w:val="0"/>
                      <w:color w:val="auto"/>
                      <w:kern w:val="0"/>
                      <w:sz w:val="21"/>
                      <w:szCs w:val="21"/>
                      <w:highlight w:val="none"/>
                      <w:lang w:val="en-US" w:eastAsia="zh-CN"/>
                    </w:rPr>
                    <w:t>TN</w:t>
                  </w:r>
                </w:p>
              </w:tc>
              <w:tc>
                <w:tcPr>
                  <w:tcW w:w="2185" w:type="dxa"/>
                  <w:tcBorders>
                    <w:tl2br w:val="nil"/>
                    <w:tr2bl w:val="nil"/>
                  </w:tcBorders>
                  <w:noWrap w:val="0"/>
                  <w:tcMar>
                    <w:left w:w="28" w:type="dxa"/>
                    <w:right w:w="28" w:type="dxa"/>
                  </w:tcMar>
                  <w:vAlign w:val="center"/>
                </w:tcPr>
                <w:p w14:paraId="7E067B14">
                  <w:pPr>
                    <w:autoSpaceDE w:val="0"/>
                    <w:autoSpaceDN w:val="0"/>
                    <w:adjustRightInd w:val="0"/>
                    <w:snapToGrid w:val="0"/>
                    <w:jc w:val="center"/>
                    <w:rPr>
                      <w:rFonts w:hint="default" w:ascii="Times New Roman" w:hAnsi="Times New Roman" w:cs="Times New Roman"/>
                      <w:snapToGrid w:val="0"/>
                      <w:color w:val="auto"/>
                      <w:sz w:val="21"/>
                      <w:szCs w:val="18"/>
                      <w:highlight w:val="none"/>
                      <w:lang w:val="en-US" w:eastAsia="zh-CN"/>
                    </w:rPr>
                  </w:pPr>
                  <w:r>
                    <w:rPr>
                      <w:rFonts w:hint="eastAsia" w:cs="Times New Roman"/>
                      <w:snapToGrid w:val="0"/>
                      <w:color w:val="auto"/>
                      <w:sz w:val="21"/>
                      <w:szCs w:val="18"/>
                      <w:highlight w:val="none"/>
                      <w:lang w:val="en-US" w:eastAsia="zh-CN"/>
                    </w:rPr>
                    <w:t>50</w:t>
                  </w:r>
                  <w:r>
                    <w:rPr>
                      <w:rFonts w:hint="default" w:ascii="Times New Roman" w:hAnsi="Times New Roman" w:cs="Times New Roman"/>
                      <w:snapToGrid w:val="0"/>
                      <w:color w:val="auto"/>
                      <w:sz w:val="21"/>
                      <w:szCs w:val="18"/>
                      <w:highlight w:val="none"/>
                    </w:rPr>
                    <w:t>mg/L、0.0</w:t>
                  </w:r>
                  <w:r>
                    <w:rPr>
                      <w:rFonts w:hint="eastAsia" w:cs="Times New Roman"/>
                      <w:snapToGrid w:val="0"/>
                      <w:color w:val="auto"/>
                      <w:sz w:val="21"/>
                      <w:szCs w:val="18"/>
                      <w:highlight w:val="none"/>
                      <w:lang w:val="en-US" w:eastAsia="zh-CN"/>
                    </w:rPr>
                    <w:t>36</w:t>
                  </w:r>
                  <w:r>
                    <w:rPr>
                      <w:rFonts w:hint="default" w:ascii="Times New Roman" w:hAnsi="Times New Roman" w:cs="Times New Roman"/>
                      <w:snapToGrid w:val="0"/>
                      <w:color w:val="auto"/>
                      <w:sz w:val="21"/>
                      <w:szCs w:val="18"/>
                      <w:highlight w:val="none"/>
                    </w:rPr>
                    <w:t>t/a</w:t>
                  </w:r>
                </w:p>
              </w:tc>
              <w:tc>
                <w:tcPr>
                  <w:tcW w:w="2123" w:type="dxa"/>
                  <w:tcBorders>
                    <w:tl2br w:val="nil"/>
                    <w:tr2bl w:val="nil"/>
                  </w:tcBorders>
                  <w:shd w:val="clear" w:color="auto" w:fill="auto"/>
                  <w:noWrap w:val="0"/>
                  <w:tcMar>
                    <w:left w:w="28" w:type="dxa"/>
                    <w:right w:w="28" w:type="dxa"/>
                  </w:tcMar>
                  <w:vAlign w:val="center"/>
                </w:tcPr>
                <w:p w14:paraId="622267FA">
                  <w:pPr>
                    <w:autoSpaceDE w:val="0"/>
                    <w:autoSpaceDN w:val="0"/>
                    <w:adjustRightInd w:val="0"/>
                    <w:snapToGrid w:val="0"/>
                    <w:jc w:val="center"/>
                    <w:rPr>
                      <w:rFonts w:hint="default" w:ascii="Times New Roman" w:hAnsi="Times New Roman" w:eastAsia="宋体" w:cs="Times New Roman"/>
                      <w:snapToGrid w:val="0"/>
                      <w:color w:val="auto"/>
                      <w:kern w:val="2"/>
                      <w:sz w:val="21"/>
                      <w:szCs w:val="18"/>
                      <w:highlight w:val="none"/>
                      <w:lang w:val="en-US" w:eastAsia="zh-CN" w:bidi="ar-SA"/>
                    </w:rPr>
                  </w:pPr>
                  <w:r>
                    <w:rPr>
                      <w:rFonts w:hint="eastAsia" w:cs="Times New Roman"/>
                      <w:snapToGrid w:val="0"/>
                      <w:color w:val="auto"/>
                      <w:sz w:val="21"/>
                      <w:szCs w:val="18"/>
                      <w:highlight w:val="none"/>
                      <w:lang w:val="en-US" w:eastAsia="zh-CN"/>
                    </w:rPr>
                    <w:t>48.5</w:t>
                  </w:r>
                  <w:r>
                    <w:rPr>
                      <w:rFonts w:hint="default" w:ascii="Times New Roman" w:hAnsi="Times New Roman" w:cs="Times New Roman"/>
                      <w:snapToGrid w:val="0"/>
                      <w:color w:val="auto"/>
                      <w:sz w:val="21"/>
                      <w:szCs w:val="18"/>
                      <w:highlight w:val="none"/>
                    </w:rPr>
                    <w:t>mg/L、0.0</w:t>
                  </w:r>
                  <w:r>
                    <w:rPr>
                      <w:rFonts w:hint="eastAsia" w:cs="Times New Roman"/>
                      <w:snapToGrid w:val="0"/>
                      <w:color w:val="auto"/>
                      <w:sz w:val="21"/>
                      <w:szCs w:val="18"/>
                      <w:highlight w:val="none"/>
                      <w:lang w:val="en-US" w:eastAsia="zh-CN"/>
                    </w:rPr>
                    <w:t>35</w:t>
                  </w:r>
                  <w:r>
                    <w:rPr>
                      <w:rFonts w:hint="default" w:ascii="Times New Roman" w:hAnsi="Times New Roman" w:cs="Times New Roman"/>
                      <w:snapToGrid w:val="0"/>
                      <w:color w:val="auto"/>
                      <w:sz w:val="21"/>
                      <w:szCs w:val="18"/>
                      <w:highlight w:val="none"/>
                    </w:rPr>
                    <w:t>t/a</w:t>
                  </w:r>
                </w:p>
              </w:tc>
              <w:tc>
                <w:tcPr>
                  <w:tcW w:w="787" w:type="dxa"/>
                  <w:vMerge w:val="continue"/>
                  <w:tcBorders>
                    <w:tl2br w:val="nil"/>
                    <w:tr2bl w:val="nil"/>
                  </w:tcBorders>
                  <w:noWrap w:val="0"/>
                  <w:tcMar>
                    <w:left w:w="28" w:type="dxa"/>
                    <w:right w:w="28" w:type="dxa"/>
                  </w:tcMar>
                  <w:vAlign w:val="center"/>
                </w:tcPr>
                <w:p w14:paraId="30A2DD97">
                  <w:pPr>
                    <w:snapToGrid w:val="0"/>
                    <w:jc w:val="center"/>
                    <w:rPr>
                      <w:rFonts w:hint="default" w:ascii="Times New Roman" w:hAnsi="Times New Roman" w:cs="Times New Roman"/>
                      <w:snapToGrid w:val="0"/>
                      <w:color w:val="auto"/>
                      <w:szCs w:val="21"/>
                      <w:highlight w:val="none"/>
                    </w:rPr>
                  </w:pPr>
                </w:p>
              </w:tc>
            </w:tr>
            <w:tr w14:paraId="280660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1089" w:type="dxa"/>
                  <w:vMerge w:val="continue"/>
                  <w:tcBorders>
                    <w:tl2br w:val="nil"/>
                    <w:tr2bl w:val="nil"/>
                  </w:tcBorders>
                  <w:noWrap w:val="0"/>
                  <w:tcMar>
                    <w:left w:w="28" w:type="dxa"/>
                    <w:right w:w="28" w:type="dxa"/>
                  </w:tcMar>
                  <w:vAlign w:val="center"/>
                </w:tcPr>
                <w:p w14:paraId="4B6B02BD">
                  <w:pPr>
                    <w:snapToGrid w:val="0"/>
                    <w:jc w:val="center"/>
                    <w:rPr>
                      <w:rFonts w:hint="default" w:ascii="Times New Roman" w:hAnsi="Times New Roman" w:cs="Times New Roman"/>
                      <w:color w:val="auto"/>
                      <w:sz w:val="21"/>
                      <w:szCs w:val="18"/>
                      <w:highlight w:val="none"/>
                    </w:rPr>
                  </w:pPr>
                </w:p>
              </w:tc>
              <w:tc>
                <w:tcPr>
                  <w:tcW w:w="1050" w:type="dxa"/>
                  <w:vMerge w:val="continue"/>
                  <w:tcBorders>
                    <w:tl2br w:val="nil"/>
                    <w:tr2bl w:val="nil"/>
                  </w:tcBorders>
                  <w:noWrap w:val="0"/>
                  <w:tcMar>
                    <w:left w:w="28" w:type="dxa"/>
                    <w:right w:w="28" w:type="dxa"/>
                  </w:tcMar>
                  <w:vAlign w:val="center"/>
                </w:tcPr>
                <w:p w14:paraId="6297F89B">
                  <w:pPr>
                    <w:snapToGrid w:val="0"/>
                    <w:jc w:val="center"/>
                    <w:rPr>
                      <w:rFonts w:hint="default" w:ascii="Times New Roman" w:hAnsi="Times New Roman" w:cs="Times New Roman"/>
                      <w:color w:val="auto"/>
                      <w:sz w:val="21"/>
                      <w:szCs w:val="18"/>
                      <w:highlight w:val="none"/>
                    </w:rPr>
                  </w:pPr>
                </w:p>
              </w:tc>
              <w:tc>
                <w:tcPr>
                  <w:tcW w:w="1000" w:type="dxa"/>
                  <w:tcBorders>
                    <w:tl2br w:val="nil"/>
                    <w:tr2bl w:val="nil"/>
                  </w:tcBorders>
                  <w:noWrap w:val="0"/>
                  <w:tcMar>
                    <w:left w:w="28" w:type="dxa"/>
                    <w:right w:w="28" w:type="dxa"/>
                  </w:tcMar>
                  <w:vAlign w:val="center"/>
                </w:tcPr>
                <w:p w14:paraId="3418A481">
                  <w:pPr>
                    <w:snapToGrid w:val="0"/>
                    <w:jc w:val="center"/>
                    <w:rPr>
                      <w:rFonts w:hint="default" w:ascii="Times New Roman" w:hAnsi="Times New Roman" w:cs="Times New Roman"/>
                      <w:color w:val="auto"/>
                      <w:sz w:val="21"/>
                      <w:szCs w:val="18"/>
                      <w:highlight w:val="none"/>
                    </w:rPr>
                  </w:pPr>
                  <w:r>
                    <w:rPr>
                      <w:rFonts w:hint="eastAsia" w:cs="Times New Roman"/>
                      <w:b w:val="0"/>
                      <w:bCs w:val="0"/>
                      <w:color w:val="auto"/>
                      <w:kern w:val="0"/>
                      <w:sz w:val="21"/>
                      <w:szCs w:val="21"/>
                      <w:highlight w:val="none"/>
                      <w:lang w:val="en-US" w:eastAsia="zh-CN"/>
                    </w:rPr>
                    <w:t>TP</w:t>
                  </w:r>
                </w:p>
              </w:tc>
              <w:tc>
                <w:tcPr>
                  <w:tcW w:w="2185" w:type="dxa"/>
                  <w:tcBorders>
                    <w:tl2br w:val="nil"/>
                    <w:tr2bl w:val="nil"/>
                  </w:tcBorders>
                  <w:noWrap w:val="0"/>
                  <w:tcMar>
                    <w:left w:w="28" w:type="dxa"/>
                    <w:right w:w="28" w:type="dxa"/>
                  </w:tcMar>
                  <w:vAlign w:val="center"/>
                </w:tcPr>
                <w:p w14:paraId="7C8B969A">
                  <w:pPr>
                    <w:autoSpaceDE w:val="0"/>
                    <w:autoSpaceDN w:val="0"/>
                    <w:adjustRightInd w:val="0"/>
                    <w:snapToGrid w:val="0"/>
                    <w:jc w:val="center"/>
                    <w:rPr>
                      <w:rFonts w:hint="eastAsia" w:ascii="Times New Roman" w:hAnsi="Times New Roman" w:eastAsia="宋体" w:cs="Times New Roman"/>
                      <w:color w:val="auto"/>
                      <w:kern w:val="0"/>
                      <w:sz w:val="21"/>
                      <w:szCs w:val="18"/>
                      <w:highlight w:val="none"/>
                      <w:lang w:val="en-US" w:eastAsia="zh-CN"/>
                    </w:rPr>
                  </w:pPr>
                  <w:r>
                    <w:rPr>
                      <w:rFonts w:hint="eastAsia" w:cs="Times New Roman"/>
                      <w:color w:val="auto"/>
                      <w:kern w:val="0"/>
                      <w:sz w:val="21"/>
                      <w:szCs w:val="18"/>
                      <w:highlight w:val="none"/>
                      <w:lang w:val="en-US" w:eastAsia="zh-CN"/>
                    </w:rPr>
                    <w:t>5</w:t>
                  </w:r>
                  <w:r>
                    <w:rPr>
                      <w:rFonts w:hint="default" w:ascii="Times New Roman" w:hAnsi="Times New Roman" w:cs="Times New Roman"/>
                      <w:snapToGrid w:val="0"/>
                      <w:color w:val="auto"/>
                      <w:sz w:val="21"/>
                      <w:szCs w:val="18"/>
                      <w:highlight w:val="none"/>
                    </w:rPr>
                    <w:t>mg/L、0.0</w:t>
                  </w:r>
                  <w:r>
                    <w:rPr>
                      <w:rFonts w:hint="eastAsia" w:cs="Times New Roman"/>
                      <w:snapToGrid w:val="0"/>
                      <w:color w:val="auto"/>
                      <w:sz w:val="21"/>
                      <w:szCs w:val="18"/>
                      <w:highlight w:val="none"/>
                      <w:lang w:val="en-US" w:eastAsia="zh-CN"/>
                    </w:rPr>
                    <w:t>04</w:t>
                  </w:r>
                  <w:r>
                    <w:rPr>
                      <w:rFonts w:hint="default" w:ascii="Times New Roman" w:hAnsi="Times New Roman" w:cs="Times New Roman"/>
                      <w:snapToGrid w:val="0"/>
                      <w:color w:val="auto"/>
                      <w:sz w:val="21"/>
                      <w:szCs w:val="18"/>
                      <w:highlight w:val="none"/>
                    </w:rPr>
                    <w:t>t/a</w:t>
                  </w:r>
                </w:p>
              </w:tc>
              <w:tc>
                <w:tcPr>
                  <w:tcW w:w="2123" w:type="dxa"/>
                  <w:tcBorders>
                    <w:tl2br w:val="nil"/>
                    <w:tr2bl w:val="nil"/>
                  </w:tcBorders>
                  <w:shd w:val="clear" w:color="auto" w:fill="auto"/>
                  <w:noWrap w:val="0"/>
                  <w:tcMar>
                    <w:left w:w="28" w:type="dxa"/>
                    <w:right w:w="28" w:type="dxa"/>
                  </w:tcMar>
                  <w:vAlign w:val="center"/>
                </w:tcPr>
                <w:p w14:paraId="16039979">
                  <w:pPr>
                    <w:autoSpaceDE w:val="0"/>
                    <w:autoSpaceDN w:val="0"/>
                    <w:adjustRightInd w:val="0"/>
                    <w:snapToGrid w:val="0"/>
                    <w:jc w:val="center"/>
                    <w:rPr>
                      <w:rFonts w:hint="default" w:ascii="Times New Roman" w:hAnsi="Times New Roman" w:eastAsia="宋体" w:cs="Times New Roman"/>
                      <w:color w:val="auto"/>
                      <w:kern w:val="0"/>
                      <w:sz w:val="21"/>
                      <w:szCs w:val="18"/>
                      <w:highlight w:val="none"/>
                      <w:lang w:val="en-US" w:eastAsia="zh-CN" w:bidi="ar-SA"/>
                    </w:rPr>
                  </w:pPr>
                  <w:r>
                    <w:rPr>
                      <w:rFonts w:hint="eastAsia" w:cs="Times New Roman"/>
                      <w:color w:val="auto"/>
                      <w:kern w:val="0"/>
                      <w:sz w:val="21"/>
                      <w:szCs w:val="18"/>
                      <w:highlight w:val="none"/>
                      <w:lang w:val="en-US" w:eastAsia="zh-CN"/>
                    </w:rPr>
                    <w:t>4.85</w:t>
                  </w:r>
                  <w:r>
                    <w:rPr>
                      <w:rFonts w:hint="default" w:ascii="Times New Roman" w:hAnsi="Times New Roman" w:cs="Times New Roman"/>
                      <w:snapToGrid w:val="0"/>
                      <w:color w:val="auto"/>
                      <w:sz w:val="21"/>
                      <w:szCs w:val="18"/>
                      <w:highlight w:val="none"/>
                    </w:rPr>
                    <w:t>mg/L、0.0</w:t>
                  </w:r>
                  <w:r>
                    <w:rPr>
                      <w:rFonts w:hint="eastAsia" w:cs="Times New Roman"/>
                      <w:snapToGrid w:val="0"/>
                      <w:color w:val="auto"/>
                      <w:sz w:val="21"/>
                      <w:szCs w:val="18"/>
                      <w:highlight w:val="none"/>
                      <w:lang w:val="en-US" w:eastAsia="zh-CN"/>
                    </w:rPr>
                    <w:t>03</w:t>
                  </w:r>
                  <w:r>
                    <w:rPr>
                      <w:rFonts w:hint="default" w:ascii="Times New Roman" w:hAnsi="Times New Roman" w:cs="Times New Roman"/>
                      <w:snapToGrid w:val="0"/>
                      <w:color w:val="auto"/>
                      <w:sz w:val="21"/>
                      <w:szCs w:val="18"/>
                      <w:highlight w:val="none"/>
                    </w:rPr>
                    <w:t>t/a</w:t>
                  </w:r>
                </w:p>
              </w:tc>
              <w:tc>
                <w:tcPr>
                  <w:tcW w:w="787" w:type="dxa"/>
                  <w:vMerge w:val="continue"/>
                  <w:tcBorders>
                    <w:tl2br w:val="nil"/>
                    <w:tr2bl w:val="nil"/>
                  </w:tcBorders>
                  <w:noWrap w:val="0"/>
                  <w:tcMar>
                    <w:left w:w="28" w:type="dxa"/>
                    <w:right w:w="28" w:type="dxa"/>
                  </w:tcMar>
                  <w:vAlign w:val="center"/>
                </w:tcPr>
                <w:p w14:paraId="65EE3889">
                  <w:pPr>
                    <w:snapToGrid w:val="0"/>
                    <w:jc w:val="center"/>
                    <w:rPr>
                      <w:rFonts w:hint="default" w:ascii="Times New Roman" w:hAnsi="Times New Roman" w:cs="Times New Roman"/>
                      <w:snapToGrid w:val="0"/>
                      <w:color w:val="auto"/>
                      <w:szCs w:val="21"/>
                      <w:highlight w:val="none"/>
                    </w:rPr>
                  </w:pPr>
                </w:p>
              </w:tc>
            </w:tr>
          </w:tbl>
          <w:p w14:paraId="47A20703">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default"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（2）</w:t>
            </w:r>
            <w:r>
              <w:rPr>
                <w:rFonts w:hint="default" w:ascii="Times New Roman" w:hAnsi="Times New Roman" w:eastAsia="宋体" w:cs="Times New Roman"/>
                <w:b/>
                <w:bCs/>
                <w:color w:val="auto"/>
                <w:sz w:val="24"/>
                <w:lang w:val="en-US" w:eastAsia="zh-CN"/>
              </w:rPr>
              <w:t>源强核算</w:t>
            </w:r>
          </w:p>
          <w:p w14:paraId="707690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auto"/>
                <w:sz w:val="24"/>
                <w:highlight w:val="yellow"/>
                <w:lang w:val="en-US" w:eastAsia="zh-CN"/>
              </w:rPr>
            </w:pPr>
            <w:r>
              <w:rPr>
                <w:rFonts w:hint="eastAsia"/>
                <w:color w:val="auto"/>
                <w:sz w:val="24"/>
                <w:lang w:val="en-US" w:eastAsia="zh-CN"/>
              </w:rPr>
              <w:t>根据工程分析，</w:t>
            </w:r>
            <w:r>
              <w:rPr>
                <w:color w:val="auto"/>
                <w:sz w:val="24"/>
              </w:rPr>
              <w:t>本项目全厂劳动定员</w:t>
            </w:r>
            <w:r>
              <w:rPr>
                <w:rFonts w:hint="eastAsia"/>
                <w:color w:val="auto"/>
                <w:sz w:val="24"/>
                <w:lang w:val="en-US" w:eastAsia="zh-CN"/>
              </w:rPr>
              <w:t>30</w:t>
            </w:r>
            <w:r>
              <w:rPr>
                <w:color w:val="auto"/>
                <w:sz w:val="24"/>
              </w:rPr>
              <w:t>人，生活污水产生量为</w:t>
            </w:r>
            <w:r>
              <w:rPr>
                <w:rFonts w:hint="eastAsia"/>
                <w:color w:val="auto"/>
                <w:sz w:val="24"/>
                <w:lang w:val="en-US" w:eastAsia="zh-CN"/>
              </w:rPr>
              <w:t>2.4</w:t>
            </w:r>
            <w:r>
              <w:rPr>
                <w:color w:val="auto"/>
                <w:sz w:val="24"/>
              </w:rPr>
              <w:t>m</w:t>
            </w:r>
            <w:r>
              <w:rPr>
                <w:color w:val="auto"/>
                <w:sz w:val="24"/>
                <w:vertAlign w:val="superscript"/>
              </w:rPr>
              <w:t>3</w:t>
            </w:r>
            <w:r>
              <w:rPr>
                <w:color w:val="auto"/>
                <w:sz w:val="24"/>
              </w:rPr>
              <w:t>/d（</w:t>
            </w:r>
            <w:r>
              <w:rPr>
                <w:rFonts w:hint="eastAsia"/>
                <w:color w:val="auto"/>
                <w:sz w:val="24"/>
                <w:lang w:val="en-US" w:eastAsia="zh-CN"/>
              </w:rPr>
              <w:t>720</w:t>
            </w:r>
            <w:r>
              <w:rPr>
                <w:color w:val="auto"/>
                <w:sz w:val="24"/>
              </w:rPr>
              <w:t>m</w:t>
            </w:r>
            <w:r>
              <w:rPr>
                <w:color w:val="auto"/>
                <w:sz w:val="24"/>
                <w:vertAlign w:val="superscript"/>
              </w:rPr>
              <w:t>3</w:t>
            </w:r>
            <w:r>
              <w:rPr>
                <w:color w:val="auto"/>
                <w:sz w:val="24"/>
              </w:rPr>
              <w:t>/a）。项目产生的生活污水经厂区</w:t>
            </w:r>
            <w:r>
              <w:rPr>
                <w:rFonts w:hint="eastAsia"/>
                <w:color w:val="auto"/>
                <w:sz w:val="24"/>
                <w:lang w:val="en-US" w:eastAsia="zh-CN"/>
              </w:rPr>
              <w:t>现有</w:t>
            </w:r>
            <w:r>
              <w:rPr>
                <w:color w:val="auto"/>
                <w:sz w:val="24"/>
              </w:rPr>
              <w:t>化粪池处理，</w:t>
            </w:r>
            <w:r>
              <w:rPr>
                <w:rFonts w:hint="eastAsia"/>
                <w:color w:val="auto"/>
                <w:sz w:val="24"/>
                <w:lang w:val="en-US" w:eastAsia="zh-CN"/>
              </w:rPr>
              <w:t>排入市政污水管网，进入泾河新城第二</w:t>
            </w:r>
            <w:r>
              <w:rPr>
                <w:rFonts w:hint="eastAsia"/>
                <w:color w:val="auto"/>
                <w:sz w:val="24"/>
                <w:highlight w:val="none"/>
                <w:lang w:val="en-US" w:eastAsia="zh-CN"/>
              </w:rPr>
              <w:t>污水处理厂进一步处理。</w:t>
            </w:r>
          </w:p>
          <w:p w14:paraId="37DC94BC">
            <w:pPr>
              <w:pStyle w:val="58"/>
              <w:ind w:firstLine="482"/>
              <w:rPr>
                <w:rFonts w:hint="default" w:ascii="Times New Roman" w:hAnsi="Times New Roman" w:eastAsia="宋体" w:cs="Times New Roman"/>
                <w:color w:val="auto"/>
                <w:sz w:val="21"/>
                <w:szCs w:val="18"/>
                <w:highlight w:val="none"/>
                <w:lang w:val="en-US" w:eastAsia="zh-CN"/>
              </w:rPr>
            </w:pPr>
            <w:r>
              <w:rPr>
                <w:rFonts w:hint="default" w:ascii="Times New Roman" w:hAnsi="Times New Roman" w:eastAsia="宋体" w:cs="Times New Roman"/>
                <w:color w:val="auto"/>
                <w:sz w:val="21"/>
                <w:szCs w:val="18"/>
                <w:highlight w:val="none"/>
              </w:rPr>
              <w:t>表</w:t>
            </w:r>
            <w:r>
              <w:rPr>
                <w:rFonts w:hint="default" w:ascii="Times New Roman" w:hAnsi="Times New Roman" w:eastAsia="宋体" w:cs="Times New Roman"/>
                <w:color w:val="auto"/>
                <w:sz w:val="21"/>
                <w:szCs w:val="18"/>
                <w:highlight w:val="none"/>
                <w:lang w:val="en-US" w:eastAsia="zh-CN"/>
              </w:rPr>
              <w:t>4-</w:t>
            </w:r>
            <w:r>
              <w:rPr>
                <w:rFonts w:hint="eastAsia" w:cs="Times New Roman"/>
                <w:color w:val="auto"/>
                <w:sz w:val="21"/>
                <w:szCs w:val="18"/>
                <w:highlight w:val="none"/>
                <w:lang w:val="en-US" w:eastAsia="zh-CN"/>
              </w:rPr>
              <w:t>7</w:t>
            </w:r>
            <w:r>
              <w:rPr>
                <w:rFonts w:hint="eastAsia" w:ascii="Times New Roman" w:hAnsi="Times New Roman" w:eastAsia="宋体" w:cs="Times New Roman"/>
                <w:color w:val="auto"/>
                <w:sz w:val="21"/>
                <w:szCs w:val="18"/>
                <w:highlight w:val="none"/>
                <w:lang w:val="en-US" w:eastAsia="zh-CN"/>
              </w:rPr>
              <w:t xml:space="preserve">  </w:t>
            </w:r>
            <w:r>
              <w:rPr>
                <w:rFonts w:hint="default" w:ascii="Times New Roman" w:hAnsi="Times New Roman" w:eastAsia="宋体" w:cs="Times New Roman"/>
                <w:color w:val="auto"/>
                <w:sz w:val="21"/>
                <w:szCs w:val="18"/>
                <w:highlight w:val="none"/>
              </w:rPr>
              <w:t>本项目废水污染物产生情况</w:t>
            </w:r>
            <w:r>
              <w:rPr>
                <w:rFonts w:hint="default" w:ascii="Times New Roman" w:hAnsi="Times New Roman" w:eastAsia="宋体" w:cs="Times New Roman"/>
                <w:color w:val="auto"/>
                <w:sz w:val="21"/>
                <w:szCs w:val="18"/>
                <w:highlight w:val="none"/>
                <w:lang w:val="en-US" w:eastAsia="zh-CN"/>
              </w:rPr>
              <w:t>表</w:t>
            </w:r>
          </w:p>
          <w:tbl>
            <w:tblPr>
              <w:tblStyle w:val="24"/>
              <w:tblW w:w="83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6"/>
              <w:gridCol w:w="1023"/>
              <w:gridCol w:w="1098"/>
              <w:gridCol w:w="1395"/>
              <w:gridCol w:w="1455"/>
              <w:gridCol w:w="990"/>
              <w:gridCol w:w="1431"/>
            </w:tblGrid>
            <w:tr w14:paraId="5F6337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986" w:type="dxa"/>
                  <w:vMerge w:val="restart"/>
                  <w:tcBorders>
                    <w:tl2br w:val="nil"/>
                    <w:tr2bl w:val="nil"/>
                  </w:tcBorders>
                  <w:noWrap w:val="0"/>
                  <w:vAlign w:val="center"/>
                </w:tcPr>
                <w:p w14:paraId="3D781B9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产污环节</w:t>
                  </w:r>
                </w:p>
              </w:tc>
              <w:tc>
                <w:tcPr>
                  <w:tcW w:w="1023" w:type="dxa"/>
                  <w:vMerge w:val="restart"/>
                  <w:tcBorders>
                    <w:tl2br w:val="nil"/>
                    <w:tr2bl w:val="nil"/>
                  </w:tcBorders>
                  <w:noWrap w:val="0"/>
                  <w:vAlign w:val="center"/>
                </w:tcPr>
                <w:p w14:paraId="3FC7385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废水量</w:t>
                  </w:r>
                </w:p>
                <w:p w14:paraId="53FA1E3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t/a</w:t>
                  </w:r>
                </w:p>
              </w:tc>
              <w:tc>
                <w:tcPr>
                  <w:tcW w:w="1098" w:type="dxa"/>
                  <w:vMerge w:val="restart"/>
                  <w:tcBorders>
                    <w:tl2br w:val="nil"/>
                    <w:tr2bl w:val="nil"/>
                  </w:tcBorders>
                  <w:noWrap w:val="0"/>
                  <w:vAlign w:val="center"/>
                </w:tcPr>
                <w:p w14:paraId="64BC391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w:t>
                  </w:r>
                </w:p>
                <w:p w14:paraId="5B4A653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名称</w:t>
                  </w:r>
                </w:p>
              </w:tc>
              <w:tc>
                <w:tcPr>
                  <w:tcW w:w="2850" w:type="dxa"/>
                  <w:gridSpan w:val="2"/>
                  <w:tcBorders>
                    <w:tl2br w:val="nil"/>
                    <w:tr2bl w:val="nil"/>
                  </w:tcBorders>
                  <w:noWrap w:val="0"/>
                  <w:vAlign w:val="center"/>
                </w:tcPr>
                <w:p w14:paraId="5BB8C2E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污染物产生量</w:t>
                  </w:r>
                </w:p>
              </w:tc>
              <w:tc>
                <w:tcPr>
                  <w:tcW w:w="990" w:type="dxa"/>
                  <w:vMerge w:val="restart"/>
                  <w:tcBorders>
                    <w:tl2br w:val="nil"/>
                    <w:tr2bl w:val="nil"/>
                  </w:tcBorders>
                  <w:noWrap w:val="0"/>
                  <w:vAlign w:val="center"/>
                </w:tcPr>
                <w:p w14:paraId="5ED3C78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治理</w:t>
                  </w:r>
                </w:p>
                <w:p w14:paraId="01C49E3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措施</w:t>
                  </w:r>
                </w:p>
              </w:tc>
              <w:tc>
                <w:tcPr>
                  <w:tcW w:w="1431" w:type="dxa"/>
                  <w:vMerge w:val="restart"/>
                  <w:tcBorders>
                    <w:tl2br w:val="nil"/>
                    <w:tr2bl w:val="nil"/>
                  </w:tcBorders>
                  <w:noWrap w:val="0"/>
                  <w:vAlign w:val="center"/>
                </w:tcPr>
                <w:p w14:paraId="07AD1D8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w:t>
                  </w:r>
                </w:p>
                <w:p w14:paraId="1A6315E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去向</w:t>
                  </w:r>
                </w:p>
              </w:tc>
            </w:tr>
            <w:tr w14:paraId="5B556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986" w:type="dxa"/>
                  <w:vMerge w:val="continue"/>
                  <w:tcBorders>
                    <w:tl2br w:val="nil"/>
                    <w:tr2bl w:val="nil"/>
                  </w:tcBorders>
                  <w:noWrap w:val="0"/>
                  <w:vAlign w:val="center"/>
                </w:tcPr>
                <w:p w14:paraId="4832675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23" w:type="dxa"/>
                  <w:vMerge w:val="continue"/>
                  <w:tcBorders>
                    <w:tl2br w:val="nil"/>
                    <w:tr2bl w:val="nil"/>
                  </w:tcBorders>
                  <w:noWrap w:val="0"/>
                  <w:vAlign w:val="center"/>
                </w:tcPr>
                <w:p w14:paraId="58C9EA8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98" w:type="dxa"/>
                  <w:vMerge w:val="continue"/>
                  <w:tcBorders>
                    <w:tl2br w:val="nil"/>
                    <w:tr2bl w:val="nil"/>
                  </w:tcBorders>
                  <w:noWrap w:val="0"/>
                  <w:vAlign w:val="center"/>
                </w:tcPr>
                <w:p w14:paraId="7723D26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395" w:type="dxa"/>
                  <w:tcBorders>
                    <w:tl2br w:val="nil"/>
                    <w:tr2bl w:val="nil"/>
                  </w:tcBorders>
                  <w:noWrap w:val="0"/>
                  <w:vAlign w:val="center"/>
                </w:tcPr>
                <w:p w14:paraId="32907E3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浓度mg/L</w:t>
                  </w:r>
                </w:p>
              </w:tc>
              <w:tc>
                <w:tcPr>
                  <w:tcW w:w="1455" w:type="dxa"/>
                  <w:tcBorders>
                    <w:tl2br w:val="nil"/>
                    <w:tr2bl w:val="nil"/>
                  </w:tcBorders>
                  <w:noWrap w:val="0"/>
                  <w:vAlign w:val="center"/>
                </w:tcPr>
                <w:p w14:paraId="25BEE11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产生量t/a</w:t>
                  </w:r>
                </w:p>
              </w:tc>
              <w:tc>
                <w:tcPr>
                  <w:tcW w:w="990" w:type="dxa"/>
                  <w:vMerge w:val="continue"/>
                  <w:tcBorders>
                    <w:tl2br w:val="nil"/>
                    <w:tr2bl w:val="nil"/>
                  </w:tcBorders>
                  <w:noWrap w:val="0"/>
                  <w:vAlign w:val="center"/>
                </w:tcPr>
                <w:p w14:paraId="4E44881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431" w:type="dxa"/>
                  <w:vMerge w:val="continue"/>
                  <w:tcBorders>
                    <w:tl2br w:val="nil"/>
                    <w:tr2bl w:val="nil"/>
                  </w:tcBorders>
                  <w:noWrap w:val="0"/>
                  <w:vAlign w:val="center"/>
                </w:tcPr>
                <w:p w14:paraId="65EEC6A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652FA8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986" w:type="dxa"/>
                  <w:vMerge w:val="restart"/>
                  <w:tcBorders>
                    <w:tl2br w:val="nil"/>
                    <w:tr2bl w:val="nil"/>
                  </w:tcBorders>
                  <w:noWrap w:val="0"/>
                  <w:vAlign w:val="center"/>
                </w:tcPr>
                <w:p w14:paraId="62F6C81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生活污水</w:t>
                  </w:r>
                </w:p>
              </w:tc>
              <w:tc>
                <w:tcPr>
                  <w:tcW w:w="1023" w:type="dxa"/>
                  <w:vMerge w:val="restart"/>
                  <w:tcBorders>
                    <w:tl2br w:val="nil"/>
                    <w:tr2bl w:val="nil"/>
                  </w:tcBorders>
                  <w:noWrap w:val="0"/>
                  <w:vAlign w:val="center"/>
                </w:tcPr>
                <w:p w14:paraId="30A5865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720</w:t>
                  </w:r>
                </w:p>
              </w:tc>
              <w:tc>
                <w:tcPr>
                  <w:tcW w:w="1098" w:type="dxa"/>
                  <w:tcBorders>
                    <w:tl2br w:val="nil"/>
                    <w:tr2bl w:val="nil"/>
                  </w:tcBorders>
                  <w:noWrap w:val="0"/>
                  <w:vAlign w:val="center"/>
                </w:tcPr>
                <w:p w14:paraId="54D3C59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COD</w:t>
                  </w:r>
                </w:p>
              </w:tc>
              <w:tc>
                <w:tcPr>
                  <w:tcW w:w="1395" w:type="dxa"/>
                  <w:tcBorders>
                    <w:tl2br w:val="nil"/>
                    <w:tr2bl w:val="nil"/>
                  </w:tcBorders>
                  <w:noWrap w:val="0"/>
                  <w:vAlign w:val="center"/>
                </w:tcPr>
                <w:p w14:paraId="746B529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35</w:t>
                  </w:r>
                  <w:r>
                    <w:rPr>
                      <w:rFonts w:hint="default" w:ascii="Times New Roman" w:hAnsi="Times New Roman" w:cs="Times New Roman"/>
                      <w:color w:val="auto"/>
                      <w:sz w:val="21"/>
                      <w:szCs w:val="21"/>
                      <w:highlight w:val="none"/>
                    </w:rPr>
                    <w:t>0</w:t>
                  </w:r>
                </w:p>
              </w:tc>
              <w:tc>
                <w:tcPr>
                  <w:tcW w:w="1455" w:type="dxa"/>
                  <w:tcBorders>
                    <w:tl2br w:val="nil"/>
                    <w:tr2bl w:val="nil"/>
                  </w:tcBorders>
                  <w:noWrap w:val="0"/>
                  <w:vAlign w:val="center"/>
                </w:tcPr>
                <w:p w14:paraId="40BED10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0.252</w:t>
                  </w:r>
                </w:p>
              </w:tc>
              <w:tc>
                <w:tcPr>
                  <w:tcW w:w="990" w:type="dxa"/>
                  <w:vMerge w:val="restart"/>
                  <w:tcBorders>
                    <w:tl2br w:val="nil"/>
                    <w:tr2bl w:val="nil"/>
                  </w:tcBorders>
                  <w:noWrap w:val="0"/>
                  <w:vAlign w:val="center"/>
                </w:tcPr>
                <w:p w14:paraId="5898C6C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化粪池</w:t>
                  </w:r>
                </w:p>
              </w:tc>
              <w:tc>
                <w:tcPr>
                  <w:tcW w:w="1431" w:type="dxa"/>
                  <w:vMerge w:val="restart"/>
                  <w:tcBorders>
                    <w:tl2br w:val="nil"/>
                    <w:tr2bl w:val="nil"/>
                  </w:tcBorders>
                  <w:noWrap w:val="0"/>
                  <w:vAlign w:val="center"/>
                </w:tcPr>
                <w:p w14:paraId="07A913B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cs="Times New Roman"/>
                      <w:color w:val="auto"/>
                      <w:sz w:val="21"/>
                      <w:szCs w:val="21"/>
                      <w:vertAlign w:val="baseline"/>
                      <w:lang w:val="en-US" w:eastAsia="zh-CN"/>
                    </w:rPr>
                    <w:t>泾河新城第二</w:t>
                  </w:r>
                  <w:r>
                    <w:rPr>
                      <w:rFonts w:hint="eastAsia" w:ascii="Times New Roman" w:hAnsi="Times New Roman" w:cs="Times New Roman"/>
                      <w:b w:val="0"/>
                      <w:bCs/>
                      <w:snapToGrid w:val="0"/>
                      <w:color w:val="auto"/>
                      <w:sz w:val="21"/>
                      <w:szCs w:val="18"/>
                      <w:highlight w:val="none"/>
                      <w:lang w:val="en-US" w:eastAsia="zh-CN"/>
                    </w:rPr>
                    <w:t>污水处理厂</w:t>
                  </w:r>
                </w:p>
              </w:tc>
            </w:tr>
            <w:tr w14:paraId="79E3D3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986" w:type="dxa"/>
                  <w:vMerge w:val="continue"/>
                  <w:tcBorders>
                    <w:tl2br w:val="nil"/>
                    <w:tr2bl w:val="nil"/>
                  </w:tcBorders>
                  <w:noWrap w:val="0"/>
                  <w:vAlign w:val="center"/>
                </w:tcPr>
                <w:p w14:paraId="0A4EF3D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023" w:type="dxa"/>
                  <w:vMerge w:val="continue"/>
                  <w:tcBorders>
                    <w:tl2br w:val="nil"/>
                    <w:tr2bl w:val="nil"/>
                  </w:tcBorders>
                  <w:noWrap w:val="0"/>
                  <w:vAlign w:val="center"/>
                </w:tcPr>
                <w:p w14:paraId="6AF3401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98" w:type="dxa"/>
                  <w:tcBorders>
                    <w:tl2br w:val="nil"/>
                    <w:tr2bl w:val="nil"/>
                  </w:tcBorders>
                  <w:noWrap w:val="0"/>
                  <w:vAlign w:val="center"/>
                </w:tcPr>
                <w:p w14:paraId="7FB3043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BOD</w:t>
                  </w:r>
                  <w:r>
                    <w:rPr>
                      <w:rFonts w:hint="default" w:ascii="Times New Roman" w:hAnsi="Times New Roman" w:cs="Times New Roman"/>
                      <w:color w:val="auto"/>
                      <w:sz w:val="21"/>
                      <w:szCs w:val="21"/>
                      <w:highlight w:val="none"/>
                      <w:vertAlign w:val="subscript"/>
                    </w:rPr>
                    <w:t>5</w:t>
                  </w:r>
                </w:p>
              </w:tc>
              <w:tc>
                <w:tcPr>
                  <w:tcW w:w="1395" w:type="dxa"/>
                  <w:tcBorders>
                    <w:tl2br w:val="nil"/>
                    <w:tr2bl w:val="nil"/>
                  </w:tcBorders>
                  <w:noWrap w:val="0"/>
                  <w:vAlign w:val="center"/>
                </w:tcPr>
                <w:p w14:paraId="26F28EE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2</w:t>
                  </w:r>
                  <w:r>
                    <w:rPr>
                      <w:rFonts w:hint="default" w:ascii="Times New Roman" w:hAnsi="Times New Roman"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0</w:t>
                  </w:r>
                </w:p>
              </w:tc>
              <w:tc>
                <w:tcPr>
                  <w:tcW w:w="1455" w:type="dxa"/>
                  <w:tcBorders>
                    <w:tl2br w:val="nil"/>
                    <w:tr2bl w:val="nil"/>
                  </w:tcBorders>
                  <w:noWrap w:val="0"/>
                  <w:vAlign w:val="center"/>
                </w:tcPr>
                <w:p w14:paraId="4C6DCAE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0.144</w:t>
                  </w:r>
                </w:p>
              </w:tc>
              <w:tc>
                <w:tcPr>
                  <w:tcW w:w="990" w:type="dxa"/>
                  <w:vMerge w:val="continue"/>
                  <w:tcBorders>
                    <w:tl2br w:val="nil"/>
                    <w:tr2bl w:val="nil"/>
                  </w:tcBorders>
                  <w:noWrap w:val="0"/>
                  <w:vAlign w:val="center"/>
                </w:tcPr>
                <w:p w14:paraId="41AF336C">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431" w:type="dxa"/>
                  <w:vMerge w:val="continue"/>
                  <w:tcBorders>
                    <w:tl2br w:val="nil"/>
                    <w:tr2bl w:val="nil"/>
                  </w:tcBorders>
                  <w:noWrap w:val="0"/>
                  <w:vAlign w:val="center"/>
                </w:tcPr>
                <w:p w14:paraId="5BB67DFF">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r>
            <w:tr w14:paraId="2B0D17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986" w:type="dxa"/>
                  <w:vMerge w:val="continue"/>
                  <w:tcBorders>
                    <w:tl2br w:val="nil"/>
                    <w:tr2bl w:val="nil"/>
                  </w:tcBorders>
                  <w:noWrap w:val="0"/>
                  <w:vAlign w:val="center"/>
                </w:tcPr>
                <w:p w14:paraId="2DFC99B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023" w:type="dxa"/>
                  <w:vMerge w:val="continue"/>
                  <w:tcBorders>
                    <w:tl2br w:val="nil"/>
                    <w:tr2bl w:val="nil"/>
                  </w:tcBorders>
                  <w:noWrap w:val="0"/>
                  <w:vAlign w:val="center"/>
                </w:tcPr>
                <w:p w14:paraId="60D11C7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98" w:type="dxa"/>
                  <w:tcBorders>
                    <w:tl2br w:val="nil"/>
                    <w:tr2bl w:val="nil"/>
                  </w:tcBorders>
                  <w:noWrap w:val="0"/>
                  <w:vAlign w:val="center"/>
                </w:tcPr>
                <w:p w14:paraId="7AD3F52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SS</w:t>
                  </w:r>
                </w:p>
              </w:tc>
              <w:tc>
                <w:tcPr>
                  <w:tcW w:w="1395" w:type="dxa"/>
                  <w:tcBorders>
                    <w:tl2br w:val="nil"/>
                    <w:tr2bl w:val="nil"/>
                  </w:tcBorders>
                  <w:noWrap w:val="0"/>
                  <w:vAlign w:val="center"/>
                </w:tcPr>
                <w:p w14:paraId="09440D2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2</w:t>
                  </w:r>
                  <w:r>
                    <w:rPr>
                      <w:rFonts w:hint="default" w:ascii="Times New Roman" w:hAnsi="Times New Roman" w:cs="Times New Roman"/>
                      <w:color w:val="auto"/>
                      <w:sz w:val="21"/>
                      <w:szCs w:val="21"/>
                      <w:highlight w:val="none"/>
                      <w:lang w:val="en-US" w:eastAsia="zh-CN"/>
                    </w:rPr>
                    <w:t>00</w:t>
                  </w:r>
                </w:p>
              </w:tc>
              <w:tc>
                <w:tcPr>
                  <w:tcW w:w="1455" w:type="dxa"/>
                  <w:tcBorders>
                    <w:tl2br w:val="nil"/>
                    <w:tr2bl w:val="nil"/>
                  </w:tcBorders>
                  <w:noWrap w:val="0"/>
                  <w:vAlign w:val="center"/>
                </w:tcPr>
                <w:p w14:paraId="754B21F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0.144</w:t>
                  </w:r>
                </w:p>
              </w:tc>
              <w:tc>
                <w:tcPr>
                  <w:tcW w:w="990" w:type="dxa"/>
                  <w:vMerge w:val="continue"/>
                  <w:tcBorders>
                    <w:tl2br w:val="nil"/>
                    <w:tr2bl w:val="nil"/>
                  </w:tcBorders>
                  <w:noWrap w:val="0"/>
                  <w:vAlign w:val="center"/>
                </w:tcPr>
                <w:p w14:paraId="15300BCC">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431" w:type="dxa"/>
                  <w:vMerge w:val="continue"/>
                  <w:tcBorders>
                    <w:tl2br w:val="nil"/>
                    <w:tr2bl w:val="nil"/>
                  </w:tcBorders>
                  <w:noWrap w:val="0"/>
                  <w:vAlign w:val="center"/>
                </w:tcPr>
                <w:p w14:paraId="047CF782">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r>
            <w:tr w14:paraId="0AAA2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83" w:hRule="atLeast"/>
                <w:jc w:val="center"/>
              </w:trPr>
              <w:tc>
                <w:tcPr>
                  <w:tcW w:w="986" w:type="dxa"/>
                  <w:vMerge w:val="continue"/>
                  <w:tcBorders>
                    <w:tl2br w:val="nil"/>
                    <w:tr2bl w:val="nil"/>
                  </w:tcBorders>
                  <w:noWrap w:val="0"/>
                  <w:vAlign w:val="center"/>
                </w:tcPr>
                <w:p w14:paraId="1FE34A43">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023" w:type="dxa"/>
                  <w:vMerge w:val="continue"/>
                  <w:tcBorders>
                    <w:tl2br w:val="nil"/>
                    <w:tr2bl w:val="nil"/>
                  </w:tcBorders>
                  <w:noWrap w:val="0"/>
                  <w:vAlign w:val="center"/>
                </w:tcPr>
                <w:p w14:paraId="5DB1284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98" w:type="dxa"/>
                  <w:tcBorders>
                    <w:tl2br w:val="nil"/>
                    <w:tr2bl w:val="nil"/>
                  </w:tcBorders>
                  <w:noWrap w:val="0"/>
                  <w:vAlign w:val="center"/>
                </w:tcPr>
                <w:p w14:paraId="0A0FF36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氨氮</w:t>
                  </w:r>
                </w:p>
              </w:tc>
              <w:tc>
                <w:tcPr>
                  <w:tcW w:w="1395" w:type="dxa"/>
                  <w:tcBorders>
                    <w:tl2br w:val="nil"/>
                    <w:tr2bl w:val="nil"/>
                  </w:tcBorders>
                  <w:noWrap w:val="0"/>
                  <w:vAlign w:val="center"/>
                </w:tcPr>
                <w:p w14:paraId="4015AB4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2</w:t>
                  </w:r>
                  <w:r>
                    <w:rPr>
                      <w:rFonts w:hint="eastAsia" w:cs="Times New Roman"/>
                      <w:color w:val="auto"/>
                      <w:sz w:val="21"/>
                      <w:szCs w:val="21"/>
                      <w:highlight w:val="none"/>
                      <w:lang w:val="en-US" w:eastAsia="zh-CN"/>
                    </w:rPr>
                    <w:t>5</w:t>
                  </w:r>
                </w:p>
              </w:tc>
              <w:tc>
                <w:tcPr>
                  <w:tcW w:w="1455" w:type="dxa"/>
                  <w:tcBorders>
                    <w:tl2br w:val="nil"/>
                    <w:tr2bl w:val="nil"/>
                  </w:tcBorders>
                  <w:noWrap w:val="0"/>
                  <w:vAlign w:val="center"/>
                </w:tcPr>
                <w:p w14:paraId="130C0D4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0.018</w:t>
                  </w:r>
                </w:p>
              </w:tc>
              <w:tc>
                <w:tcPr>
                  <w:tcW w:w="990" w:type="dxa"/>
                  <w:vMerge w:val="continue"/>
                  <w:tcBorders>
                    <w:tl2br w:val="nil"/>
                    <w:tr2bl w:val="nil"/>
                  </w:tcBorders>
                  <w:noWrap w:val="0"/>
                  <w:vAlign w:val="center"/>
                </w:tcPr>
                <w:p w14:paraId="4B80A88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431" w:type="dxa"/>
                  <w:vMerge w:val="continue"/>
                  <w:tcBorders>
                    <w:tl2br w:val="nil"/>
                    <w:tr2bl w:val="nil"/>
                  </w:tcBorders>
                  <w:noWrap w:val="0"/>
                  <w:vAlign w:val="center"/>
                </w:tcPr>
                <w:p w14:paraId="46AF3F00">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r>
            <w:tr w14:paraId="648F5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986" w:type="dxa"/>
                  <w:vMerge w:val="continue"/>
                  <w:tcBorders>
                    <w:tl2br w:val="nil"/>
                    <w:tr2bl w:val="nil"/>
                  </w:tcBorders>
                  <w:noWrap w:val="0"/>
                  <w:vAlign w:val="center"/>
                </w:tcPr>
                <w:p w14:paraId="6F7E512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023" w:type="dxa"/>
                  <w:vMerge w:val="continue"/>
                  <w:tcBorders>
                    <w:tl2br w:val="nil"/>
                    <w:tr2bl w:val="nil"/>
                  </w:tcBorders>
                  <w:noWrap w:val="0"/>
                  <w:vAlign w:val="center"/>
                </w:tcPr>
                <w:p w14:paraId="37E2BF0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98" w:type="dxa"/>
                  <w:tcBorders>
                    <w:tl2br w:val="nil"/>
                    <w:tr2bl w:val="nil"/>
                  </w:tcBorders>
                  <w:noWrap w:val="0"/>
                  <w:vAlign w:val="center"/>
                </w:tcPr>
                <w:p w14:paraId="7CF6029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TN</w:t>
                  </w:r>
                </w:p>
              </w:tc>
              <w:tc>
                <w:tcPr>
                  <w:tcW w:w="1395" w:type="dxa"/>
                  <w:tcBorders>
                    <w:tl2br w:val="nil"/>
                    <w:tr2bl w:val="nil"/>
                  </w:tcBorders>
                  <w:noWrap w:val="0"/>
                  <w:vAlign w:val="center"/>
                </w:tcPr>
                <w:p w14:paraId="6CC6D84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1455" w:type="dxa"/>
                  <w:tcBorders>
                    <w:tl2br w:val="nil"/>
                    <w:tr2bl w:val="nil"/>
                  </w:tcBorders>
                  <w:noWrap w:val="0"/>
                  <w:vAlign w:val="center"/>
                </w:tcPr>
                <w:p w14:paraId="7C98BE9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0.036</w:t>
                  </w:r>
                </w:p>
              </w:tc>
              <w:tc>
                <w:tcPr>
                  <w:tcW w:w="990" w:type="dxa"/>
                  <w:vMerge w:val="continue"/>
                  <w:tcBorders>
                    <w:tl2br w:val="nil"/>
                    <w:tr2bl w:val="nil"/>
                  </w:tcBorders>
                  <w:noWrap w:val="0"/>
                  <w:vAlign w:val="center"/>
                </w:tcPr>
                <w:p w14:paraId="2B4EC763">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431" w:type="dxa"/>
                  <w:vMerge w:val="continue"/>
                  <w:tcBorders>
                    <w:tl2br w:val="nil"/>
                    <w:tr2bl w:val="nil"/>
                  </w:tcBorders>
                  <w:noWrap w:val="0"/>
                  <w:vAlign w:val="center"/>
                </w:tcPr>
                <w:p w14:paraId="04BFC2F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r>
            <w:tr w14:paraId="0117EF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986" w:type="dxa"/>
                  <w:vMerge w:val="continue"/>
                  <w:tcBorders>
                    <w:tl2br w:val="nil"/>
                    <w:tr2bl w:val="nil"/>
                  </w:tcBorders>
                  <w:noWrap w:val="0"/>
                  <w:vAlign w:val="center"/>
                </w:tcPr>
                <w:p w14:paraId="18ED6E3C">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023" w:type="dxa"/>
                  <w:vMerge w:val="continue"/>
                  <w:tcBorders>
                    <w:tl2br w:val="nil"/>
                    <w:tr2bl w:val="nil"/>
                  </w:tcBorders>
                  <w:noWrap w:val="0"/>
                  <w:vAlign w:val="center"/>
                </w:tcPr>
                <w:p w14:paraId="17597F6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98" w:type="dxa"/>
                  <w:tcBorders>
                    <w:tl2br w:val="nil"/>
                    <w:tr2bl w:val="nil"/>
                  </w:tcBorders>
                  <w:noWrap w:val="0"/>
                  <w:vAlign w:val="center"/>
                </w:tcPr>
                <w:p w14:paraId="35A5C3F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TP</w:t>
                  </w:r>
                </w:p>
              </w:tc>
              <w:tc>
                <w:tcPr>
                  <w:tcW w:w="1395" w:type="dxa"/>
                  <w:tcBorders>
                    <w:tl2br w:val="nil"/>
                    <w:tr2bl w:val="nil"/>
                  </w:tcBorders>
                  <w:noWrap w:val="0"/>
                  <w:vAlign w:val="center"/>
                </w:tcPr>
                <w:p w14:paraId="0AA4ABA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w:t>
                  </w:r>
                </w:p>
              </w:tc>
              <w:tc>
                <w:tcPr>
                  <w:tcW w:w="1455" w:type="dxa"/>
                  <w:tcBorders>
                    <w:tl2br w:val="nil"/>
                    <w:tr2bl w:val="nil"/>
                  </w:tcBorders>
                  <w:noWrap w:val="0"/>
                  <w:vAlign w:val="center"/>
                </w:tcPr>
                <w:p w14:paraId="7C4BB37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0.004</w:t>
                  </w:r>
                </w:p>
              </w:tc>
              <w:tc>
                <w:tcPr>
                  <w:tcW w:w="990" w:type="dxa"/>
                  <w:vMerge w:val="continue"/>
                  <w:tcBorders>
                    <w:tl2br w:val="nil"/>
                    <w:tr2bl w:val="nil"/>
                  </w:tcBorders>
                  <w:noWrap w:val="0"/>
                  <w:vAlign w:val="center"/>
                </w:tcPr>
                <w:p w14:paraId="519F8143">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431" w:type="dxa"/>
                  <w:vMerge w:val="continue"/>
                  <w:tcBorders>
                    <w:tl2br w:val="nil"/>
                    <w:tr2bl w:val="nil"/>
                  </w:tcBorders>
                  <w:noWrap w:val="0"/>
                  <w:vAlign w:val="center"/>
                </w:tcPr>
                <w:p w14:paraId="0AD6CFED">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r>
          </w:tbl>
          <w:p w14:paraId="794A76A0">
            <w:pPr>
              <w:pStyle w:val="58"/>
              <w:ind w:firstLine="482"/>
              <w:rPr>
                <w:rFonts w:hint="default" w:ascii="Times New Roman" w:hAnsi="Times New Roman" w:eastAsia="宋体" w:cs="Times New Roman"/>
                <w:color w:val="auto"/>
                <w:sz w:val="21"/>
                <w:szCs w:val="18"/>
                <w:highlight w:val="none"/>
                <w:lang w:val="en-US" w:eastAsia="zh-CN"/>
              </w:rPr>
            </w:pPr>
            <w:r>
              <w:rPr>
                <w:rFonts w:hint="default" w:ascii="Times New Roman" w:hAnsi="Times New Roman" w:eastAsia="宋体" w:cs="Times New Roman"/>
                <w:color w:val="auto"/>
                <w:sz w:val="21"/>
                <w:szCs w:val="18"/>
                <w:highlight w:val="none"/>
                <w:lang w:val="en-US" w:eastAsia="zh-CN"/>
              </w:rPr>
              <w:t>表4-</w:t>
            </w:r>
            <w:r>
              <w:rPr>
                <w:rFonts w:hint="eastAsia" w:cs="Times New Roman"/>
                <w:color w:val="auto"/>
                <w:sz w:val="21"/>
                <w:szCs w:val="18"/>
                <w:highlight w:val="none"/>
                <w:lang w:val="en-US" w:eastAsia="zh-CN"/>
              </w:rPr>
              <w:t>8</w:t>
            </w:r>
            <w:r>
              <w:rPr>
                <w:rFonts w:hint="default" w:ascii="Times New Roman" w:hAnsi="Times New Roman" w:eastAsia="宋体" w:cs="Times New Roman"/>
                <w:color w:val="auto"/>
                <w:sz w:val="21"/>
                <w:szCs w:val="18"/>
                <w:highlight w:val="none"/>
                <w:lang w:val="en-US" w:eastAsia="zh-CN"/>
              </w:rPr>
              <w:t xml:space="preserve">  本项目废水排放浓度及污染物排放量</w:t>
            </w:r>
          </w:p>
          <w:tbl>
            <w:tblPr>
              <w:tblStyle w:val="24"/>
              <w:tblW w:w="4995"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027"/>
              <w:gridCol w:w="2279"/>
              <w:gridCol w:w="763"/>
              <w:gridCol w:w="994"/>
              <w:gridCol w:w="723"/>
              <w:gridCol w:w="879"/>
              <w:gridCol w:w="879"/>
              <w:gridCol w:w="733"/>
            </w:tblGrid>
            <w:tr w14:paraId="26EC953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620" w:type="pct"/>
                  <w:tcBorders>
                    <w:tl2br w:val="nil"/>
                    <w:tr2bl w:val="nil"/>
                  </w:tcBorders>
                  <w:noWrap w:val="0"/>
                  <w:vAlign w:val="center"/>
                </w:tcPr>
                <w:p w14:paraId="58625A73">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eastAsia" w:ascii="Times New Roman" w:hAnsi="Times New Roman" w:cs="Times New Roman"/>
                      <w:b w:val="0"/>
                      <w:bCs w:val="0"/>
                      <w:color w:val="auto"/>
                      <w:kern w:val="0"/>
                      <w:sz w:val="21"/>
                      <w:szCs w:val="21"/>
                      <w:highlight w:val="none"/>
                      <w:lang w:val="en-US" w:eastAsia="zh-CN"/>
                    </w:rPr>
                    <w:t>废</w:t>
                  </w:r>
                  <w:r>
                    <w:rPr>
                      <w:rFonts w:hint="default" w:ascii="Times New Roman" w:hAnsi="Times New Roman" w:cs="Times New Roman"/>
                      <w:b w:val="0"/>
                      <w:bCs w:val="0"/>
                      <w:color w:val="auto"/>
                      <w:kern w:val="0"/>
                      <w:sz w:val="21"/>
                      <w:szCs w:val="21"/>
                      <w:highlight w:val="none"/>
                    </w:rPr>
                    <w:t>水量</w:t>
                  </w:r>
                </w:p>
              </w:tc>
              <w:tc>
                <w:tcPr>
                  <w:tcW w:w="1376" w:type="pct"/>
                  <w:tcBorders>
                    <w:tl2br w:val="nil"/>
                    <w:tr2bl w:val="nil"/>
                  </w:tcBorders>
                  <w:noWrap w:val="0"/>
                  <w:vAlign w:val="center"/>
                </w:tcPr>
                <w:p w14:paraId="53375C0C">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kern w:val="0"/>
                      <w:sz w:val="21"/>
                      <w:szCs w:val="21"/>
                      <w:highlight w:val="none"/>
                    </w:rPr>
                    <w:t>类别</w:t>
                  </w:r>
                </w:p>
              </w:tc>
              <w:tc>
                <w:tcPr>
                  <w:tcW w:w="460" w:type="pct"/>
                  <w:tcBorders>
                    <w:tl2br w:val="nil"/>
                    <w:tr2bl w:val="nil"/>
                  </w:tcBorders>
                  <w:noWrap w:val="0"/>
                  <w:vAlign w:val="center"/>
                </w:tcPr>
                <w:p w14:paraId="464231B7">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kern w:val="0"/>
                      <w:sz w:val="21"/>
                      <w:szCs w:val="21"/>
                      <w:highlight w:val="none"/>
                    </w:rPr>
                    <w:t>COD</w:t>
                  </w:r>
                </w:p>
              </w:tc>
              <w:tc>
                <w:tcPr>
                  <w:tcW w:w="600" w:type="pct"/>
                  <w:tcBorders>
                    <w:tl2br w:val="nil"/>
                    <w:tr2bl w:val="nil"/>
                  </w:tcBorders>
                  <w:noWrap w:val="0"/>
                  <w:vAlign w:val="center"/>
                </w:tcPr>
                <w:p w14:paraId="7578AE80">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kern w:val="0"/>
                      <w:sz w:val="21"/>
                      <w:szCs w:val="21"/>
                      <w:highlight w:val="none"/>
                    </w:rPr>
                    <w:t>BOD</w:t>
                  </w:r>
                  <w:r>
                    <w:rPr>
                      <w:rFonts w:hint="default" w:ascii="Times New Roman" w:hAnsi="Times New Roman" w:cs="Times New Roman"/>
                      <w:b w:val="0"/>
                      <w:bCs w:val="0"/>
                      <w:color w:val="auto"/>
                      <w:kern w:val="0"/>
                      <w:sz w:val="21"/>
                      <w:szCs w:val="21"/>
                      <w:highlight w:val="none"/>
                      <w:vertAlign w:val="subscript"/>
                    </w:rPr>
                    <w:t>5</w:t>
                  </w:r>
                </w:p>
              </w:tc>
              <w:tc>
                <w:tcPr>
                  <w:tcW w:w="436" w:type="pct"/>
                  <w:tcBorders>
                    <w:tl2br w:val="nil"/>
                    <w:tr2bl w:val="nil"/>
                  </w:tcBorders>
                  <w:noWrap w:val="0"/>
                  <w:vAlign w:val="center"/>
                </w:tcPr>
                <w:p w14:paraId="36818D92">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kern w:val="0"/>
                      <w:sz w:val="21"/>
                      <w:szCs w:val="21"/>
                      <w:highlight w:val="none"/>
                    </w:rPr>
                    <w:t>SS</w:t>
                  </w:r>
                </w:p>
              </w:tc>
              <w:tc>
                <w:tcPr>
                  <w:tcW w:w="531" w:type="pct"/>
                  <w:tcBorders>
                    <w:tl2br w:val="nil"/>
                    <w:tr2bl w:val="nil"/>
                  </w:tcBorders>
                  <w:noWrap w:val="0"/>
                  <w:vAlign w:val="center"/>
                </w:tcPr>
                <w:p w14:paraId="3374E2F2">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kern w:val="0"/>
                      <w:sz w:val="21"/>
                      <w:szCs w:val="21"/>
                      <w:highlight w:val="none"/>
                    </w:rPr>
                    <w:t>氨氮</w:t>
                  </w:r>
                </w:p>
              </w:tc>
              <w:tc>
                <w:tcPr>
                  <w:tcW w:w="531" w:type="pct"/>
                  <w:tcBorders>
                    <w:tl2br w:val="nil"/>
                    <w:tr2bl w:val="nil"/>
                  </w:tcBorders>
                  <w:noWrap w:val="0"/>
                  <w:vAlign w:val="center"/>
                </w:tcPr>
                <w:p w14:paraId="48276A01">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TN</w:t>
                  </w:r>
                </w:p>
              </w:tc>
              <w:tc>
                <w:tcPr>
                  <w:tcW w:w="442" w:type="pct"/>
                  <w:tcBorders>
                    <w:tl2br w:val="nil"/>
                    <w:tr2bl w:val="nil"/>
                  </w:tcBorders>
                  <w:noWrap w:val="0"/>
                  <w:vAlign w:val="center"/>
                </w:tcPr>
                <w:p w14:paraId="10AD0532">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TP</w:t>
                  </w:r>
                </w:p>
              </w:tc>
            </w:tr>
            <w:tr w14:paraId="131181B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2" w:hRule="atLeast"/>
                <w:jc w:val="center"/>
              </w:trPr>
              <w:tc>
                <w:tcPr>
                  <w:tcW w:w="620" w:type="pct"/>
                  <w:vMerge w:val="restart"/>
                  <w:tcBorders>
                    <w:tl2br w:val="nil"/>
                    <w:tr2bl w:val="nil"/>
                  </w:tcBorders>
                  <w:noWrap w:val="0"/>
                  <w:vAlign w:val="center"/>
                </w:tcPr>
                <w:p w14:paraId="28324A53">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eastAsia" w:cs="Times New Roman"/>
                      <w:b w:val="0"/>
                      <w:bCs w:val="0"/>
                      <w:color w:val="auto"/>
                      <w:kern w:val="0"/>
                      <w:sz w:val="21"/>
                      <w:szCs w:val="21"/>
                      <w:highlight w:val="none"/>
                      <w:lang w:val="en-US" w:eastAsia="zh-CN"/>
                    </w:rPr>
                    <w:t>720</w:t>
                  </w:r>
                  <w:r>
                    <w:rPr>
                      <w:rFonts w:hint="default" w:ascii="Times New Roman" w:hAnsi="Times New Roman" w:cs="Times New Roman"/>
                      <w:b w:val="0"/>
                      <w:bCs w:val="0"/>
                      <w:color w:val="auto"/>
                      <w:sz w:val="21"/>
                      <w:szCs w:val="21"/>
                      <w:highlight w:val="none"/>
                    </w:rPr>
                    <w:t>t/a</w:t>
                  </w:r>
                </w:p>
              </w:tc>
              <w:tc>
                <w:tcPr>
                  <w:tcW w:w="1376" w:type="pct"/>
                  <w:tcBorders>
                    <w:tl2br w:val="nil"/>
                    <w:tr2bl w:val="nil"/>
                  </w:tcBorders>
                  <w:noWrap w:val="0"/>
                  <w:vAlign w:val="center"/>
                </w:tcPr>
                <w:p w14:paraId="6A5A55B4">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kern w:val="0"/>
                      <w:sz w:val="21"/>
                      <w:szCs w:val="21"/>
                      <w:highlight w:val="none"/>
                      <w:lang w:val="en-US" w:eastAsia="zh-CN"/>
                    </w:rPr>
                    <w:t>进水</w:t>
                  </w:r>
                  <w:r>
                    <w:rPr>
                      <w:rFonts w:hint="default" w:ascii="Times New Roman" w:hAnsi="Times New Roman" w:cs="Times New Roman"/>
                      <w:b w:val="0"/>
                      <w:bCs w:val="0"/>
                      <w:color w:val="auto"/>
                      <w:kern w:val="0"/>
                      <w:sz w:val="21"/>
                      <w:szCs w:val="21"/>
                      <w:highlight w:val="none"/>
                    </w:rPr>
                    <w:t>水质（mg/L）</w:t>
                  </w:r>
                </w:p>
              </w:tc>
              <w:tc>
                <w:tcPr>
                  <w:tcW w:w="460" w:type="pct"/>
                  <w:tcBorders>
                    <w:tl2br w:val="nil"/>
                    <w:tr2bl w:val="nil"/>
                  </w:tcBorders>
                  <w:noWrap w:val="0"/>
                  <w:vAlign w:val="center"/>
                </w:tcPr>
                <w:p w14:paraId="7B06757E">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350</w:t>
                  </w:r>
                </w:p>
              </w:tc>
              <w:tc>
                <w:tcPr>
                  <w:tcW w:w="600" w:type="pct"/>
                  <w:tcBorders>
                    <w:tl2br w:val="nil"/>
                    <w:tr2bl w:val="nil"/>
                  </w:tcBorders>
                  <w:noWrap w:val="0"/>
                  <w:vAlign w:val="center"/>
                </w:tcPr>
                <w:p w14:paraId="6F8F1F59">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200</w:t>
                  </w:r>
                </w:p>
              </w:tc>
              <w:tc>
                <w:tcPr>
                  <w:tcW w:w="436" w:type="pct"/>
                  <w:tcBorders>
                    <w:tl2br w:val="nil"/>
                    <w:tr2bl w:val="nil"/>
                  </w:tcBorders>
                  <w:noWrap w:val="0"/>
                  <w:vAlign w:val="center"/>
                </w:tcPr>
                <w:p w14:paraId="5FFCBFA2">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200</w:t>
                  </w:r>
                </w:p>
              </w:tc>
              <w:tc>
                <w:tcPr>
                  <w:tcW w:w="531" w:type="pct"/>
                  <w:tcBorders>
                    <w:tl2br w:val="nil"/>
                    <w:tr2bl w:val="nil"/>
                  </w:tcBorders>
                  <w:noWrap w:val="0"/>
                  <w:vAlign w:val="center"/>
                </w:tcPr>
                <w:p w14:paraId="58A5A7C1">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25</w:t>
                  </w:r>
                </w:p>
              </w:tc>
              <w:tc>
                <w:tcPr>
                  <w:tcW w:w="531" w:type="pct"/>
                  <w:tcBorders>
                    <w:tl2br w:val="nil"/>
                    <w:tr2bl w:val="nil"/>
                  </w:tcBorders>
                  <w:noWrap w:val="0"/>
                  <w:vAlign w:val="center"/>
                </w:tcPr>
                <w:p w14:paraId="475C8D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w:t>
                  </w:r>
                </w:p>
              </w:tc>
              <w:tc>
                <w:tcPr>
                  <w:tcW w:w="442" w:type="pct"/>
                  <w:tcBorders>
                    <w:tl2br w:val="nil"/>
                    <w:tr2bl w:val="nil"/>
                  </w:tcBorders>
                  <w:noWrap w:val="0"/>
                  <w:vAlign w:val="center"/>
                </w:tcPr>
                <w:p w14:paraId="11FA7E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w:t>
                  </w:r>
                </w:p>
              </w:tc>
            </w:tr>
            <w:tr w14:paraId="56B522E5">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11" w:hRule="atLeast"/>
                <w:jc w:val="center"/>
              </w:trPr>
              <w:tc>
                <w:tcPr>
                  <w:tcW w:w="620" w:type="pct"/>
                  <w:vMerge w:val="continue"/>
                  <w:tcBorders>
                    <w:tl2br w:val="nil"/>
                    <w:tr2bl w:val="nil"/>
                  </w:tcBorders>
                  <w:noWrap w:val="0"/>
                  <w:vAlign w:val="center"/>
                </w:tcPr>
                <w:p w14:paraId="58A10B7E">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p>
              </w:tc>
              <w:tc>
                <w:tcPr>
                  <w:tcW w:w="1376" w:type="pct"/>
                  <w:tcBorders>
                    <w:tl2br w:val="nil"/>
                    <w:tr2bl w:val="nil"/>
                  </w:tcBorders>
                  <w:noWrap w:val="0"/>
                  <w:vAlign w:val="center"/>
                </w:tcPr>
                <w:p w14:paraId="2ADACF35">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cs="Times New Roman"/>
                      <w:b w:val="0"/>
                      <w:bCs w:val="0"/>
                      <w:color w:val="auto"/>
                      <w:kern w:val="0"/>
                      <w:sz w:val="21"/>
                      <w:szCs w:val="21"/>
                      <w:highlight w:val="none"/>
                      <w:lang w:val="en-US" w:eastAsia="zh-CN"/>
                    </w:rPr>
                    <w:t>去除效率（%）</w:t>
                  </w:r>
                </w:p>
              </w:tc>
              <w:tc>
                <w:tcPr>
                  <w:tcW w:w="460" w:type="pct"/>
                  <w:tcBorders>
                    <w:tl2br w:val="nil"/>
                    <w:tr2bl w:val="nil"/>
                  </w:tcBorders>
                  <w:noWrap w:val="0"/>
                  <w:vAlign w:val="center"/>
                </w:tcPr>
                <w:p w14:paraId="044732D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15.5</w:t>
                  </w:r>
                </w:p>
              </w:tc>
              <w:tc>
                <w:tcPr>
                  <w:tcW w:w="600" w:type="pct"/>
                  <w:tcBorders>
                    <w:tl2br w:val="nil"/>
                    <w:tr2bl w:val="nil"/>
                  </w:tcBorders>
                  <w:noWrap w:val="0"/>
                  <w:vAlign w:val="center"/>
                </w:tcPr>
                <w:p w14:paraId="0C4823A8">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436" w:type="pct"/>
                  <w:tcBorders>
                    <w:tl2br w:val="nil"/>
                    <w:tr2bl w:val="nil"/>
                  </w:tcBorders>
                  <w:noWrap w:val="0"/>
                  <w:vAlign w:val="center"/>
                </w:tcPr>
                <w:p w14:paraId="599B59E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531" w:type="pct"/>
                  <w:tcBorders>
                    <w:tl2br w:val="nil"/>
                    <w:tr2bl w:val="nil"/>
                  </w:tcBorders>
                  <w:noWrap w:val="0"/>
                  <w:vAlign w:val="center"/>
                </w:tcPr>
                <w:p w14:paraId="339D4A3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w:t>
                  </w:r>
                </w:p>
              </w:tc>
              <w:tc>
                <w:tcPr>
                  <w:tcW w:w="531" w:type="pct"/>
                  <w:tcBorders>
                    <w:tl2br w:val="nil"/>
                    <w:tr2bl w:val="nil"/>
                  </w:tcBorders>
                  <w:noWrap w:val="0"/>
                  <w:vAlign w:val="center"/>
                </w:tcPr>
                <w:p w14:paraId="5315F4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w:t>
                  </w:r>
                </w:p>
              </w:tc>
              <w:tc>
                <w:tcPr>
                  <w:tcW w:w="442" w:type="pct"/>
                  <w:tcBorders>
                    <w:tl2br w:val="nil"/>
                    <w:tr2bl w:val="nil"/>
                  </w:tcBorders>
                  <w:noWrap w:val="0"/>
                  <w:vAlign w:val="center"/>
                </w:tcPr>
                <w:p w14:paraId="67286F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w:t>
                  </w:r>
                </w:p>
              </w:tc>
            </w:tr>
            <w:tr w14:paraId="293FACD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11" w:hRule="atLeast"/>
                <w:jc w:val="center"/>
              </w:trPr>
              <w:tc>
                <w:tcPr>
                  <w:tcW w:w="620" w:type="pct"/>
                  <w:vMerge w:val="continue"/>
                  <w:tcBorders>
                    <w:tl2br w:val="nil"/>
                    <w:tr2bl w:val="nil"/>
                  </w:tcBorders>
                  <w:noWrap w:val="0"/>
                  <w:vAlign w:val="center"/>
                </w:tcPr>
                <w:p w14:paraId="1EC3520E">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p>
              </w:tc>
              <w:tc>
                <w:tcPr>
                  <w:tcW w:w="1376" w:type="pct"/>
                  <w:tcBorders>
                    <w:tl2br w:val="nil"/>
                    <w:tr2bl w:val="nil"/>
                  </w:tcBorders>
                  <w:noWrap w:val="0"/>
                  <w:vAlign w:val="center"/>
                </w:tcPr>
                <w:p w14:paraId="7790F2B6">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cs="Times New Roman"/>
                      <w:b w:val="0"/>
                      <w:bCs w:val="0"/>
                      <w:color w:val="auto"/>
                      <w:kern w:val="0"/>
                      <w:sz w:val="21"/>
                      <w:szCs w:val="21"/>
                      <w:highlight w:val="none"/>
                      <w:lang w:val="en-US" w:eastAsia="zh-CN"/>
                    </w:rPr>
                    <w:t>排放浓度</w:t>
                  </w:r>
                  <w:r>
                    <w:rPr>
                      <w:rFonts w:hint="default" w:ascii="Times New Roman" w:hAnsi="Times New Roman" w:cs="Times New Roman"/>
                      <w:b w:val="0"/>
                      <w:bCs w:val="0"/>
                      <w:color w:val="auto"/>
                      <w:kern w:val="0"/>
                      <w:sz w:val="21"/>
                      <w:szCs w:val="21"/>
                      <w:highlight w:val="none"/>
                    </w:rPr>
                    <w:t>（mg/L）</w:t>
                  </w:r>
                </w:p>
              </w:tc>
              <w:tc>
                <w:tcPr>
                  <w:tcW w:w="460" w:type="pct"/>
                  <w:tcBorders>
                    <w:tl2br w:val="nil"/>
                    <w:tr2bl w:val="nil"/>
                  </w:tcBorders>
                  <w:noWrap w:val="0"/>
                  <w:vAlign w:val="center"/>
                </w:tcPr>
                <w:p w14:paraId="55FDA43C">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295.8 </w:t>
                  </w:r>
                </w:p>
              </w:tc>
              <w:tc>
                <w:tcPr>
                  <w:tcW w:w="600" w:type="pct"/>
                  <w:tcBorders>
                    <w:tl2br w:val="nil"/>
                    <w:tr2bl w:val="nil"/>
                  </w:tcBorders>
                  <w:noWrap w:val="0"/>
                  <w:vAlign w:val="center"/>
                </w:tcPr>
                <w:p w14:paraId="7C13A23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182</w:t>
                  </w:r>
                </w:p>
              </w:tc>
              <w:tc>
                <w:tcPr>
                  <w:tcW w:w="436" w:type="pct"/>
                  <w:tcBorders>
                    <w:tl2br w:val="nil"/>
                    <w:tr2bl w:val="nil"/>
                  </w:tcBorders>
                  <w:noWrap w:val="0"/>
                  <w:vAlign w:val="center"/>
                </w:tcPr>
                <w:p w14:paraId="63A53DE9">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531" w:type="pct"/>
                  <w:tcBorders>
                    <w:tl2br w:val="nil"/>
                    <w:tr2bl w:val="nil"/>
                  </w:tcBorders>
                  <w:noWrap w:val="0"/>
                  <w:vAlign w:val="center"/>
                </w:tcPr>
                <w:p w14:paraId="2705E23D">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w:t>
                  </w:r>
                </w:p>
              </w:tc>
              <w:tc>
                <w:tcPr>
                  <w:tcW w:w="531" w:type="pct"/>
                  <w:tcBorders>
                    <w:tl2br w:val="nil"/>
                    <w:tr2bl w:val="nil"/>
                  </w:tcBorders>
                  <w:noWrap w:val="0"/>
                  <w:vAlign w:val="center"/>
                </w:tcPr>
                <w:p w14:paraId="0A19E5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48.5</w:t>
                  </w:r>
                </w:p>
              </w:tc>
              <w:tc>
                <w:tcPr>
                  <w:tcW w:w="442" w:type="pct"/>
                  <w:tcBorders>
                    <w:tl2br w:val="nil"/>
                    <w:tr2bl w:val="nil"/>
                  </w:tcBorders>
                  <w:noWrap w:val="0"/>
                  <w:vAlign w:val="center"/>
                </w:tcPr>
                <w:p w14:paraId="26B306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4.85</w:t>
                  </w:r>
                </w:p>
              </w:tc>
            </w:tr>
            <w:tr w14:paraId="4ABC2C8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01" w:hRule="atLeast"/>
                <w:jc w:val="center"/>
              </w:trPr>
              <w:tc>
                <w:tcPr>
                  <w:tcW w:w="620" w:type="pct"/>
                  <w:vMerge w:val="continue"/>
                  <w:tcBorders>
                    <w:tl2br w:val="nil"/>
                    <w:tr2bl w:val="nil"/>
                  </w:tcBorders>
                  <w:noWrap w:val="0"/>
                  <w:vAlign w:val="center"/>
                </w:tcPr>
                <w:p w14:paraId="767CE4CE">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p>
              </w:tc>
              <w:tc>
                <w:tcPr>
                  <w:tcW w:w="1376" w:type="pct"/>
                  <w:tcBorders>
                    <w:tl2br w:val="nil"/>
                    <w:tr2bl w:val="nil"/>
                  </w:tcBorders>
                  <w:noWrap w:val="0"/>
                  <w:vAlign w:val="center"/>
                </w:tcPr>
                <w:p w14:paraId="243EDF37">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kern w:val="0"/>
                      <w:sz w:val="21"/>
                      <w:szCs w:val="21"/>
                      <w:highlight w:val="none"/>
                    </w:rPr>
                    <w:t>污染物排放量（t/a）</w:t>
                  </w:r>
                </w:p>
              </w:tc>
              <w:tc>
                <w:tcPr>
                  <w:tcW w:w="763" w:type="dxa"/>
                  <w:tcBorders>
                    <w:tl2br w:val="nil"/>
                    <w:tr2bl w:val="nil"/>
                  </w:tcBorders>
                  <w:noWrap w:val="0"/>
                  <w:vAlign w:val="center"/>
                </w:tcPr>
                <w:p w14:paraId="26A20CBB">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0.213 </w:t>
                  </w:r>
                </w:p>
              </w:tc>
              <w:tc>
                <w:tcPr>
                  <w:tcW w:w="994" w:type="dxa"/>
                  <w:tcBorders>
                    <w:tl2br w:val="nil"/>
                    <w:tr2bl w:val="nil"/>
                  </w:tcBorders>
                  <w:noWrap w:val="0"/>
                  <w:vAlign w:val="center"/>
                </w:tcPr>
                <w:p w14:paraId="62F976C1">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0.131 </w:t>
                  </w:r>
                </w:p>
              </w:tc>
              <w:tc>
                <w:tcPr>
                  <w:tcW w:w="723" w:type="dxa"/>
                  <w:tcBorders>
                    <w:tl2br w:val="nil"/>
                    <w:tr2bl w:val="nil"/>
                  </w:tcBorders>
                  <w:noWrap w:val="0"/>
                  <w:vAlign w:val="center"/>
                </w:tcPr>
                <w:p w14:paraId="2F635222">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0.072 </w:t>
                  </w:r>
                </w:p>
              </w:tc>
              <w:tc>
                <w:tcPr>
                  <w:tcW w:w="879" w:type="dxa"/>
                  <w:tcBorders>
                    <w:tl2br w:val="nil"/>
                    <w:tr2bl w:val="nil"/>
                  </w:tcBorders>
                  <w:noWrap w:val="0"/>
                  <w:vAlign w:val="center"/>
                </w:tcPr>
                <w:p w14:paraId="2F399C9F">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0.018 </w:t>
                  </w:r>
                </w:p>
              </w:tc>
              <w:tc>
                <w:tcPr>
                  <w:tcW w:w="879" w:type="dxa"/>
                  <w:tcBorders>
                    <w:tl2br w:val="nil"/>
                    <w:tr2bl w:val="nil"/>
                  </w:tcBorders>
                  <w:noWrap w:val="0"/>
                  <w:vAlign w:val="center"/>
                </w:tcPr>
                <w:p w14:paraId="6CBACE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0.035 </w:t>
                  </w:r>
                </w:p>
              </w:tc>
              <w:tc>
                <w:tcPr>
                  <w:tcW w:w="733" w:type="dxa"/>
                  <w:tcBorders>
                    <w:tl2br w:val="nil"/>
                    <w:tr2bl w:val="nil"/>
                  </w:tcBorders>
                  <w:noWrap w:val="0"/>
                  <w:vAlign w:val="center"/>
                </w:tcPr>
                <w:p w14:paraId="48BB39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r>
            <w:tr w14:paraId="4E522DA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01" w:hRule="atLeast"/>
                <w:jc w:val="center"/>
              </w:trPr>
              <w:tc>
                <w:tcPr>
                  <w:tcW w:w="1997" w:type="pct"/>
                  <w:gridSpan w:val="2"/>
                  <w:tcBorders>
                    <w:tl2br w:val="nil"/>
                    <w:tr2bl w:val="nil"/>
                  </w:tcBorders>
                  <w:noWrap w:val="0"/>
                  <w:vAlign w:val="center"/>
                </w:tcPr>
                <w:p w14:paraId="39E52EEE">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sz w:val="21"/>
                      <w:szCs w:val="21"/>
                      <w:highlight w:val="none"/>
                      <w:lang w:val="en-US" w:eastAsia="zh-CN"/>
                    </w:rPr>
                    <w:t>《污水综合排放标准》（GB8978-1996）三级标准</w:t>
                  </w:r>
                </w:p>
              </w:tc>
              <w:tc>
                <w:tcPr>
                  <w:tcW w:w="460" w:type="pct"/>
                  <w:tcBorders>
                    <w:tl2br w:val="nil"/>
                    <w:tr2bl w:val="nil"/>
                  </w:tcBorders>
                  <w:noWrap w:val="0"/>
                  <w:vAlign w:val="center"/>
                </w:tcPr>
                <w:p w14:paraId="5327FDC7">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cs="Times New Roman"/>
                      <w:b w:val="0"/>
                      <w:bCs w:val="0"/>
                      <w:color w:val="auto"/>
                      <w:sz w:val="21"/>
                      <w:szCs w:val="21"/>
                      <w:highlight w:val="none"/>
                      <w:lang w:val="en-US" w:eastAsia="zh-CN"/>
                    </w:rPr>
                    <w:t>500</w:t>
                  </w:r>
                </w:p>
              </w:tc>
              <w:tc>
                <w:tcPr>
                  <w:tcW w:w="600" w:type="pct"/>
                  <w:tcBorders>
                    <w:tl2br w:val="nil"/>
                    <w:tr2bl w:val="nil"/>
                  </w:tcBorders>
                  <w:noWrap w:val="0"/>
                  <w:vAlign w:val="center"/>
                </w:tcPr>
                <w:p w14:paraId="386B0EF2">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cs="Times New Roman"/>
                      <w:b w:val="0"/>
                      <w:bCs w:val="0"/>
                      <w:color w:val="auto"/>
                      <w:sz w:val="21"/>
                      <w:szCs w:val="21"/>
                      <w:highlight w:val="none"/>
                      <w:lang w:val="en-US" w:eastAsia="zh-CN"/>
                    </w:rPr>
                    <w:t>300</w:t>
                  </w:r>
                </w:p>
              </w:tc>
              <w:tc>
                <w:tcPr>
                  <w:tcW w:w="436" w:type="pct"/>
                  <w:tcBorders>
                    <w:tl2br w:val="nil"/>
                    <w:tr2bl w:val="nil"/>
                  </w:tcBorders>
                  <w:noWrap w:val="0"/>
                  <w:vAlign w:val="center"/>
                </w:tcPr>
                <w:p w14:paraId="65A63F83">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cs="Times New Roman"/>
                      <w:b w:val="0"/>
                      <w:bCs w:val="0"/>
                      <w:color w:val="auto"/>
                      <w:sz w:val="21"/>
                      <w:szCs w:val="21"/>
                      <w:highlight w:val="none"/>
                      <w:lang w:val="en-US" w:eastAsia="zh-CN"/>
                    </w:rPr>
                    <w:t>400</w:t>
                  </w:r>
                </w:p>
              </w:tc>
              <w:tc>
                <w:tcPr>
                  <w:tcW w:w="531" w:type="pct"/>
                  <w:tcBorders>
                    <w:tl2br w:val="nil"/>
                    <w:tr2bl w:val="nil"/>
                  </w:tcBorders>
                  <w:noWrap w:val="0"/>
                  <w:vAlign w:val="center"/>
                </w:tcPr>
                <w:p w14:paraId="061FDE2E">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cs="Times New Roman"/>
                      <w:b w:val="0"/>
                      <w:bCs w:val="0"/>
                      <w:color w:val="auto"/>
                      <w:sz w:val="21"/>
                      <w:szCs w:val="21"/>
                      <w:highlight w:val="none"/>
                      <w:lang w:val="en-US" w:eastAsia="zh-CN"/>
                    </w:rPr>
                    <w:t>/</w:t>
                  </w:r>
                </w:p>
              </w:tc>
              <w:tc>
                <w:tcPr>
                  <w:tcW w:w="531" w:type="pct"/>
                  <w:tcBorders>
                    <w:tl2br w:val="nil"/>
                    <w:tr2bl w:val="nil"/>
                  </w:tcBorders>
                  <w:noWrap w:val="0"/>
                  <w:vAlign w:val="center"/>
                </w:tcPr>
                <w:p w14:paraId="4D1020CA">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w:t>
                  </w:r>
                </w:p>
              </w:tc>
              <w:tc>
                <w:tcPr>
                  <w:tcW w:w="442" w:type="pct"/>
                  <w:tcBorders>
                    <w:tl2br w:val="nil"/>
                    <w:tr2bl w:val="nil"/>
                  </w:tcBorders>
                  <w:noWrap w:val="0"/>
                  <w:vAlign w:val="center"/>
                </w:tcPr>
                <w:p w14:paraId="3FC4523A">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w:t>
                  </w:r>
                </w:p>
              </w:tc>
            </w:tr>
            <w:tr w14:paraId="74F7019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01" w:hRule="atLeast"/>
                <w:jc w:val="center"/>
              </w:trPr>
              <w:tc>
                <w:tcPr>
                  <w:tcW w:w="1997" w:type="pct"/>
                  <w:gridSpan w:val="2"/>
                  <w:tcBorders>
                    <w:tl2br w:val="nil"/>
                    <w:tr2bl w:val="nil"/>
                  </w:tcBorders>
                  <w:noWrap w:val="0"/>
                  <w:vAlign w:val="center"/>
                </w:tcPr>
                <w:p w14:paraId="281C806C">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b w:val="0"/>
                      <w:bCs w:val="0"/>
                      <w:color w:val="auto"/>
                      <w:kern w:val="0"/>
                      <w:sz w:val="21"/>
                      <w:szCs w:val="21"/>
                      <w:highlight w:val="none"/>
                    </w:rPr>
                  </w:pPr>
                  <w:r>
                    <w:rPr>
                      <w:rFonts w:hint="default" w:ascii="Times New Roman" w:hAnsi="Times New Roman" w:cs="Times New Roman"/>
                      <w:b w:val="0"/>
                      <w:bCs w:val="0"/>
                      <w:color w:val="auto"/>
                      <w:sz w:val="21"/>
                      <w:szCs w:val="21"/>
                      <w:highlight w:val="none"/>
                      <w:lang w:val="en-US" w:eastAsia="zh-CN"/>
                    </w:rPr>
                    <w:t>《污水排入城镇下水道水质标准》（GB/T31962-2015）</w:t>
                  </w:r>
                  <w:r>
                    <w:rPr>
                      <w:rFonts w:hint="eastAsia" w:ascii="Times New Roman" w:hAnsi="Times New Roman" w:cs="Times New Roman"/>
                      <w:b w:val="0"/>
                      <w:bCs w:val="0"/>
                      <w:color w:val="auto"/>
                      <w:sz w:val="21"/>
                      <w:szCs w:val="21"/>
                      <w:highlight w:val="none"/>
                      <w:lang w:val="en-US" w:eastAsia="zh-CN"/>
                    </w:rPr>
                    <w:t>B</w:t>
                  </w:r>
                  <w:r>
                    <w:rPr>
                      <w:rFonts w:hint="default" w:ascii="Times New Roman" w:hAnsi="Times New Roman" w:cs="Times New Roman"/>
                      <w:b w:val="0"/>
                      <w:bCs w:val="0"/>
                      <w:color w:val="auto"/>
                      <w:sz w:val="21"/>
                      <w:szCs w:val="21"/>
                      <w:highlight w:val="none"/>
                      <w:lang w:val="en-US" w:eastAsia="zh-CN"/>
                    </w:rPr>
                    <w:t>级标准</w:t>
                  </w:r>
                </w:p>
              </w:tc>
              <w:tc>
                <w:tcPr>
                  <w:tcW w:w="460" w:type="pct"/>
                  <w:tcBorders>
                    <w:tl2br w:val="nil"/>
                    <w:tr2bl w:val="nil"/>
                  </w:tcBorders>
                  <w:noWrap w:val="0"/>
                  <w:vAlign w:val="center"/>
                </w:tcPr>
                <w:p w14:paraId="47C8678F">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eastAsia" w:ascii="Times New Roman" w:hAnsi="Times New Roman" w:eastAsia="宋体" w:cs="Times New Roman"/>
                      <w:b w:val="0"/>
                      <w:bCs w:val="0"/>
                      <w:i w:val="0"/>
                      <w:iCs w:val="0"/>
                      <w:color w:val="auto"/>
                      <w:kern w:val="0"/>
                      <w:sz w:val="21"/>
                      <w:szCs w:val="21"/>
                      <w:highlight w:val="none"/>
                      <w:u w:val="none"/>
                      <w:lang w:val="en-US" w:eastAsia="zh-CN" w:bidi="ar"/>
                    </w:rPr>
                    <w:t>/</w:t>
                  </w:r>
                </w:p>
              </w:tc>
              <w:tc>
                <w:tcPr>
                  <w:tcW w:w="600" w:type="pct"/>
                  <w:tcBorders>
                    <w:tl2br w:val="nil"/>
                    <w:tr2bl w:val="nil"/>
                  </w:tcBorders>
                  <w:noWrap w:val="0"/>
                  <w:vAlign w:val="center"/>
                </w:tcPr>
                <w:p w14:paraId="047A0F1C">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eastAsia" w:ascii="Times New Roman" w:hAnsi="Times New Roman" w:eastAsia="宋体" w:cs="Times New Roman"/>
                      <w:b w:val="0"/>
                      <w:bCs w:val="0"/>
                      <w:i w:val="0"/>
                      <w:iCs w:val="0"/>
                      <w:color w:val="auto"/>
                      <w:kern w:val="0"/>
                      <w:sz w:val="21"/>
                      <w:szCs w:val="21"/>
                      <w:highlight w:val="none"/>
                      <w:u w:val="none"/>
                      <w:lang w:val="en-US" w:eastAsia="zh-CN" w:bidi="ar"/>
                    </w:rPr>
                    <w:t>/</w:t>
                  </w:r>
                </w:p>
              </w:tc>
              <w:tc>
                <w:tcPr>
                  <w:tcW w:w="436" w:type="pct"/>
                  <w:tcBorders>
                    <w:tl2br w:val="nil"/>
                    <w:tr2bl w:val="nil"/>
                  </w:tcBorders>
                  <w:noWrap w:val="0"/>
                  <w:vAlign w:val="center"/>
                </w:tcPr>
                <w:p w14:paraId="7DD2DC0D">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eastAsia" w:ascii="Times New Roman" w:hAnsi="Times New Roman" w:eastAsia="宋体" w:cs="Times New Roman"/>
                      <w:b w:val="0"/>
                      <w:bCs w:val="0"/>
                      <w:i w:val="0"/>
                      <w:iCs w:val="0"/>
                      <w:color w:val="auto"/>
                      <w:kern w:val="0"/>
                      <w:sz w:val="21"/>
                      <w:szCs w:val="21"/>
                      <w:highlight w:val="none"/>
                      <w:u w:val="none"/>
                      <w:lang w:val="en-US" w:eastAsia="zh-CN" w:bidi="ar"/>
                    </w:rPr>
                    <w:t>/</w:t>
                  </w:r>
                </w:p>
              </w:tc>
              <w:tc>
                <w:tcPr>
                  <w:tcW w:w="531" w:type="pct"/>
                  <w:tcBorders>
                    <w:tl2br w:val="nil"/>
                    <w:tr2bl w:val="nil"/>
                  </w:tcBorders>
                  <w:noWrap w:val="0"/>
                  <w:vAlign w:val="center"/>
                </w:tcPr>
                <w:p w14:paraId="52B3998B">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default" w:ascii="Times New Roman" w:hAnsi="Times New Roman" w:cs="Times New Roman"/>
                      <w:b w:val="0"/>
                      <w:bCs w:val="0"/>
                      <w:color w:val="auto"/>
                      <w:sz w:val="21"/>
                      <w:szCs w:val="21"/>
                      <w:highlight w:val="none"/>
                      <w:lang w:val="en-US" w:eastAsia="zh-CN"/>
                    </w:rPr>
                    <w:t>45</w:t>
                  </w:r>
                </w:p>
              </w:tc>
              <w:tc>
                <w:tcPr>
                  <w:tcW w:w="531" w:type="pct"/>
                  <w:tcBorders>
                    <w:tl2br w:val="nil"/>
                    <w:tr2bl w:val="nil"/>
                  </w:tcBorders>
                  <w:noWrap w:val="0"/>
                  <w:vAlign w:val="center"/>
                </w:tcPr>
                <w:p w14:paraId="1668F1A2">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70</w:t>
                  </w:r>
                </w:p>
              </w:tc>
              <w:tc>
                <w:tcPr>
                  <w:tcW w:w="442" w:type="pct"/>
                  <w:tcBorders>
                    <w:tl2br w:val="nil"/>
                    <w:tr2bl w:val="nil"/>
                  </w:tcBorders>
                  <w:noWrap w:val="0"/>
                  <w:vAlign w:val="center"/>
                </w:tcPr>
                <w:p w14:paraId="51ED5DD0">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8</w:t>
                  </w:r>
                </w:p>
              </w:tc>
            </w:tr>
            <w:tr w14:paraId="46D93AE4">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01" w:hRule="atLeast"/>
                <w:jc w:val="center"/>
              </w:trPr>
              <w:tc>
                <w:tcPr>
                  <w:tcW w:w="5000" w:type="pct"/>
                  <w:gridSpan w:val="8"/>
                  <w:tcBorders>
                    <w:tl2br w:val="nil"/>
                    <w:tr2bl w:val="nil"/>
                  </w:tcBorders>
                  <w:noWrap w:val="0"/>
                  <w:vAlign w:val="center"/>
                </w:tcPr>
                <w:p w14:paraId="16D3EC5E">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bCs/>
                      <w:color w:val="auto"/>
                      <w:sz w:val="20"/>
                      <w:szCs w:val="20"/>
                      <w:highlight w:val="none"/>
                      <w:lang w:val="en-US" w:eastAsia="zh-CN"/>
                    </w:rPr>
                    <w:t>备注：化粪池去除效率根据《第一次全国污染源普查城镇生活源产排污系数手册》确定</w:t>
                  </w:r>
                </w:p>
              </w:tc>
            </w:tr>
          </w:tbl>
          <w:p w14:paraId="48D48244">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jc w:val="left"/>
              <w:textAlignment w:val="auto"/>
              <w:rPr>
                <w:rFonts w:hint="default" w:ascii="Times New Roman" w:hAnsi="Times New Roman" w:cs="Times New Roman"/>
                <w:b/>
                <w:color w:val="auto"/>
                <w:kern w:val="0"/>
                <w:sz w:val="24"/>
                <w:lang w:val="en-US" w:eastAsia="zh-CN"/>
              </w:rPr>
            </w:pPr>
            <w:r>
              <w:rPr>
                <w:rFonts w:hint="eastAsia" w:ascii="Times New Roman" w:hAnsi="Times New Roman" w:cs="Times New Roman"/>
                <w:b/>
                <w:color w:val="auto"/>
                <w:kern w:val="0"/>
                <w:sz w:val="24"/>
                <w:lang w:val="en-US" w:eastAsia="zh-CN"/>
              </w:rPr>
              <w:t>（3）</w:t>
            </w:r>
            <w:r>
              <w:rPr>
                <w:rFonts w:hint="default" w:ascii="Times New Roman" w:hAnsi="Times New Roman" w:cs="Times New Roman"/>
                <w:b/>
                <w:color w:val="auto"/>
                <w:kern w:val="0"/>
                <w:sz w:val="24"/>
                <w:lang w:val="en-US" w:eastAsia="zh-CN"/>
              </w:rPr>
              <w:t>环境影响分析</w:t>
            </w:r>
          </w:p>
          <w:p w14:paraId="4C96BB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highlight w:val="none"/>
                <w:lang w:val="en-US" w:eastAsia="zh-CN"/>
              </w:rPr>
              <w:t>本项目生活污水经化粪池处理后</w:t>
            </w:r>
            <w:r>
              <w:rPr>
                <w:rFonts w:hint="eastAsia" w:ascii="Times New Roman" w:hAnsi="Times New Roman" w:eastAsia="宋体" w:cs="Times New Roman"/>
                <w:color w:val="auto"/>
                <w:kern w:val="2"/>
                <w:sz w:val="24"/>
                <w:szCs w:val="24"/>
                <w:highlight w:val="none"/>
                <w:lang w:val="en-US" w:eastAsia="zh-CN"/>
              </w:rPr>
              <w:t>，</w:t>
            </w:r>
            <w:r>
              <w:rPr>
                <w:rFonts w:hint="eastAsia"/>
                <w:color w:val="auto"/>
                <w:sz w:val="24"/>
                <w:highlight w:val="none"/>
                <w:lang w:val="en-US" w:eastAsia="zh-CN"/>
              </w:rPr>
              <w:t>排入市政污水管网，排放浓度</w:t>
            </w:r>
            <w:r>
              <w:rPr>
                <w:rFonts w:hint="default" w:ascii="Times New Roman" w:hAnsi="Times New Roman" w:eastAsia="宋体" w:cs="Times New Roman"/>
                <w:color w:val="auto"/>
                <w:sz w:val="24"/>
                <w:lang w:val="en-US" w:eastAsia="zh-CN"/>
              </w:rPr>
              <w:t>满足《污水综合排放标准》（GB8978-1996）中的三级标准以及《污水排入城镇下水道水质标准》(GB/T 31962-2015)中B级标准</w:t>
            </w:r>
            <w:r>
              <w:rPr>
                <w:rFonts w:hint="eastAsia" w:ascii="Times New Roman" w:hAnsi="Times New Roman" w:eastAsia="宋体" w:cs="Times New Roman"/>
                <w:color w:val="auto"/>
                <w:sz w:val="24"/>
                <w:lang w:val="en-US" w:eastAsia="zh-CN"/>
              </w:rPr>
              <w:t>，本项目生活污水</w:t>
            </w:r>
            <w:r>
              <w:rPr>
                <w:rFonts w:hint="eastAsia"/>
                <w:color w:val="auto"/>
                <w:sz w:val="24"/>
                <w:highlight w:val="none"/>
                <w:lang w:val="en-US" w:eastAsia="zh-CN"/>
              </w:rPr>
              <w:t>不直接排入地表水体</w:t>
            </w:r>
            <w:r>
              <w:rPr>
                <w:rFonts w:hint="default" w:ascii="Times New Roman" w:hAnsi="Times New Roman" w:cs="Times New Roman"/>
                <w:color w:val="auto"/>
                <w:kern w:val="2"/>
                <w:sz w:val="24"/>
                <w:szCs w:val="24"/>
                <w:highlight w:val="none"/>
                <w:lang w:val="en-US" w:eastAsia="zh-CN"/>
              </w:rPr>
              <w:t>，</w:t>
            </w:r>
            <w:r>
              <w:rPr>
                <w:rFonts w:hint="default" w:ascii="Times New Roman" w:hAnsi="Times New Roman" w:eastAsia="宋体" w:cs="Times New Roman"/>
                <w:color w:val="auto"/>
                <w:kern w:val="2"/>
                <w:sz w:val="24"/>
                <w:szCs w:val="24"/>
                <w:highlight w:val="none"/>
                <w:lang w:val="en-US" w:eastAsia="zh-CN"/>
              </w:rPr>
              <w:t>对周边环境影响较小</w:t>
            </w:r>
            <w:r>
              <w:rPr>
                <w:rFonts w:hint="default" w:ascii="Times New Roman" w:hAnsi="Times New Roman" w:eastAsia="宋体" w:cs="Times New Roman"/>
                <w:color w:val="auto"/>
                <w:kern w:val="2"/>
                <w:sz w:val="24"/>
                <w:szCs w:val="24"/>
                <w:lang w:val="en-US" w:eastAsia="zh-CN"/>
              </w:rPr>
              <w:t>。</w:t>
            </w:r>
          </w:p>
          <w:p w14:paraId="185EAFB9">
            <w:pPr>
              <w:adjustRightInd w:val="0"/>
              <w:snapToGrid w:val="0"/>
              <w:spacing w:line="360" w:lineRule="auto"/>
              <w:ind w:firstLine="482" w:firstLineChars="200"/>
              <w:jc w:val="left"/>
              <w:rPr>
                <w:rFonts w:hint="default" w:ascii="Times New Roman" w:hAnsi="Times New Roman" w:cs="Times New Roman"/>
                <w:b/>
                <w:color w:val="auto"/>
                <w:kern w:val="0"/>
                <w:sz w:val="24"/>
                <w:lang w:val="en-US" w:eastAsia="zh-CN"/>
              </w:rPr>
            </w:pPr>
            <w:r>
              <w:rPr>
                <w:rFonts w:hint="eastAsia" w:ascii="Times New Roman" w:hAnsi="Times New Roman" w:cs="Times New Roman"/>
                <w:b/>
                <w:color w:val="auto"/>
                <w:kern w:val="0"/>
                <w:sz w:val="24"/>
                <w:lang w:val="en-US" w:eastAsia="zh-CN"/>
              </w:rPr>
              <w:t>（4）</w:t>
            </w:r>
            <w:r>
              <w:rPr>
                <w:rFonts w:hint="default" w:ascii="Times New Roman" w:hAnsi="Times New Roman" w:eastAsia="宋体" w:cs="Times New Roman"/>
                <w:b/>
                <w:color w:val="auto"/>
                <w:kern w:val="0"/>
                <w:sz w:val="24"/>
                <w:lang w:val="en-US" w:eastAsia="zh-CN"/>
              </w:rPr>
              <w:t>依托措</w:t>
            </w:r>
            <w:r>
              <w:rPr>
                <w:rFonts w:hint="default" w:ascii="Times New Roman" w:hAnsi="Times New Roman" w:cs="Times New Roman"/>
                <w:b/>
                <w:color w:val="auto"/>
                <w:kern w:val="0"/>
                <w:sz w:val="24"/>
                <w:lang w:val="en-US" w:eastAsia="zh-CN"/>
              </w:rPr>
              <w:t>施可行性分析</w:t>
            </w:r>
          </w:p>
          <w:p w14:paraId="38132866">
            <w:pPr>
              <w:adjustRightInd w:val="0"/>
              <w:snapToGrid w:val="0"/>
              <w:spacing w:line="360" w:lineRule="auto"/>
              <w:ind w:firstLine="480" w:firstLineChars="200"/>
              <w:rPr>
                <w:rFonts w:hint="default" w:ascii="Times New Roman" w:hAnsi="Times New Roman" w:eastAsia="宋体"/>
                <w:bCs/>
                <w:color w:val="auto"/>
                <w:kern w:val="21"/>
                <w:sz w:val="24"/>
                <w:lang w:val="en-US" w:eastAsia="zh-CN"/>
              </w:rPr>
            </w:pPr>
            <w:r>
              <w:rPr>
                <w:rFonts w:hint="eastAsia" w:ascii="Times New Roman" w:hAnsi="Times New Roman" w:eastAsia="宋体"/>
                <w:bCs/>
                <w:color w:val="auto"/>
                <w:kern w:val="21"/>
                <w:sz w:val="24"/>
                <w:lang w:eastAsia="zh-CN"/>
              </w:rPr>
              <w:t>（</w:t>
            </w:r>
            <w:r>
              <w:rPr>
                <w:rFonts w:hint="eastAsia" w:ascii="Times New Roman" w:hAnsi="Times New Roman" w:eastAsia="宋体"/>
                <w:bCs/>
                <w:color w:val="auto"/>
                <w:kern w:val="21"/>
                <w:sz w:val="24"/>
                <w:lang w:val="en-US" w:eastAsia="zh-CN"/>
              </w:rPr>
              <w:t>1</w:t>
            </w:r>
            <w:r>
              <w:rPr>
                <w:rFonts w:hint="eastAsia" w:ascii="Times New Roman" w:hAnsi="Times New Roman" w:eastAsia="宋体"/>
                <w:bCs/>
                <w:color w:val="auto"/>
                <w:kern w:val="21"/>
                <w:sz w:val="24"/>
                <w:lang w:eastAsia="zh-CN"/>
              </w:rPr>
              <w:t>）</w:t>
            </w:r>
            <w:r>
              <w:rPr>
                <w:rFonts w:hint="eastAsia" w:ascii="Times New Roman" w:hAnsi="Times New Roman" w:eastAsia="宋体"/>
                <w:bCs/>
                <w:color w:val="auto"/>
                <w:kern w:val="21"/>
                <w:sz w:val="24"/>
                <w:lang w:val="en-US" w:eastAsia="zh-CN"/>
              </w:rPr>
              <w:t>化粪池可依托性</w:t>
            </w:r>
          </w:p>
          <w:p w14:paraId="78CB073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根据调查，</w:t>
            </w:r>
            <w:r>
              <w:rPr>
                <w:rFonts w:hint="eastAsia" w:ascii="Times New Roman" w:hAnsi="Times New Roman" w:eastAsia="宋体" w:cs="Times New Roman"/>
                <w:color w:val="auto"/>
                <w:sz w:val="24"/>
                <w:lang w:val="en-US" w:eastAsia="zh-CN"/>
              </w:rPr>
              <w:t>租赁宿舍楼</w:t>
            </w:r>
            <w:r>
              <w:rPr>
                <w:rFonts w:hint="default" w:ascii="Times New Roman" w:hAnsi="Times New Roman" w:eastAsia="宋体" w:cs="Times New Roman"/>
                <w:color w:val="auto"/>
                <w:sz w:val="24"/>
              </w:rPr>
              <w:t>化粪池位于</w:t>
            </w:r>
            <w:r>
              <w:rPr>
                <w:rFonts w:hint="default" w:ascii="Times New Roman" w:hAnsi="Times New Roman" w:eastAsia="宋体" w:cs="Times New Roman"/>
                <w:color w:val="auto"/>
                <w:sz w:val="24"/>
                <w:lang w:val="en-US" w:eastAsia="zh-CN"/>
              </w:rPr>
              <w:t>北侧</w:t>
            </w:r>
            <w:r>
              <w:rPr>
                <w:rFonts w:hint="default" w:ascii="Times New Roman" w:hAnsi="Times New Roman" w:eastAsia="宋体" w:cs="Times New Roman"/>
                <w:color w:val="auto"/>
                <w:sz w:val="24"/>
              </w:rPr>
              <w:t>，容积为</w:t>
            </w:r>
            <w:r>
              <w:rPr>
                <w:rFonts w:hint="eastAsia" w:cs="Times New Roman"/>
                <w:color w:val="auto"/>
                <w:sz w:val="24"/>
                <w:lang w:val="en-US" w:eastAsia="zh-CN"/>
              </w:rPr>
              <w:t>20</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，本项目生活污水排放量为</w:t>
            </w:r>
            <w:r>
              <w:rPr>
                <w:rFonts w:hint="eastAsia" w:cs="Times New Roman"/>
                <w:color w:val="auto"/>
                <w:sz w:val="24"/>
                <w:lang w:val="en-US" w:eastAsia="zh-CN"/>
              </w:rPr>
              <w:t>2.4</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lang w:val="en-US" w:eastAsia="zh-CN"/>
              </w:rPr>
              <w:t>/d</w:t>
            </w:r>
            <w:r>
              <w:rPr>
                <w:rFonts w:hint="default" w:ascii="Times New Roman" w:hAnsi="Times New Roman" w:eastAsia="宋体" w:cs="Times New Roman"/>
                <w:color w:val="auto"/>
                <w:sz w:val="24"/>
              </w:rPr>
              <w:t>，可</w:t>
            </w:r>
            <w:r>
              <w:rPr>
                <w:rFonts w:hint="default" w:ascii="Times New Roman" w:hAnsi="Times New Roman" w:eastAsia="宋体" w:cs="Times New Roman"/>
                <w:color w:val="auto"/>
                <w:sz w:val="24"/>
                <w:lang w:val="en-US" w:eastAsia="zh-CN"/>
              </w:rPr>
              <w:t>容纳</w:t>
            </w:r>
            <w:r>
              <w:rPr>
                <w:rFonts w:hint="default" w:ascii="Times New Roman" w:hAnsi="Times New Roman" w:eastAsia="宋体" w:cs="Times New Roman"/>
                <w:color w:val="auto"/>
                <w:sz w:val="24"/>
              </w:rPr>
              <w:t>本项目所产生的</w:t>
            </w:r>
            <w:r>
              <w:rPr>
                <w:rFonts w:hint="eastAsia" w:ascii="Times New Roman" w:hAnsi="Times New Roman" w:eastAsia="宋体" w:cs="Times New Roman"/>
                <w:color w:val="auto"/>
                <w:sz w:val="24"/>
                <w:lang w:val="en-US" w:eastAsia="zh-CN"/>
              </w:rPr>
              <w:t>生活污水</w:t>
            </w:r>
            <w:r>
              <w:rPr>
                <w:rFonts w:hint="default" w:ascii="Times New Roman" w:hAnsi="Times New Roman" w:eastAsia="宋体" w:cs="Times New Roman"/>
                <w:color w:val="auto"/>
                <w:sz w:val="24"/>
              </w:rPr>
              <w:t>。本项目</w:t>
            </w:r>
            <w:r>
              <w:rPr>
                <w:rFonts w:hint="eastAsia" w:ascii="Times New Roman" w:hAnsi="Times New Roman" w:eastAsia="宋体" w:cs="Times New Roman"/>
                <w:color w:val="auto"/>
                <w:sz w:val="24"/>
                <w:lang w:val="en-US" w:eastAsia="zh-CN"/>
              </w:rPr>
              <w:t>生活污水</w:t>
            </w:r>
            <w:r>
              <w:rPr>
                <w:rFonts w:hint="default" w:ascii="Times New Roman" w:hAnsi="Times New Roman" w:eastAsia="宋体" w:cs="Times New Roman"/>
                <w:color w:val="auto"/>
                <w:sz w:val="24"/>
              </w:rPr>
              <w:t>水质简单，水量较小，因此</w:t>
            </w:r>
            <w:r>
              <w:rPr>
                <w:rFonts w:ascii="Times New Roman" w:hAnsi="Times New Roman" w:eastAsia="宋体"/>
                <w:color w:val="auto"/>
                <w:sz w:val="24"/>
                <w:lang w:val="en-US"/>
              </w:rPr>
              <w:t>现有</w:t>
            </w:r>
            <w:r>
              <w:rPr>
                <w:rFonts w:hint="eastAsia" w:ascii="Times New Roman" w:hAnsi="Times New Roman" w:eastAsia="宋体"/>
                <w:color w:val="auto"/>
                <w:sz w:val="24"/>
                <w:lang w:val="en-US"/>
              </w:rPr>
              <w:t>化粪池的处理能力可满足本项目需求</w:t>
            </w:r>
            <w:r>
              <w:rPr>
                <w:rFonts w:hint="eastAsia" w:ascii="Times New Roman" w:hAnsi="Times New Roman" w:eastAsia="宋体"/>
                <w:color w:val="auto"/>
                <w:sz w:val="24"/>
                <w:lang w:val="en-US" w:eastAsia="zh-CN"/>
              </w:rPr>
              <w:t>。</w:t>
            </w:r>
          </w:p>
          <w:p w14:paraId="5B64606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outlineLvl w:val="9"/>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②依托污水处理厂可行性分析</w:t>
            </w:r>
          </w:p>
          <w:p w14:paraId="2278E75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outlineLvl w:val="9"/>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泾河新城第二污水处理厂位于正阳大道以东，火车南站规划路以南的相交地区。服务范围具体包括：泾河以北，规划东边界以西，茶马大道以东及规划北边界以南围合的范围，现状大部分为泾河新城永乐镇和崇文镇所在区域。总服务面积约34km</w:t>
            </w:r>
            <w:r>
              <w:rPr>
                <w:rFonts w:hint="default" w:ascii="Times New Roman" w:hAnsi="Times New Roman" w:eastAsia="宋体" w:cs="Times New Roman"/>
                <w:color w:val="auto"/>
                <w:sz w:val="24"/>
                <w:vertAlign w:val="superscript"/>
                <w:lang w:val="en-US" w:eastAsia="zh-CN"/>
              </w:rPr>
              <w:t>2</w:t>
            </w:r>
            <w:r>
              <w:rPr>
                <w:rFonts w:hint="default" w:ascii="Times New Roman" w:hAnsi="Times New Roman" w:eastAsia="宋体" w:cs="Times New Roman"/>
                <w:color w:val="auto"/>
                <w:sz w:val="24"/>
                <w:lang w:val="en-US" w:eastAsia="zh-CN"/>
              </w:rPr>
              <w:t>。污水处理厂采用“预处理+A</w:t>
            </w:r>
            <w:r>
              <w:rPr>
                <w:rFonts w:hint="default" w:ascii="Times New Roman" w:hAnsi="Times New Roman" w:eastAsia="宋体" w:cs="Times New Roman"/>
                <w:color w:val="auto"/>
                <w:sz w:val="24"/>
                <w:vertAlign w:val="superscript"/>
                <w:lang w:val="en-US" w:eastAsia="zh-CN"/>
              </w:rPr>
              <w:t>2</w:t>
            </w:r>
            <w:r>
              <w:rPr>
                <w:rFonts w:hint="default" w:ascii="Times New Roman" w:hAnsi="Times New Roman" w:eastAsia="宋体" w:cs="Times New Roman"/>
                <w:color w:val="auto"/>
                <w:sz w:val="24"/>
                <w:lang w:val="en-US" w:eastAsia="zh-CN"/>
              </w:rPr>
              <w:t>/O 微曝氧化沟工艺+微絮凝过滤+消毒”的处理工艺，经过处理的水质达到《城镇污水厂污染物排放标准》一级A标准后，尾水排入泾河。中水处理工艺采用混凝沉淀+过滤法+消毒，处理后中水达到《城市污水再生利用城市杂用水水质标准》（GB/T18920-2002）。项目设计污水处理规模为8.0×10</w:t>
            </w:r>
            <w:r>
              <w:rPr>
                <w:rFonts w:hint="default" w:ascii="Times New Roman" w:hAnsi="Times New Roman" w:eastAsia="宋体" w:cs="Times New Roman"/>
                <w:color w:val="auto"/>
                <w:sz w:val="24"/>
                <w:vertAlign w:val="superscript"/>
                <w:lang w:val="en-US" w:eastAsia="zh-CN"/>
              </w:rPr>
              <w:t>4</w:t>
            </w:r>
            <w:r>
              <w:rPr>
                <w:rFonts w:hint="default" w:ascii="Times New Roman" w:hAnsi="Times New Roman" w:eastAsia="宋体" w:cs="Times New Roman"/>
                <w:color w:val="auto"/>
                <w:sz w:val="24"/>
                <w:lang w:val="en-US" w:eastAsia="zh-CN"/>
              </w:rPr>
              <w:t>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/d，一期建设规模为处理污水4×10</w:t>
            </w:r>
            <w:r>
              <w:rPr>
                <w:rFonts w:hint="default" w:ascii="Times New Roman" w:hAnsi="Times New Roman" w:eastAsia="宋体" w:cs="Times New Roman"/>
                <w:color w:val="auto"/>
                <w:sz w:val="24"/>
                <w:vertAlign w:val="superscript"/>
                <w:lang w:val="en-US" w:eastAsia="zh-CN"/>
              </w:rPr>
              <w:t>4</w:t>
            </w:r>
            <w:r>
              <w:rPr>
                <w:rFonts w:hint="default" w:ascii="Times New Roman" w:hAnsi="Times New Roman" w:eastAsia="宋体" w:cs="Times New Roman"/>
                <w:color w:val="auto"/>
                <w:sz w:val="24"/>
                <w:lang w:val="en-US" w:eastAsia="zh-CN"/>
              </w:rPr>
              <w:t>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/d，二期建设规模为处理污水4×10</w:t>
            </w:r>
            <w:r>
              <w:rPr>
                <w:rFonts w:hint="default" w:ascii="Times New Roman" w:hAnsi="Times New Roman" w:eastAsia="宋体" w:cs="Times New Roman"/>
                <w:color w:val="auto"/>
                <w:sz w:val="24"/>
                <w:vertAlign w:val="superscript"/>
                <w:lang w:val="en-US" w:eastAsia="zh-CN"/>
              </w:rPr>
              <w:t>4</w:t>
            </w:r>
            <w:r>
              <w:rPr>
                <w:rFonts w:hint="default" w:ascii="Times New Roman" w:hAnsi="Times New Roman" w:eastAsia="宋体" w:cs="Times New Roman"/>
                <w:color w:val="auto"/>
                <w:sz w:val="24"/>
                <w:lang w:val="en-US" w:eastAsia="zh-CN"/>
              </w:rPr>
              <w:t>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/d。</w:t>
            </w:r>
          </w:p>
          <w:p w14:paraId="4F9D8B5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outlineLvl w:val="9"/>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位于泾河新城第二污水处理厂的收水范围内，目前市政污水管网已铺设到位，项目污水经化粪池处理后水质满足排放标准要求，且项目污水排放量占污水处理厂设计处理水量份额较小，废水水质简单，废水可生化降解性较好，故依托泾河新城第二污水处理厂处理可行。</w:t>
            </w:r>
          </w:p>
          <w:p w14:paraId="4476FFFA">
            <w:pPr>
              <w:adjustRightInd w:val="0"/>
              <w:snapToGrid w:val="0"/>
              <w:spacing w:line="360" w:lineRule="auto"/>
              <w:ind w:firstLine="482" w:firstLineChars="200"/>
              <w:jc w:val="left"/>
              <w:rPr>
                <w:rFonts w:hint="eastAsia" w:ascii="Times New Roman" w:hAnsi="Times New Roman" w:eastAsia="宋体" w:cs="Times New Roman"/>
                <w:b/>
                <w:color w:val="auto"/>
                <w:kern w:val="0"/>
                <w:sz w:val="24"/>
                <w:lang w:val="en-US" w:eastAsia="zh-CN"/>
              </w:rPr>
            </w:pPr>
            <w:r>
              <w:rPr>
                <w:rFonts w:hint="eastAsia" w:ascii="Times New Roman" w:hAnsi="Times New Roman" w:eastAsia="宋体" w:cs="Times New Roman"/>
                <w:b/>
                <w:color w:val="auto"/>
                <w:kern w:val="0"/>
                <w:sz w:val="24"/>
                <w:lang w:val="en-US" w:eastAsia="zh-CN"/>
              </w:rPr>
              <w:t>（5）环境监测计划</w:t>
            </w:r>
          </w:p>
          <w:p w14:paraId="5D0F90F7">
            <w:pPr>
              <w:autoSpaceDE w:val="0"/>
              <w:autoSpaceDN w:val="0"/>
              <w:spacing w:line="360" w:lineRule="auto"/>
              <w:ind w:firstLine="480" w:firstLineChars="200"/>
              <w:textAlignment w:val="baseline"/>
              <w:rPr>
                <w:rFonts w:hint="eastAsia"/>
                <w:color w:val="0000FF"/>
                <w:kern w:val="0"/>
                <w:sz w:val="24"/>
              </w:rPr>
            </w:pPr>
            <w:r>
              <w:rPr>
                <w:rFonts w:hint="eastAsia" w:ascii="Times New Roman" w:hAnsi="Times New Roman" w:eastAsia="宋体" w:cs="Times New Roman"/>
                <w:color w:val="auto"/>
                <w:kern w:val="2"/>
                <w:sz w:val="24"/>
                <w:szCs w:val="24"/>
                <w:highlight w:val="none"/>
                <w:lang w:val="en-US" w:eastAsia="zh-CN"/>
              </w:rPr>
              <w:t>本项目无生产废水产生，本项目产生的生活污水</w:t>
            </w:r>
            <w:r>
              <w:rPr>
                <w:rFonts w:hint="eastAsia" w:cs="Times New Roman"/>
                <w:color w:val="auto"/>
                <w:kern w:val="2"/>
                <w:sz w:val="24"/>
                <w:szCs w:val="24"/>
                <w:highlight w:val="none"/>
                <w:lang w:val="en-US" w:eastAsia="zh-CN"/>
              </w:rPr>
              <w:t>排入厂区现有化粪池</w:t>
            </w:r>
            <w:r>
              <w:rPr>
                <w:rFonts w:hint="eastAsia" w:ascii="Times New Roman" w:hAnsi="Times New Roman" w:eastAsia="宋体" w:cs="Times New Roman"/>
                <w:color w:val="auto"/>
                <w:kern w:val="2"/>
                <w:sz w:val="24"/>
                <w:szCs w:val="24"/>
                <w:highlight w:val="none"/>
                <w:lang w:val="en-US" w:eastAsia="zh-CN"/>
              </w:rPr>
              <w:t>处理</w:t>
            </w:r>
            <w:r>
              <w:rPr>
                <w:rFonts w:hint="eastAsia" w:cs="Times New Roman"/>
                <w:color w:val="auto"/>
                <w:kern w:val="2"/>
                <w:sz w:val="24"/>
                <w:szCs w:val="24"/>
                <w:highlight w:val="none"/>
                <w:lang w:val="en-US" w:eastAsia="zh-CN"/>
              </w:rPr>
              <w:t>，后排入泾河新城第二</w:t>
            </w:r>
            <w:r>
              <w:rPr>
                <w:rFonts w:hint="eastAsia" w:ascii="Times New Roman" w:hAnsi="Times New Roman" w:eastAsia="宋体" w:cs="Times New Roman"/>
                <w:color w:val="auto"/>
                <w:kern w:val="2"/>
                <w:sz w:val="24"/>
                <w:szCs w:val="24"/>
                <w:highlight w:val="none"/>
                <w:lang w:val="en-US" w:eastAsia="zh-CN"/>
              </w:rPr>
              <w:t>污水处理厂</w:t>
            </w:r>
            <w:r>
              <w:rPr>
                <w:rFonts w:hint="eastAsia" w:cs="Times New Roman"/>
                <w:color w:val="auto"/>
                <w:kern w:val="2"/>
                <w:sz w:val="24"/>
                <w:szCs w:val="24"/>
                <w:highlight w:val="none"/>
                <w:lang w:val="en-US" w:eastAsia="zh-CN"/>
              </w:rPr>
              <w:t>进一步处理，</w:t>
            </w:r>
            <w:r>
              <w:rPr>
                <w:rFonts w:hint="eastAsia" w:ascii="Times New Roman" w:hAnsi="Times New Roman" w:eastAsia="宋体" w:cs="Times New Roman"/>
                <w:color w:val="auto"/>
                <w:kern w:val="24"/>
                <w:sz w:val="24"/>
                <w:szCs w:val="24"/>
                <w:lang w:val="en-US" w:eastAsia="zh-CN"/>
              </w:rPr>
              <w:t>对生活污水可不进行例行监测。</w:t>
            </w:r>
          </w:p>
          <w:p w14:paraId="576F3E6F">
            <w:pPr>
              <w:autoSpaceDE w:val="0"/>
              <w:autoSpaceDN w:val="0"/>
              <w:spacing w:line="360" w:lineRule="auto"/>
              <w:ind w:firstLine="482" w:firstLineChars="200"/>
              <w:textAlignment w:val="baseline"/>
              <w:rPr>
                <w:color w:val="auto"/>
                <w:kern w:val="0"/>
                <w:sz w:val="24"/>
                <w:szCs w:val="20"/>
              </w:rPr>
            </w:pPr>
            <w:r>
              <w:rPr>
                <w:rFonts w:hint="eastAsia"/>
                <w:b/>
                <w:color w:val="auto"/>
                <w:kern w:val="0"/>
                <w:sz w:val="24"/>
                <w:szCs w:val="20"/>
                <w:lang w:val="en-US" w:eastAsia="zh-CN"/>
              </w:rPr>
              <w:t>3</w:t>
            </w:r>
            <w:r>
              <w:rPr>
                <w:b/>
                <w:color w:val="auto"/>
                <w:kern w:val="0"/>
                <w:sz w:val="24"/>
                <w:szCs w:val="20"/>
              </w:rPr>
              <w:t>、</w:t>
            </w:r>
            <w:r>
              <w:rPr>
                <w:b/>
                <w:bCs/>
                <w:color w:val="auto"/>
                <w:kern w:val="0"/>
                <w:sz w:val="24"/>
                <w:szCs w:val="20"/>
              </w:rPr>
              <w:t>噪声</w:t>
            </w:r>
          </w:p>
          <w:p w14:paraId="78402437">
            <w:pPr>
              <w:adjustRightInd w:val="0"/>
              <w:spacing w:line="360" w:lineRule="auto"/>
              <w:ind w:left="420" w:leftChars="200"/>
              <w:rPr>
                <w:color w:val="auto"/>
                <w:sz w:val="24"/>
              </w:rPr>
            </w:pPr>
            <w:r>
              <w:rPr>
                <w:color w:val="auto"/>
                <w:sz w:val="24"/>
              </w:rPr>
              <w:t>（1）噪声源</w:t>
            </w:r>
          </w:p>
          <w:p w14:paraId="14D924EF">
            <w:pPr>
              <w:adjustRightInd w:val="0"/>
              <w:snapToGrid w:val="0"/>
              <w:spacing w:line="360" w:lineRule="auto"/>
              <w:ind w:firstLine="480" w:firstLineChars="200"/>
              <w:rPr>
                <w:color w:val="auto"/>
                <w:sz w:val="24"/>
              </w:rPr>
            </w:pPr>
            <w:r>
              <w:rPr>
                <w:color w:val="auto"/>
                <w:sz w:val="24"/>
              </w:rPr>
              <w:t>该项目主要噪声源为</w:t>
            </w:r>
            <w:r>
              <w:rPr>
                <w:rFonts w:hint="eastAsia"/>
                <w:color w:val="auto"/>
                <w:sz w:val="24"/>
                <w:lang w:val="en-US" w:eastAsia="zh-CN"/>
              </w:rPr>
              <w:t>喷砂机、振壳机、打磨砂轮机、风机、水泵</w:t>
            </w:r>
            <w:r>
              <w:rPr>
                <w:color w:val="auto"/>
                <w:sz w:val="24"/>
              </w:rPr>
              <w:t>等设备，企业尽量选用低噪声设备，所有设备置于全封闭厂房内部，并对其设减震基座</w:t>
            </w:r>
            <w:r>
              <w:rPr>
                <w:rFonts w:hint="eastAsia"/>
                <w:color w:val="auto"/>
                <w:sz w:val="24"/>
                <w:lang w:val="en-US" w:eastAsia="zh-CN"/>
              </w:rPr>
              <w:t>等措施</w:t>
            </w:r>
            <w:r>
              <w:rPr>
                <w:color w:val="auto"/>
                <w:sz w:val="24"/>
              </w:rPr>
              <w:t>。生产设备噪声声级值如表4-</w:t>
            </w:r>
            <w:r>
              <w:rPr>
                <w:rFonts w:hint="eastAsia"/>
                <w:color w:val="auto"/>
                <w:sz w:val="24"/>
                <w:lang w:val="en-US" w:eastAsia="zh-CN"/>
              </w:rPr>
              <w:t>9</w:t>
            </w:r>
            <w:r>
              <w:rPr>
                <w:color w:val="auto"/>
                <w:sz w:val="24"/>
              </w:rPr>
              <w:t>所示。</w:t>
            </w:r>
          </w:p>
          <w:p w14:paraId="4FBA2A9A">
            <w:pPr>
              <w:adjustRightInd w:val="0"/>
              <w:snapToGrid w:val="0"/>
              <w:spacing w:line="360" w:lineRule="auto"/>
              <w:ind w:firstLine="480" w:firstLineChars="200"/>
              <w:rPr>
                <w:color w:val="auto"/>
                <w:sz w:val="24"/>
              </w:rPr>
            </w:pPr>
          </w:p>
          <w:p w14:paraId="371C843F">
            <w:pPr>
              <w:adjustRightInd w:val="0"/>
              <w:snapToGrid w:val="0"/>
              <w:spacing w:line="360" w:lineRule="auto"/>
              <w:rPr>
                <w:color w:val="auto"/>
                <w:sz w:val="24"/>
              </w:rPr>
            </w:pPr>
          </w:p>
          <w:p w14:paraId="07897F41">
            <w:pPr>
              <w:adjustRightInd w:val="0"/>
              <w:snapToGrid w:val="0"/>
              <w:spacing w:line="360" w:lineRule="auto"/>
              <w:ind w:firstLine="480" w:firstLineChars="200"/>
              <w:rPr>
                <w:color w:val="auto"/>
                <w:sz w:val="24"/>
              </w:rPr>
            </w:pPr>
          </w:p>
          <w:p w14:paraId="103F103F">
            <w:pPr>
              <w:adjustRightInd w:val="0"/>
              <w:snapToGrid w:val="0"/>
              <w:spacing w:line="360" w:lineRule="auto"/>
              <w:ind w:firstLine="480" w:firstLineChars="200"/>
              <w:rPr>
                <w:color w:val="auto"/>
                <w:sz w:val="24"/>
              </w:rPr>
            </w:pPr>
          </w:p>
        </w:tc>
      </w:tr>
    </w:tbl>
    <w:p w14:paraId="67FD719C">
      <w:pPr>
        <w:rPr>
          <w:rFonts w:eastAsia="黑体"/>
          <w:snapToGrid w:val="0"/>
          <w:color w:val="0000FF"/>
          <w:kern w:val="0"/>
          <w:sz w:val="30"/>
          <w:szCs w:val="30"/>
        </w:rPr>
        <w:sectPr>
          <w:footerReference r:id="rId5" w:type="default"/>
          <w:pgSz w:w="11906" w:h="16838"/>
          <w:pgMar w:top="1553" w:right="1553" w:bottom="1553" w:left="1553"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8"/>
      </w:tblGrid>
      <w:tr w14:paraId="37800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2" w:hRule="atLeast"/>
        </w:trPr>
        <w:tc>
          <w:tcPr>
            <w:tcW w:w="14174" w:type="dxa"/>
          </w:tcPr>
          <w:p w14:paraId="53019945">
            <w:pPr>
              <w:spacing w:line="240" w:lineRule="auto"/>
              <w:jc w:val="center"/>
              <w:rPr>
                <w:b/>
                <w:color w:val="auto"/>
                <w:kern w:val="0"/>
                <w:szCs w:val="21"/>
              </w:rPr>
            </w:pPr>
            <w:r>
              <w:rPr>
                <w:b/>
                <w:color w:val="auto"/>
                <w:kern w:val="0"/>
                <w:szCs w:val="21"/>
              </w:rPr>
              <w:t>表</w:t>
            </w:r>
            <w:r>
              <w:rPr>
                <w:rFonts w:hint="eastAsia"/>
                <w:b/>
                <w:color w:val="auto"/>
                <w:kern w:val="0"/>
                <w:szCs w:val="21"/>
              </w:rPr>
              <w:t>4-</w:t>
            </w:r>
            <w:r>
              <w:rPr>
                <w:rFonts w:hint="eastAsia"/>
                <w:b/>
                <w:color w:val="auto"/>
                <w:kern w:val="0"/>
                <w:szCs w:val="21"/>
                <w:lang w:val="en-US" w:eastAsia="zh-CN"/>
              </w:rPr>
              <w:t>9</w:t>
            </w:r>
            <w:r>
              <w:rPr>
                <w:rFonts w:hint="eastAsia"/>
                <w:b/>
                <w:color w:val="auto"/>
                <w:kern w:val="0"/>
                <w:szCs w:val="21"/>
              </w:rPr>
              <w:t xml:space="preserve">   </w:t>
            </w:r>
            <w:r>
              <w:rPr>
                <w:b/>
                <w:color w:val="auto"/>
                <w:kern w:val="0"/>
                <w:szCs w:val="21"/>
              </w:rPr>
              <w:t>工业企业噪声源强调查清单（室内声源）</w:t>
            </w:r>
          </w:p>
          <w:tbl>
            <w:tblPr>
              <w:tblStyle w:val="24"/>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426"/>
              <w:gridCol w:w="426"/>
              <w:gridCol w:w="1064"/>
              <w:gridCol w:w="644"/>
              <w:gridCol w:w="788"/>
              <w:gridCol w:w="715"/>
              <w:gridCol w:w="426"/>
              <w:gridCol w:w="426"/>
              <w:gridCol w:w="479"/>
              <w:gridCol w:w="426"/>
              <w:gridCol w:w="426"/>
              <w:gridCol w:w="426"/>
              <w:gridCol w:w="426"/>
              <w:gridCol w:w="584"/>
              <w:gridCol w:w="584"/>
              <w:gridCol w:w="584"/>
              <w:gridCol w:w="584"/>
              <w:gridCol w:w="636"/>
              <w:gridCol w:w="882"/>
              <w:gridCol w:w="584"/>
              <w:gridCol w:w="584"/>
              <w:gridCol w:w="584"/>
              <w:gridCol w:w="584"/>
              <w:gridCol w:w="439"/>
            </w:tblGrid>
            <w:tr w14:paraId="5214A3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45" w:type="pct"/>
                  <w:vMerge w:val="restart"/>
                  <w:tcBorders>
                    <w:tl2br w:val="nil"/>
                    <w:tr2bl w:val="nil"/>
                  </w:tcBorders>
                  <w:shd w:val="clear" w:color="auto" w:fill="auto"/>
                  <w:vAlign w:val="center"/>
                </w:tcPr>
                <w:p w14:paraId="65981DD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序号</w:t>
                  </w:r>
                </w:p>
              </w:tc>
              <w:tc>
                <w:tcPr>
                  <w:tcW w:w="558" w:type="pct"/>
                  <w:gridSpan w:val="2"/>
                  <w:vMerge w:val="restart"/>
                  <w:tcBorders>
                    <w:tl2br w:val="nil"/>
                    <w:tr2bl w:val="nil"/>
                  </w:tcBorders>
                  <w:shd w:val="clear" w:color="auto" w:fill="auto"/>
                  <w:vAlign w:val="center"/>
                </w:tcPr>
                <w:p w14:paraId="171C918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声源设备</w:t>
                  </w:r>
                </w:p>
              </w:tc>
              <w:tc>
                <w:tcPr>
                  <w:tcW w:w="260" w:type="pct"/>
                  <w:vMerge w:val="restart"/>
                  <w:tcBorders>
                    <w:tl2br w:val="nil"/>
                    <w:tr2bl w:val="nil"/>
                  </w:tcBorders>
                  <w:shd w:val="clear" w:color="auto" w:fill="auto"/>
                  <w:vAlign w:val="center"/>
                </w:tcPr>
                <w:p w14:paraId="28F34DD0">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数量</w:t>
                  </w:r>
                </w:p>
              </w:tc>
              <w:tc>
                <w:tcPr>
                  <w:tcW w:w="260" w:type="pct"/>
                  <w:vMerge w:val="restart"/>
                  <w:tcBorders>
                    <w:tl2br w:val="nil"/>
                    <w:tr2bl w:val="nil"/>
                  </w:tcBorders>
                  <w:shd w:val="clear" w:color="auto" w:fill="auto"/>
                  <w:vAlign w:val="center"/>
                </w:tcPr>
                <w:p w14:paraId="0B1A45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单机声功率级</w:t>
                  </w:r>
                  <w:r>
                    <w:rPr>
                      <w:rFonts w:hint="default" w:ascii="Times New Roman" w:hAnsi="Times New Roman" w:eastAsia="宋体" w:cs="Times New Roman"/>
                      <w:i w:val="0"/>
                      <w:iCs w:val="0"/>
                      <w:color w:val="auto"/>
                      <w:kern w:val="0"/>
                      <w:sz w:val="21"/>
                      <w:szCs w:val="21"/>
                      <w:u w:val="none"/>
                      <w:lang w:val="en-US" w:eastAsia="zh-CN" w:bidi="ar"/>
                    </w:rPr>
                    <w:t>/dB</w:t>
                  </w:r>
                  <w:r>
                    <w:rPr>
                      <w:rFonts w:hint="eastAsia" w:ascii="宋体" w:hAnsi="宋体" w:eastAsia="宋体" w:cs="宋体"/>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A</w:t>
                  </w:r>
                  <w:r>
                    <w:rPr>
                      <w:rFonts w:hint="eastAsia" w:ascii="宋体" w:hAnsi="宋体" w:eastAsia="宋体" w:cs="宋体"/>
                      <w:i w:val="0"/>
                      <w:iCs w:val="0"/>
                      <w:color w:val="auto"/>
                      <w:kern w:val="0"/>
                      <w:sz w:val="21"/>
                      <w:szCs w:val="21"/>
                      <w:u w:val="none"/>
                      <w:lang w:val="en-US" w:eastAsia="zh-CN" w:bidi="ar"/>
                    </w:rPr>
                    <w:t>）</w:t>
                  </w:r>
                </w:p>
              </w:tc>
              <w:tc>
                <w:tcPr>
                  <w:tcW w:w="286" w:type="pct"/>
                  <w:vMerge w:val="restart"/>
                  <w:tcBorders>
                    <w:tl2br w:val="nil"/>
                    <w:tr2bl w:val="nil"/>
                  </w:tcBorders>
                  <w:shd w:val="clear" w:color="auto" w:fill="auto"/>
                  <w:vAlign w:val="center"/>
                </w:tcPr>
                <w:p w14:paraId="699E2A2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声源控制措施</w:t>
                  </w:r>
                </w:p>
              </w:tc>
              <w:tc>
                <w:tcPr>
                  <w:tcW w:w="480" w:type="pct"/>
                  <w:gridSpan w:val="3"/>
                  <w:tcBorders>
                    <w:tl2br w:val="nil"/>
                    <w:tr2bl w:val="nil"/>
                  </w:tcBorders>
                  <w:shd w:val="clear" w:color="auto" w:fill="auto"/>
                  <w:vAlign w:val="center"/>
                </w:tcPr>
                <w:p w14:paraId="2526DEC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空间相对位置</w:t>
                  </w:r>
                  <w:r>
                    <w:rPr>
                      <w:rFonts w:hint="default" w:ascii="Times New Roman" w:hAnsi="Times New Roman" w:eastAsia="宋体" w:cs="Times New Roman"/>
                      <w:i w:val="0"/>
                      <w:iCs w:val="0"/>
                      <w:color w:val="auto"/>
                      <w:kern w:val="0"/>
                      <w:sz w:val="21"/>
                      <w:szCs w:val="21"/>
                      <w:u w:val="none"/>
                      <w:lang w:val="en-US" w:eastAsia="zh-CN" w:bidi="ar"/>
                    </w:rPr>
                    <w:t>/m</w:t>
                  </w:r>
                </w:p>
              </w:tc>
              <w:tc>
                <w:tcPr>
                  <w:tcW w:w="633" w:type="pct"/>
                  <w:gridSpan w:val="4"/>
                  <w:tcBorders>
                    <w:tl2br w:val="nil"/>
                    <w:tr2bl w:val="nil"/>
                  </w:tcBorders>
                  <w:shd w:val="clear" w:color="auto" w:fill="auto"/>
                  <w:vAlign w:val="center"/>
                </w:tcPr>
                <w:p w14:paraId="51C570E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距室内边界距离</w:t>
                  </w:r>
                  <w:r>
                    <w:rPr>
                      <w:rFonts w:hint="default" w:ascii="Times New Roman" w:hAnsi="Times New Roman" w:eastAsia="宋体" w:cs="Times New Roman"/>
                      <w:i w:val="0"/>
                      <w:iCs w:val="0"/>
                      <w:color w:val="auto"/>
                      <w:kern w:val="0"/>
                      <w:sz w:val="21"/>
                      <w:szCs w:val="21"/>
                      <w:u w:val="none"/>
                      <w:lang w:val="en-US" w:eastAsia="zh-CN" w:bidi="ar"/>
                    </w:rPr>
                    <w:t>/m</w:t>
                  </w:r>
                </w:p>
              </w:tc>
              <w:tc>
                <w:tcPr>
                  <w:tcW w:w="806" w:type="pct"/>
                  <w:gridSpan w:val="4"/>
                  <w:tcBorders>
                    <w:tl2br w:val="nil"/>
                    <w:tr2bl w:val="nil"/>
                  </w:tcBorders>
                  <w:shd w:val="clear" w:color="auto" w:fill="auto"/>
                  <w:vAlign w:val="center"/>
                </w:tcPr>
                <w:p w14:paraId="374CD5C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室内边界声级</w:t>
                  </w:r>
                  <w:r>
                    <w:rPr>
                      <w:rFonts w:hint="default" w:ascii="Times New Roman" w:hAnsi="Times New Roman" w:eastAsia="宋体" w:cs="Times New Roman"/>
                      <w:i w:val="0"/>
                      <w:iCs w:val="0"/>
                      <w:color w:val="auto"/>
                      <w:kern w:val="0"/>
                      <w:sz w:val="21"/>
                      <w:szCs w:val="21"/>
                      <w:u w:val="none"/>
                      <w:lang w:val="en-US" w:eastAsia="zh-CN" w:bidi="ar"/>
                    </w:rPr>
                    <w:t>/dB</w:t>
                  </w:r>
                  <w:r>
                    <w:rPr>
                      <w:rFonts w:hint="eastAsia" w:ascii="宋体" w:hAnsi="宋体" w:eastAsia="宋体" w:cs="宋体"/>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A</w:t>
                  </w:r>
                  <w:r>
                    <w:rPr>
                      <w:rFonts w:hint="eastAsia" w:ascii="宋体" w:hAnsi="宋体" w:eastAsia="宋体" w:cs="宋体"/>
                      <w:i w:val="0"/>
                      <w:iCs w:val="0"/>
                      <w:color w:val="auto"/>
                      <w:kern w:val="0"/>
                      <w:sz w:val="21"/>
                      <w:szCs w:val="21"/>
                      <w:u w:val="none"/>
                      <w:lang w:val="en-US" w:eastAsia="zh-CN" w:bidi="ar"/>
                    </w:rPr>
                    <w:t>）</w:t>
                  </w:r>
                </w:p>
              </w:tc>
              <w:tc>
                <w:tcPr>
                  <w:tcW w:w="212" w:type="pct"/>
                  <w:vMerge w:val="restart"/>
                  <w:tcBorders>
                    <w:tl2br w:val="nil"/>
                    <w:tr2bl w:val="nil"/>
                  </w:tcBorders>
                  <w:shd w:val="clear" w:color="auto" w:fill="auto"/>
                  <w:vAlign w:val="center"/>
                </w:tcPr>
                <w:p w14:paraId="2A2D3C3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运行时段</w:t>
                  </w:r>
                </w:p>
              </w:tc>
              <w:tc>
                <w:tcPr>
                  <w:tcW w:w="291" w:type="pct"/>
                  <w:vMerge w:val="restart"/>
                  <w:tcBorders>
                    <w:tl2br w:val="nil"/>
                    <w:tr2bl w:val="nil"/>
                  </w:tcBorders>
                  <w:shd w:val="clear" w:color="auto" w:fill="auto"/>
                  <w:vAlign w:val="center"/>
                </w:tcPr>
                <w:p w14:paraId="6ADA025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建筑物插入损失</w:t>
                  </w:r>
                  <w:r>
                    <w:rPr>
                      <w:rFonts w:hint="default" w:ascii="Times New Roman" w:hAnsi="Times New Roman" w:eastAsia="宋体" w:cs="Times New Roman"/>
                      <w:i w:val="0"/>
                      <w:iCs w:val="0"/>
                      <w:color w:val="auto"/>
                      <w:kern w:val="0"/>
                      <w:sz w:val="21"/>
                      <w:szCs w:val="21"/>
                      <w:u w:val="none"/>
                      <w:lang w:val="en-US" w:eastAsia="zh-CN" w:bidi="ar"/>
                    </w:rPr>
                    <w:t>/dB</w:t>
                  </w:r>
                  <w:r>
                    <w:rPr>
                      <w:rFonts w:hint="eastAsia" w:ascii="宋体" w:hAnsi="宋体" w:cs="宋体"/>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A</w:t>
                  </w:r>
                  <w:r>
                    <w:rPr>
                      <w:rFonts w:hint="eastAsia" w:ascii="宋体" w:hAnsi="宋体" w:cs="宋体"/>
                      <w:i w:val="0"/>
                      <w:iCs w:val="0"/>
                      <w:color w:val="auto"/>
                      <w:kern w:val="0"/>
                      <w:sz w:val="21"/>
                      <w:szCs w:val="21"/>
                      <w:u w:val="none"/>
                      <w:lang w:val="en-US" w:eastAsia="zh-CN" w:bidi="ar"/>
                    </w:rPr>
                    <w:t>)</w:t>
                  </w:r>
                </w:p>
              </w:tc>
              <w:tc>
                <w:tcPr>
                  <w:tcW w:w="1062" w:type="pct"/>
                  <w:gridSpan w:val="5"/>
                  <w:tcBorders>
                    <w:tl2br w:val="nil"/>
                    <w:tr2bl w:val="nil"/>
                  </w:tcBorders>
                  <w:shd w:val="clear" w:color="auto" w:fill="auto"/>
                  <w:vAlign w:val="center"/>
                </w:tcPr>
                <w:p w14:paraId="789E2FF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建筑物外噪声</w:t>
                  </w:r>
                </w:p>
              </w:tc>
            </w:tr>
            <w:tr w14:paraId="339BA2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45" w:type="pct"/>
                  <w:vMerge w:val="continue"/>
                  <w:tcBorders>
                    <w:tl2br w:val="nil"/>
                    <w:tr2bl w:val="nil"/>
                  </w:tcBorders>
                  <w:shd w:val="clear" w:color="auto" w:fill="auto"/>
                  <w:vAlign w:val="center"/>
                </w:tcPr>
                <w:p w14:paraId="56C062FA">
                  <w:pPr>
                    <w:jc w:val="center"/>
                    <w:rPr>
                      <w:rFonts w:hint="eastAsia" w:ascii="宋体" w:hAnsi="宋体" w:eastAsia="宋体" w:cs="宋体"/>
                      <w:i w:val="0"/>
                      <w:iCs w:val="0"/>
                      <w:color w:val="auto"/>
                      <w:sz w:val="21"/>
                      <w:szCs w:val="21"/>
                      <w:u w:val="none"/>
                    </w:rPr>
                  </w:pPr>
                </w:p>
              </w:tc>
              <w:tc>
                <w:tcPr>
                  <w:tcW w:w="558" w:type="pct"/>
                  <w:gridSpan w:val="2"/>
                  <w:vMerge w:val="continue"/>
                  <w:tcBorders>
                    <w:tl2br w:val="nil"/>
                    <w:tr2bl w:val="nil"/>
                  </w:tcBorders>
                  <w:shd w:val="clear" w:color="auto" w:fill="auto"/>
                  <w:vAlign w:val="center"/>
                </w:tcPr>
                <w:p w14:paraId="0E92D5C9">
                  <w:pPr>
                    <w:jc w:val="center"/>
                    <w:rPr>
                      <w:rFonts w:hint="eastAsia" w:ascii="宋体" w:hAnsi="宋体" w:eastAsia="宋体" w:cs="宋体"/>
                      <w:i w:val="0"/>
                      <w:iCs w:val="0"/>
                      <w:color w:val="auto"/>
                      <w:sz w:val="21"/>
                      <w:szCs w:val="21"/>
                      <w:u w:val="none"/>
                    </w:rPr>
                  </w:pPr>
                </w:p>
              </w:tc>
              <w:tc>
                <w:tcPr>
                  <w:tcW w:w="260" w:type="pct"/>
                  <w:vMerge w:val="continue"/>
                  <w:tcBorders>
                    <w:tl2br w:val="nil"/>
                    <w:tr2bl w:val="nil"/>
                  </w:tcBorders>
                  <w:shd w:val="clear" w:color="auto" w:fill="auto"/>
                  <w:vAlign w:val="center"/>
                </w:tcPr>
                <w:p w14:paraId="108CB9DE">
                  <w:pPr>
                    <w:jc w:val="center"/>
                    <w:rPr>
                      <w:rFonts w:hint="default" w:ascii="Times New Roman" w:hAnsi="Times New Roman" w:eastAsia="宋体" w:cs="Times New Roman"/>
                      <w:i w:val="0"/>
                      <w:iCs w:val="0"/>
                      <w:color w:val="auto"/>
                      <w:sz w:val="21"/>
                      <w:szCs w:val="21"/>
                      <w:u w:val="none"/>
                    </w:rPr>
                  </w:pPr>
                </w:p>
              </w:tc>
              <w:tc>
                <w:tcPr>
                  <w:tcW w:w="260" w:type="pct"/>
                  <w:vMerge w:val="continue"/>
                  <w:tcBorders>
                    <w:tl2br w:val="nil"/>
                    <w:tr2bl w:val="nil"/>
                  </w:tcBorders>
                  <w:shd w:val="clear" w:color="auto" w:fill="auto"/>
                  <w:vAlign w:val="center"/>
                </w:tcPr>
                <w:p w14:paraId="0BC0FED3">
                  <w:pPr>
                    <w:jc w:val="center"/>
                    <w:rPr>
                      <w:rFonts w:hint="default" w:ascii="Times New Roman" w:hAnsi="Times New Roman" w:eastAsia="宋体" w:cs="Times New Roman"/>
                      <w:i w:val="0"/>
                      <w:iCs w:val="0"/>
                      <w:color w:val="auto"/>
                      <w:sz w:val="21"/>
                      <w:szCs w:val="21"/>
                      <w:u w:val="none"/>
                    </w:rPr>
                  </w:pPr>
                </w:p>
              </w:tc>
              <w:tc>
                <w:tcPr>
                  <w:tcW w:w="286" w:type="pct"/>
                  <w:vMerge w:val="continue"/>
                  <w:tcBorders>
                    <w:tl2br w:val="nil"/>
                    <w:tr2bl w:val="nil"/>
                  </w:tcBorders>
                  <w:shd w:val="clear" w:color="auto" w:fill="auto"/>
                  <w:vAlign w:val="center"/>
                </w:tcPr>
                <w:p w14:paraId="6C337F52">
                  <w:pPr>
                    <w:jc w:val="center"/>
                    <w:rPr>
                      <w:rFonts w:hint="eastAsia" w:ascii="宋体" w:hAnsi="宋体" w:eastAsia="宋体" w:cs="宋体"/>
                      <w:i w:val="0"/>
                      <w:iCs w:val="0"/>
                      <w:color w:val="auto"/>
                      <w:sz w:val="21"/>
                      <w:szCs w:val="21"/>
                      <w:u w:val="none"/>
                    </w:rPr>
                  </w:pPr>
                </w:p>
              </w:tc>
              <w:tc>
                <w:tcPr>
                  <w:tcW w:w="150" w:type="pct"/>
                  <w:vMerge w:val="restart"/>
                  <w:tcBorders>
                    <w:tl2br w:val="nil"/>
                    <w:tr2bl w:val="nil"/>
                  </w:tcBorders>
                  <w:shd w:val="clear" w:color="auto" w:fill="auto"/>
                  <w:vAlign w:val="center"/>
                </w:tcPr>
                <w:p w14:paraId="3084121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X</w:t>
                  </w:r>
                </w:p>
              </w:tc>
              <w:tc>
                <w:tcPr>
                  <w:tcW w:w="154" w:type="pct"/>
                  <w:vMerge w:val="restart"/>
                  <w:tcBorders>
                    <w:tl2br w:val="nil"/>
                    <w:tr2bl w:val="nil"/>
                  </w:tcBorders>
                  <w:shd w:val="clear" w:color="auto" w:fill="auto"/>
                  <w:vAlign w:val="center"/>
                </w:tcPr>
                <w:p w14:paraId="509871C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Y</w:t>
                  </w:r>
                </w:p>
              </w:tc>
              <w:tc>
                <w:tcPr>
                  <w:tcW w:w="175" w:type="pct"/>
                  <w:vMerge w:val="restart"/>
                  <w:tcBorders>
                    <w:tl2br w:val="nil"/>
                    <w:tr2bl w:val="nil"/>
                  </w:tcBorders>
                  <w:shd w:val="clear" w:color="auto" w:fill="auto"/>
                  <w:vAlign w:val="center"/>
                </w:tcPr>
                <w:p w14:paraId="5C84FA6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Z</w:t>
                  </w:r>
                </w:p>
              </w:tc>
              <w:tc>
                <w:tcPr>
                  <w:tcW w:w="145" w:type="pct"/>
                  <w:vMerge w:val="restart"/>
                  <w:tcBorders>
                    <w:tl2br w:val="nil"/>
                    <w:tr2bl w:val="nil"/>
                  </w:tcBorders>
                  <w:shd w:val="clear" w:color="auto" w:fill="auto"/>
                  <w:vAlign w:val="center"/>
                </w:tcPr>
                <w:p w14:paraId="5AD7722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东</w:t>
                  </w:r>
                </w:p>
              </w:tc>
              <w:tc>
                <w:tcPr>
                  <w:tcW w:w="149" w:type="pct"/>
                  <w:vMerge w:val="restart"/>
                  <w:tcBorders>
                    <w:tl2br w:val="nil"/>
                    <w:tr2bl w:val="nil"/>
                  </w:tcBorders>
                  <w:shd w:val="clear" w:color="auto" w:fill="auto"/>
                  <w:vAlign w:val="center"/>
                </w:tcPr>
                <w:p w14:paraId="1222489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南</w:t>
                  </w:r>
                </w:p>
              </w:tc>
              <w:tc>
                <w:tcPr>
                  <w:tcW w:w="145" w:type="pct"/>
                  <w:vMerge w:val="restart"/>
                  <w:tcBorders>
                    <w:tl2br w:val="nil"/>
                    <w:tr2bl w:val="nil"/>
                  </w:tcBorders>
                  <w:shd w:val="clear" w:color="auto" w:fill="auto"/>
                  <w:vAlign w:val="center"/>
                </w:tcPr>
                <w:p w14:paraId="21DE120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西</w:t>
                  </w:r>
                </w:p>
              </w:tc>
              <w:tc>
                <w:tcPr>
                  <w:tcW w:w="192" w:type="pct"/>
                  <w:vMerge w:val="restart"/>
                  <w:tcBorders>
                    <w:tl2br w:val="nil"/>
                    <w:tr2bl w:val="nil"/>
                  </w:tcBorders>
                  <w:shd w:val="clear" w:color="auto" w:fill="auto"/>
                  <w:vAlign w:val="center"/>
                </w:tcPr>
                <w:p w14:paraId="7B515D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北</w:t>
                  </w:r>
                </w:p>
              </w:tc>
              <w:tc>
                <w:tcPr>
                  <w:tcW w:w="202" w:type="pct"/>
                  <w:vMerge w:val="restart"/>
                  <w:tcBorders>
                    <w:tl2br w:val="nil"/>
                    <w:tr2bl w:val="nil"/>
                  </w:tcBorders>
                  <w:shd w:val="clear" w:color="auto" w:fill="auto"/>
                  <w:vAlign w:val="center"/>
                </w:tcPr>
                <w:p w14:paraId="0DDDD2E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东</w:t>
                  </w:r>
                </w:p>
              </w:tc>
              <w:tc>
                <w:tcPr>
                  <w:tcW w:w="202" w:type="pct"/>
                  <w:vMerge w:val="restart"/>
                  <w:tcBorders>
                    <w:tl2br w:val="nil"/>
                    <w:tr2bl w:val="nil"/>
                  </w:tcBorders>
                  <w:shd w:val="clear" w:color="auto" w:fill="auto"/>
                  <w:vAlign w:val="center"/>
                </w:tcPr>
                <w:p w14:paraId="6010122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南</w:t>
                  </w:r>
                </w:p>
              </w:tc>
              <w:tc>
                <w:tcPr>
                  <w:tcW w:w="196" w:type="pct"/>
                  <w:vMerge w:val="restart"/>
                  <w:tcBorders>
                    <w:tl2br w:val="nil"/>
                    <w:tr2bl w:val="nil"/>
                  </w:tcBorders>
                  <w:shd w:val="clear" w:color="auto" w:fill="auto"/>
                  <w:vAlign w:val="center"/>
                </w:tcPr>
                <w:p w14:paraId="651958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西</w:t>
                  </w:r>
                </w:p>
              </w:tc>
              <w:tc>
                <w:tcPr>
                  <w:tcW w:w="206" w:type="pct"/>
                  <w:vMerge w:val="restart"/>
                  <w:tcBorders>
                    <w:tl2br w:val="nil"/>
                    <w:tr2bl w:val="nil"/>
                  </w:tcBorders>
                  <w:shd w:val="clear" w:color="auto" w:fill="auto"/>
                  <w:vAlign w:val="center"/>
                </w:tcPr>
                <w:p w14:paraId="0DBD979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北</w:t>
                  </w:r>
                </w:p>
              </w:tc>
              <w:tc>
                <w:tcPr>
                  <w:tcW w:w="212" w:type="pct"/>
                  <w:vMerge w:val="continue"/>
                  <w:tcBorders>
                    <w:tl2br w:val="nil"/>
                    <w:tr2bl w:val="nil"/>
                  </w:tcBorders>
                  <w:shd w:val="clear" w:color="auto" w:fill="auto"/>
                  <w:vAlign w:val="center"/>
                </w:tcPr>
                <w:p w14:paraId="3CD98D8D">
                  <w:pPr>
                    <w:jc w:val="center"/>
                    <w:rPr>
                      <w:rFonts w:hint="eastAsia" w:ascii="宋体" w:hAnsi="宋体" w:eastAsia="宋体" w:cs="宋体"/>
                      <w:i w:val="0"/>
                      <w:iCs w:val="0"/>
                      <w:color w:val="auto"/>
                      <w:sz w:val="21"/>
                      <w:szCs w:val="21"/>
                      <w:u w:val="none"/>
                    </w:rPr>
                  </w:pPr>
                </w:p>
              </w:tc>
              <w:tc>
                <w:tcPr>
                  <w:tcW w:w="291" w:type="pct"/>
                  <w:vMerge w:val="continue"/>
                  <w:tcBorders>
                    <w:tl2br w:val="nil"/>
                    <w:tr2bl w:val="nil"/>
                  </w:tcBorders>
                  <w:shd w:val="clear" w:color="auto" w:fill="auto"/>
                  <w:vAlign w:val="center"/>
                </w:tcPr>
                <w:p w14:paraId="22F63B53">
                  <w:pPr>
                    <w:jc w:val="center"/>
                    <w:rPr>
                      <w:rFonts w:hint="eastAsia" w:ascii="宋体" w:hAnsi="宋体" w:eastAsia="宋体" w:cs="宋体"/>
                      <w:i w:val="0"/>
                      <w:iCs w:val="0"/>
                      <w:color w:val="auto"/>
                      <w:sz w:val="21"/>
                      <w:szCs w:val="21"/>
                      <w:u w:val="none"/>
                    </w:rPr>
                  </w:pPr>
                </w:p>
              </w:tc>
              <w:tc>
                <w:tcPr>
                  <w:tcW w:w="824" w:type="pct"/>
                  <w:gridSpan w:val="4"/>
                  <w:tcBorders>
                    <w:tl2br w:val="nil"/>
                    <w:tr2bl w:val="nil"/>
                  </w:tcBorders>
                  <w:shd w:val="clear" w:color="auto" w:fill="auto"/>
                  <w:vAlign w:val="center"/>
                </w:tcPr>
                <w:p w14:paraId="4B76B5B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声压级</w:t>
                  </w:r>
                  <w:r>
                    <w:rPr>
                      <w:rFonts w:hint="default" w:ascii="Times New Roman" w:hAnsi="Times New Roman" w:eastAsia="宋体" w:cs="Times New Roman"/>
                      <w:i w:val="0"/>
                      <w:iCs w:val="0"/>
                      <w:color w:val="auto"/>
                      <w:kern w:val="0"/>
                      <w:sz w:val="21"/>
                      <w:szCs w:val="21"/>
                      <w:u w:val="none"/>
                      <w:lang w:val="en-US" w:eastAsia="zh-CN" w:bidi="ar"/>
                    </w:rPr>
                    <w:t>/dB</w:t>
                  </w:r>
                  <w:r>
                    <w:rPr>
                      <w:rFonts w:hint="eastAsia" w:ascii="宋体" w:hAnsi="宋体" w:eastAsia="宋体" w:cs="宋体"/>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A</w:t>
                  </w:r>
                  <w:r>
                    <w:rPr>
                      <w:rFonts w:hint="eastAsia" w:ascii="宋体" w:hAnsi="宋体" w:eastAsia="宋体" w:cs="宋体"/>
                      <w:i w:val="0"/>
                      <w:iCs w:val="0"/>
                      <w:color w:val="auto"/>
                      <w:kern w:val="0"/>
                      <w:sz w:val="21"/>
                      <w:szCs w:val="21"/>
                      <w:u w:val="none"/>
                      <w:lang w:val="en-US" w:eastAsia="zh-CN" w:bidi="ar"/>
                    </w:rPr>
                    <w:t>）</w:t>
                  </w:r>
                </w:p>
              </w:tc>
              <w:tc>
                <w:tcPr>
                  <w:tcW w:w="237" w:type="pct"/>
                  <w:vMerge w:val="restart"/>
                  <w:tcBorders>
                    <w:tl2br w:val="nil"/>
                    <w:tr2bl w:val="nil"/>
                  </w:tcBorders>
                  <w:shd w:val="clear" w:color="auto" w:fill="auto"/>
                  <w:vAlign w:val="center"/>
                </w:tcPr>
                <w:p w14:paraId="38AE7D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建筑物外距离</w:t>
                  </w:r>
                  <w:r>
                    <w:rPr>
                      <w:rFonts w:hint="default" w:ascii="Times New Roman" w:hAnsi="Times New Roman" w:eastAsia="宋体" w:cs="Times New Roman"/>
                      <w:i w:val="0"/>
                      <w:iCs w:val="0"/>
                      <w:color w:val="auto"/>
                      <w:kern w:val="0"/>
                      <w:sz w:val="21"/>
                      <w:szCs w:val="21"/>
                      <w:u w:val="none"/>
                      <w:lang w:val="en-US" w:eastAsia="zh-CN" w:bidi="ar"/>
                    </w:rPr>
                    <w:t>/m</w:t>
                  </w:r>
                </w:p>
              </w:tc>
            </w:tr>
            <w:tr w14:paraId="2C48F2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91" w:hRule="atLeast"/>
              </w:trPr>
              <w:tc>
                <w:tcPr>
                  <w:tcW w:w="145" w:type="pct"/>
                  <w:vMerge w:val="continue"/>
                  <w:tcBorders>
                    <w:tl2br w:val="nil"/>
                    <w:tr2bl w:val="nil"/>
                  </w:tcBorders>
                  <w:shd w:val="clear" w:color="auto" w:fill="auto"/>
                  <w:vAlign w:val="center"/>
                </w:tcPr>
                <w:p w14:paraId="02D99118">
                  <w:pPr>
                    <w:jc w:val="center"/>
                    <w:rPr>
                      <w:rFonts w:hint="eastAsia" w:ascii="宋体" w:hAnsi="宋体" w:eastAsia="宋体" w:cs="宋体"/>
                      <w:i w:val="0"/>
                      <w:iCs w:val="0"/>
                      <w:color w:val="auto"/>
                      <w:sz w:val="21"/>
                      <w:szCs w:val="21"/>
                      <w:u w:val="none"/>
                    </w:rPr>
                  </w:pPr>
                </w:p>
              </w:tc>
              <w:tc>
                <w:tcPr>
                  <w:tcW w:w="558" w:type="pct"/>
                  <w:gridSpan w:val="2"/>
                  <w:vMerge w:val="continue"/>
                  <w:tcBorders>
                    <w:tl2br w:val="nil"/>
                    <w:tr2bl w:val="nil"/>
                  </w:tcBorders>
                  <w:shd w:val="clear" w:color="auto" w:fill="auto"/>
                  <w:vAlign w:val="center"/>
                </w:tcPr>
                <w:p w14:paraId="45871407">
                  <w:pPr>
                    <w:jc w:val="center"/>
                    <w:rPr>
                      <w:rFonts w:hint="eastAsia" w:ascii="宋体" w:hAnsi="宋体" w:eastAsia="宋体" w:cs="宋体"/>
                      <w:i w:val="0"/>
                      <w:iCs w:val="0"/>
                      <w:color w:val="auto"/>
                      <w:sz w:val="21"/>
                      <w:szCs w:val="21"/>
                      <w:u w:val="none"/>
                    </w:rPr>
                  </w:pPr>
                </w:p>
              </w:tc>
              <w:tc>
                <w:tcPr>
                  <w:tcW w:w="260" w:type="pct"/>
                  <w:vMerge w:val="continue"/>
                  <w:tcBorders>
                    <w:tl2br w:val="nil"/>
                    <w:tr2bl w:val="nil"/>
                  </w:tcBorders>
                  <w:shd w:val="clear" w:color="auto" w:fill="auto"/>
                  <w:vAlign w:val="center"/>
                </w:tcPr>
                <w:p w14:paraId="6696F650">
                  <w:pPr>
                    <w:jc w:val="center"/>
                    <w:rPr>
                      <w:rFonts w:hint="default" w:ascii="Times New Roman" w:hAnsi="Times New Roman" w:eastAsia="宋体" w:cs="Times New Roman"/>
                      <w:i w:val="0"/>
                      <w:iCs w:val="0"/>
                      <w:color w:val="auto"/>
                      <w:sz w:val="21"/>
                      <w:szCs w:val="21"/>
                      <w:u w:val="none"/>
                    </w:rPr>
                  </w:pPr>
                </w:p>
              </w:tc>
              <w:tc>
                <w:tcPr>
                  <w:tcW w:w="260" w:type="pct"/>
                  <w:vMerge w:val="continue"/>
                  <w:tcBorders>
                    <w:tl2br w:val="nil"/>
                    <w:tr2bl w:val="nil"/>
                  </w:tcBorders>
                  <w:shd w:val="clear" w:color="auto" w:fill="auto"/>
                  <w:vAlign w:val="center"/>
                </w:tcPr>
                <w:p w14:paraId="1BEB4ED7">
                  <w:pPr>
                    <w:jc w:val="center"/>
                    <w:rPr>
                      <w:rFonts w:hint="default" w:ascii="Times New Roman" w:hAnsi="Times New Roman" w:eastAsia="宋体" w:cs="Times New Roman"/>
                      <w:i w:val="0"/>
                      <w:iCs w:val="0"/>
                      <w:color w:val="auto"/>
                      <w:sz w:val="21"/>
                      <w:szCs w:val="21"/>
                      <w:u w:val="none"/>
                    </w:rPr>
                  </w:pPr>
                </w:p>
              </w:tc>
              <w:tc>
                <w:tcPr>
                  <w:tcW w:w="286" w:type="pct"/>
                  <w:vMerge w:val="continue"/>
                  <w:tcBorders>
                    <w:tl2br w:val="nil"/>
                    <w:tr2bl w:val="nil"/>
                  </w:tcBorders>
                  <w:shd w:val="clear" w:color="auto" w:fill="auto"/>
                  <w:vAlign w:val="center"/>
                </w:tcPr>
                <w:p w14:paraId="7FCA0F45">
                  <w:pPr>
                    <w:jc w:val="center"/>
                    <w:rPr>
                      <w:rFonts w:hint="eastAsia" w:ascii="宋体" w:hAnsi="宋体" w:eastAsia="宋体" w:cs="宋体"/>
                      <w:i w:val="0"/>
                      <w:iCs w:val="0"/>
                      <w:color w:val="auto"/>
                      <w:sz w:val="21"/>
                      <w:szCs w:val="21"/>
                      <w:u w:val="none"/>
                    </w:rPr>
                  </w:pPr>
                </w:p>
              </w:tc>
              <w:tc>
                <w:tcPr>
                  <w:tcW w:w="150" w:type="pct"/>
                  <w:vMerge w:val="continue"/>
                  <w:tcBorders>
                    <w:tl2br w:val="nil"/>
                    <w:tr2bl w:val="nil"/>
                  </w:tcBorders>
                  <w:shd w:val="clear" w:color="auto" w:fill="auto"/>
                  <w:vAlign w:val="center"/>
                </w:tcPr>
                <w:p w14:paraId="7617FF7E">
                  <w:pPr>
                    <w:jc w:val="center"/>
                    <w:rPr>
                      <w:rFonts w:hint="default" w:ascii="Times New Roman" w:hAnsi="Times New Roman" w:eastAsia="宋体" w:cs="Times New Roman"/>
                      <w:i w:val="0"/>
                      <w:iCs w:val="0"/>
                      <w:color w:val="auto"/>
                      <w:sz w:val="21"/>
                      <w:szCs w:val="21"/>
                      <w:u w:val="none"/>
                    </w:rPr>
                  </w:pPr>
                </w:p>
              </w:tc>
              <w:tc>
                <w:tcPr>
                  <w:tcW w:w="154" w:type="pct"/>
                  <w:vMerge w:val="continue"/>
                  <w:tcBorders>
                    <w:tl2br w:val="nil"/>
                    <w:tr2bl w:val="nil"/>
                  </w:tcBorders>
                  <w:shd w:val="clear" w:color="auto" w:fill="auto"/>
                  <w:vAlign w:val="center"/>
                </w:tcPr>
                <w:p w14:paraId="02329637">
                  <w:pPr>
                    <w:jc w:val="center"/>
                    <w:rPr>
                      <w:rFonts w:hint="default" w:ascii="Times New Roman" w:hAnsi="Times New Roman" w:eastAsia="宋体" w:cs="Times New Roman"/>
                      <w:i w:val="0"/>
                      <w:iCs w:val="0"/>
                      <w:color w:val="auto"/>
                      <w:sz w:val="21"/>
                      <w:szCs w:val="21"/>
                      <w:u w:val="none"/>
                    </w:rPr>
                  </w:pPr>
                </w:p>
              </w:tc>
              <w:tc>
                <w:tcPr>
                  <w:tcW w:w="175" w:type="pct"/>
                  <w:vMerge w:val="continue"/>
                  <w:tcBorders>
                    <w:tl2br w:val="nil"/>
                    <w:tr2bl w:val="nil"/>
                  </w:tcBorders>
                  <w:shd w:val="clear" w:color="auto" w:fill="auto"/>
                  <w:vAlign w:val="center"/>
                </w:tcPr>
                <w:p w14:paraId="4070E415">
                  <w:pPr>
                    <w:jc w:val="center"/>
                    <w:rPr>
                      <w:rFonts w:hint="default" w:ascii="Times New Roman" w:hAnsi="Times New Roman" w:eastAsia="宋体" w:cs="Times New Roman"/>
                      <w:i w:val="0"/>
                      <w:iCs w:val="0"/>
                      <w:color w:val="auto"/>
                      <w:sz w:val="21"/>
                      <w:szCs w:val="21"/>
                      <w:u w:val="none"/>
                    </w:rPr>
                  </w:pPr>
                </w:p>
              </w:tc>
              <w:tc>
                <w:tcPr>
                  <w:tcW w:w="145" w:type="pct"/>
                  <w:vMerge w:val="continue"/>
                  <w:tcBorders>
                    <w:tl2br w:val="nil"/>
                    <w:tr2bl w:val="nil"/>
                  </w:tcBorders>
                  <w:shd w:val="clear" w:color="auto" w:fill="auto"/>
                  <w:vAlign w:val="center"/>
                </w:tcPr>
                <w:p w14:paraId="1C12F96E">
                  <w:pPr>
                    <w:jc w:val="center"/>
                    <w:rPr>
                      <w:rFonts w:hint="eastAsia" w:ascii="宋体" w:hAnsi="宋体" w:eastAsia="宋体" w:cs="宋体"/>
                      <w:i w:val="0"/>
                      <w:iCs w:val="0"/>
                      <w:color w:val="auto"/>
                      <w:sz w:val="21"/>
                      <w:szCs w:val="21"/>
                      <w:u w:val="none"/>
                    </w:rPr>
                  </w:pPr>
                </w:p>
              </w:tc>
              <w:tc>
                <w:tcPr>
                  <w:tcW w:w="149" w:type="pct"/>
                  <w:vMerge w:val="continue"/>
                  <w:tcBorders>
                    <w:tl2br w:val="nil"/>
                    <w:tr2bl w:val="nil"/>
                  </w:tcBorders>
                  <w:shd w:val="clear" w:color="auto" w:fill="auto"/>
                  <w:vAlign w:val="center"/>
                </w:tcPr>
                <w:p w14:paraId="46D743FD">
                  <w:pPr>
                    <w:jc w:val="center"/>
                    <w:rPr>
                      <w:rFonts w:hint="eastAsia" w:ascii="宋体" w:hAnsi="宋体" w:eastAsia="宋体" w:cs="宋体"/>
                      <w:i w:val="0"/>
                      <w:iCs w:val="0"/>
                      <w:color w:val="auto"/>
                      <w:sz w:val="21"/>
                      <w:szCs w:val="21"/>
                      <w:u w:val="none"/>
                    </w:rPr>
                  </w:pPr>
                </w:p>
              </w:tc>
              <w:tc>
                <w:tcPr>
                  <w:tcW w:w="145" w:type="pct"/>
                  <w:vMerge w:val="continue"/>
                  <w:tcBorders>
                    <w:tl2br w:val="nil"/>
                    <w:tr2bl w:val="nil"/>
                  </w:tcBorders>
                  <w:shd w:val="clear" w:color="auto" w:fill="auto"/>
                  <w:vAlign w:val="center"/>
                </w:tcPr>
                <w:p w14:paraId="355F76BF">
                  <w:pPr>
                    <w:jc w:val="center"/>
                    <w:rPr>
                      <w:rFonts w:hint="eastAsia" w:ascii="宋体" w:hAnsi="宋体" w:eastAsia="宋体" w:cs="宋体"/>
                      <w:i w:val="0"/>
                      <w:iCs w:val="0"/>
                      <w:color w:val="auto"/>
                      <w:sz w:val="21"/>
                      <w:szCs w:val="21"/>
                      <w:u w:val="none"/>
                    </w:rPr>
                  </w:pPr>
                </w:p>
              </w:tc>
              <w:tc>
                <w:tcPr>
                  <w:tcW w:w="192" w:type="pct"/>
                  <w:vMerge w:val="continue"/>
                  <w:tcBorders>
                    <w:tl2br w:val="nil"/>
                    <w:tr2bl w:val="nil"/>
                  </w:tcBorders>
                  <w:shd w:val="clear" w:color="auto" w:fill="auto"/>
                  <w:vAlign w:val="center"/>
                </w:tcPr>
                <w:p w14:paraId="39EB1289">
                  <w:pPr>
                    <w:jc w:val="center"/>
                    <w:rPr>
                      <w:rFonts w:hint="eastAsia" w:ascii="宋体" w:hAnsi="宋体" w:eastAsia="宋体" w:cs="宋体"/>
                      <w:i w:val="0"/>
                      <w:iCs w:val="0"/>
                      <w:color w:val="auto"/>
                      <w:sz w:val="21"/>
                      <w:szCs w:val="21"/>
                      <w:u w:val="none"/>
                    </w:rPr>
                  </w:pPr>
                </w:p>
              </w:tc>
              <w:tc>
                <w:tcPr>
                  <w:tcW w:w="202" w:type="pct"/>
                  <w:vMerge w:val="continue"/>
                  <w:tcBorders>
                    <w:tl2br w:val="nil"/>
                    <w:tr2bl w:val="nil"/>
                  </w:tcBorders>
                  <w:shd w:val="clear" w:color="auto" w:fill="auto"/>
                  <w:vAlign w:val="center"/>
                </w:tcPr>
                <w:p w14:paraId="74FB427D">
                  <w:pPr>
                    <w:jc w:val="center"/>
                    <w:rPr>
                      <w:rFonts w:hint="eastAsia" w:ascii="宋体" w:hAnsi="宋体" w:eastAsia="宋体" w:cs="宋体"/>
                      <w:i w:val="0"/>
                      <w:iCs w:val="0"/>
                      <w:color w:val="auto"/>
                      <w:sz w:val="21"/>
                      <w:szCs w:val="21"/>
                      <w:u w:val="none"/>
                    </w:rPr>
                  </w:pPr>
                </w:p>
              </w:tc>
              <w:tc>
                <w:tcPr>
                  <w:tcW w:w="202" w:type="pct"/>
                  <w:vMerge w:val="continue"/>
                  <w:tcBorders>
                    <w:tl2br w:val="nil"/>
                    <w:tr2bl w:val="nil"/>
                  </w:tcBorders>
                  <w:shd w:val="clear" w:color="auto" w:fill="auto"/>
                  <w:vAlign w:val="center"/>
                </w:tcPr>
                <w:p w14:paraId="107297FD">
                  <w:pPr>
                    <w:jc w:val="center"/>
                    <w:rPr>
                      <w:rFonts w:hint="eastAsia" w:ascii="宋体" w:hAnsi="宋体" w:eastAsia="宋体" w:cs="宋体"/>
                      <w:i w:val="0"/>
                      <w:iCs w:val="0"/>
                      <w:color w:val="auto"/>
                      <w:sz w:val="21"/>
                      <w:szCs w:val="21"/>
                      <w:u w:val="none"/>
                    </w:rPr>
                  </w:pPr>
                </w:p>
              </w:tc>
              <w:tc>
                <w:tcPr>
                  <w:tcW w:w="196" w:type="pct"/>
                  <w:vMerge w:val="continue"/>
                  <w:tcBorders>
                    <w:tl2br w:val="nil"/>
                    <w:tr2bl w:val="nil"/>
                  </w:tcBorders>
                  <w:shd w:val="clear" w:color="auto" w:fill="auto"/>
                  <w:vAlign w:val="center"/>
                </w:tcPr>
                <w:p w14:paraId="068A3979">
                  <w:pPr>
                    <w:jc w:val="center"/>
                    <w:rPr>
                      <w:rFonts w:hint="eastAsia" w:ascii="宋体" w:hAnsi="宋体" w:eastAsia="宋体" w:cs="宋体"/>
                      <w:i w:val="0"/>
                      <w:iCs w:val="0"/>
                      <w:color w:val="auto"/>
                      <w:sz w:val="21"/>
                      <w:szCs w:val="21"/>
                      <w:u w:val="none"/>
                    </w:rPr>
                  </w:pPr>
                </w:p>
              </w:tc>
              <w:tc>
                <w:tcPr>
                  <w:tcW w:w="206" w:type="pct"/>
                  <w:vMerge w:val="continue"/>
                  <w:tcBorders>
                    <w:tl2br w:val="nil"/>
                    <w:tr2bl w:val="nil"/>
                  </w:tcBorders>
                  <w:shd w:val="clear" w:color="auto" w:fill="auto"/>
                  <w:vAlign w:val="center"/>
                </w:tcPr>
                <w:p w14:paraId="5281C980">
                  <w:pPr>
                    <w:jc w:val="center"/>
                    <w:rPr>
                      <w:rFonts w:hint="eastAsia" w:ascii="宋体" w:hAnsi="宋体" w:eastAsia="宋体" w:cs="宋体"/>
                      <w:i w:val="0"/>
                      <w:iCs w:val="0"/>
                      <w:color w:val="auto"/>
                      <w:sz w:val="21"/>
                      <w:szCs w:val="21"/>
                      <w:u w:val="none"/>
                    </w:rPr>
                  </w:pPr>
                </w:p>
              </w:tc>
              <w:tc>
                <w:tcPr>
                  <w:tcW w:w="212" w:type="pct"/>
                  <w:vMerge w:val="continue"/>
                  <w:tcBorders>
                    <w:tl2br w:val="nil"/>
                    <w:tr2bl w:val="nil"/>
                  </w:tcBorders>
                  <w:shd w:val="clear" w:color="auto" w:fill="auto"/>
                  <w:vAlign w:val="center"/>
                </w:tcPr>
                <w:p w14:paraId="1E14DFB7">
                  <w:pPr>
                    <w:jc w:val="center"/>
                    <w:rPr>
                      <w:rFonts w:hint="eastAsia" w:ascii="宋体" w:hAnsi="宋体" w:eastAsia="宋体" w:cs="宋体"/>
                      <w:i w:val="0"/>
                      <w:iCs w:val="0"/>
                      <w:color w:val="auto"/>
                      <w:sz w:val="21"/>
                      <w:szCs w:val="21"/>
                      <w:u w:val="none"/>
                    </w:rPr>
                  </w:pPr>
                </w:p>
              </w:tc>
              <w:tc>
                <w:tcPr>
                  <w:tcW w:w="291" w:type="pct"/>
                  <w:vMerge w:val="continue"/>
                  <w:tcBorders>
                    <w:tl2br w:val="nil"/>
                    <w:tr2bl w:val="nil"/>
                  </w:tcBorders>
                  <w:shd w:val="clear" w:color="auto" w:fill="auto"/>
                  <w:vAlign w:val="center"/>
                </w:tcPr>
                <w:p w14:paraId="694A9EA3">
                  <w:pPr>
                    <w:jc w:val="center"/>
                    <w:rPr>
                      <w:rFonts w:hint="eastAsia" w:ascii="宋体" w:hAnsi="宋体" w:eastAsia="宋体" w:cs="宋体"/>
                      <w:i w:val="0"/>
                      <w:iCs w:val="0"/>
                      <w:color w:val="auto"/>
                      <w:sz w:val="21"/>
                      <w:szCs w:val="21"/>
                      <w:u w:val="none"/>
                    </w:rPr>
                  </w:pPr>
                </w:p>
              </w:tc>
              <w:tc>
                <w:tcPr>
                  <w:tcW w:w="217" w:type="pct"/>
                  <w:tcBorders>
                    <w:tl2br w:val="nil"/>
                    <w:tr2bl w:val="nil"/>
                  </w:tcBorders>
                  <w:shd w:val="clear" w:color="auto" w:fill="auto"/>
                  <w:vAlign w:val="center"/>
                </w:tcPr>
                <w:p w14:paraId="75D6B6B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东</w:t>
                  </w:r>
                </w:p>
              </w:tc>
              <w:tc>
                <w:tcPr>
                  <w:tcW w:w="196" w:type="pct"/>
                  <w:tcBorders>
                    <w:tl2br w:val="nil"/>
                    <w:tr2bl w:val="nil"/>
                  </w:tcBorders>
                  <w:shd w:val="clear" w:color="auto" w:fill="auto"/>
                  <w:vAlign w:val="center"/>
                </w:tcPr>
                <w:p w14:paraId="2385FE3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南</w:t>
                  </w:r>
                </w:p>
              </w:tc>
              <w:tc>
                <w:tcPr>
                  <w:tcW w:w="196" w:type="pct"/>
                  <w:tcBorders>
                    <w:tl2br w:val="nil"/>
                    <w:tr2bl w:val="nil"/>
                  </w:tcBorders>
                  <w:shd w:val="clear" w:color="auto" w:fill="auto"/>
                  <w:vAlign w:val="center"/>
                </w:tcPr>
                <w:p w14:paraId="35FF2ED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西</w:t>
                  </w:r>
                </w:p>
              </w:tc>
              <w:tc>
                <w:tcPr>
                  <w:tcW w:w="214" w:type="pct"/>
                  <w:tcBorders>
                    <w:tl2br w:val="nil"/>
                    <w:tr2bl w:val="nil"/>
                  </w:tcBorders>
                  <w:shd w:val="clear" w:color="auto" w:fill="auto"/>
                  <w:vAlign w:val="center"/>
                </w:tcPr>
                <w:p w14:paraId="5070757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北</w:t>
                  </w:r>
                </w:p>
              </w:tc>
              <w:tc>
                <w:tcPr>
                  <w:tcW w:w="237" w:type="pct"/>
                  <w:vMerge w:val="continue"/>
                  <w:tcBorders>
                    <w:tl2br w:val="nil"/>
                    <w:tr2bl w:val="nil"/>
                  </w:tcBorders>
                  <w:shd w:val="clear" w:color="auto" w:fill="auto"/>
                  <w:vAlign w:val="center"/>
                </w:tcPr>
                <w:p w14:paraId="472AE1D2">
                  <w:pPr>
                    <w:jc w:val="center"/>
                    <w:rPr>
                      <w:rFonts w:hint="eastAsia" w:ascii="宋体" w:hAnsi="宋体" w:eastAsia="宋体" w:cs="宋体"/>
                      <w:i w:val="0"/>
                      <w:iCs w:val="0"/>
                      <w:color w:val="auto"/>
                      <w:sz w:val="21"/>
                      <w:szCs w:val="21"/>
                      <w:u w:val="none"/>
                    </w:rPr>
                  </w:pPr>
                </w:p>
              </w:tc>
            </w:tr>
            <w:tr w14:paraId="6621EB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5" w:hRule="atLeast"/>
              </w:trPr>
              <w:tc>
                <w:tcPr>
                  <w:tcW w:w="145" w:type="pct"/>
                  <w:tcBorders>
                    <w:tl2br w:val="nil"/>
                    <w:tr2bl w:val="nil"/>
                  </w:tcBorders>
                  <w:shd w:val="clear" w:color="auto" w:fill="auto"/>
                  <w:vAlign w:val="center"/>
                </w:tcPr>
                <w:p w14:paraId="5D9AF3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145" w:type="pct"/>
                  <w:vMerge w:val="restart"/>
                  <w:tcBorders>
                    <w:tl2br w:val="nil"/>
                    <w:tr2bl w:val="nil"/>
                  </w:tcBorders>
                  <w:shd w:val="clear" w:color="auto" w:fill="auto"/>
                  <w:vAlign w:val="center"/>
                </w:tcPr>
                <w:p w14:paraId="3D91B75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生产厂房</w:t>
                  </w:r>
                </w:p>
              </w:tc>
              <w:tc>
                <w:tcPr>
                  <w:tcW w:w="412" w:type="pct"/>
                  <w:tcBorders>
                    <w:tl2br w:val="nil"/>
                    <w:tr2bl w:val="nil"/>
                  </w:tcBorders>
                  <w:shd w:val="clear" w:color="auto" w:fill="auto"/>
                  <w:noWrap/>
                  <w:vAlign w:val="center"/>
                </w:tcPr>
                <w:p w14:paraId="268B1FA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振壳机</w:t>
                  </w:r>
                </w:p>
              </w:tc>
              <w:tc>
                <w:tcPr>
                  <w:tcW w:w="260" w:type="pct"/>
                  <w:tcBorders>
                    <w:tl2br w:val="nil"/>
                    <w:tr2bl w:val="nil"/>
                  </w:tcBorders>
                  <w:shd w:val="clear" w:color="auto" w:fill="auto"/>
                  <w:noWrap/>
                  <w:vAlign w:val="center"/>
                </w:tcPr>
                <w:p w14:paraId="03AEA91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kern w:val="0"/>
                      <w:sz w:val="21"/>
                      <w:szCs w:val="21"/>
                      <w:lang w:val="en-US" w:eastAsia="zh-CN"/>
                    </w:rPr>
                    <w:t>1</w:t>
                  </w:r>
                </w:p>
              </w:tc>
              <w:tc>
                <w:tcPr>
                  <w:tcW w:w="260" w:type="pct"/>
                  <w:tcBorders>
                    <w:tl2br w:val="nil"/>
                    <w:tr2bl w:val="nil"/>
                  </w:tcBorders>
                  <w:shd w:val="clear" w:color="auto" w:fill="auto"/>
                  <w:noWrap/>
                  <w:vAlign w:val="center"/>
                </w:tcPr>
                <w:p w14:paraId="4178F1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w:t>
                  </w:r>
                </w:p>
              </w:tc>
              <w:tc>
                <w:tcPr>
                  <w:tcW w:w="286" w:type="pct"/>
                  <w:vMerge w:val="restart"/>
                  <w:tcBorders>
                    <w:tl2br w:val="nil"/>
                    <w:tr2bl w:val="nil"/>
                  </w:tcBorders>
                  <w:shd w:val="clear" w:color="auto" w:fill="auto"/>
                  <w:vAlign w:val="center"/>
                </w:tcPr>
                <w:p w14:paraId="128290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color w:val="auto"/>
                      <w:kern w:val="0"/>
                      <w:sz w:val="21"/>
                      <w:szCs w:val="21"/>
                    </w:rPr>
                    <w:t>采用低噪声设备</w:t>
                  </w:r>
                  <w:r>
                    <w:rPr>
                      <w:rFonts w:hint="eastAsia"/>
                      <w:color w:val="auto"/>
                      <w:kern w:val="0"/>
                      <w:sz w:val="21"/>
                      <w:szCs w:val="21"/>
                    </w:rPr>
                    <w:t>、</w:t>
                  </w:r>
                  <w:r>
                    <w:rPr>
                      <w:color w:val="auto"/>
                      <w:kern w:val="0"/>
                      <w:sz w:val="21"/>
                      <w:szCs w:val="21"/>
                    </w:rPr>
                    <w:t>合理布局</w:t>
                  </w:r>
                  <w:r>
                    <w:rPr>
                      <w:rFonts w:hint="eastAsia"/>
                      <w:color w:val="auto"/>
                      <w:kern w:val="0"/>
                      <w:sz w:val="21"/>
                      <w:szCs w:val="21"/>
                    </w:rPr>
                    <w:t>、</w:t>
                  </w:r>
                  <w:r>
                    <w:rPr>
                      <w:rFonts w:hint="default" w:ascii="Times New Roman" w:hAnsi="Times New Roman" w:cs="Times New Roman"/>
                      <w:color w:val="auto"/>
                      <w:sz w:val="21"/>
                      <w:szCs w:val="21"/>
                    </w:rPr>
                    <w:t>基础减振、</w:t>
                  </w:r>
                  <w:r>
                    <w:rPr>
                      <w:rFonts w:hint="eastAsia"/>
                      <w:color w:val="auto"/>
                      <w:kern w:val="0"/>
                      <w:sz w:val="21"/>
                      <w:szCs w:val="21"/>
                      <w:lang w:val="en-US" w:eastAsia="zh-CN"/>
                    </w:rPr>
                    <w:t>厂房隔声</w:t>
                  </w:r>
                </w:p>
              </w:tc>
              <w:tc>
                <w:tcPr>
                  <w:tcW w:w="150" w:type="pct"/>
                  <w:tcBorders>
                    <w:tl2br w:val="nil"/>
                    <w:tr2bl w:val="nil"/>
                  </w:tcBorders>
                  <w:shd w:val="clear" w:color="auto" w:fill="auto"/>
                  <w:noWrap/>
                  <w:vAlign w:val="center"/>
                </w:tcPr>
                <w:p w14:paraId="1D0D81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w:t>
                  </w:r>
                </w:p>
              </w:tc>
              <w:tc>
                <w:tcPr>
                  <w:tcW w:w="154" w:type="pct"/>
                  <w:tcBorders>
                    <w:tl2br w:val="nil"/>
                    <w:tr2bl w:val="nil"/>
                  </w:tcBorders>
                  <w:shd w:val="clear" w:color="auto" w:fill="auto"/>
                  <w:noWrap/>
                  <w:vAlign w:val="center"/>
                </w:tcPr>
                <w:p w14:paraId="732059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w:t>
                  </w:r>
                </w:p>
              </w:tc>
              <w:tc>
                <w:tcPr>
                  <w:tcW w:w="175" w:type="pct"/>
                  <w:tcBorders>
                    <w:tl2br w:val="nil"/>
                    <w:tr2bl w:val="nil"/>
                  </w:tcBorders>
                  <w:shd w:val="clear" w:color="auto" w:fill="auto"/>
                  <w:noWrap/>
                  <w:vAlign w:val="center"/>
                </w:tcPr>
                <w:p w14:paraId="455251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45" w:type="pct"/>
                  <w:tcBorders>
                    <w:tl2br w:val="nil"/>
                    <w:tr2bl w:val="nil"/>
                  </w:tcBorders>
                  <w:shd w:val="clear" w:color="auto" w:fill="auto"/>
                  <w:vAlign w:val="center"/>
                </w:tcPr>
                <w:p w14:paraId="70FCB2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w:t>
                  </w:r>
                </w:p>
              </w:tc>
              <w:tc>
                <w:tcPr>
                  <w:tcW w:w="149" w:type="pct"/>
                  <w:tcBorders>
                    <w:tl2br w:val="nil"/>
                    <w:tr2bl w:val="nil"/>
                  </w:tcBorders>
                  <w:shd w:val="clear" w:color="auto" w:fill="auto"/>
                  <w:vAlign w:val="center"/>
                </w:tcPr>
                <w:p w14:paraId="4ED6B8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w:t>
                  </w:r>
                </w:p>
              </w:tc>
              <w:tc>
                <w:tcPr>
                  <w:tcW w:w="145" w:type="pct"/>
                  <w:tcBorders>
                    <w:tl2br w:val="nil"/>
                    <w:tr2bl w:val="nil"/>
                  </w:tcBorders>
                  <w:shd w:val="clear" w:color="auto" w:fill="auto"/>
                  <w:vAlign w:val="center"/>
                </w:tcPr>
                <w:p w14:paraId="371857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w:t>
                  </w:r>
                </w:p>
              </w:tc>
              <w:tc>
                <w:tcPr>
                  <w:tcW w:w="192" w:type="pct"/>
                  <w:tcBorders>
                    <w:tl2br w:val="nil"/>
                    <w:tr2bl w:val="nil"/>
                  </w:tcBorders>
                  <w:shd w:val="clear" w:color="auto" w:fill="auto"/>
                  <w:vAlign w:val="center"/>
                </w:tcPr>
                <w:p w14:paraId="054B1F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w:t>
                  </w:r>
                </w:p>
              </w:tc>
              <w:tc>
                <w:tcPr>
                  <w:tcW w:w="202" w:type="pct"/>
                  <w:tcBorders>
                    <w:tl2br w:val="nil"/>
                    <w:tr2bl w:val="nil"/>
                  </w:tcBorders>
                  <w:shd w:val="clear" w:color="auto" w:fill="auto"/>
                  <w:vAlign w:val="center"/>
                </w:tcPr>
                <w:p w14:paraId="1610C1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62.0 </w:t>
                  </w:r>
                </w:p>
              </w:tc>
              <w:tc>
                <w:tcPr>
                  <w:tcW w:w="202" w:type="pct"/>
                  <w:tcBorders>
                    <w:tl2br w:val="nil"/>
                    <w:tr2bl w:val="nil"/>
                  </w:tcBorders>
                  <w:shd w:val="clear" w:color="auto" w:fill="auto"/>
                  <w:vAlign w:val="center"/>
                </w:tcPr>
                <w:p w14:paraId="128FDE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62.6 </w:t>
                  </w:r>
                </w:p>
              </w:tc>
              <w:tc>
                <w:tcPr>
                  <w:tcW w:w="196" w:type="pct"/>
                  <w:tcBorders>
                    <w:tl2br w:val="nil"/>
                    <w:tr2bl w:val="nil"/>
                  </w:tcBorders>
                  <w:shd w:val="clear" w:color="auto" w:fill="auto"/>
                  <w:vAlign w:val="center"/>
                </w:tcPr>
                <w:p w14:paraId="1B5323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63.2 </w:t>
                  </w:r>
                </w:p>
              </w:tc>
              <w:tc>
                <w:tcPr>
                  <w:tcW w:w="206" w:type="pct"/>
                  <w:tcBorders>
                    <w:tl2br w:val="nil"/>
                    <w:tr2bl w:val="nil"/>
                  </w:tcBorders>
                  <w:shd w:val="clear" w:color="auto" w:fill="auto"/>
                  <w:vAlign w:val="center"/>
                </w:tcPr>
                <w:p w14:paraId="410D94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62.0 </w:t>
                  </w:r>
                </w:p>
              </w:tc>
              <w:tc>
                <w:tcPr>
                  <w:tcW w:w="212" w:type="pct"/>
                  <w:tcBorders>
                    <w:tl2br w:val="nil"/>
                    <w:tr2bl w:val="nil"/>
                  </w:tcBorders>
                  <w:shd w:val="clear" w:color="auto" w:fill="auto"/>
                  <w:vAlign w:val="center"/>
                </w:tcPr>
                <w:p w14:paraId="26D339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7093A7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56499C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41.0 </w:t>
                  </w:r>
                </w:p>
              </w:tc>
              <w:tc>
                <w:tcPr>
                  <w:tcW w:w="196" w:type="pct"/>
                  <w:tcBorders>
                    <w:tl2br w:val="nil"/>
                    <w:tr2bl w:val="nil"/>
                  </w:tcBorders>
                  <w:shd w:val="clear" w:color="auto" w:fill="auto"/>
                  <w:vAlign w:val="center"/>
                </w:tcPr>
                <w:p w14:paraId="27B3B6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41.6 </w:t>
                  </w:r>
                </w:p>
              </w:tc>
              <w:tc>
                <w:tcPr>
                  <w:tcW w:w="196" w:type="pct"/>
                  <w:tcBorders>
                    <w:tl2br w:val="nil"/>
                    <w:tr2bl w:val="nil"/>
                  </w:tcBorders>
                  <w:shd w:val="clear" w:color="auto" w:fill="auto"/>
                  <w:vAlign w:val="center"/>
                </w:tcPr>
                <w:p w14:paraId="5F39B3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42.2 </w:t>
                  </w:r>
                </w:p>
              </w:tc>
              <w:tc>
                <w:tcPr>
                  <w:tcW w:w="214" w:type="pct"/>
                  <w:tcBorders>
                    <w:tl2br w:val="nil"/>
                    <w:tr2bl w:val="nil"/>
                  </w:tcBorders>
                  <w:shd w:val="clear" w:color="auto" w:fill="auto"/>
                  <w:vAlign w:val="center"/>
                </w:tcPr>
                <w:p w14:paraId="6177D8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41.0 </w:t>
                  </w:r>
                </w:p>
              </w:tc>
              <w:tc>
                <w:tcPr>
                  <w:tcW w:w="237" w:type="pct"/>
                  <w:tcBorders>
                    <w:tl2br w:val="nil"/>
                    <w:tr2bl w:val="nil"/>
                  </w:tcBorders>
                  <w:shd w:val="clear" w:color="auto" w:fill="auto"/>
                  <w:vAlign w:val="center"/>
                </w:tcPr>
                <w:p w14:paraId="2D4CA2AB">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68FE3F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5DC6BF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p>
              </w:tc>
              <w:tc>
                <w:tcPr>
                  <w:tcW w:w="145" w:type="pct"/>
                  <w:vMerge w:val="continue"/>
                  <w:tcBorders>
                    <w:tl2br w:val="nil"/>
                    <w:tr2bl w:val="nil"/>
                  </w:tcBorders>
                  <w:shd w:val="clear" w:color="auto" w:fill="auto"/>
                  <w:vAlign w:val="center"/>
                </w:tcPr>
                <w:p w14:paraId="0BA8A56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0CEEE9B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振壳机</w:t>
                  </w:r>
                </w:p>
              </w:tc>
              <w:tc>
                <w:tcPr>
                  <w:tcW w:w="260" w:type="pct"/>
                  <w:tcBorders>
                    <w:tl2br w:val="nil"/>
                    <w:tr2bl w:val="nil"/>
                  </w:tcBorders>
                  <w:shd w:val="clear" w:color="auto" w:fill="auto"/>
                  <w:noWrap/>
                  <w:vAlign w:val="center"/>
                </w:tcPr>
                <w:p w14:paraId="657117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sz w:val="21"/>
                      <w:szCs w:val="21"/>
                      <w:lang w:val="en-US" w:eastAsia="zh-CN"/>
                    </w:rPr>
                    <w:t>1</w:t>
                  </w:r>
                </w:p>
              </w:tc>
              <w:tc>
                <w:tcPr>
                  <w:tcW w:w="260" w:type="pct"/>
                  <w:tcBorders>
                    <w:tl2br w:val="nil"/>
                    <w:tr2bl w:val="nil"/>
                  </w:tcBorders>
                  <w:shd w:val="clear" w:color="auto" w:fill="auto"/>
                  <w:noWrap/>
                  <w:vAlign w:val="center"/>
                </w:tcPr>
                <w:p w14:paraId="1B076B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w:t>
                  </w:r>
                </w:p>
              </w:tc>
              <w:tc>
                <w:tcPr>
                  <w:tcW w:w="286" w:type="pct"/>
                  <w:vMerge w:val="continue"/>
                  <w:tcBorders>
                    <w:tl2br w:val="nil"/>
                    <w:tr2bl w:val="nil"/>
                  </w:tcBorders>
                  <w:shd w:val="clear" w:color="auto" w:fill="auto"/>
                  <w:vAlign w:val="center"/>
                </w:tcPr>
                <w:p w14:paraId="2033418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6E5FC4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w:t>
                  </w:r>
                </w:p>
              </w:tc>
              <w:tc>
                <w:tcPr>
                  <w:tcW w:w="154" w:type="pct"/>
                  <w:tcBorders>
                    <w:tl2br w:val="nil"/>
                    <w:tr2bl w:val="nil"/>
                  </w:tcBorders>
                  <w:shd w:val="clear" w:color="auto" w:fill="auto"/>
                  <w:noWrap/>
                  <w:vAlign w:val="center"/>
                </w:tcPr>
                <w:p w14:paraId="5462940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w:t>
                  </w:r>
                </w:p>
              </w:tc>
              <w:tc>
                <w:tcPr>
                  <w:tcW w:w="175" w:type="pct"/>
                  <w:tcBorders>
                    <w:tl2br w:val="nil"/>
                    <w:tr2bl w:val="nil"/>
                  </w:tcBorders>
                  <w:shd w:val="clear" w:color="auto" w:fill="auto"/>
                  <w:noWrap/>
                  <w:vAlign w:val="center"/>
                </w:tcPr>
                <w:p w14:paraId="34E29C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45" w:type="pct"/>
                  <w:tcBorders>
                    <w:tl2br w:val="nil"/>
                    <w:tr2bl w:val="nil"/>
                  </w:tcBorders>
                  <w:shd w:val="clear" w:color="auto" w:fill="auto"/>
                  <w:vAlign w:val="center"/>
                </w:tcPr>
                <w:p w14:paraId="2EE743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w:t>
                  </w:r>
                </w:p>
              </w:tc>
              <w:tc>
                <w:tcPr>
                  <w:tcW w:w="149" w:type="pct"/>
                  <w:tcBorders>
                    <w:tl2br w:val="nil"/>
                    <w:tr2bl w:val="nil"/>
                  </w:tcBorders>
                  <w:shd w:val="clear" w:color="auto" w:fill="auto"/>
                  <w:vAlign w:val="center"/>
                </w:tcPr>
                <w:p w14:paraId="6A6197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w:t>
                  </w:r>
                </w:p>
              </w:tc>
              <w:tc>
                <w:tcPr>
                  <w:tcW w:w="145" w:type="pct"/>
                  <w:tcBorders>
                    <w:tl2br w:val="nil"/>
                    <w:tr2bl w:val="nil"/>
                  </w:tcBorders>
                  <w:shd w:val="clear" w:color="auto" w:fill="auto"/>
                  <w:vAlign w:val="center"/>
                </w:tcPr>
                <w:p w14:paraId="67420D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w:t>
                  </w:r>
                </w:p>
              </w:tc>
              <w:tc>
                <w:tcPr>
                  <w:tcW w:w="192" w:type="pct"/>
                  <w:tcBorders>
                    <w:tl2br w:val="nil"/>
                    <w:tr2bl w:val="nil"/>
                  </w:tcBorders>
                  <w:shd w:val="clear" w:color="auto" w:fill="auto"/>
                  <w:vAlign w:val="center"/>
                </w:tcPr>
                <w:p w14:paraId="78F739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w:t>
                  </w:r>
                </w:p>
              </w:tc>
              <w:tc>
                <w:tcPr>
                  <w:tcW w:w="202" w:type="pct"/>
                  <w:tcBorders>
                    <w:tl2br w:val="nil"/>
                    <w:tr2bl w:val="nil"/>
                  </w:tcBorders>
                  <w:shd w:val="clear" w:color="auto" w:fill="auto"/>
                  <w:vAlign w:val="center"/>
                </w:tcPr>
                <w:p w14:paraId="667C03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62.0 </w:t>
                  </w:r>
                </w:p>
              </w:tc>
              <w:tc>
                <w:tcPr>
                  <w:tcW w:w="202" w:type="pct"/>
                  <w:tcBorders>
                    <w:tl2br w:val="nil"/>
                    <w:tr2bl w:val="nil"/>
                  </w:tcBorders>
                  <w:shd w:val="clear" w:color="auto" w:fill="auto"/>
                  <w:vAlign w:val="center"/>
                </w:tcPr>
                <w:p w14:paraId="56EB02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62.6 </w:t>
                  </w:r>
                </w:p>
              </w:tc>
              <w:tc>
                <w:tcPr>
                  <w:tcW w:w="196" w:type="pct"/>
                  <w:tcBorders>
                    <w:tl2br w:val="nil"/>
                    <w:tr2bl w:val="nil"/>
                  </w:tcBorders>
                  <w:shd w:val="clear" w:color="auto" w:fill="auto"/>
                  <w:vAlign w:val="center"/>
                </w:tcPr>
                <w:p w14:paraId="5E086A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62.1 </w:t>
                  </w:r>
                </w:p>
              </w:tc>
              <w:tc>
                <w:tcPr>
                  <w:tcW w:w="206" w:type="pct"/>
                  <w:tcBorders>
                    <w:tl2br w:val="nil"/>
                    <w:tr2bl w:val="nil"/>
                  </w:tcBorders>
                  <w:shd w:val="clear" w:color="auto" w:fill="auto"/>
                  <w:vAlign w:val="center"/>
                </w:tcPr>
                <w:p w14:paraId="7793AE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62.0 </w:t>
                  </w:r>
                </w:p>
              </w:tc>
              <w:tc>
                <w:tcPr>
                  <w:tcW w:w="212" w:type="pct"/>
                  <w:tcBorders>
                    <w:tl2br w:val="nil"/>
                    <w:tr2bl w:val="nil"/>
                  </w:tcBorders>
                  <w:shd w:val="clear" w:color="auto" w:fill="auto"/>
                  <w:vAlign w:val="center"/>
                </w:tcPr>
                <w:p w14:paraId="2E2397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50F9C8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006D0E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41.0 </w:t>
                  </w:r>
                </w:p>
              </w:tc>
              <w:tc>
                <w:tcPr>
                  <w:tcW w:w="196" w:type="pct"/>
                  <w:tcBorders>
                    <w:tl2br w:val="nil"/>
                    <w:tr2bl w:val="nil"/>
                  </w:tcBorders>
                  <w:shd w:val="clear" w:color="auto" w:fill="auto"/>
                  <w:vAlign w:val="center"/>
                </w:tcPr>
                <w:p w14:paraId="645149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41.6 </w:t>
                  </w:r>
                </w:p>
              </w:tc>
              <w:tc>
                <w:tcPr>
                  <w:tcW w:w="196" w:type="pct"/>
                  <w:tcBorders>
                    <w:tl2br w:val="nil"/>
                    <w:tr2bl w:val="nil"/>
                  </w:tcBorders>
                  <w:shd w:val="clear" w:color="auto" w:fill="auto"/>
                  <w:vAlign w:val="center"/>
                </w:tcPr>
                <w:p w14:paraId="199E70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41.1 </w:t>
                  </w:r>
                </w:p>
              </w:tc>
              <w:tc>
                <w:tcPr>
                  <w:tcW w:w="214" w:type="pct"/>
                  <w:tcBorders>
                    <w:tl2br w:val="nil"/>
                    <w:tr2bl w:val="nil"/>
                  </w:tcBorders>
                  <w:shd w:val="clear" w:color="auto" w:fill="auto"/>
                  <w:vAlign w:val="center"/>
                </w:tcPr>
                <w:p w14:paraId="1A9D2A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41.0 </w:t>
                  </w:r>
                </w:p>
              </w:tc>
              <w:tc>
                <w:tcPr>
                  <w:tcW w:w="237" w:type="pct"/>
                  <w:tcBorders>
                    <w:tl2br w:val="nil"/>
                    <w:tr2bl w:val="nil"/>
                  </w:tcBorders>
                  <w:shd w:val="clear" w:color="auto" w:fill="auto"/>
                  <w:vAlign w:val="center"/>
                </w:tcPr>
                <w:p w14:paraId="1F08C2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463DCC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44884C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w:t>
                  </w:r>
                </w:p>
              </w:tc>
              <w:tc>
                <w:tcPr>
                  <w:tcW w:w="145" w:type="pct"/>
                  <w:vMerge w:val="continue"/>
                  <w:tcBorders>
                    <w:tl2br w:val="nil"/>
                    <w:tr2bl w:val="nil"/>
                  </w:tcBorders>
                  <w:shd w:val="clear" w:color="auto" w:fill="auto"/>
                  <w:vAlign w:val="center"/>
                </w:tcPr>
                <w:p w14:paraId="589F2CE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7682AD0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喷砂机</w:t>
                  </w:r>
                </w:p>
              </w:tc>
              <w:tc>
                <w:tcPr>
                  <w:tcW w:w="260" w:type="pct"/>
                  <w:tcBorders>
                    <w:tl2br w:val="nil"/>
                    <w:tr2bl w:val="nil"/>
                  </w:tcBorders>
                  <w:shd w:val="clear" w:color="auto" w:fill="auto"/>
                  <w:noWrap/>
                  <w:vAlign w:val="center"/>
                </w:tcPr>
                <w:p w14:paraId="3FDFBF4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sz w:val="21"/>
                      <w:szCs w:val="21"/>
                      <w:lang w:val="en-US" w:eastAsia="zh-CN"/>
                    </w:rPr>
                    <w:t>1</w:t>
                  </w:r>
                </w:p>
              </w:tc>
              <w:tc>
                <w:tcPr>
                  <w:tcW w:w="260" w:type="pct"/>
                  <w:tcBorders>
                    <w:tl2br w:val="nil"/>
                    <w:tr2bl w:val="nil"/>
                  </w:tcBorders>
                  <w:shd w:val="clear" w:color="auto" w:fill="auto"/>
                  <w:noWrap/>
                  <w:vAlign w:val="center"/>
                </w:tcPr>
                <w:p w14:paraId="3F65BC1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w:t>
                  </w:r>
                </w:p>
              </w:tc>
              <w:tc>
                <w:tcPr>
                  <w:tcW w:w="286" w:type="pct"/>
                  <w:vMerge w:val="continue"/>
                  <w:tcBorders>
                    <w:tl2br w:val="nil"/>
                    <w:tr2bl w:val="nil"/>
                  </w:tcBorders>
                  <w:shd w:val="clear" w:color="auto" w:fill="auto"/>
                  <w:vAlign w:val="center"/>
                </w:tcPr>
                <w:p w14:paraId="736AE06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63CA8F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w:t>
                  </w:r>
                </w:p>
              </w:tc>
              <w:tc>
                <w:tcPr>
                  <w:tcW w:w="154" w:type="pct"/>
                  <w:tcBorders>
                    <w:tl2br w:val="nil"/>
                    <w:tr2bl w:val="nil"/>
                  </w:tcBorders>
                  <w:shd w:val="clear" w:color="auto" w:fill="auto"/>
                  <w:noWrap/>
                  <w:vAlign w:val="center"/>
                </w:tcPr>
                <w:p w14:paraId="6C1EBA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75" w:type="pct"/>
                  <w:tcBorders>
                    <w:tl2br w:val="nil"/>
                    <w:tr2bl w:val="nil"/>
                  </w:tcBorders>
                  <w:shd w:val="clear" w:color="auto" w:fill="auto"/>
                  <w:noWrap/>
                  <w:vAlign w:val="center"/>
                </w:tcPr>
                <w:p w14:paraId="151446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45" w:type="pct"/>
                  <w:tcBorders>
                    <w:tl2br w:val="nil"/>
                    <w:tr2bl w:val="nil"/>
                  </w:tcBorders>
                  <w:shd w:val="clear" w:color="auto" w:fill="auto"/>
                  <w:vAlign w:val="center"/>
                </w:tcPr>
                <w:p w14:paraId="03D751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w:t>
                  </w:r>
                </w:p>
              </w:tc>
              <w:tc>
                <w:tcPr>
                  <w:tcW w:w="149" w:type="pct"/>
                  <w:tcBorders>
                    <w:tl2br w:val="nil"/>
                    <w:tr2bl w:val="nil"/>
                  </w:tcBorders>
                  <w:shd w:val="clear" w:color="auto" w:fill="auto"/>
                  <w:vAlign w:val="center"/>
                </w:tcPr>
                <w:p w14:paraId="5BC581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45" w:type="pct"/>
                  <w:tcBorders>
                    <w:tl2br w:val="nil"/>
                    <w:tr2bl w:val="nil"/>
                  </w:tcBorders>
                  <w:shd w:val="clear" w:color="auto" w:fill="auto"/>
                  <w:vAlign w:val="center"/>
                </w:tcPr>
                <w:p w14:paraId="6216F5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w:t>
                  </w:r>
                </w:p>
              </w:tc>
              <w:tc>
                <w:tcPr>
                  <w:tcW w:w="192" w:type="pct"/>
                  <w:tcBorders>
                    <w:tl2br w:val="nil"/>
                    <w:tr2bl w:val="nil"/>
                  </w:tcBorders>
                  <w:shd w:val="clear" w:color="auto" w:fill="auto"/>
                  <w:vAlign w:val="center"/>
                </w:tcPr>
                <w:p w14:paraId="3316A0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w:t>
                  </w:r>
                </w:p>
              </w:tc>
              <w:tc>
                <w:tcPr>
                  <w:tcW w:w="202" w:type="pct"/>
                  <w:tcBorders>
                    <w:tl2br w:val="nil"/>
                    <w:tr2bl w:val="nil"/>
                  </w:tcBorders>
                  <w:shd w:val="clear" w:color="auto" w:fill="auto"/>
                  <w:vAlign w:val="center"/>
                </w:tcPr>
                <w:p w14:paraId="3BC8C1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02" w:type="pct"/>
                  <w:tcBorders>
                    <w:tl2br w:val="nil"/>
                    <w:tr2bl w:val="nil"/>
                  </w:tcBorders>
                  <w:shd w:val="clear" w:color="auto" w:fill="auto"/>
                  <w:vAlign w:val="center"/>
                </w:tcPr>
                <w:p w14:paraId="15354B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67.3 </w:t>
                  </w:r>
                </w:p>
              </w:tc>
              <w:tc>
                <w:tcPr>
                  <w:tcW w:w="196" w:type="pct"/>
                  <w:tcBorders>
                    <w:tl2br w:val="nil"/>
                    <w:tr2bl w:val="nil"/>
                  </w:tcBorders>
                  <w:shd w:val="clear" w:color="auto" w:fill="auto"/>
                  <w:vAlign w:val="center"/>
                </w:tcPr>
                <w:p w14:paraId="25DA63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68.2 </w:t>
                  </w:r>
                </w:p>
              </w:tc>
              <w:tc>
                <w:tcPr>
                  <w:tcW w:w="206" w:type="pct"/>
                  <w:tcBorders>
                    <w:tl2br w:val="nil"/>
                    <w:tr2bl w:val="nil"/>
                  </w:tcBorders>
                  <w:shd w:val="clear" w:color="auto" w:fill="auto"/>
                  <w:vAlign w:val="center"/>
                </w:tcPr>
                <w:p w14:paraId="301B42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12" w:type="pct"/>
                  <w:tcBorders>
                    <w:tl2br w:val="nil"/>
                    <w:tr2bl w:val="nil"/>
                  </w:tcBorders>
                  <w:shd w:val="clear" w:color="auto" w:fill="auto"/>
                  <w:vAlign w:val="center"/>
                </w:tcPr>
                <w:p w14:paraId="6FCBDE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36D9246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150935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196" w:type="pct"/>
                  <w:tcBorders>
                    <w:tl2br w:val="nil"/>
                    <w:tr2bl w:val="nil"/>
                  </w:tcBorders>
                  <w:shd w:val="clear" w:color="auto" w:fill="auto"/>
                  <w:vAlign w:val="center"/>
                </w:tcPr>
                <w:p w14:paraId="1F6A77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46.3 </w:t>
                  </w:r>
                </w:p>
              </w:tc>
              <w:tc>
                <w:tcPr>
                  <w:tcW w:w="196" w:type="pct"/>
                  <w:tcBorders>
                    <w:tl2br w:val="nil"/>
                    <w:tr2bl w:val="nil"/>
                  </w:tcBorders>
                  <w:shd w:val="clear" w:color="auto" w:fill="auto"/>
                  <w:vAlign w:val="center"/>
                </w:tcPr>
                <w:p w14:paraId="4E5784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47.2 </w:t>
                  </w:r>
                </w:p>
              </w:tc>
              <w:tc>
                <w:tcPr>
                  <w:tcW w:w="214" w:type="pct"/>
                  <w:tcBorders>
                    <w:tl2br w:val="nil"/>
                    <w:tr2bl w:val="nil"/>
                  </w:tcBorders>
                  <w:shd w:val="clear" w:color="auto" w:fill="auto"/>
                  <w:vAlign w:val="center"/>
                </w:tcPr>
                <w:p w14:paraId="6D78FF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237" w:type="pct"/>
                  <w:tcBorders>
                    <w:tl2br w:val="nil"/>
                    <w:tr2bl w:val="nil"/>
                  </w:tcBorders>
                  <w:shd w:val="clear" w:color="auto" w:fill="auto"/>
                  <w:vAlign w:val="center"/>
                </w:tcPr>
                <w:p w14:paraId="24FCDB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4D0800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378100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w:t>
                  </w:r>
                </w:p>
              </w:tc>
              <w:tc>
                <w:tcPr>
                  <w:tcW w:w="145" w:type="pct"/>
                  <w:vMerge w:val="continue"/>
                  <w:tcBorders>
                    <w:tl2br w:val="nil"/>
                    <w:tr2bl w:val="nil"/>
                  </w:tcBorders>
                  <w:shd w:val="clear" w:color="auto" w:fill="auto"/>
                  <w:vAlign w:val="center"/>
                </w:tcPr>
                <w:p w14:paraId="36E8DBF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712B5AC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喷砂机</w:t>
                  </w:r>
                </w:p>
              </w:tc>
              <w:tc>
                <w:tcPr>
                  <w:tcW w:w="260" w:type="pct"/>
                  <w:tcBorders>
                    <w:tl2br w:val="nil"/>
                    <w:tr2bl w:val="nil"/>
                  </w:tcBorders>
                  <w:shd w:val="clear" w:color="auto" w:fill="auto"/>
                  <w:noWrap/>
                  <w:vAlign w:val="center"/>
                </w:tcPr>
                <w:p w14:paraId="75E8DF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kern w:val="0"/>
                      <w:sz w:val="21"/>
                      <w:szCs w:val="21"/>
                      <w:lang w:val="en-US" w:eastAsia="zh-CN"/>
                    </w:rPr>
                    <w:t>1</w:t>
                  </w:r>
                </w:p>
              </w:tc>
              <w:tc>
                <w:tcPr>
                  <w:tcW w:w="260" w:type="pct"/>
                  <w:tcBorders>
                    <w:tl2br w:val="nil"/>
                    <w:tr2bl w:val="nil"/>
                  </w:tcBorders>
                  <w:shd w:val="clear" w:color="auto" w:fill="auto"/>
                  <w:noWrap/>
                  <w:vAlign w:val="center"/>
                </w:tcPr>
                <w:p w14:paraId="073AF3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w:t>
                  </w:r>
                </w:p>
              </w:tc>
              <w:tc>
                <w:tcPr>
                  <w:tcW w:w="286" w:type="pct"/>
                  <w:vMerge w:val="continue"/>
                  <w:tcBorders>
                    <w:tl2br w:val="nil"/>
                    <w:tr2bl w:val="nil"/>
                  </w:tcBorders>
                  <w:shd w:val="clear" w:color="auto" w:fill="auto"/>
                  <w:vAlign w:val="center"/>
                </w:tcPr>
                <w:p w14:paraId="48E547F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0C3EF5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w:t>
                  </w:r>
                </w:p>
              </w:tc>
              <w:tc>
                <w:tcPr>
                  <w:tcW w:w="154" w:type="pct"/>
                  <w:tcBorders>
                    <w:tl2br w:val="nil"/>
                    <w:tr2bl w:val="nil"/>
                  </w:tcBorders>
                  <w:shd w:val="clear" w:color="auto" w:fill="auto"/>
                  <w:noWrap/>
                  <w:vAlign w:val="center"/>
                </w:tcPr>
                <w:p w14:paraId="502C8B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75" w:type="pct"/>
                  <w:tcBorders>
                    <w:tl2br w:val="nil"/>
                    <w:tr2bl w:val="nil"/>
                  </w:tcBorders>
                  <w:shd w:val="clear" w:color="auto" w:fill="auto"/>
                  <w:noWrap/>
                  <w:vAlign w:val="center"/>
                </w:tcPr>
                <w:p w14:paraId="32A95E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45" w:type="pct"/>
                  <w:tcBorders>
                    <w:tl2br w:val="nil"/>
                    <w:tr2bl w:val="nil"/>
                  </w:tcBorders>
                  <w:shd w:val="clear" w:color="auto" w:fill="auto"/>
                  <w:vAlign w:val="center"/>
                </w:tcPr>
                <w:p w14:paraId="50A223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w:t>
                  </w:r>
                </w:p>
              </w:tc>
              <w:tc>
                <w:tcPr>
                  <w:tcW w:w="149" w:type="pct"/>
                  <w:tcBorders>
                    <w:tl2br w:val="nil"/>
                    <w:tr2bl w:val="nil"/>
                  </w:tcBorders>
                  <w:shd w:val="clear" w:color="auto" w:fill="auto"/>
                  <w:vAlign w:val="center"/>
                </w:tcPr>
                <w:p w14:paraId="131BD3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45" w:type="pct"/>
                  <w:tcBorders>
                    <w:tl2br w:val="nil"/>
                    <w:tr2bl w:val="nil"/>
                  </w:tcBorders>
                  <w:shd w:val="clear" w:color="auto" w:fill="auto"/>
                  <w:vAlign w:val="center"/>
                </w:tcPr>
                <w:p w14:paraId="57A54B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w:t>
                  </w:r>
                </w:p>
              </w:tc>
              <w:tc>
                <w:tcPr>
                  <w:tcW w:w="192" w:type="pct"/>
                  <w:tcBorders>
                    <w:tl2br w:val="nil"/>
                    <w:tr2bl w:val="nil"/>
                  </w:tcBorders>
                  <w:shd w:val="clear" w:color="auto" w:fill="auto"/>
                  <w:vAlign w:val="center"/>
                </w:tcPr>
                <w:p w14:paraId="344685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w:t>
                  </w:r>
                </w:p>
              </w:tc>
              <w:tc>
                <w:tcPr>
                  <w:tcW w:w="202" w:type="pct"/>
                  <w:tcBorders>
                    <w:tl2br w:val="nil"/>
                    <w:tr2bl w:val="nil"/>
                  </w:tcBorders>
                  <w:shd w:val="clear" w:color="auto" w:fill="auto"/>
                  <w:vAlign w:val="center"/>
                </w:tcPr>
                <w:p w14:paraId="7F32A0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02" w:type="pct"/>
                  <w:tcBorders>
                    <w:tl2br w:val="nil"/>
                    <w:tr2bl w:val="nil"/>
                  </w:tcBorders>
                  <w:shd w:val="clear" w:color="auto" w:fill="auto"/>
                  <w:vAlign w:val="center"/>
                </w:tcPr>
                <w:p w14:paraId="55B68FB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67.3 </w:t>
                  </w:r>
                </w:p>
              </w:tc>
              <w:tc>
                <w:tcPr>
                  <w:tcW w:w="196" w:type="pct"/>
                  <w:tcBorders>
                    <w:tl2br w:val="nil"/>
                    <w:tr2bl w:val="nil"/>
                  </w:tcBorders>
                  <w:shd w:val="clear" w:color="auto" w:fill="auto"/>
                  <w:vAlign w:val="center"/>
                </w:tcPr>
                <w:p w14:paraId="019883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67.1 </w:t>
                  </w:r>
                </w:p>
              </w:tc>
              <w:tc>
                <w:tcPr>
                  <w:tcW w:w="206" w:type="pct"/>
                  <w:tcBorders>
                    <w:tl2br w:val="nil"/>
                    <w:tr2bl w:val="nil"/>
                  </w:tcBorders>
                  <w:shd w:val="clear" w:color="auto" w:fill="auto"/>
                  <w:vAlign w:val="center"/>
                </w:tcPr>
                <w:p w14:paraId="223655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12" w:type="pct"/>
                  <w:tcBorders>
                    <w:tl2br w:val="nil"/>
                    <w:tr2bl w:val="nil"/>
                  </w:tcBorders>
                  <w:shd w:val="clear" w:color="auto" w:fill="auto"/>
                  <w:vAlign w:val="center"/>
                </w:tcPr>
                <w:p w14:paraId="33AD2C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1EB1B0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1FD065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196" w:type="pct"/>
                  <w:tcBorders>
                    <w:tl2br w:val="nil"/>
                    <w:tr2bl w:val="nil"/>
                  </w:tcBorders>
                  <w:shd w:val="clear" w:color="auto" w:fill="auto"/>
                  <w:vAlign w:val="center"/>
                </w:tcPr>
                <w:p w14:paraId="68634D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46.3 </w:t>
                  </w:r>
                </w:p>
              </w:tc>
              <w:tc>
                <w:tcPr>
                  <w:tcW w:w="196" w:type="pct"/>
                  <w:tcBorders>
                    <w:tl2br w:val="nil"/>
                    <w:tr2bl w:val="nil"/>
                  </w:tcBorders>
                  <w:shd w:val="clear" w:color="auto" w:fill="auto"/>
                  <w:vAlign w:val="center"/>
                </w:tcPr>
                <w:p w14:paraId="332DB7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46.1 </w:t>
                  </w:r>
                </w:p>
              </w:tc>
              <w:tc>
                <w:tcPr>
                  <w:tcW w:w="214" w:type="pct"/>
                  <w:tcBorders>
                    <w:tl2br w:val="nil"/>
                    <w:tr2bl w:val="nil"/>
                  </w:tcBorders>
                  <w:shd w:val="clear" w:color="auto" w:fill="auto"/>
                  <w:vAlign w:val="center"/>
                </w:tcPr>
                <w:p w14:paraId="701846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237" w:type="pct"/>
                  <w:tcBorders>
                    <w:tl2br w:val="nil"/>
                    <w:tr2bl w:val="nil"/>
                  </w:tcBorders>
                  <w:shd w:val="clear" w:color="auto" w:fill="auto"/>
                  <w:vAlign w:val="center"/>
                </w:tcPr>
                <w:p w14:paraId="2E8225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6BAA85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018689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w:t>
                  </w:r>
                </w:p>
              </w:tc>
              <w:tc>
                <w:tcPr>
                  <w:tcW w:w="145" w:type="pct"/>
                  <w:vMerge w:val="continue"/>
                  <w:tcBorders>
                    <w:tl2br w:val="nil"/>
                    <w:tr2bl w:val="nil"/>
                  </w:tcBorders>
                  <w:shd w:val="clear" w:color="auto" w:fill="auto"/>
                  <w:vAlign w:val="center"/>
                </w:tcPr>
                <w:p w14:paraId="515C40E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129F57D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风机</w:t>
                  </w:r>
                </w:p>
              </w:tc>
              <w:tc>
                <w:tcPr>
                  <w:tcW w:w="260" w:type="pct"/>
                  <w:tcBorders>
                    <w:tl2br w:val="nil"/>
                    <w:tr2bl w:val="nil"/>
                  </w:tcBorders>
                  <w:shd w:val="clear" w:color="auto" w:fill="auto"/>
                  <w:noWrap/>
                  <w:vAlign w:val="center"/>
                </w:tcPr>
                <w:p w14:paraId="11493CC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kern w:val="0"/>
                      <w:sz w:val="21"/>
                      <w:szCs w:val="21"/>
                      <w:lang w:val="en-US" w:eastAsia="zh-CN"/>
                    </w:rPr>
                    <w:t>1</w:t>
                  </w:r>
                </w:p>
              </w:tc>
              <w:tc>
                <w:tcPr>
                  <w:tcW w:w="260" w:type="pct"/>
                  <w:tcBorders>
                    <w:tl2br w:val="nil"/>
                    <w:tr2bl w:val="nil"/>
                  </w:tcBorders>
                  <w:shd w:val="clear" w:color="auto" w:fill="auto"/>
                  <w:noWrap/>
                  <w:vAlign w:val="center"/>
                </w:tcPr>
                <w:p w14:paraId="0D7E09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w:t>
                  </w:r>
                </w:p>
              </w:tc>
              <w:tc>
                <w:tcPr>
                  <w:tcW w:w="286" w:type="pct"/>
                  <w:vMerge w:val="continue"/>
                  <w:tcBorders>
                    <w:tl2br w:val="nil"/>
                    <w:tr2bl w:val="nil"/>
                  </w:tcBorders>
                  <w:shd w:val="clear" w:color="auto" w:fill="auto"/>
                  <w:vAlign w:val="center"/>
                </w:tcPr>
                <w:p w14:paraId="10D2398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15E999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w:t>
                  </w:r>
                </w:p>
              </w:tc>
              <w:tc>
                <w:tcPr>
                  <w:tcW w:w="154" w:type="pct"/>
                  <w:tcBorders>
                    <w:tl2br w:val="nil"/>
                    <w:tr2bl w:val="nil"/>
                  </w:tcBorders>
                  <w:shd w:val="clear" w:color="auto" w:fill="auto"/>
                  <w:noWrap/>
                  <w:vAlign w:val="center"/>
                </w:tcPr>
                <w:p w14:paraId="2BF4E3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75" w:type="pct"/>
                  <w:tcBorders>
                    <w:tl2br w:val="nil"/>
                    <w:tr2bl w:val="nil"/>
                  </w:tcBorders>
                  <w:shd w:val="clear" w:color="auto" w:fill="auto"/>
                  <w:noWrap/>
                  <w:vAlign w:val="center"/>
                </w:tcPr>
                <w:p w14:paraId="6548E2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w:t>
                  </w:r>
                </w:p>
              </w:tc>
              <w:tc>
                <w:tcPr>
                  <w:tcW w:w="145" w:type="pct"/>
                  <w:tcBorders>
                    <w:tl2br w:val="nil"/>
                    <w:tr2bl w:val="nil"/>
                  </w:tcBorders>
                  <w:shd w:val="clear" w:color="auto" w:fill="auto"/>
                  <w:vAlign w:val="center"/>
                </w:tcPr>
                <w:p w14:paraId="597206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w:t>
                  </w:r>
                </w:p>
              </w:tc>
              <w:tc>
                <w:tcPr>
                  <w:tcW w:w="149" w:type="pct"/>
                  <w:tcBorders>
                    <w:tl2br w:val="nil"/>
                    <w:tr2bl w:val="nil"/>
                  </w:tcBorders>
                  <w:shd w:val="clear" w:color="auto" w:fill="auto"/>
                  <w:vAlign w:val="center"/>
                </w:tcPr>
                <w:p w14:paraId="1BE79C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45" w:type="pct"/>
                  <w:tcBorders>
                    <w:tl2br w:val="nil"/>
                    <w:tr2bl w:val="nil"/>
                  </w:tcBorders>
                  <w:shd w:val="clear" w:color="auto" w:fill="auto"/>
                  <w:vAlign w:val="center"/>
                </w:tcPr>
                <w:p w14:paraId="5B2595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w:t>
                  </w:r>
                </w:p>
              </w:tc>
              <w:tc>
                <w:tcPr>
                  <w:tcW w:w="192" w:type="pct"/>
                  <w:tcBorders>
                    <w:tl2br w:val="nil"/>
                    <w:tr2bl w:val="nil"/>
                  </w:tcBorders>
                  <w:shd w:val="clear" w:color="auto" w:fill="auto"/>
                  <w:vAlign w:val="center"/>
                </w:tcPr>
                <w:p w14:paraId="394FAD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w:t>
                  </w:r>
                </w:p>
              </w:tc>
              <w:tc>
                <w:tcPr>
                  <w:tcW w:w="202" w:type="pct"/>
                  <w:tcBorders>
                    <w:tl2br w:val="nil"/>
                    <w:tr2bl w:val="nil"/>
                  </w:tcBorders>
                  <w:shd w:val="clear" w:color="auto" w:fill="auto"/>
                  <w:vAlign w:val="center"/>
                </w:tcPr>
                <w:p w14:paraId="1B2C61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02" w:type="pct"/>
                  <w:tcBorders>
                    <w:tl2br w:val="nil"/>
                    <w:tr2bl w:val="nil"/>
                  </w:tcBorders>
                  <w:shd w:val="clear" w:color="auto" w:fill="auto"/>
                  <w:vAlign w:val="center"/>
                </w:tcPr>
                <w:p w14:paraId="01F2E27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67.3 </w:t>
                  </w:r>
                </w:p>
              </w:tc>
              <w:tc>
                <w:tcPr>
                  <w:tcW w:w="196" w:type="pct"/>
                  <w:tcBorders>
                    <w:tl2br w:val="nil"/>
                    <w:tr2bl w:val="nil"/>
                  </w:tcBorders>
                  <w:shd w:val="clear" w:color="auto" w:fill="auto"/>
                  <w:vAlign w:val="center"/>
                </w:tcPr>
                <w:p w14:paraId="424697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68.2 </w:t>
                  </w:r>
                </w:p>
              </w:tc>
              <w:tc>
                <w:tcPr>
                  <w:tcW w:w="206" w:type="pct"/>
                  <w:tcBorders>
                    <w:tl2br w:val="nil"/>
                    <w:tr2bl w:val="nil"/>
                  </w:tcBorders>
                  <w:shd w:val="clear" w:color="auto" w:fill="auto"/>
                  <w:vAlign w:val="center"/>
                </w:tcPr>
                <w:p w14:paraId="229589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12" w:type="pct"/>
                  <w:tcBorders>
                    <w:tl2br w:val="nil"/>
                    <w:tr2bl w:val="nil"/>
                  </w:tcBorders>
                  <w:shd w:val="clear" w:color="auto" w:fill="auto"/>
                  <w:vAlign w:val="center"/>
                </w:tcPr>
                <w:p w14:paraId="24504E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7BB4FB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573948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196" w:type="pct"/>
                  <w:tcBorders>
                    <w:tl2br w:val="nil"/>
                    <w:tr2bl w:val="nil"/>
                  </w:tcBorders>
                  <w:shd w:val="clear" w:color="auto" w:fill="auto"/>
                  <w:vAlign w:val="center"/>
                </w:tcPr>
                <w:p w14:paraId="587AEA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46.3 </w:t>
                  </w:r>
                </w:p>
              </w:tc>
              <w:tc>
                <w:tcPr>
                  <w:tcW w:w="196" w:type="pct"/>
                  <w:tcBorders>
                    <w:tl2br w:val="nil"/>
                    <w:tr2bl w:val="nil"/>
                  </w:tcBorders>
                  <w:shd w:val="clear" w:color="auto" w:fill="auto"/>
                  <w:vAlign w:val="center"/>
                </w:tcPr>
                <w:p w14:paraId="6155F4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47.2 </w:t>
                  </w:r>
                </w:p>
              </w:tc>
              <w:tc>
                <w:tcPr>
                  <w:tcW w:w="214" w:type="pct"/>
                  <w:tcBorders>
                    <w:tl2br w:val="nil"/>
                    <w:tr2bl w:val="nil"/>
                  </w:tcBorders>
                  <w:shd w:val="clear" w:color="auto" w:fill="auto"/>
                  <w:vAlign w:val="center"/>
                </w:tcPr>
                <w:p w14:paraId="591C76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237" w:type="pct"/>
                  <w:tcBorders>
                    <w:tl2br w:val="nil"/>
                    <w:tr2bl w:val="nil"/>
                  </w:tcBorders>
                  <w:shd w:val="clear" w:color="auto" w:fill="auto"/>
                  <w:vAlign w:val="center"/>
                </w:tcPr>
                <w:p w14:paraId="5FD22A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5603C4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27A863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w:t>
                  </w:r>
                </w:p>
              </w:tc>
              <w:tc>
                <w:tcPr>
                  <w:tcW w:w="145" w:type="pct"/>
                  <w:vMerge w:val="continue"/>
                  <w:tcBorders>
                    <w:tl2br w:val="nil"/>
                    <w:tr2bl w:val="nil"/>
                  </w:tcBorders>
                  <w:shd w:val="clear" w:color="auto" w:fill="auto"/>
                  <w:vAlign w:val="center"/>
                </w:tcPr>
                <w:p w14:paraId="7DD2BB6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778C2DF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风机</w:t>
                  </w:r>
                </w:p>
              </w:tc>
              <w:tc>
                <w:tcPr>
                  <w:tcW w:w="260" w:type="pct"/>
                  <w:tcBorders>
                    <w:tl2br w:val="nil"/>
                    <w:tr2bl w:val="nil"/>
                  </w:tcBorders>
                  <w:shd w:val="clear" w:color="auto" w:fill="auto"/>
                  <w:noWrap/>
                  <w:vAlign w:val="center"/>
                </w:tcPr>
                <w:p w14:paraId="07CDF2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kern w:val="0"/>
                      <w:sz w:val="21"/>
                      <w:szCs w:val="21"/>
                      <w:lang w:val="en-US" w:eastAsia="zh-CN"/>
                    </w:rPr>
                    <w:t>1</w:t>
                  </w:r>
                </w:p>
              </w:tc>
              <w:tc>
                <w:tcPr>
                  <w:tcW w:w="260" w:type="pct"/>
                  <w:tcBorders>
                    <w:tl2br w:val="nil"/>
                    <w:tr2bl w:val="nil"/>
                  </w:tcBorders>
                  <w:shd w:val="clear" w:color="auto" w:fill="auto"/>
                  <w:noWrap/>
                  <w:vAlign w:val="center"/>
                </w:tcPr>
                <w:p w14:paraId="610A9E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w:t>
                  </w:r>
                </w:p>
              </w:tc>
              <w:tc>
                <w:tcPr>
                  <w:tcW w:w="286" w:type="pct"/>
                  <w:vMerge w:val="continue"/>
                  <w:tcBorders>
                    <w:tl2br w:val="nil"/>
                    <w:tr2bl w:val="nil"/>
                  </w:tcBorders>
                  <w:shd w:val="clear" w:color="auto" w:fill="auto"/>
                  <w:vAlign w:val="center"/>
                </w:tcPr>
                <w:p w14:paraId="21A2FA1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17967E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w:t>
                  </w:r>
                </w:p>
              </w:tc>
              <w:tc>
                <w:tcPr>
                  <w:tcW w:w="154" w:type="pct"/>
                  <w:tcBorders>
                    <w:tl2br w:val="nil"/>
                    <w:tr2bl w:val="nil"/>
                  </w:tcBorders>
                  <w:shd w:val="clear" w:color="auto" w:fill="auto"/>
                  <w:noWrap/>
                  <w:vAlign w:val="center"/>
                </w:tcPr>
                <w:p w14:paraId="2D4329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75" w:type="pct"/>
                  <w:tcBorders>
                    <w:tl2br w:val="nil"/>
                    <w:tr2bl w:val="nil"/>
                  </w:tcBorders>
                  <w:shd w:val="clear" w:color="auto" w:fill="auto"/>
                  <w:noWrap/>
                  <w:vAlign w:val="center"/>
                </w:tcPr>
                <w:p w14:paraId="445B7D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w:t>
                  </w:r>
                </w:p>
              </w:tc>
              <w:tc>
                <w:tcPr>
                  <w:tcW w:w="145" w:type="pct"/>
                  <w:tcBorders>
                    <w:tl2br w:val="nil"/>
                    <w:tr2bl w:val="nil"/>
                  </w:tcBorders>
                  <w:shd w:val="clear" w:color="auto" w:fill="auto"/>
                  <w:vAlign w:val="center"/>
                </w:tcPr>
                <w:p w14:paraId="67A1B1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w:t>
                  </w:r>
                </w:p>
              </w:tc>
              <w:tc>
                <w:tcPr>
                  <w:tcW w:w="149" w:type="pct"/>
                  <w:tcBorders>
                    <w:tl2br w:val="nil"/>
                    <w:tr2bl w:val="nil"/>
                  </w:tcBorders>
                  <w:shd w:val="clear" w:color="auto" w:fill="auto"/>
                  <w:vAlign w:val="center"/>
                </w:tcPr>
                <w:p w14:paraId="634B67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45" w:type="pct"/>
                  <w:tcBorders>
                    <w:tl2br w:val="nil"/>
                    <w:tr2bl w:val="nil"/>
                  </w:tcBorders>
                  <w:shd w:val="clear" w:color="auto" w:fill="auto"/>
                  <w:vAlign w:val="center"/>
                </w:tcPr>
                <w:p w14:paraId="657D77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w:t>
                  </w:r>
                </w:p>
              </w:tc>
              <w:tc>
                <w:tcPr>
                  <w:tcW w:w="192" w:type="pct"/>
                  <w:tcBorders>
                    <w:tl2br w:val="nil"/>
                    <w:tr2bl w:val="nil"/>
                  </w:tcBorders>
                  <w:shd w:val="clear" w:color="auto" w:fill="auto"/>
                  <w:vAlign w:val="center"/>
                </w:tcPr>
                <w:p w14:paraId="4E41BE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w:t>
                  </w:r>
                </w:p>
              </w:tc>
              <w:tc>
                <w:tcPr>
                  <w:tcW w:w="202" w:type="pct"/>
                  <w:tcBorders>
                    <w:tl2br w:val="nil"/>
                    <w:tr2bl w:val="nil"/>
                  </w:tcBorders>
                  <w:shd w:val="clear" w:color="auto" w:fill="auto"/>
                  <w:vAlign w:val="center"/>
                </w:tcPr>
                <w:p w14:paraId="7AEC66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02" w:type="pct"/>
                  <w:tcBorders>
                    <w:tl2br w:val="nil"/>
                    <w:tr2bl w:val="nil"/>
                  </w:tcBorders>
                  <w:shd w:val="clear" w:color="auto" w:fill="auto"/>
                  <w:vAlign w:val="center"/>
                </w:tcPr>
                <w:p w14:paraId="28908E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67.3 </w:t>
                  </w:r>
                </w:p>
              </w:tc>
              <w:tc>
                <w:tcPr>
                  <w:tcW w:w="196" w:type="pct"/>
                  <w:tcBorders>
                    <w:tl2br w:val="nil"/>
                    <w:tr2bl w:val="nil"/>
                  </w:tcBorders>
                  <w:shd w:val="clear" w:color="auto" w:fill="auto"/>
                  <w:vAlign w:val="center"/>
                </w:tcPr>
                <w:p w14:paraId="4FEACC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67.1 </w:t>
                  </w:r>
                </w:p>
              </w:tc>
              <w:tc>
                <w:tcPr>
                  <w:tcW w:w="206" w:type="pct"/>
                  <w:tcBorders>
                    <w:tl2br w:val="nil"/>
                    <w:tr2bl w:val="nil"/>
                  </w:tcBorders>
                  <w:shd w:val="clear" w:color="auto" w:fill="auto"/>
                  <w:vAlign w:val="center"/>
                </w:tcPr>
                <w:p w14:paraId="6C30EC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12" w:type="pct"/>
                  <w:tcBorders>
                    <w:tl2br w:val="nil"/>
                    <w:tr2bl w:val="nil"/>
                  </w:tcBorders>
                  <w:shd w:val="clear" w:color="auto" w:fill="auto"/>
                  <w:vAlign w:val="center"/>
                </w:tcPr>
                <w:p w14:paraId="422B02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2F3077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597B18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196" w:type="pct"/>
                  <w:tcBorders>
                    <w:tl2br w:val="nil"/>
                    <w:tr2bl w:val="nil"/>
                  </w:tcBorders>
                  <w:shd w:val="clear" w:color="auto" w:fill="auto"/>
                  <w:vAlign w:val="center"/>
                </w:tcPr>
                <w:p w14:paraId="0B6011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46.3 </w:t>
                  </w:r>
                </w:p>
              </w:tc>
              <w:tc>
                <w:tcPr>
                  <w:tcW w:w="196" w:type="pct"/>
                  <w:tcBorders>
                    <w:tl2br w:val="nil"/>
                    <w:tr2bl w:val="nil"/>
                  </w:tcBorders>
                  <w:shd w:val="clear" w:color="auto" w:fill="auto"/>
                  <w:vAlign w:val="center"/>
                </w:tcPr>
                <w:p w14:paraId="169735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46.1 </w:t>
                  </w:r>
                </w:p>
              </w:tc>
              <w:tc>
                <w:tcPr>
                  <w:tcW w:w="214" w:type="pct"/>
                  <w:tcBorders>
                    <w:tl2br w:val="nil"/>
                    <w:tr2bl w:val="nil"/>
                  </w:tcBorders>
                  <w:shd w:val="clear" w:color="auto" w:fill="auto"/>
                  <w:vAlign w:val="center"/>
                </w:tcPr>
                <w:p w14:paraId="1C9C82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237" w:type="pct"/>
                  <w:tcBorders>
                    <w:tl2br w:val="nil"/>
                    <w:tr2bl w:val="nil"/>
                  </w:tcBorders>
                  <w:shd w:val="clear" w:color="auto" w:fill="auto"/>
                  <w:vAlign w:val="center"/>
                </w:tcPr>
                <w:p w14:paraId="394D77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59E772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0709EF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w:t>
                  </w:r>
                </w:p>
              </w:tc>
              <w:tc>
                <w:tcPr>
                  <w:tcW w:w="145" w:type="pct"/>
                  <w:vMerge w:val="continue"/>
                  <w:tcBorders>
                    <w:tl2br w:val="nil"/>
                    <w:tr2bl w:val="nil"/>
                  </w:tcBorders>
                  <w:shd w:val="clear" w:color="auto" w:fill="auto"/>
                  <w:vAlign w:val="center"/>
                </w:tcPr>
                <w:p w14:paraId="25C9EEF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322B01E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打磨机</w:t>
                  </w:r>
                </w:p>
              </w:tc>
              <w:tc>
                <w:tcPr>
                  <w:tcW w:w="260" w:type="pct"/>
                  <w:tcBorders>
                    <w:tl2br w:val="nil"/>
                    <w:tr2bl w:val="nil"/>
                  </w:tcBorders>
                  <w:shd w:val="clear" w:color="auto" w:fill="auto"/>
                  <w:noWrap/>
                  <w:vAlign w:val="center"/>
                </w:tcPr>
                <w:p w14:paraId="23E2B2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kern w:val="0"/>
                      <w:sz w:val="21"/>
                      <w:szCs w:val="21"/>
                      <w:lang w:val="en-US" w:eastAsia="zh-CN"/>
                    </w:rPr>
                    <w:t>11</w:t>
                  </w:r>
                </w:p>
              </w:tc>
              <w:tc>
                <w:tcPr>
                  <w:tcW w:w="260" w:type="pct"/>
                  <w:tcBorders>
                    <w:tl2br w:val="nil"/>
                    <w:tr2bl w:val="nil"/>
                  </w:tcBorders>
                  <w:shd w:val="clear" w:color="auto" w:fill="auto"/>
                  <w:noWrap/>
                  <w:vAlign w:val="center"/>
                </w:tcPr>
                <w:p w14:paraId="217EF1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93</w:t>
                  </w:r>
                </w:p>
              </w:tc>
              <w:tc>
                <w:tcPr>
                  <w:tcW w:w="286" w:type="pct"/>
                  <w:vMerge w:val="continue"/>
                  <w:tcBorders>
                    <w:tl2br w:val="nil"/>
                    <w:tr2bl w:val="nil"/>
                  </w:tcBorders>
                  <w:shd w:val="clear" w:color="auto" w:fill="auto"/>
                  <w:vAlign w:val="center"/>
                </w:tcPr>
                <w:p w14:paraId="486DDF3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078F14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54" w:type="pct"/>
                  <w:tcBorders>
                    <w:tl2br w:val="nil"/>
                    <w:tr2bl w:val="nil"/>
                  </w:tcBorders>
                  <w:shd w:val="clear" w:color="auto" w:fill="auto"/>
                  <w:noWrap/>
                  <w:vAlign w:val="center"/>
                </w:tcPr>
                <w:p w14:paraId="12BEC2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w:t>
                  </w:r>
                </w:p>
              </w:tc>
              <w:tc>
                <w:tcPr>
                  <w:tcW w:w="175" w:type="pct"/>
                  <w:tcBorders>
                    <w:tl2br w:val="nil"/>
                    <w:tr2bl w:val="nil"/>
                  </w:tcBorders>
                  <w:shd w:val="clear" w:color="auto" w:fill="auto"/>
                  <w:noWrap/>
                  <w:vAlign w:val="center"/>
                </w:tcPr>
                <w:p w14:paraId="54C9EB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45" w:type="pct"/>
                  <w:tcBorders>
                    <w:tl2br w:val="nil"/>
                    <w:tr2bl w:val="nil"/>
                  </w:tcBorders>
                  <w:shd w:val="clear" w:color="auto" w:fill="auto"/>
                  <w:vAlign w:val="center"/>
                </w:tcPr>
                <w:p w14:paraId="69E461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w:t>
                  </w:r>
                </w:p>
              </w:tc>
              <w:tc>
                <w:tcPr>
                  <w:tcW w:w="149" w:type="pct"/>
                  <w:tcBorders>
                    <w:tl2br w:val="nil"/>
                    <w:tr2bl w:val="nil"/>
                  </w:tcBorders>
                  <w:shd w:val="clear" w:color="auto" w:fill="auto"/>
                  <w:vAlign w:val="center"/>
                </w:tcPr>
                <w:p w14:paraId="1D707F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w:t>
                  </w:r>
                </w:p>
              </w:tc>
              <w:tc>
                <w:tcPr>
                  <w:tcW w:w="145" w:type="pct"/>
                  <w:tcBorders>
                    <w:tl2br w:val="nil"/>
                    <w:tr2bl w:val="nil"/>
                  </w:tcBorders>
                  <w:shd w:val="clear" w:color="auto" w:fill="auto"/>
                  <w:vAlign w:val="center"/>
                </w:tcPr>
                <w:p w14:paraId="64CAD8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92" w:type="pct"/>
                  <w:tcBorders>
                    <w:tl2br w:val="nil"/>
                    <w:tr2bl w:val="nil"/>
                  </w:tcBorders>
                  <w:shd w:val="clear" w:color="auto" w:fill="auto"/>
                  <w:vAlign w:val="center"/>
                </w:tcPr>
                <w:p w14:paraId="159959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w:t>
                  </w:r>
                </w:p>
              </w:tc>
              <w:tc>
                <w:tcPr>
                  <w:tcW w:w="202" w:type="pct"/>
                  <w:tcBorders>
                    <w:tl2br w:val="nil"/>
                    <w:tr2bl w:val="nil"/>
                  </w:tcBorders>
                  <w:shd w:val="clear" w:color="auto" w:fill="auto"/>
                  <w:vAlign w:val="center"/>
                </w:tcPr>
                <w:p w14:paraId="6FCB67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75.1 </w:t>
                  </w:r>
                </w:p>
              </w:tc>
              <w:tc>
                <w:tcPr>
                  <w:tcW w:w="202" w:type="pct"/>
                  <w:tcBorders>
                    <w:tl2br w:val="nil"/>
                    <w:tr2bl w:val="nil"/>
                  </w:tcBorders>
                  <w:shd w:val="clear" w:color="auto" w:fill="auto"/>
                  <w:vAlign w:val="center"/>
                </w:tcPr>
                <w:p w14:paraId="44A768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75.0 </w:t>
                  </w:r>
                </w:p>
              </w:tc>
              <w:tc>
                <w:tcPr>
                  <w:tcW w:w="196" w:type="pct"/>
                  <w:tcBorders>
                    <w:tl2br w:val="nil"/>
                    <w:tr2bl w:val="nil"/>
                  </w:tcBorders>
                  <w:shd w:val="clear" w:color="auto" w:fill="auto"/>
                  <w:vAlign w:val="center"/>
                </w:tcPr>
                <w:p w14:paraId="6B2EB0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75.0 </w:t>
                  </w:r>
                </w:p>
              </w:tc>
              <w:tc>
                <w:tcPr>
                  <w:tcW w:w="206" w:type="pct"/>
                  <w:tcBorders>
                    <w:tl2br w:val="nil"/>
                    <w:tr2bl w:val="nil"/>
                  </w:tcBorders>
                  <w:shd w:val="clear" w:color="auto" w:fill="auto"/>
                  <w:vAlign w:val="center"/>
                </w:tcPr>
                <w:p w14:paraId="69EFCA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75.0 </w:t>
                  </w:r>
                </w:p>
              </w:tc>
              <w:tc>
                <w:tcPr>
                  <w:tcW w:w="212" w:type="pct"/>
                  <w:tcBorders>
                    <w:tl2br w:val="nil"/>
                    <w:tr2bl w:val="nil"/>
                  </w:tcBorders>
                  <w:shd w:val="clear" w:color="auto" w:fill="auto"/>
                  <w:vAlign w:val="center"/>
                </w:tcPr>
                <w:p w14:paraId="59CFB4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48</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60AC6A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790595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54.1 </w:t>
                  </w:r>
                </w:p>
              </w:tc>
              <w:tc>
                <w:tcPr>
                  <w:tcW w:w="196" w:type="pct"/>
                  <w:tcBorders>
                    <w:tl2br w:val="nil"/>
                    <w:tr2bl w:val="nil"/>
                  </w:tcBorders>
                  <w:shd w:val="clear" w:color="auto" w:fill="auto"/>
                  <w:vAlign w:val="center"/>
                </w:tcPr>
                <w:p w14:paraId="12AF1A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54.0 </w:t>
                  </w:r>
                </w:p>
              </w:tc>
              <w:tc>
                <w:tcPr>
                  <w:tcW w:w="196" w:type="pct"/>
                  <w:tcBorders>
                    <w:tl2br w:val="nil"/>
                    <w:tr2bl w:val="nil"/>
                  </w:tcBorders>
                  <w:shd w:val="clear" w:color="auto" w:fill="auto"/>
                  <w:vAlign w:val="center"/>
                </w:tcPr>
                <w:p w14:paraId="230680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54.0 </w:t>
                  </w:r>
                </w:p>
              </w:tc>
              <w:tc>
                <w:tcPr>
                  <w:tcW w:w="214" w:type="pct"/>
                  <w:tcBorders>
                    <w:tl2br w:val="nil"/>
                    <w:tr2bl w:val="nil"/>
                  </w:tcBorders>
                  <w:shd w:val="clear" w:color="auto" w:fill="auto"/>
                  <w:vAlign w:val="center"/>
                </w:tcPr>
                <w:p w14:paraId="46BA9A2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54.0 </w:t>
                  </w:r>
                </w:p>
              </w:tc>
              <w:tc>
                <w:tcPr>
                  <w:tcW w:w="237" w:type="pct"/>
                  <w:tcBorders>
                    <w:tl2br w:val="nil"/>
                    <w:tr2bl w:val="nil"/>
                  </w:tcBorders>
                  <w:shd w:val="clear" w:color="auto" w:fill="auto"/>
                  <w:vAlign w:val="center"/>
                </w:tcPr>
                <w:p w14:paraId="39E5A5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3DE795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089C633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45" w:type="pct"/>
                  <w:vMerge w:val="continue"/>
                  <w:tcBorders>
                    <w:tl2br w:val="nil"/>
                    <w:tr2bl w:val="nil"/>
                  </w:tcBorders>
                  <w:shd w:val="clear" w:color="auto" w:fill="auto"/>
                  <w:vAlign w:val="center"/>
                </w:tcPr>
                <w:p w14:paraId="5181AB9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021F053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打磨机</w:t>
                  </w:r>
                </w:p>
              </w:tc>
              <w:tc>
                <w:tcPr>
                  <w:tcW w:w="260" w:type="pct"/>
                  <w:tcBorders>
                    <w:tl2br w:val="nil"/>
                    <w:tr2bl w:val="nil"/>
                  </w:tcBorders>
                  <w:shd w:val="clear" w:color="auto" w:fill="auto"/>
                  <w:noWrap/>
                  <w:vAlign w:val="center"/>
                </w:tcPr>
                <w:p w14:paraId="14C54686">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sz w:val="21"/>
                      <w:szCs w:val="21"/>
                      <w:lang w:val="en-US" w:eastAsia="zh-CN"/>
                    </w:rPr>
                    <w:t>11</w:t>
                  </w:r>
                </w:p>
              </w:tc>
              <w:tc>
                <w:tcPr>
                  <w:tcW w:w="260" w:type="pct"/>
                  <w:tcBorders>
                    <w:tl2br w:val="nil"/>
                    <w:tr2bl w:val="nil"/>
                  </w:tcBorders>
                  <w:shd w:val="clear" w:color="auto" w:fill="auto"/>
                  <w:noWrap/>
                  <w:vAlign w:val="center"/>
                </w:tcPr>
                <w:p w14:paraId="208819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93</w:t>
                  </w:r>
                </w:p>
              </w:tc>
              <w:tc>
                <w:tcPr>
                  <w:tcW w:w="286" w:type="pct"/>
                  <w:vMerge w:val="continue"/>
                  <w:tcBorders>
                    <w:tl2br w:val="nil"/>
                    <w:tr2bl w:val="nil"/>
                  </w:tcBorders>
                  <w:shd w:val="clear" w:color="auto" w:fill="auto"/>
                  <w:vAlign w:val="center"/>
                </w:tcPr>
                <w:p w14:paraId="70F041B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7CF1D2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w:t>
                  </w:r>
                </w:p>
              </w:tc>
              <w:tc>
                <w:tcPr>
                  <w:tcW w:w="154" w:type="pct"/>
                  <w:tcBorders>
                    <w:tl2br w:val="nil"/>
                    <w:tr2bl w:val="nil"/>
                  </w:tcBorders>
                  <w:shd w:val="clear" w:color="auto" w:fill="auto"/>
                  <w:noWrap/>
                  <w:vAlign w:val="center"/>
                </w:tcPr>
                <w:p w14:paraId="53AD2F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w:t>
                  </w:r>
                </w:p>
              </w:tc>
              <w:tc>
                <w:tcPr>
                  <w:tcW w:w="175" w:type="pct"/>
                  <w:tcBorders>
                    <w:tl2br w:val="nil"/>
                    <w:tr2bl w:val="nil"/>
                  </w:tcBorders>
                  <w:shd w:val="clear" w:color="auto" w:fill="auto"/>
                  <w:noWrap/>
                  <w:vAlign w:val="center"/>
                </w:tcPr>
                <w:p w14:paraId="145395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45" w:type="pct"/>
                  <w:tcBorders>
                    <w:tl2br w:val="nil"/>
                    <w:tr2bl w:val="nil"/>
                  </w:tcBorders>
                  <w:shd w:val="clear" w:color="auto" w:fill="auto"/>
                  <w:vAlign w:val="center"/>
                </w:tcPr>
                <w:p w14:paraId="59325B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w:t>
                  </w:r>
                </w:p>
              </w:tc>
              <w:tc>
                <w:tcPr>
                  <w:tcW w:w="149" w:type="pct"/>
                  <w:tcBorders>
                    <w:tl2br w:val="nil"/>
                    <w:tr2bl w:val="nil"/>
                  </w:tcBorders>
                  <w:shd w:val="clear" w:color="auto" w:fill="auto"/>
                  <w:vAlign w:val="center"/>
                </w:tcPr>
                <w:p w14:paraId="20E73F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w:t>
                  </w:r>
                </w:p>
              </w:tc>
              <w:tc>
                <w:tcPr>
                  <w:tcW w:w="145" w:type="pct"/>
                  <w:tcBorders>
                    <w:tl2br w:val="nil"/>
                    <w:tr2bl w:val="nil"/>
                  </w:tcBorders>
                  <w:shd w:val="clear" w:color="auto" w:fill="auto"/>
                  <w:vAlign w:val="center"/>
                </w:tcPr>
                <w:p w14:paraId="2BE7A6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w:t>
                  </w:r>
                </w:p>
              </w:tc>
              <w:tc>
                <w:tcPr>
                  <w:tcW w:w="192" w:type="pct"/>
                  <w:tcBorders>
                    <w:tl2br w:val="nil"/>
                    <w:tr2bl w:val="nil"/>
                  </w:tcBorders>
                  <w:shd w:val="clear" w:color="auto" w:fill="auto"/>
                  <w:vAlign w:val="center"/>
                </w:tcPr>
                <w:p w14:paraId="3BF498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w:t>
                  </w:r>
                </w:p>
              </w:tc>
              <w:tc>
                <w:tcPr>
                  <w:tcW w:w="202" w:type="pct"/>
                  <w:tcBorders>
                    <w:tl2br w:val="nil"/>
                    <w:tr2bl w:val="nil"/>
                  </w:tcBorders>
                  <w:shd w:val="clear" w:color="auto" w:fill="auto"/>
                  <w:vAlign w:val="center"/>
                </w:tcPr>
                <w:p w14:paraId="2EC233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75.6 </w:t>
                  </w:r>
                </w:p>
              </w:tc>
              <w:tc>
                <w:tcPr>
                  <w:tcW w:w="202" w:type="pct"/>
                  <w:tcBorders>
                    <w:tl2br w:val="nil"/>
                    <w:tr2bl w:val="nil"/>
                  </w:tcBorders>
                  <w:shd w:val="clear" w:color="auto" w:fill="auto"/>
                  <w:vAlign w:val="center"/>
                </w:tcPr>
                <w:p w14:paraId="319D59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75.0 </w:t>
                  </w:r>
                </w:p>
              </w:tc>
              <w:tc>
                <w:tcPr>
                  <w:tcW w:w="196" w:type="pct"/>
                  <w:tcBorders>
                    <w:tl2br w:val="nil"/>
                    <w:tr2bl w:val="nil"/>
                  </w:tcBorders>
                  <w:shd w:val="clear" w:color="auto" w:fill="auto"/>
                  <w:vAlign w:val="center"/>
                </w:tcPr>
                <w:p w14:paraId="4163A1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75.0 </w:t>
                  </w:r>
                </w:p>
              </w:tc>
              <w:tc>
                <w:tcPr>
                  <w:tcW w:w="206" w:type="pct"/>
                  <w:tcBorders>
                    <w:tl2br w:val="nil"/>
                    <w:tr2bl w:val="nil"/>
                  </w:tcBorders>
                  <w:shd w:val="clear" w:color="auto" w:fill="auto"/>
                  <w:vAlign w:val="center"/>
                </w:tcPr>
                <w:p w14:paraId="6B9A1C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75.0 </w:t>
                  </w:r>
                </w:p>
              </w:tc>
              <w:tc>
                <w:tcPr>
                  <w:tcW w:w="212" w:type="pct"/>
                  <w:tcBorders>
                    <w:tl2br w:val="nil"/>
                    <w:tr2bl w:val="nil"/>
                  </w:tcBorders>
                  <w:shd w:val="clear" w:color="auto" w:fill="auto"/>
                  <w:vAlign w:val="center"/>
                </w:tcPr>
                <w:p w14:paraId="3A8C2F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48</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316046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1AC340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54.6 </w:t>
                  </w:r>
                </w:p>
              </w:tc>
              <w:tc>
                <w:tcPr>
                  <w:tcW w:w="196" w:type="pct"/>
                  <w:tcBorders>
                    <w:tl2br w:val="nil"/>
                    <w:tr2bl w:val="nil"/>
                  </w:tcBorders>
                  <w:shd w:val="clear" w:color="auto" w:fill="auto"/>
                  <w:vAlign w:val="center"/>
                </w:tcPr>
                <w:p w14:paraId="0C1743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54.0 </w:t>
                  </w:r>
                </w:p>
              </w:tc>
              <w:tc>
                <w:tcPr>
                  <w:tcW w:w="196" w:type="pct"/>
                  <w:tcBorders>
                    <w:tl2br w:val="nil"/>
                    <w:tr2bl w:val="nil"/>
                  </w:tcBorders>
                  <w:shd w:val="clear" w:color="auto" w:fill="auto"/>
                  <w:vAlign w:val="center"/>
                </w:tcPr>
                <w:p w14:paraId="1D419B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54.0 </w:t>
                  </w:r>
                </w:p>
              </w:tc>
              <w:tc>
                <w:tcPr>
                  <w:tcW w:w="214" w:type="pct"/>
                  <w:tcBorders>
                    <w:tl2br w:val="nil"/>
                    <w:tr2bl w:val="nil"/>
                  </w:tcBorders>
                  <w:shd w:val="clear" w:color="auto" w:fill="auto"/>
                  <w:vAlign w:val="center"/>
                </w:tcPr>
                <w:p w14:paraId="69908D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54.0 </w:t>
                  </w:r>
                </w:p>
              </w:tc>
              <w:tc>
                <w:tcPr>
                  <w:tcW w:w="237" w:type="pct"/>
                  <w:tcBorders>
                    <w:tl2br w:val="nil"/>
                    <w:tr2bl w:val="nil"/>
                  </w:tcBorders>
                  <w:shd w:val="clear" w:color="auto" w:fill="auto"/>
                  <w:vAlign w:val="center"/>
                </w:tcPr>
                <w:p w14:paraId="36E5B3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1928B1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165B7E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w:t>
                  </w:r>
                </w:p>
              </w:tc>
              <w:tc>
                <w:tcPr>
                  <w:tcW w:w="145" w:type="pct"/>
                  <w:vMerge w:val="continue"/>
                  <w:tcBorders>
                    <w:tl2br w:val="nil"/>
                    <w:tr2bl w:val="nil"/>
                  </w:tcBorders>
                  <w:shd w:val="clear" w:color="auto" w:fill="auto"/>
                  <w:vAlign w:val="center"/>
                </w:tcPr>
                <w:p w14:paraId="1E0A81E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497EE09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风机</w:t>
                  </w:r>
                </w:p>
              </w:tc>
              <w:tc>
                <w:tcPr>
                  <w:tcW w:w="260" w:type="pct"/>
                  <w:tcBorders>
                    <w:tl2br w:val="nil"/>
                    <w:tr2bl w:val="nil"/>
                  </w:tcBorders>
                  <w:shd w:val="clear" w:color="auto" w:fill="auto"/>
                  <w:noWrap/>
                  <w:vAlign w:val="center"/>
                </w:tcPr>
                <w:p w14:paraId="182757EB">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sz w:val="21"/>
                      <w:szCs w:val="21"/>
                      <w:lang w:val="en-US" w:eastAsia="zh-CN"/>
                    </w:rPr>
                    <w:t>1</w:t>
                  </w:r>
                </w:p>
              </w:tc>
              <w:tc>
                <w:tcPr>
                  <w:tcW w:w="260" w:type="pct"/>
                  <w:tcBorders>
                    <w:tl2br w:val="nil"/>
                    <w:tr2bl w:val="nil"/>
                  </w:tcBorders>
                  <w:shd w:val="clear" w:color="auto" w:fill="auto"/>
                  <w:noWrap/>
                  <w:vAlign w:val="center"/>
                </w:tcPr>
                <w:p w14:paraId="7FB9AA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w:t>
                  </w:r>
                </w:p>
              </w:tc>
              <w:tc>
                <w:tcPr>
                  <w:tcW w:w="286" w:type="pct"/>
                  <w:vMerge w:val="continue"/>
                  <w:tcBorders>
                    <w:tl2br w:val="nil"/>
                    <w:tr2bl w:val="nil"/>
                  </w:tcBorders>
                  <w:shd w:val="clear" w:color="auto" w:fill="auto"/>
                  <w:vAlign w:val="center"/>
                </w:tcPr>
                <w:p w14:paraId="0EBD3EF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32C396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54" w:type="pct"/>
                  <w:tcBorders>
                    <w:tl2br w:val="nil"/>
                    <w:tr2bl w:val="nil"/>
                  </w:tcBorders>
                  <w:shd w:val="clear" w:color="auto" w:fill="auto"/>
                  <w:noWrap/>
                  <w:vAlign w:val="center"/>
                </w:tcPr>
                <w:p w14:paraId="055859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w:t>
                  </w:r>
                </w:p>
              </w:tc>
              <w:tc>
                <w:tcPr>
                  <w:tcW w:w="175" w:type="pct"/>
                  <w:tcBorders>
                    <w:tl2br w:val="nil"/>
                    <w:tr2bl w:val="nil"/>
                  </w:tcBorders>
                  <w:shd w:val="clear" w:color="auto" w:fill="auto"/>
                  <w:noWrap/>
                  <w:vAlign w:val="center"/>
                </w:tcPr>
                <w:p w14:paraId="6CE35C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45" w:type="pct"/>
                  <w:tcBorders>
                    <w:tl2br w:val="nil"/>
                    <w:tr2bl w:val="nil"/>
                  </w:tcBorders>
                  <w:shd w:val="clear" w:color="auto" w:fill="auto"/>
                  <w:vAlign w:val="center"/>
                </w:tcPr>
                <w:p w14:paraId="14BD68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w:t>
                  </w:r>
                </w:p>
              </w:tc>
              <w:tc>
                <w:tcPr>
                  <w:tcW w:w="149" w:type="pct"/>
                  <w:tcBorders>
                    <w:tl2br w:val="nil"/>
                    <w:tr2bl w:val="nil"/>
                  </w:tcBorders>
                  <w:shd w:val="clear" w:color="auto" w:fill="auto"/>
                  <w:vAlign w:val="center"/>
                </w:tcPr>
                <w:p w14:paraId="5CB6DB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w:t>
                  </w:r>
                </w:p>
              </w:tc>
              <w:tc>
                <w:tcPr>
                  <w:tcW w:w="145" w:type="pct"/>
                  <w:tcBorders>
                    <w:tl2br w:val="nil"/>
                    <w:tr2bl w:val="nil"/>
                  </w:tcBorders>
                  <w:shd w:val="clear" w:color="auto" w:fill="auto"/>
                  <w:vAlign w:val="center"/>
                </w:tcPr>
                <w:p w14:paraId="144B04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92" w:type="pct"/>
                  <w:tcBorders>
                    <w:tl2br w:val="nil"/>
                    <w:tr2bl w:val="nil"/>
                  </w:tcBorders>
                  <w:shd w:val="clear" w:color="auto" w:fill="auto"/>
                  <w:vAlign w:val="center"/>
                </w:tcPr>
                <w:p w14:paraId="5C39DE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w:t>
                  </w:r>
                </w:p>
              </w:tc>
              <w:tc>
                <w:tcPr>
                  <w:tcW w:w="202" w:type="pct"/>
                  <w:tcBorders>
                    <w:tl2br w:val="nil"/>
                    <w:tr2bl w:val="nil"/>
                  </w:tcBorders>
                  <w:shd w:val="clear" w:color="auto" w:fill="auto"/>
                  <w:vAlign w:val="center"/>
                </w:tcPr>
                <w:p w14:paraId="4B61EF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67.1 </w:t>
                  </w:r>
                </w:p>
              </w:tc>
              <w:tc>
                <w:tcPr>
                  <w:tcW w:w="202" w:type="pct"/>
                  <w:tcBorders>
                    <w:tl2br w:val="nil"/>
                    <w:tr2bl w:val="nil"/>
                  </w:tcBorders>
                  <w:shd w:val="clear" w:color="auto" w:fill="auto"/>
                  <w:vAlign w:val="center"/>
                </w:tcPr>
                <w:p w14:paraId="208EA2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196" w:type="pct"/>
                  <w:tcBorders>
                    <w:tl2br w:val="nil"/>
                    <w:tr2bl w:val="nil"/>
                  </w:tcBorders>
                  <w:shd w:val="clear" w:color="auto" w:fill="auto"/>
                  <w:vAlign w:val="center"/>
                </w:tcPr>
                <w:p w14:paraId="7D39B9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06" w:type="pct"/>
                  <w:tcBorders>
                    <w:tl2br w:val="nil"/>
                    <w:tr2bl w:val="nil"/>
                  </w:tcBorders>
                  <w:shd w:val="clear" w:color="auto" w:fill="auto"/>
                  <w:vAlign w:val="center"/>
                </w:tcPr>
                <w:p w14:paraId="3B5DB1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67.1 </w:t>
                  </w:r>
                </w:p>
              </w:tc>
              <w:tc>
                <w:tcPr>
                  <w:tcW w:w="212" w:type="pct"/>
                  <w:tcBorders>
                    <w:tl2br w:val="nil"/>
                    <w:tr2bl w:val="nil"/>
                  </w:tcBorders>
                  <w:shd w:val="clear" w:color="auto" w:fill="auto"/>
                  <w:vAlign w:val="center"/>
                </w:tcPr>
                <w:p w14:paraId="61915E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48</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4ED441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63BABA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46.1 </w:t>
                  </w:r>
                </w:p>
              </w:tc>
              <w:tc>
                <w:tcPr>
                  <w:tcW w:w="196" w:type="pct"/>
                  <w:tcBorders>
                    <w:tl2br w:val="nil"/>
                    <w:tr2bl w:val="nil"/>
                  </w:tcBorders>
                  <w:shd w:val="clear" w:color="auto" w:fill="auto"/>
                  <w:vAlign w:val="center"/>
                </w:tcPr>
                <w:p w14:paraId="294828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196" w:type="pct"/>
                  <w:tcBorders>
                    <w:tl2br w:val="nil"/>
                    <w:tr2bl w:val="nil"/>
                  </w:tcBorders>
                  <w:shd w:val="clear" w:color="auto" w:fill="auto"/>
                  <w:vAlign w:val="center"/>
                </w:tcPr>
                <w:p w14:paraId="3A6C54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214" w:type="pct"/>
                  <w:tcBorders>
                    <w:tl2br w:val="nil"/>
                    <w:tr2bl w:val="nil"/>
                  </w:tcBorders>
                  <w:shd w:val="clear" w:color="auto" w:fill="auto"/>
                  <w:vAlign w:val="center"/>
                </w:tcPr>
                <w:p w14:paraId="622CA8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46.1 </w:t>
                  </w:r>
                </w:p>
              </w:tc>
              <w:tc>
                <w:tcPr>
                  <w:tcW w:w="237" w:type="pct"/>
                  <w:tcBorders>
                    <w:tl2br w:val="nil"/>
                    <w:tr2bl w:val="nil"/>
                  </w:tcBorders>
                  <w:shd w:val="clear" w:color="auto" w:fill="auto"/>
                  <w:vAlign w:val="center"/>
                </w:tcPr>
                <w:p w14:paraId="25B53B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6DE6F5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2D5FBA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w:t>
                  </w:r>
                </w:p>
              </w:tc>
              <w:tc>
                <w:tcPr>
                  <w:tcW w:w="145" w:type="pct"/>
                  <w:vMerge w:val="continue"/>
                  <w:tcBorders>
                    <w:tl2br w:val="nil"/>
                    <w:tr2bl w:val="nil"/>
                  </w:tcBorders>
                  <w:shd w:val="clear" w:color="auto" w:fill="auto"/>
                  <w:vAlign w:val="center"/>
                </w:tcPr>
                <w:p w14:paraId="67E2186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2C09C80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风机</w:t>
                  </w:r>
                </w:p>
              </w:tc>
              <w:tc>
                <w:tcPr>
                  <w:tcW w:w="260" w:type="pct"/>
                  <w:tcBorders>
                    <w:tl2br w:val="nil"/>
                    <w:tr2bl w:val="nil"/>
                  </w:tcBorders>
                  <w:shd w:val="clear" w:color="auto" w:fill="auto"/>
                  <w:noWrap/>
                  <w:vAlign w:val="center"/>
                </w:tcPr>
                <w:p w14:paraId="77C4DB6C">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sz w:val="21"/>
                      <w:szCs w:val="21"/>
                      <w:lang w:val="en-US" w:eastAsia="zh-CN"/>
                    </w:rPr>
                    <w:t>1</w:t>
                  </w:r>
                </w:p>
              </w:tc>
              <w:tc>
                <w:tcPr>
                  <w:tcW w:w="260" w:type="pct"/>
                  <w:tcBorders>
                    <w:tl2br w:val="nil"/>
                    <w:tr2bl w:val="nil"/>
                  </w:tcBorders>
                  <w:shd w:val="clear" w:color="auto" w:fill="auto"/>
                  <w:noWrap/>
                  <w:vAlign w:val="center"/>
                </w:tcPr>
                <w:p w14:paraId="3BC5B7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w:t>
                  </w:r>
                </w:p>
              </w:tc>
              <w:tc>
                <w:tcPr>
                  <w:tcW w:w="286" w:type="pct"/>
                  <w:vMerge w:val="continue"/>
                  <w:tcBorders>
                    <w:tl2br w:val="nil"/>
                    <w:tr2bl w:val="nil"/>
                  </w:tcBorders>
                  <w:shd w:val="clear" w:color="auto" w:fill="auto"/>
                  <w:vAlign w:val="center"/>
                </w:tcPr>
                <w:p w14:paraId="247E7C8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0AF0BF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w:t>
                  </w:r>
                </w:p>
              </w:tc>
              <w:tc>
                <w:tcPr>
                  <w:tcW w:w="154" w:type="pct"/>
                  <w:tcBorders>
                    <w:tl2br w:val="nil"/>
                    <w:tr2bl w:val="nil"/>
                  </w:tcBorders>
                  <w:shd w:val="clear" w:color="auto" w:fill="auto"/>
                  <w:noWrap/>
                  <w:vAlign w:val="center"/>
                </w:tcPr>
                <w:p w14:paraId="4C370B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w:t>
                  </w:r>
                </w:p>
              </w:tc>
              <w:tc>
                <w:tcPr>
                  <w:tcW w:w="175" w:type="pct"/>
                  <w:tcBorders>
                    <w:tl2br w:val="nil"/>
                    <w:tr2bl w:val="nil"/>
                  </w:tcBorders>
                  <w:shd w:val="clear" w:color="auto" w:fill="auto"/>
                  <w:noWrap/>
                  <w:vAlign w:val="center"/>
                </w:tcPr>
                <w:p w14:paraId="6DB57D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45" w:type="pct"/>
                  <w:tcBorders>
                    <w:tl2br w:val="nil"/>
                    <w:tr2bl w:val="nil"/>
                  </w:tcBorders>
                  <w:shd w:val="clear" w:color="auto" w:fill="auto"/>
                  <w:vAlign w:val="center"/>
                </w:tcPr>
                <w:p w14:paraId="080D7C9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w:t>
                  </w:r>
                </w:p>
              </w:tc>
              <w:tc>
                <w:tcPr>
                  <w:tcW w:w="149" w:type="pct"/>
                  <w:tcBorders>
                    <w:tl2br w:val="nil"/>
                    <w:tr2bl w:val="nil"/>
                  </w:tcBorders>
                  <w:shd w:val="clear" w:color="auto" w:fill="auto"/>
                  <w:vAlign w:val="center"/>
                </w:tcPr>
                <w:p w14:paraId="315D06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w:t>
                  </w:r>
                </w:p>
              </w:tc>
              <w:tc>
                <w:tcPr>
                  <w:tcW w:w="145" w:type="pct"/>
                  <w:tcBorders>
                    <w:tl2br w:val="nil"/>
                    <w:tr2bl w:val="nil"/>
                  </w:tcBorders>
                  <w:shd w:val="clear" w:color="auto" w:fill="auto"/>
                  <w:vAlign w:val="center"/>
                </w:tcPr>
                <w:p w14:paraId="6AEC93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w:t>
                  </w:r>
                </w:p>
              </w:tc>
              <w:tc>
                <w:tcPr>
                  <w:tcW w:w="192" w:type="pct"/>
                  <w:tcBorders>
                    <w:tl2br w:val="nil"/>
                    <w:tr2bl w:val="nil"/>
                  </w:tcBorders>
                  <w:shd w:val="clear" w:color="auto" w:fill="auto"/>
                  <w:vAlign w:val="center"/>
                </w:tcPr>
                <w:p w14:paraId="3FF8E1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w:t>
                  </w:r>
                </w:p>
              </w:tc>
              <w:tc>
                <w:tcPr>
                  <w:tcW w:w="202" w:type="pct"/>
                  <w:tcBorders>
                    <w:tl2br w:val="nil"/>
                    <w:tr2bl w:val="nil"/>
                  </w:tcBorders>
                  <w:shd w:val="clear" w:color="auto" w:fill="auto"/>
                  <w:vAlign w:val="center"/>
                </w:tcPr>
                <w:p w14:paraId="511948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67.6 </w:t>
                  </w:r>
                </w:p>
              </w:tc>
              <w:tc>
                <w:tcPr>
                  <w:tcW w:w="202" w:type="pct"/>
                  <w:tcBorders>
                    <w:tl2br w:val="nil"/>
                    <w:tr2bl w:val="nil"/>
                  </w:tcBorders>
                  <w:shd w:val="clear" w:color="auto" w:fill="auto"/>
                  <w:vAlign w:val="center"/>
                </w:tcPr>
                <w:p w14:paraId="571115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196" w:type="pct"/>
                  <w:tcBorders>
                    <w:tl2br w:val="nil"/>
                    <w:tr2bl w:val="nil"/>
                  </w:tcBorders>
                  <w:shd w:val="clear" w:color="auto" w:fill="auto"/>
                  <w:vAlign w:val="center"/>
                </w:tcPr>
                <w:p w14:paraId="2F7A62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67.0 </w:t>
                  </w:r>
                </w:p>
              </w:tc>
              <w:tc>
                <w:tcPr>
                  <w:tcW w:w="206" w:type="pct"/>
                  <w:tcBorders>
                    <w:tl2br w:val="nil"/>
                    <w:tr2bl w:val="nil"/>
                  </w:tcBorders>
                  <w:shd w:val="clear" w:color="auto" w:fill="auto"/>
                  <w:vAlign w:val="center"/>
                </w:tcPr>
                <w:p w14:paraId="69B1FC1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67.1 </w:t>
                  </w:r>
                </w:p>
              </w:tc>
              <w:tc>
                <w:tcPr>
                  <w:tcW w:w="212" w:type="pct"/>
                  <w:tcBorders>
                    <w:tl2br w:val="nil"/>
                    <w:tr2bl w:val="nil"/>
                  </w:tcBorders>
                  <w:shd w:val="clear" w:color="auto" w:fill="auto"/>
                  <w:vAlign w:val="center"/>
                </w:tcPr>
                <w:p w14:paraId="26A2D5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48</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13ED1E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7BA8A6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46.6 </w:t>
                  </w:r>
                </w:p>
              </w:tc>
              <w:tc>
                <w:tcPr>
                  <w:tcW w:w="196" w:type="pct"/>
                  <w:tcBorders>
                    <w:tl2br w:val="nil"/>
                    <w:tr2bl w:val="nil"/>
                  </w:tcBorders>
                  <w:shd w:val="clear" w:color="auto" w:fill="auto"/>
                  <w:vAlign w:val="center"/>
                </w:tcPr>
                <w:p w14:paraId="7CB795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196" w:type="pct"/>
                  <w:tcBorders>
                    <w:tl2br w:val="nil"/>
                    <w:tr2bl w:val="nil"/>
                  </w:tcBorders>
                  <w:shd w:val="clear" w:color="auto" w:fill="auto"/>
                  <w:vAlign w:val="center"/>
                </w:tcPr>
                <w:p w14:paraId="44B94F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46.0 </w:t>
                  </w:r>
                </w:p>
              </w:tc>
              <w:tc>
                <w:tcPr>
                  <w:tcW w:w="214" w:type="pct"/>
                  <w:tcBorders>
                    <w:tl2br w:val="nil"/>
                    <w:tr2bl w:val="nil"/>
                  </w:tcBorders>
                  <w:shd w:val="clear" w:color="auto" w:fill="auto"/>
                  <w:vAlign w:val="center"/>
                </w:tcPr>
                <w:p w14:paraId="3F537D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46.1 </w:t>
                  </w:r>
                </w:p>
              </w:tc>
              <w:tc>
                <w:tcPr>
                  <w:tcW w:w="237" w:type="pct"/>
                  <w:tcBorders>
                    <w:tl2br w:val="nil"/>
                    <w:tr2bl w:val="nil"/>
                  </w:tcBorders>
                  <w:shd w:val="clear" w:color="auto" w:fill="auto"/>
                  <w:vAlign w:val="center"/>
                </w:tcPr>
                <w:p w14:paraId="7B86AD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30611F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042F13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w:t>
                  </w:r>
                </w:p>
              </w:tc>
              <w:tc>
                <w:tcPr>
                  <w:tcW w:w="145" w:type="pct"/>
                  <w:vMerge w:val="continue"/>
                  <w:tcBorders>
                    <w:tl2br w:val="nil"/>
                    <w:tr2bl w:val="nil"/>
                  </w:tcBorders>
                  <w:shd w:val="clear" w:color="auto" w:fill="auto"/>
                  <w:vAlign w:val="center"/>
                </w:tcPr>
                <w:p w14:paraId="4FC8024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5FDE347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水泵</w:t>
                  </w:r>
                </w:p>
              </w:tc>
              <w:tc>
                <w:tcPr>
                  <w:tcW w:w="260" w:type="pct"/>
                  <w:tcBorders>
                    <w:tl2br w:val="nil"/>
                    <w:tr2bl w:val="nil"/>
                  </w:tcBorders>
                  <w:shd w:val="clear" w:color="auto" w:fill="auto"/>
                  <w:noWrap/>
                  <w:vAlign w:val="center"/>
                </w:tcPr>
                <w:p w14:paraId="6FA167DF">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sz w:val="21"/>
                      <w:szCs w:val="21"/>
                      <w:lang w:val="en-US" w:eastAsia="zh-CN"/>
                    </w:rPr>
                    <w:t>1</w:t>
                  </w:r>
                </w:p>
              </w:tc>
              <w:tc>
                <w:tcPr>
                  <w:tcW w:w="260" w:type="pct"/>
                  <w:tcBorders>
                    <w:tl2br w:val="nil"/>
                    <w:tr2bl w:val="nil"/>
                  </w:tcBorders>
                  <w:shd w:val="clear" w:color="auto" w:fill="auto"/>
                  <w:noWrap/>
                  <w:vAlign w:val="center"/>
                </w:tcPr>
                <w:p w14:paraId="177050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w:t>
                  </w:r>
                </w:p>
              </w:tc>
              <w:tc>
                <w:tcPr>
                  <w:tcW w:w="286" w:type="pct"/>
                  <w:vMerge w:val="continue"/>
                  <w:tcBorders>
                    <w:tl2br w:val="nil"/>
                    <w:tr2bl w:val="nil"/>
                  </w:tcBorders>
                  <w:shd w:val="clear" w:color="auto" w:fill="auto"/>
                  <w:vAlign w:val="center"/>
                </w:tcPr>
                <w:p w14:paraId="6B2AA46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5542C3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w:t>
                  </w:r>
                </w:p>
              </w:tc>
              <w:tc>
                <w:tcPr>
                  <w:tcW w:w="154" w:type="pct"/>
                  <w:tcBorders>
                    <w:tl2br w:val="nil"/>
                    <w:tr2bl w:val="nil"/>
                  </w:tcBorders>
                  <w:shd w:val="clear" w:color="auto" w:fill="auto"/>
                  <w:noWrap/>
                  <w:vAlign w:val="center"/>
                </w:tcPr>
                <w:p w14:paraId="0A318D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w:t>
                  </w:r>
                </w:p>
              </w:tc>
              <w:tc>
                <w:tcPr>
                  <w:tcW w:w="175" w:type="pct"/>
                  <w:tcBorders>
                    <w:tl2br w:val="nil"/>
                    <w:tr2bl w:val="nil"/>
                  </w:tcBorders>
                  <w:shd w:val="clear" w:color="auto" w:fill="auto"/>
                  <w:noWrap/>
                  <w:vAlign w:val="center"/>
                </w:tcPr>
                <w:p w14:paraId="55787F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145" w:type="pct"/>
                  <w:tcBorders>
                    <w:tl2br w:val="nil"/>
                    <w:tr2bl w:val="nil"/>
                  </w:tcBorders>
                  <w:shd w:val="clear" w:color="auto" w:fill="auto"/>
                  <w:vAlign w:val="center"/>
                </w:tcPr>
                <w:p w14:paraId="2D9700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w:t>
                  </w:r>
                </w:p>
              </w:tc>
              <w:tc>
                <w:tcPr>
                  <w:tcW w:w="149" w:type="pct"/>
                  <w:tcBorders>
                    <w:tl2br w:val="nil"/>
                    <w:tr2bl w:val="nil"/>
                  </w:tcBorders>
                  <w:shd w:val="clear" w:color="auto" w:fill="auto"/>
                  <w:vAlign w:val="center"/>
                </w:tcPr>
                <w:p w14:paraId="592DB6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w:t>
                  </w:r>
                </w:p>
              </w:tc>
              <w:tc>
                <w:tcPr>
                  <w:tcW w:w="145" w:type="pct"/>
                  <w:tcBorders>
                    <w:tl2br w:val="nil"/>
                    <w:tr2bl w:val="nil"/>
                  </w:tcBorders>
                  <w:shd w:val="clear" w:color="auto" w:fill="auto"/>
                  <w:vAlign w:val="center"/>
                </w:tcPr>
                <w:p w14:paraId="1B6E70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w:t>
                  </w:r>
                </w:p>
              </w:tc>
              <w:tc>
                <w:tcPr>
                  <w:tcW w:w="192" w:type="pct"/>
                  <w:tcBorders>
                    <w:tl2br w:val="nil"/>
                    <w:tr2bl w:val="nil"/>
                  </w:tcBorders>
                  <w:shd w:val="clear" w:color="auto" w:fill="auto"/>
                  <w:vAlign w:val="center"/>
                </w:tcPr>
                <w:p w14:paraId="0F8A87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w:t>
                  </w:r>
                </w:p>
              </w:tc>
              <w:tc>
                <w:tcPr>
                  <w:tcW w:w="202" w:type="pct"/>
                  <w:tcBorders>
                    <w:tl2br w:val="nil"/>
                    <w:tr2bl w:val="nil"/>
                  </w:tcBorders>
                  <w:shd w:val="clear" w:color="auto" w:fill="auto"/>
                  <w:vAlign w:val="center"/>
                </w:tcPr>
                <w:p w14:paraId="15FBE8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62.2 </w:t>
                  </w:r>
                </w:p>
              </w:tc>
              <w:tc>
                <w:tcPr>
                  <w:tcW w:w="202" w:type="pct"/>
                  <w:tcBorders>
                    <w:tl2br w:val="nil"/>
                    <w:tr2bl w:val="nil"/>
                  </w:tcBorders>
                  <w:shd w:val="clear" w:color="auto" w:fill="auto"/>
                  <w:vAlign w:val="center"/>
                </w:tcPr>
                <w:p w14:paraId="213075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62.0 </w:t>
                  </w:r>
                </w:p>
              </w:tc>
              <w:tc>
                <w:tcPr>
                  <w:tcW w:w="196" w:type="pct"/>
                  <w:tcBorders>
                    <w:tl2br w:val="nil"/>
                    <w:tr2bl w:val="nil"/>
                  </w:tcBorders>
                  <w:shd w:val="clear" w:color="auto" w:fill="auto"/>
                  <w:vAlign w:val="center"/>
                </w:tcPr>
                <w:p w14:paraId="0DC62E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62.0 </w:t>
                  </w:r>
                </w:p>
              </w:tc>
              <w:tc>
                <w:tcPr>
                  <w:tcW w:w="206" w:type="pct"/>
                  <w:tcBorders>
                    <w:tl2br w:val="nil"/>
                    <w:tr2bl w:val="nil"/>
                  </w:tcBorders>
                  <w:shd w:val="clear" w:color="auto" w:fill="auto"/>
                  <w:vAlign w:val="center"/>
                </w:tcPr>
                <w:p w14:paraId="5E2EEB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62.1 </w:t>
                  </w:r>
                </w:p>
              </w:tc>
              <w:tc>
                <w:tcPr>
                  <w:tcW w:w="212" w:type="pct"/>
                  <w:tcBorders>
                    <w:tl2br w:val="nil"/>
                    <w:tr2bl w:val="nil"/>
                  </w:tcBorders>
                  <w:shd w:val="clear" w:color="auto" w:fill="auto"/>
                  <w:vAlign w:val="center"/>
                </w:tcPr>
                <w:p w14:paraId="33F9B2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48</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7A9CB6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4357D8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36.2 </w:t>
                  </w:r>
                </w:p>
              </w:tc>
              <w:tc>
                <w:tcPr>
                  <w:tcW w:w="196" w:type="pct"/>
                  <w:tcBorders>
                    <w:tl2br w:val="nil"/>
                    <w:tr2bl w:val="nil"/>
                  </w:tcBorders>
                  <w:shd w:val="clear" w:color="auto" w:fill="auto"/>
                  <w:vAlign w:val="center"/>
                </w:tcPr>
                <w:p w14:paraId="6C63ED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36.0 </w:t>
                  </w:r>
                </w:p>
              </w:tc>
              <w:tc>
                <w:tcPr>
                  <w:tcW w:w="196" w:type="pct"/>
                  <w:tcBorders>
                    <w:tl2br w:val="nil"/>
                    <w:tr2bl w:val="nil"/>
                  </w:tcBorders>
                  <w:shd w:val="clear" w:color="auto" w:fill="auto"/>
                  <w:vAlign w:val="center"/>
                </w:tcPr>
                <w:p w14:paraId="173818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36.0 </w:t>
                  </w:r>
                </w:p>
              </w:tc>
              <w:tc>
                <w:tcPr>
                  <w:tcW w:w="214" w:type="pct"/>
                  <w:tcBorders>
                    <w:tl2br w:val="nil"/>
                    <w:tr2bl w:val="nil"/>
                  </w:tcBorders>
                  <w:shd w:val="clear" w:color="auto" w:fill="auto"/>
                  <w:vAlign w:val="center"/>
                </w:tcPr>
                <w:p w14:paraId="45726A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36.1 </w:t>
                  </w:r>
                </w:p>
              </w:tc>
              <w:tc>
                <w:tcPr>
                  <w:tcW w:w="237" w:type="pct"/>
                  <w:tcBorders>
                    <w:tl2br w:val="nil"/>
                    <w:tr2bl w:val="nil"/>
                  </w:tcBorders>
                  <w:shd w:val="clear" w:color="auto" w:fill="auto"/>
                  <w:vAlign w:val="center"/>
                </w:tcPr>
                <w:p w14:paraId="161847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r w14:paraId="2BBB48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7" w:hRule="atLeast"/>
              </w:trPr>
              <w:tc>
                <w:tcPr>
                  <w:tcW w:w="145" w:type="pct"/>
                  <w:tcBorders>
                    <w:tl2br w:val="nil"/>
                    <w:tr2bl w:val="nil"/>
                  </w:tcBorders>
                  <w:shd w:val="clear" w:color="auto" w:fill="auto"/>
                  <w:vAlign w:val="center"/>
                </w:tcPr>
                <w:p w14:paraId="1D423E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w:t>
                  </w:r>
                </w:p>
              </w:tc>
              <w:tc>
                <w:tcPr>
                  <w:tcW w:w="145" w:type="pct"/>
                  <w:vMerge w:val="continue"/>
                  <w:tcBorders>
                    <w:tl2br w:val="nil"/>
                    <w:tr2bl w:val="nil"/>
                  </w:tcBorders>
                  <w:shd w:val="clear" w:color="auto" w:fill="auto"/>
                  <w:vAlign w:val="center"/>
                </w:tcPr>
                <w:p w14:paraId="1BA57B7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412" w:type="pct"/>
                  <w:tcBorders>
                    <w:tl2br w:val="nil"/>
                    <w:tr2bl w:val="nil"/>
                  </w:tcBorders>
                  <w:shd w:val="clear" w:color="auto" w:fill="auto"/>
                  <w:noWrap/>
                  <w:vAlign w:val="center"/>
                </w:tcPr>
                <w:p w14:paraId="1EE8B6C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水泵</w:t>
                  </w:r>
                </w:p>
              </w:tc>
              <w:tc>
                <w:tcPr>
                  <w:tcW w:w="260" w:type="pct"/>
                  <w:tcBorders>
                    <w:tl2br w:val="nil"/>
                    <w:tr2bl w:val="nil"/>
                  </w:tcBorders>
                  <w:shd w:val="clear" w:color="auto" w:fill="auto"/>
                  <w:noWrap/>
                  <w:vAlign w:val="center"/>
                </w:tcPr>
                <w:p w14:paraId="77D42DF9">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sz w:val="21"/>
                      <w:szCs w:val="21"/>
                      <w:lang w:val="en-US" w:eastAsia="zh-CN"/>
                    </w:rPr>
                    <w:t>1</w:t>
                  </w:r>
                </w:p>
              </w:tc>
              <w:tc>
                <w:tcPr>
                  <w:tcW w:w="260" w:type="pct"/>
                  <w:tcBorders>
                    <w:tl2br w:val="nil"/>
                    <w:tr2bl w:val="nil"/>
                  </w:tcBorders>
                  <w:shd w:val="clear" w:color="auto" w:fill="auto"/>
                  <w:noWrap/>
                  <w:vAlign w:val="center"/>
                </w:tcPr>
                <w:p w14:paraId="380D4D1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w:t>
                  </w:r>
                </w:p>
              </w:tc>
              <w:tc>
                <w:tcPr>
                  <w:tcW w:w="286" w:type="pct"/>
                  <w:vMerge w:val="continue"/>
                  <w:tcBorders>
                    <w:tl2br w:val="nil"/>
                    <w:tr2bl w:val="nil"/>
                  </w:tcBorders>
                  <w:shd w:val="clear" w:color="auto" w:fill="auto"/>
                  <w:vAlign w:val="center"/>
                </w:tcPr>
                <w:p w14:paraId="0C8E8A2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c>
                <w:tcPr>
                  <w:tcW w:w="150" w:type="pct"/>
                  <w:tcBorders>
                    <w:tl2br w:val="nil"/>
                    <w:tr2bl w:val="nil"/>
                  </w:tcBorders>
                  <w:shd w:val="clear" w:color="auto" w:fill="auto"/>
                  <w:noWrap/>
                  <w:vAlign w:val="center"/>
                </w:tcPr>
                <w:p w14:paraId="57A251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w:t>
                  </w:r>
                </w:p>
              </w:tc>
              <w:tc>
                <w:tcPr>
                  <w:tcW w:w="154" w:type="pct"/>
                  <w:tcBorders>
                    <w:tl2br w:val="nil"/>
                    <w:tr2bl w:val="nil"/>
                  </w:tcBorders>
                  <w:shd w:val="clear" w:color="auto" w:fill="auto"/>
                  <w:noWrap/>
                  <w:vAlign w:val="center"/>
                </w:tcPr>
                <w:p w14:paraId="58B90C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w:t>
                  </w:r>
                </w:p>
              </w:tc>
              <w:tc>
                <w:tcPr>
                  <w:tcW w:w="175" w:type="pct"/>
                  <w:tcBorders>
                    <w:tl2br w:val="nil"/>
                    <w:tr2bl w:val="nil"/>
                  </w:tcBorders>
                  <w:shd w:val="clear" w:color="auto" w:fill="auto"/>
                  <w:noWrap/>
                  <w:vAlign w:val="center"/>
                </w:tcPr>
                <w:p w14:paraId="6BD4C2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145" w:type="pct"/>
                  <w:tcBorders>
                    <w:tl2br w:val="nil"/>
                    <w:tr2bl w:val="nil"/>
                  </w:tcBorders>
                  <w:shd w:val="clear" w:color="auto" w:fill="auto"/>
                  <w:vAlign w:val="center"/>
                </w:tcPr>
                <w:p w14:paraId="766EAC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149" w:type="pct"/>
                  <w:tcBorders>
                    <w:tl2br w:val="nil"/>
                    <w:tr2bl w:val="nil"/>
                  </w:tcBorders>
                  <w:shd w:val="clear" w:color="auto" w:fill="auto"/>
                  <w:vAlign w:val="center"/>
                </w:tcPr>
                <w:p w14:paraId="47B3C1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w:t>
                  </w:r>
                </w:p>
              </w:tc>
              <w:tc>
                <w:tcPr>
                  <w:tcW w:w="145" w:type="pct"/>
                  <w:tcBorders>
                    <w:tl2br w:val="nil"/>
                    <w:tr2bl w:val="nil"/>
                  </w:tcBorders>
                  <w:shd w:val="clear" w:color="auto" w:fill="auto"/>
                  <w:vAlign w:val="center"/>
                </w:tcPr>
                <w:p w14:paraId="33DE7C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w:t>
                  </w:r>
                </w:p>
              </w:tc>
              <w:tc>
                <w:tcPr>
                  <w:tcW w:w="192" w:type="pct"/>
                  <w:tcBorders>
                    <w:tl2br w:val="nil"/>
                    <w:tr2bl w:val="nil"/>
                  </w:tcBorders>
                  <w:shd w:val="clear" w:color="auto" w:fill="auto"/>
                  <w:vAlign w:val="center"/>
                </w:tcPr>
                <w:p w14:paraId="304152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w:t>
                  </w:r>
                </w:p>
              </w:tc>
              <w:tc>
                <w:tcPr>
                  <w:tcW w:w="202" w:type="pct"/>
                  <w:tcBorders>
                    <w:tl2br w:val="nil"/>
                    <w:tr2bl w:val="nil"/>
                  </w:tcBorders>
                  <w:shd w:val="clear" w:color="auto" w:fill="auto"/>
                  <w:vAlign w:val="center"/>
                </w:tcPr>
                <w:p w14:paraId="6471607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62.3 </w:t>
                  </w:r>
                </w:p>
              </w:tc>
              <w:tc>
                <w:tcPr>
                  <w:tcW w:w="202" w:type="pct"/>
                  <w:tcBorders>
                    <w:tl2br w:val="nil"/>
                    <w:tr2bl w:val="nil"/>
                  </w:tcBorders>
                  <w:shd w:val="clear" w:color="auto" w:fill="auto"/>
                  <w:vAlign w:val="center"/>
                </w:tcPr>
                <w:p w14:paraId="6A6661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62.0 </w:t>
                  </w:r>
                </w:p>
              </w:tc>
              <w:tc>
                <w:tcPr>
                  <w:tcW w:w="196" w:type="pct"/>
                  <w:tcBorders>
                    <w:tl2br w:val="nil"/>
                    <w:tr2bl w:val="nil"/>
                  </w:tcBorders>
                  <w:shd w:val="clear" w:color="auto" w:fill="auto"/>
                  <w:vAlign w:val="center"/>
                </w:tcPr>
                <w:p w14:paraId="4A6BC1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62.0 </w:t>
                  </w:r>
                </w:p>
              </w:tc>
              <w:tc>
                <w:tcPr>
                  <w:tcW w:w="206" w:type="pct"/>
                  <w:tcBorders>
                    <w:tl2br w:val="nil"/>
                    <w:tr2bl w:val="nil"/>
                  </w:tcBorders>
                  <w:shd w:val="clear" w:color="auto" w:fill="auto"/>
                  <w:vAlign w:val="center"/>
                </w:tcPr>
                <w:p w14:paraId="4828ED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62.1 </w:t>
                  </w:r>
                </w:p>
              </w:tc>
              <w:tc>
                <w:tcPr>
                  <w:tcW w:w="212" w:type="pct"/>
                  <w:tcBorders>
                    <w:tl2br w:val="nil"/>
                    <w:tr2bl w:val="nil"/>
                  </w:tcBorders>
                  <w:shd w:val="clear" w:color="auto" w:fill="auto"/>
                  <w:vAlign w:val="center"/>
                </w:tcPr>
                <w:p w14:paraId="4AFCFE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48</w:t>
                  </w:r>
                  <w:r>
                    <w:rPr>
                      <w:rFonts w:hint="default" w:ascii="Times New Roman" w:hAnsi="Times New Roman" w:eastAsia="宋体" w:cs="Times New Roman"/>
                      <w:i w:val="0"/>
                      <w:iCs w:val="0"/>
                      <w:color w:val="auto"/>
                      <w:kern w:val="0"/>
                      <w:sz w:val="21"/>
                      <w:szCs w:val="21"/>
                      <w:u w:val="none"/>
                      <w:lang w:val="en-US" w:eastAsia="zh-CN" w:bidi="ar"/>
                    </w:rPr>
                    <w:t>00</w:t>
                  </w:r>
                </w:p>
              </w:tc>
              <w:tc>
                <w:tcPr>
                  <w:tcW w:w="291" w:type="pct"/>
                  <w:tcBorders>
                    <w:tl2br w:val="nil"/>
                    <w:tr2bl w:val="nil"/>
                  </w:tcBorders>
                  <w:shd w:val="clear" w:color="auto" w:fill="auto"/>
                  <w:vAlign w:val="center"/>
                </w:tcPr>
                <w:p w14:paraId="76CDB2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21</w:t>
                  </w:r>
                </w:p>
              </w:tc>
              <w:tc>
                <w:tcPr>
                  <w:tcW w:w="217" w:type="pct"/>
                  <w:tcBorders>
                    <w:tl2br w:val="nil"/>
                    <w:tr2bl w:val="nil"/>
                  </w:tcBorders>
                  <w:shd w:val="clear" w:color="auto" w:fill="auto"/>
                  <w:vAlign w:val="center"/>
                </w:tcPr>
                <w:p w14:paraId="03D7A2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36.3 </w:t>
                  </w:r>
                </w:p>
              </w:tc>
              <w:tc>
                <w:tcPr>
                  <w:tcW w:w="196" w:type="pct"/>
                  <w:tcBorders>
                    <w:tl2br w:val="nil"/>
                    <w:tr2bl w:val="nil"/>
                  </w:tcBorders>
                  <w:shd w:val="clear" w:color="auto" w:fill="auto"/>
                  <w:vAlign w:val="center"/>
                </w:tcPr>
                <w:p w14:paraId="79C600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36.0 </w:t>
                  </w:r>
                </w:p>
              </w:tc>
              <w:tc>
                <w:tcPr>
                  <w:tcW w:w="196" w:type="pct"/>
                  <w:tcBorders>
                    <w:tl2br w:val="nil"/>
                    <w:tr2bl w:val="nil"/>
                  </w:tcBorders>
                  <w:shd w:val="clear" w:color="auto" w:fill="auto"/>
                  <w:vAlign w:val="center"/>
                </w:tcPr>
                <w:p w14:paraId="1F4F70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36.0 </w:t>
                  </w:r>
                </w:p>
              </w:tc>
              <w:tc>
                <w:tcPr>
                  <w:tcW w:w="214" w:type="pct"/>
                  <w:tcBorders>
                    <w:tl2br w:val="nil"/>
                    <w:tr2bl w:val="nil"/>
                  </w:tcBorders>
                  <w:shd w:val="clear" w:color="auto" w:fill="auto"/>
                  <w:vAlign w:val="center"/>
                </w:tcPr>
                <w:p w14:paraId="2EC0E4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36.1 </w:t>
                  </w:r>
                </w:p>
              </w:tc>
              <w:tc>
                <w:tcPr>
                  <w:tcW w:w="237" w:type="pct"/>
                  <w:tcBorders>
                    <w:tl2br w:val="nil"/>
                    <w:tr2bl w:val="nil"/>
                  </w:tcBorders>
                  <w:shd w:val="clear" w:color="auto" w:fill="auto"/>
                  <w:vAlign w:val="center"/>
                </w:tcPr>
                <w:p w14:paraId="281236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r>
          </w:tbl>
          <w:p w14:paraId="032D5B32">
            <w:pPr>
              <w:spacing w:line="240" w:lineRule="auto"/>
              <w:jc w:val="left"/>
              <w:rPr>
                <w:b/>
                <w:color w:val="auto"/>
                <w:kern w:val="0"/>
                <w:szCs w:val="21"/>
              </w:rPr>
            </w:pPr>
            <w:r>
              <w:rPr>
                <w:b/>
                <w:color w:val="auto"/>
                <w:kern w:val="0"/>
                <w:sz w:val="20"/>
                <w:szCs w:val="20"/>
              </w:rPr>
              <w:t>备注：以项目所在地</w:t>
            </w:r>
            <w:r>
              <w:rPr>
                <w:rFonts w:hint="eastAsia"/>
                <w:b/>
                <w:color w:val="auto"/>
                <w:kern w:val="0"/>
                <w:sz w:val="20"/>
                <w:szCs w:val="20"/>
                <w:lang w:val="en-US" w:eastAsia="zh-CN"/>
              </w:rPr>
              <w:t>西南角</w:t>
            </w:r>
            <w:r>
              <w:rPr>
                <w:b/>
                <w:color w:val="auto"/>
                <w:kern w:val="0"/>
                <w:sz w:val="20"/>
                <w:szCs w:val="20"/>
              </w:rPr>
              <w:t>为</w:t>
            </w:r>
            <w:r>
              <w:rPr>
                <w:rFonts w:hint="default" w:ascii="Times New Roman" w:hAnsi="Times New Roman" w:cs="Times New Roman"/>
                <w:b/>
                <w:color w:val="auto"/>
                <w:kern w:val="0"/>
                <w:sz w:val="20"/>
                <w:szCs w:val="20"/>
              </w:rPr>
              <w:t>（0，0，0）</w:t>
            </w:r>
            <w:r>
              <w:rPr>
                <w:b/>
                <w:color w:val="auto"/>
                <w:kern w:val="0"/>
                <w:sz w:val="20"/>
                <w:szCs w:val="20"/>
              </w:rPr>
              <w:t>，</w:t>
            </w:r>
            <w:r>
              <w:rPr>
                <w:rFonts w:hint="eastAsia"/>
                <w:b/>
                <w:color w:val="auto"/>
                <w:kern w:val="0"/>
                <w:sz w:val="20"/>
                <w:szCs w:val="20"/>
              </w:rPr>
              <w:t>距室内边界距离按最近距离计</w:t>
            </w:r>
            <w:r>
              <w:rPr>
                <w:b/>
                <w:color w:val="auto"/>
                <w:kern w:val="0"/>
                <w:szCs w:val="21"/>
              </w:rPr>
              <w:t>。</w:t>
            </w:r>
          </w:p>
          <w:p w14:paraId="21F53A81">
            <w:pPr>
              <w:spacing w:line="360" w:lineRule="auto"/>
              <w:jc w:val="left"/>
              <w:rPr>
                <w:color w:val="0000FF"/>
              </w:rPr>
            </w:pPr>
          </w:p>
        </w:tc>
      </w:tr>
    </w:tbl>
    <w:p w14:paraId="17CAB945">
      <w:pPr>
        <w:rPr>
          <w:color w:val="0000FF"/>
        </w:rPr>
        <w:sectPr>
          <w:pgSz w:w="16838" w:h="11906" w:orient="landscape"/>
          <w:pgMar w:top="1553" w:right="1553" w:bottom="1553" w:left="1553"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2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8577"/>
      </w:tblGrid>
      <w:tr w14:paraId="1A462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5" w:hRule="atLeast"/>
        </w:trPr>
        <w:tc>
          <w:tcPr>
            <w:tcW w:w="462" w:type="dxa"/>
            <w:vAlign w:val="center"/>
          </w:tcPr>
          <w:p w14:paraId="7C135426">
            <w:pPr>
              <w:spacing w:line="360" w:lineRule="auto"/>
              <w:jc w:val="center"/>
              <w:rPr>
                <w:color w:val="0000FF"/>
              </w:rPr>
            </w:pPr>
          </w:p>
        </w:tc>
        <w:tc>
          <w:tcPr>
            <w:tcW w:w="8577" w:type="dxa"/>
          </w:tcPr>
          <w:p w14:paraId="7B047457">
            <w:pPr>
              <w:adjustRightInd w:val="0"/>
              <w:spacing w:line="360" w:lineRule="auto"/>
              <w:ind w:left="420" w:leftChars="200"/>
              <w:rPr>
                <w:color w:val="auto"/>
                <w:sz w:val="24"/>
              </w:rPr>
            </w:pPr>
            <w:r>
              <w:rPr>
                <w:color w:val="auto"/>
                <w:sz w:val="24"/>
              </w:rPr>
              <w:t>（2）预测点布置</w:t>
            </w:r>
          </w:p>
          <w:p w14:paraId="74C1915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eastAsia="zh-CN"/>
              </w:rPr>
            </w:pPr>
            <w:r>
              <w:rPr>
                <w:color w:val="auto"/>
                <w:sz w:val="24"/>
              </w:rPr>
              <w:t>预测点选择在厂址东</w:t>
            </w:r>
            <w:r>
              <w:rPr>
                <w:rFonts w:hint="eastAsia"/>
                <w:color w:val="auto"/>
                <w:sz w:val="24"/>
                <w:lang w:eastAsia="zh-CN"/>
              </w:rPr>
              <w:t>、</w:t>
            </w:r>
            <w:r>
              <w:rPr>
                <w:color w:val="auto"/>
                <w:sz w:val="24"/>
              </w:rPr>
              <w:t>南</w:t>
            </w:r>
            <w:r>
              <w:rPr>
                <w:rFonts w:hint="eastAsia"/>
                <w:color w:val="auto"/>
                <w:sz w:val="24"/>
                <w:lang w:eastAsia="zh-CN"/>
              </w:rPr>
              <w:t>、</w:t>
            </w:r>
            <w:r>
              <w:rPr>
                <w:color w:val="auto"/>
                <w:sz w:val="24"/>
              </w:rPr>
              <w:t>西</w:t>
            </w:r>
            <w:r>
              <w:rPr>
                <w:rFonts w:hint="eastAsia"/>
                <w:color w:val="auto"/>
                <w:sz w:val="24"/>
                <w:lang w:eastAsia="zh-CN"/>
              </w:rPr>
              <w:t>、</w:t>
            </w:r>
            <w:r>
              <w:rPr>
                <w:color w:val="auto"/>
                <w:sz w:val="24"/>
              </w:rPr>
              <w:t>北四个厂界</w:t>
            </w:r>
            <w:r>
              <w:rPr>
                <w:rFonts w:hint="eastAsia"/>
                <w:color w:val="auto"/>
                <w:sz w:val="24"/>
                <w:lang w:eastAsia="zh-CN"/>
              </w:rPr>
              <w:t>，</w:t>
            </w:r>
            <w:r>
              <w:rPr>
                <w:rFonts w:hint="eastAsia"/>
                <w:color w:val="auto"/>
                <w:sz w:val="24"/>
                <w:lang w:val="en-US" w:eastAsia="zh-CN"/>
              </w:rPr>
              <w:t>以及北侧村委会</w:t>
            </w:r>
            <w:r>
              <w:rPr>
                <w:color w:val="auto"/>
                <w:sz w:val="24"/>
              </w:rPr>
              <w:t>，共</w:t>
            </w:r>
            <w:r>
              <w:rPr>
                <w:rFonts w:hint="eastAsia"/>
                <w:color w:val="auto"/>
                <w:sz w:val="24"/>
                <w:lang w:val="en-US" w:eastAsia="zh-CN"/>
              </w:rPr>
              <w:t>5</w:t>
            </w:r>
            <w:r>
              <w:rPr>
                <w:color w:val="auto"/>
                <w:sz w:val="24"/>
              </w:rPr>
              <w:t>个点。</w:t>
            </w:r>
          </w:p>
          <w:p w14:paraId="1F9319C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厂界噪声预测点坐标如下：</w:t>
            </w:r>
          </w:p>
          <w:p w14:paraId="75B01D3D">
            <w:pPr>
              <w:pStyle w:val="58"/>
              <w:ind w:firstLine="420"/>
              <w:rPr>
                <w:rFonts w:hint="default" w:ascii="Times New Roman" w:hAnsi="Times New Roman" w:cs="Times New Roman"/>
                <w:color w:val="auto"/>
              </w:rPr>
            </w:pPr>
            <w:r>
              <w:rPr>
                <w:rStyle w:val="27"/>
                <w:rFonts w:hint="default" w:ascii="Times New Roman" w:hAnsi="Times New Roman" w:cs="Times New Roman"/>
                <w:bCs w:val="0"/>
                <w:color w:val="auto"/>
                <w:sz w:val="21"/>
              </w:rPr>
              <w:t>表4-10</w:t>
            </w:r>
            <w:r>
              <w:rPr>
                <w:rStyle w:val="27"/>
                <w:rFonts w:hint="eastAsia" w:cs="Times New Roman"/>
                <w:bCs w:val="0"/>
                <w:color w:val="auto"/>
                <w:sz w:val="21"/>
                <w:lang w:val="en-US" w:eastAsia="zh-CN"/>
              </w:rPr>
              <w:t xml:space="preserve">  </w:t>
            </w:r>
            <w:r>
              <w:rPr>
                <w:rFonts w:hint="default" w:ascii="Times New Roman" w:hAnsi="Times New Roman" w:cs="Times New Roman"/>
                <w:color w:val="auto"/>
              </w:rPr>
              <w:t>厂界噪声预测点坐标</w:t>
            </w:r>
          </w:p>
          <w:tbl>
            <w:tblPr>
              <w:tblStyle w:val="2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45"/>
              <w:gridCol w:w="1035"/>
              <w:gridCol w:w="1076"/>
              <w:gridCol w:w="1182"/>
              <w:gridCol w:w="878"/>
              <w:gridCol w:w="846"/>
              <w:gridCol w:w="1896"/>
            </w:tblGrid>
            <w:tr w14:paraId="1A7862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90" w:type="pct"/>
                  <w:vMerge w:val="restart"/>
                  <w:tcBorders>
                    <w:tl2br w:val="nil"/>
                    <w:tr2bl w:val="nil"/>
                  </w:tcBorders>
                  <w:noWrap/>
                  <w:vAlign w:val="center"/>
                </w:tcPr>
                <w:p w14:paraId="2D3D3527">
                  <w:pPr>
                    <w:pStyle w:val="47"/>
                    <w:rPr>
                      <w:color w:val="auto"/>
                      <w:sz w:val="21"/>
                      <w:szCs w:val="21"/>
                    </w:rPr>
                  </w:pPr>
                  <w:r>
                    <w:rPr>
                      <w:color w:val="auto"/>
                      <w:sz w:val="21"/>
                      <w:szCs w:val="21"/>
                    </w:rPr>
                    <w:t>预测点</w:t>
                  </w:r>
                </w:p>
              </w:tc>
              <w:tc>
                <w:tcPr>
                  <w:tcW w:w="2995" w:type="pct"/>
                  <w:gridSpan w:val="4"/>
                  <w:tcBorders>
                    <w:tl2br w:val="nil"/>
                    <w:tr2bl w:val="nil"/>
                  </w:tcBorders>
                  <w:noWrap/>
                  <w:vAlign w:val="center"/>
                </w:tcPr>
                <w:p w14:paraId="6A8EC05F">
                  <w:pPr>
                    <w:pStyle w:val="47"/>
                    <w:rPr>
                      <w:color w:val="auto"/>
                      <w:sz w:val="21"/>
                      <w:szCs w:val="21"/>
                    </w:rPr>
                  </w:pPr>
                  <w:r>
                    <w:rPr>
                      <w:color w:val="auto"/>
                      <w:sz w:val="21"/>
                      <w:szCs w:val="21"/>
                    </w:rPr>
                    <w:t>厂界</w:t>
                  </w:r>
                </w:p>
              </w:tc>
              <w:tc>
                <w:tcPr>
                  <w:tcW w:w="1013" w:type="pct"/>
                  <w:gridSpan w:val="2"/>
                  <w:tcBorders>
                    <w:tl2br w:val="nil"/>
                    <w:tr2bl w:val="nil"/>
                  </w:tcBorders>
                  <w:noWrap/>
                  <w:vAlign w:val="center"/>
                </w:tcPr>
                <w:p w14:paraId="3AF78B75">
                  <w:pPr>
                    <w:pStyle w:val="47"/>
                    <w:rPr>
                      <w:rFonts w:hint="eastAsia" w:eastAsia="宋体"/>
                      <w:color w:val="auto"/>
                      <w:sz w:val="21"/>
                      <w:szCs w:val="21"/>
                      <w:lang w:val="en-US" w:eastAsia="zh-CN"/>
                    </w:rPr>
                  </w:pPr>
                  <w:r>
                    <w:rPr>
                      <w:rFonts w:hint="eastAsia"/>
                      <w:color w:val="auto"/>
                      <w:sz w:val="21"/>
                      <w:szCs w:val="21"/>
                      <w:lang w:val="en-US" w:eastAsia="zh-CN"/>
                    </w:rPr>
                    <w:t>敏感点</w:t>
                  </w:r>
                </w:p>
              </w:tc>
            </w:tr>
            <w:tr w14:paraId="1A8BE0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90" w:type="pct"/>
                  <w:vMerge w:val="continue"/>
                  <w:tcBorders>
                    <w:tl2br w:val="nil"/>
                    <w:tr2bl w:val="nil"/>
                  </w:tcBorders>
                  <w:vAlign w:val="center"/>
                </w:tcPr>
                <w:p w14:paraId="23446C8C">
                  <w:pPr>
                    <w:pStyle w:val="47"/>
                    <w:rPr>
                      <w:color w:val="auto"/>
                      <w:sz w:val="21"/>
                      <w:szCs w:val="21"/>
                    </w:rPr>
                  </w:pPr>
                </w:p>
              </w:tc>
              <w:tc>
                <w:tcPr>
                  <w:tcW w:w="744" w:type="pct"/>
                  <w:tcBorders>
                    <w:tl2br w:val="nil"/>
                    <w:tr2bl w:val="nil"/>
                  </w:tcBorders>
                  <w:noWrap/>
                  <w:vAlign w:val="center"/>
                </w:tcPr>
                <w:p w14:paraId="75E446BB">
                  <w:pPr>
                    <w:pStyle w:val="47"/>
                    <w:rPr>
                      <w:color w:val="auto"/>
                      <w:sz w:val="21"/>
                      <w:szCs w:val="21"/>
                    </w:rPr>
                  </w:pPr>
                  <w:r>
                    <w:rPr>
                      <w:color w:val="auto"/>
                      <w:sz w:val="21"/>
                      <w:szCs w:val="21"/>
                    </w:rPr>
                    <w:t>东</w:t>
                  </w:r>
                  <w:r>
                    <w:rPr>
                      <w:rFonts w:hint="eastAsia"/>
                      <w:color w:val="auto"/>
                      <w:sz w:val="21"/>
                      <w:szCs w:val="21"/>
                      <w:lang w:val="en-US" w:eastAsia="zh-CN"/>
                    </w:rPr>
                    <w:t>厂</w:t>
                  </w:r>
                  <w:r>
                    <w:rPr>
                      <w:color w:val="auto"/>
                      <w:sz w:val="21"/>
                      <w:szCs w:val="21"/>
                    </w:rPr>
                    <w:t>界</w:t>
                  </w:r>
                </w:p>
              </w:tc>
              <w:tc>
                <w:tcPr>
                  <w:tcW w:w="769" w:type="pct"/>
                  <w:tcBorders>
                    <w:tl2br w:val="nil"/>
                    <w:tr2bl w:val="nil"/>
                  </w:tcBorders>
                  <w:noWrap/>
                  <w:vAlign w:val="center"/>
                </w:tcPr>
                <w:p w14:paraId="664CFEDA">
                  <w:pPr>
                    <w:pStyle w:val="47"/>
                    <w:rPr>
                      <w:color w:val="auto"/>
                      <w:sz w:val="21"/>
                      <w:szCs w:val="21"/>
                    </w:rPr>
                  </w:pPr>
                  <w:r>
                    <w:rPr>
                      <w:color w:val="auto"/>
                      <w:sz w:val="21"/>
                      <w:szCs w:val="21"/>
                    </w:rPr>
                    <w:t>南</w:t>
                  </w:r>
                  <w:r>
                    <w:rPr>
                      <w:rFonts w:hint="eastAsia"/>
                      <w:color w:val="auto"/>
                      <w:sz w:val="21"/>
                      <w:szCs w:val="21"/>
                      <w:lang w:val="en-US" w:eastAsia="zh-CN"/>
                    </w:rPr>
                    <w:t>厂</w:t>
                  </w:r>
                  <w:r>
                    <w:rPr>
                      <w:color w:val="auto"/>
                      <w:sz w:val="21"/>
                      <w:szCs w:val="21"/>
                    </w:rPr>
                    <w:t>界</w:t>
                  </w:r>
                </w:p>
              </w:tc>
              <w:tc>
                <w:tcPr>
                  <w:tcW w:w="832" w:type="pct"/>
                  <w:tcBorders>
                    <w:tl2br w:val="nil"/>
                    <w:tr2bl w:val="nil"/>
                  </w:tcBorders>
                  <w:noWrap/>
                  <w:vAlign w:val="center"/>
                </w:tcPr>
                <w:p w14:paraId="2E99A296">
                  <w:pPr>
                    <w:pStyle w:val="47"/>
                    <w:rPr>
                      <w:color w:val="auto"/>
                      <w:sz w:val="21"/>
                      <w:szCs w:val="21"/>
                    </w:rPr>
                  </w:pPr>
                  <w:r>
                    <w:rPr>
                      <w:color w:val="auto"/>
                      <w:sz w:val="21"/>
                      <w:szCs w:val="21"/>
                    </w:rPr>
                    <w:t>西厂界</w:t>
                  </w:r>
                </w:p>
              </w:tc>
              <w:tc>
                <w:tcPr>
                  <w:tcW w:w="649" w:type="pct"/>
                  <w:tcBorders>
                    <w:tl2br w:val="nil"/>
                    <w:tr2bl w:val="nil"/>
                  </w:tcBorders>
                  <w:noWrap/>
                  <w:vAlign w:val="center"/>
                </w:tcPr>
                <w:p w14:paraId="3909E333">
                  <w:pPr>
                    <w:pStyle w:val="47"/>
                    <w:rPr>
                      <w:color w:val="auto"/>
                      <w:sz w:val="21"/>
                      <w:szCs w:val="21"/>
                    </w:rPr>
                  </w:pPr>
                  <w:r>
                    <w:rPr>
                      <w:color w:val="auto"/>
                      <w:sz w:val="21"/>
                      <w:szCs w:val="21"/>
                    </w:rPr>
                    <w:t>北厂界</w:t>
                  </w:r>
                </w:p>
              </w:tc>
              <w:tc>
                <w:tcPr>
                  <w:tcW w:w="463" w:type="pct"/>
                  <w:tcBorders>
                    <w:right w:val="single" w:color="000000" w:sz="6" w:space="0"/>
                    <w:tl2br w:val="nil"/>
                    <w:tr2bl w:val="nil"/>
                  </w:tcBorders>
                  <w:noWrap/>
                  <w:vAlign w:val="center"/>
                </w:tcPr>
                <w:p w14:paraId="169A571F">
                  <w:pPr>
                    <w:pStyle w:val="47"/>
                    <w:rPr>
                      <w:rFonts w:hint="default" w:eastAsia="宋体"/>
                      <w:color w:val="auto"/>
                      <w:sz w:val="21"/>
                      <w:szCs w:val="21"/>
                      <w:lang w:val="en-US" w:eastAsia="zh-CN"/>
                    </w:rPr>
                  </w:pPr>
                  <w:r>
                    <w:rPr>
                      <w:rFonts w:hint="eastAsia"/>
                      <w:color w:val="auto"/>
                      <w:sz w:val="21"/>
                      <w:szCs w:val="21"/>
                      <w:lang w:val="en-US" w:eastAsia="zh-CN"/>
                    </w:rPr>
                    <w:t>村委会</w:t>
                  </w:r>
                </w:p>
              </w:tc>
              <w:tc>
                <w:tcPr>
                  <w:tcW w:w="550" w:type="pct"/>
                  <w:tcBorders>
                    <w:left w:val="single" w:color="000000" w:sz="6" w:space="0"/>
                    <w:tl2br w:val="nil"/>
                    <w:tr2bl w:val="nil"/>
                  </w:tcBorders>
                  <w:noWrap/>
                  <w:vAlign w:val="center"/>
                </w:tcPr>
                <w:p w14:paraId="48AAE44B">
                  <w:pPr>
                    <w:pStyle w:val="47"/>
                    <w:rPr>
                      <w:rFonts w:hint="default"/>
                      <w:color w:val="auto"/>
                      <w:sz w:val="21"/>
                      <w:szCs w:val="21"/>
                      <w:lang w:val="en-US" w:eastAsia="zh-CN"/>
                    </w:rPr>
                  </w:pPr>
                  <w:r>
                    <w:rPr>
                      <w:rFonts w:hint="eastAsia"/>
                      <w:color w:val="auto"/>
                      <w:sz w:val="21"/>
                      <w:szCs w:val="21"/>
                      <w:lang w:val="en-US" w:eastAsia="zh-CN"/>
                    </w:rPr>
                    <w:t>西安城建工程学校</w:t>
                  </w:r>
                </w:p>
              </w:tc>
            </w:tr>
            <w:tr w14:paraId="7F11A2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90" w:type="pct"/>
                  <w:tcBorders>
                    <w:tl2br w:val="nil"/>
                    <w:tr2bl w:val="nil"/>
                  </w:tcBorders>
                  <w:noWrap/>
                  <w:vAlign w:val="center"/>
                </w:tcPr>
                <w:p w14:paraId="63695E97">
                  <w:pPr>
                    <w:pStyle w:val="47"/>
                    <w:rPr>
                      <w:color w:val="auto"/>
                      <w:sz w:val="21"/>
                      <w:szCs w:val="21"/>
                    </w:rPr>
                  </w:pPr>
                  <w:r>
                    <w:rPr>
                      <w:color w:val="auto"/>
                      <w:sz w:val="21"/>
                      <w:szCs w:val="21"/>
                    </w:rPr>
                    <w:t>X（m）</w:t>
                  </w:r>
                </w:p>
              </w:tc>
              <w:tc>
                <w:tcPr>
                  <w:tcW w:w="744" w:type="pct"/>
                  <w:tcBorders>
                    <w:tl2br w:val="nil"/>
                    <w:tr2bl w:val="nil"/>
                  </w:tcBorders>
                  <w:noWrap/>
                  <w:vAlign w:val="center"/>
                </w:tcPr>
                <w:p w14:paraId="5A08A020">
                  <w:pPr>
                    <w:pStyle w:val="47"/>
                    <w:rPr>
                      <w:rFonts w:hint="default" w:eastAsia="宋体"/>
                      <w:color w:val="auto"/>
                      <w:kern w:val="0"/>
                      <w:sz w:val="21"/>
                      <w:szCs w:val="21"/>
                      <w:lang w:val="en-US" w:eastAsia="zh-CN"/>
                    </w:rPr>
                  </w:pPr>
                  <w:r>
                    <w:rPr>
                      <w:rFonts w:hint="eastAsia" w:eastAsia="宋体"/>
                      <w:color w:val="auto"/>
                      <w:kern w:val="0"/>
                      <w:sz w:val="21"/>
                      <w:szCs w:val="21"/>
                      <w:lang w:val="en-US" w:eastAsia="zh-CN"/>
                    </w:rPr>
                    <w:t>37</w:t>
                  </w:r>
                </w:p>
              </w:tc>
              <w:tc>
                <w:tcPr>
                  <w:tcW w:w="769" w:type="pct"/>
                  <w:tcBorders>
                    <w:tl2br w:val="nil"/>
                    <w:tr2bl w:val="nil"/>
                  </w:tcBorders>
                  <w:noWrap/>
                  <w:vAlign w:val="center"/>
                </w:tcPr>
                <w:p w14:paraId="4934CC7B">
                  <w:pPr>
                    <w:pStyle w:val="47"/>
                    <w:rPr>
                      <w:rFonts w:hint="default" w:eastAsia="宋体"/>
                      <w:color w:val="auto"/>
                      <w:sz w:val="21"/>
                      <w:szCs w:val="21"/>
                      <w:lang w:val="en-US" w:eastAsia="zh-CN"/>
                    </w:rPr>
                  </w:pPr>
                  <w:r>
                    <w:rPr>
                      <w:rFonts w:hint="eastAsia" w:eastAsia="宋体"/>
                      <w:color w:val="auto"/>
                      <w:sz w:val="21"/>
                      <w:szCs w:val="21"/>
                      <w:lang w:val="en-US" w:eastAsia="zh-CN"/>
                    </w:rPr>
                    <w:t>18</w:t>
                  </w:r>
                </w:p>
              </w:tc>
              <w:tc>
                <w:tcPr>
                  <w:tcW w:w="832" w:type="pct"/>
                  <w:tcBorders>
                    <w:tl2br w:val="nil"/>
                    <w:tr2bl w:val="nil"/>
                  </w:tcBorders>
                  <w:noWrap/>
                  <w:vAlign w:val="center"/>
                </w:tcPr>
                <w:p w14:paraId="6C87085C">
                  <w:pPr>
                    <w:pStyle w:val="47"/>
                    <w:rPr>
                      <w:rFonts w:hint="default" w:eastAsia="宋体"/>
                      <w:color w:val="auto"/>
                      <w:sz w:val="21"/>
                      <w:szCs w:val="21"/>
                      <w:lang w:val="en-US" w:eastAsia="zh-CN"/>
                    </w:rPr>
                  </w:pPr>
                  <w:r>
                    <w:rPr>
                      <w:rFonts w:hint="eastAsia" w:eastAsia="宋体"/>
                      <w:color w:val="auto"/>
                      <w:sz w:val="21"/>
                      <w:szCs w:val="21"/>
                      <w:lang w:val="en-US" w:eastAsia="zh-CN"/>
                    </w:rPr>
                    <w:t>-1</w:t>
                  </w:r>
                </w:p>
              </w:tc>
              <w:tc>
                <w:tcPr>
                  <w:tcW w:w="649" w:type="pct"/>
                  <w:tcBorders>
                    <w:tl2br w:val="nil"/>
                    <w:tr2bl w:val="nil"/>
                  </w:tcBorders>
                  <w:noWrap/>
                  <w:vAlign w:val="center"/>
                </w:tcPr>
                <w:p w14:paraId="62C7B279">
                  <w:pPr>
                    <w:pStyle w:val="47"/>
                    <w:rPr>
                      <w:rFonts w:hint="default" w:eastAsia="宋体"/>
                      <w:color w:val="auto"/>
                      <w:sz w:val="21"/>
                      <w:szCs w:val="21"/>
                      <w:lang w:val="en-US" w:eastAsia="zh-CN"/>
                    </w:rPr>
                  </w:pPr>
                  <w:r>
                    <w:rPr>
                      <w:rFonts w:hint="eastAsia" w:eastAsia="宋体"/>
                      <w:color w:val="auto"/>
                      <w:sz w:val="21"/>
                      <w:szCs w:val="21"/>
                      <w:lang w:val="en-US" w:eastAsia="zh-CN"/>
                    </w:rPr>
                    <w:t>18</w:t>
                  </w:r>
                </w:p>
              </w:tc>
              <w:tc>
                <w:tcPr>
                  <w:tcW w:w="463" w:type="pct"/>
                  <w:tcBorders>
                    <w:right w:val="single" w:color="000000" w:sz="6" w:space="0"/>
                    <w:tl2br w:val="nil"/>
                    <w:tr2bl w:val="nil"/>
                  </w:tcBorders>
                  <w:noWrap/>
                  <w:vAlign w:val="center"/>
                </w:tcPr>
                <w:p w14:paraId="065E929D">
                  <w:pPr>
                    <w:pStyle w:val="47"/>
                    <w:rPr>
                      <w:rFonts w:hint="default"/>
                      <w:color w:val="auto"/>
                      <w:sz w:val="21"/>
                      <w:szCs w:val="21"/>
                      <w:lang w:val="en-US" w:eastAsia="zh-CN"/>
                    </w:rPr>
                  </w:pPr>
                  <w:r>
                    <w:rPr>
                      <w:rFonts w:hint="eastAsia"/>
                      <w:color w:val="auto"/>
                      <w:sz w:val="21"/>
                      <w:szCs w:val="21"/>
                      <w:lang w:val="en-US" w:eastAsia="zh-CN"/>
                    </w:rPr>
                    <w:t>15</w:t>
                  </w:r>
                </w:p>
              </w:tc>
              <w:tc>
                <w:tcPr>
                  <w:tcW w:w="1896" w:type="dxa"/>
                  <w:tcBorders>
                    <w:left w:val="single" w:color="000000" w:sz="6" w:space="0"/>
                    <w:tl2br w:val="nil"/>
                    <w:tr2bl w:val="nil"/>
                  </w:tcBorders>
                  <w:noWrap/>
                  <w:vAlign w:val="center"/>
                </w:tcPr>
                <w:p w14:paraId="5E3C2A4A">
                  <w:pPr>
                    <w:pStyle w:val="47"/>
                    <w:ind w:firstLine="0" w:firstLineChars="0"/>
                    <w:rPr>
                      <w:rFonts w:hint="eastAsia"/>
                      <w:color w:val="auto"/>
                      <w:sz w:val="21"/>
                      <w:szCs w:val="21"/>
                      <w:lang w:val="en-US" w:eastAsia="zh-CN"/>
                    </w:rPr>
                  </w:pPr>
                  <w:r>
                    <w:rPr>
                      <w:rFonts w:hint="eastAsia" w:eastAsia="宋体"/>
                      <w:color w:val="auto"/>
                      <w:kern w:val="0"/>
                      <w:sz w:val="21"/>
                      <w:szCs w:val="21"/>
                      <w:lang w:val="en-US" w:eastAsia="zh-CN"/>
                    </w:rPr>
                    <w:t>38</w:t>
                  </w:r>
                </w:p>
              </w:tc>
            </w:tr>
            <w:tr w14:paraId="7CEA97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90" w:type="pct"/>
                  <w:tcBorders>
                    <w:tl2br w:val="nil"/>
                    <w:tr2bl w:val="nil"/>
                  </w:tcBorders>
                  <w:noWrap/>
                  <w:vAlign w:val="center"/>
                </w:tcPr>
                <w:p w14:paraId="10448778">
                  <w:pPr>
                    <w:pStyle w:val="47"/>
                    <w:rPr>
                      <w:color w:val="auto"/>
                      <w:sz w:val="21"/>
                      <w:szCs w:val="21"/>
                    </w:rPr>
                  </w:pPr>
                  <w:r>
                    <w:rPr>
                      <w:color w:val="auto"/>
                      <w:sz w:val="21"/>
                      <w:szCs w:val="21"/>
                    </w:rPr>
                    <w:t>Y（m）</w:t>
                  </w:r>
                </w:p>
              </w:tc>
              <w:tc>
                <w:tcPr>
                  <w:tcW w:w="744" w:type="pct"/>
                  <w:tcBorders>
                    <w:tl2br w:val="nil"/>
                    <w:tr2bl w:val="nil"/>
                  </w:tcBorders>
                  <w:noWrap/>
                  <w:vAlign w:val="center"/>
                </w:tcPr>
                <w:p w14:paraId="4241F467">
                  <w:pPr>
                    <w:pStyle w:val="47"/>
                    <w:rPr>
                      <w:rFonts w:hint="default" w:eastAsia="宋体"/>
                      <w:color w:val="auto"/>
                      <w:sz w:val="21"/>
                      <w:szCs w:val="21"/>
                      <w:lang w:val="en-US" w:eastAsia="zh-CN"/>
                    </w:rPr>
                  </w:pPr>
                  <w:r>
                    <w:rPr>
                      <w:rFonts w:hint="eastAsia" w:eastAsia="宋体"/>
                      <w:color w:val="auto"/>
                      <w:sz w:val="21"/>
                      <w:szCs w:val="21"/>
                      <w:lang w:val="en-US" w:eastAsia="zh-CN"/>
                    </w:rPr>
                    <w:t>38</w:t>
                  </w:r>
                </w:p>
              </w:tc>
              <w:tc>
                <w:tcPr>
                  <w:tcW w:w="769" w:type="pct"/>
                  <w:tcBorders>
                    <w:tl2br w:val="nil"/>
                    <w:tr2bl w:val="nil"/>
                  </w:tcBorders>
                  <w:noWrap/>
                  <w:vAlign w:val="center"/>
                </w:tcPr>
                <w:p w14:paraId="30C0CC8F">
                  <w:pPr>
                    <w:pStyle w:val="47"/>
                    <w:rPr>
                      <w:rFonts w:hint="default" w:eastAsia="宋体"/>
                      <w:color w:val="auto"/>
                      <w:sz w:val="21"/>
                      <w:szCs w:val="21"/>
                      <w:lang w:val="en-US" w:eastAsia="zh-CN"/>
                    </w:rPr>
                  </w:pPr>
                  <w:r>
                    <w:rPr>
                      <w:rFonts w:hint="eastAsia" w:eastAsia="宋体"/>
                      <w:color w:val="auto"/>
                      <w:sz w:val="21"/>
                      <w:szCs w:val="21"/>
                      <w:lang w:val="en-US" w:eastAsia="zh-CN"/>
                    </w:rPr>
                    <w:t>-1</w:t>
                  </w:r>
                </w:p>
              </w:tc>
              <w:tc>
                <w:tcPr>
                  <w:tcW w:w="832" w:type="pct"/>
                  <w:tcBorders>
                    <w:tl2br w:val="nil"/>
                    <w:tr2bl w:val="nil"/>
                  </w:tcBorders>
                  <w:noWrap/>
                  <w:vAlign w:val="center"/>
                </w:tcPr>
                <w:p w14:paraId="717C416A">
                  <w:pPr>
                    <w:pStyle w:val="47"/>
                    <w:rPr>
                      <w:rFonts w:hint="default" w:eastAsia="宋体"/>
                      <w:color w:val="auto"/>
                      <w:sz w:val="21"/>
                      <w:szCs w:val="21"/>
                      <w:lang w:val="en-US" w:eastAsia="zh-CN"/>
                    </w:rPr>
                  </w:pPr>
                  <w:r>
                    <w:rPr>
                      <w:rFonts w:hint="eastAsia" w:eastAsia="宋体"/>
                      <w:color w:val="auto"/>
                      <w:sz w:val="21"/>
                      <w:szCs w:val="21"/>
                      <w:lang w:val="en-US" w:eastAsia="zh-CN"/>
                    </w:rPr>
                    <w:t>38</w:t>
                  </w:r>
                </w:p>
              </w:tc>
              <w:tc>
                <w:tcPr>
                  <w:tcW w:w="649" w:type="pct"/>
                  <w:tcBorders>
                    <w:tl2br w:val="nil"/>
                    <w:tr2bl w:val="nil"/>
                  </w:tcBorders>
                  <w:noWrap/>
                  <w:vAlign w:val="center"/>
                </w:tcPr>
                <w:p w14:paraId="01DA5934">
                  <w:pPr>
                    <w:pStyle w:val="47"/>
                    <w:rPr>
                      <w:rFonts w:hint="default" w:eastAsia="宋体"/>
                      <w:color w:val="auto"/>
                      <w:sz w:val="21"/>
                      <w:szCs w:val="21"/>
                      <w:lang w:val="en-US" w:eastAsia="zh-CN"/>
                    </w:rPr>
                  </w:pPr>
                  <w:r>
                    <w:rPr>
                      <w:rFonts w:hint="eastAsia" w:eastAsia="宋体"/>
                      <w:color w:val="auto"/>
                      <w:sz w:val="21"/>
                      <w:szCs w:val="21"/>
                      <w:lang w:val="en-US" w:eastAsia="zh-CN"/>
                    </w:rPr>
                    <w:t>77</w:t>
                  </w:r>
                </w:p>
              </w:tc>
              <w:tc>
                <w:tcPr>
                  <w:tcW w:w="463" w:type="pct"/>
                  <w:tcBorders>
                    <w:right w:val="single" w:color="000000" w:sz="6" w:space="0"/>
                    <w:tl2br w:val="nil"/>
                    <w:tr2bl w:val="nil"/>
                  </w:tcBorders>
                  <w:noWrap/>
                  <w:vAlign w:val="center"/>
                </w:tcPr>
                <w:p w14:paraId="5D5E77E5">
                  <w:pPr>
                    <w:pStyle w:val="47"/>
                    <w:rPr>
                      <w:rFonts w:hint="default"/>
                      <w:color w:val="auto"/>
                      <w:sz w:val="21"/>
                      <w:szCs w:val="21"/>
                      <w:lang w:val="en-US" w:eastAsia="zh-CN"/>
                    </w:rPr>
                  </w:pPr>
                  <w:r>
                    <w:rPr>
                      <w:rFonts w:hint="eastAsia"/>
                      <w:color w:val="auto"/>
                      <w:sz w:val="21"/>
                      <w:szCs w:val="21"/>
                      <w:lang w:val="en-US" w:eastAsia="zh-CN"/>
                    </w:rPr>
                    <w:t>96</w:t>
                  </w:r>
                </w:p>
              </w:tc>
              <w:tc>
                <w:tcPr>
                  <w:tcW w:w="1896" w:type="dxa"/>
                  <w:tcBorders>
                    <w:left w:val="single" w:color="000000" w:sz="6" w:space="0"/>
                    <w:tl2br w:val="nil"/>
                    <w:tr2bl w:val="nil"/>
                  </w:tcBorders>
                  <w:noWrap/>
                  <w:vAlign w:val="center"/>
                </w:tcPr>
                <w:p w14:paraId="4B298866">
                  <w:pPr>
                    <w:pStyle w:val="47"/>
                    <w:ind w:firstLine="0" w:firstLineChars="0"/>
                    <w:rPr>
                      <w:rFonts w:hint="eastAsia"/>
                      <w:color w:val="auto"/>
                      <w:sz w:val="21"/>
                      <w:szCs w:val="21"/>
                      <w:lang w:val="en-US" w:eastAsia="zh-CN"/>
                    </w:rPr>
                  </w:pPr>
                  <w:r>
                    <w:rPr>
                      <w:rFonts w:hint="eastAsia" w:eastAsia="宋体"/>
                      <w:color w:val="auto"/>
                      <w:sz w:val="21"/>
                      <w:szCs w:val="21"/>
                      <w:lang w:val="en-US" w:eastAsia="zh-CN"/>
                    </w:rPr>
                    <w:t>38</w:t>
                  </w:r>
                </w:p>
              </w:tc>
            </w:tr>
            <w:tr w14:paraId="123D73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000" w:type="pct"/>
                  <w:gridSpan w:val="7"/>
                  <w:tcBorders>
                    <w:tl2br w:val="nil"/>
                    <w:tr2bl w:val="nil"/>
                  </w:tcBorders>
                  <w:noWrap/>
                  <w:vAlign w:val="center"/>
                </w:tcPr>
                <w:p w14:paraId="20D4D9B1">
                  <w:pPr>
                    <w:pStyle w:val="47"/>
                    <w:keepNext w:val="0"/>
                    <w:keepLines w:val="0"/>
                    <w:pageBreakBefore w:val="0"/>
                    <w:widowControl w:val="0"/>
                    <w:kinsoku/>
                    <w:wordWrap/>
                    <w:overflowPunct/>
                    <w:topLinePunct w:val="0"/>
                    <w:autoSpaceDE/>
                    <w:autoSpaceDN/>
                    <w:bidi w:val="0"/>
                    <w:adjustRightInd w:val="0"/>
                    <w:snapToGrid w:val="0"/>
                    <w:jc w:val="left"/>
                    <w:textAlignment w:val="auto"/>
                    <w:rPr>
                      <w:rFonts w:hint="eastAsia"/>
                      <w:color w:val="auto"/>
                      <w:sz w:val="21"/>
                      <w:szCs w:val="21"/>
                      <w:lang w:val="en-US" w:eastAsia="zh-CN"/>
                    </w:rPr>
                  </w:pPr>
                  <w:r>
                    <w:rPr>
                      <w:b/>
                      <w:bCs/>
                      <w:color w:val="auto"/>
                      <w:sz w:val="18"/>
                      <w:szCs w:val="18"/>
                    </w:rPr>
                    <w:t>备注：</w:t>
                  </w:r>
                  <w:r>
                    <w:rPr>
                      <w:rFonts w:hint="eastAsia" w:ascii="宋体" w:hAnsi="宋体" w:eastAsia="宋体" w:cs="宋体"/>
                      <w:b/>
                      <w:bCs/>
                      <w:i w:val="0"/>
                      <w:iCs w:val="0"/>
                      <w:color w:val="auto"/>
                      <w:kern w:val="0"/>
                      <w:sz w:val="18"/>
                      <w:szCs w:val="18"/>
                      <w:u w:val="none"/>
                      <w:lang w:val="en-US" w:eastAsia="zh-CN" w:bidi="ar"/>
                    </w:rPr>
                    <w:t>以</w:t>
                  </w:r>
                  <w:r>
                    <w:rPr>
                      <w:rFonts w:hint="eastAsia" w:ascii="宋体" w:hAnsi="宋体" w:cs="宋体"/>
                      <w:b/>
                      <w:bCs/>
                      <w:i w:val="0"/>
                      <w:iCs w:val="0"/>
                      <w:color w:val="auto"/>
                      <w:kern w:val="0"/>
                      <w:sz w:val="18"/>
                      <w:szCs w:val="18"/>
                      <w:u w:val="none"/>
                      <w:lang w:val="en-US" w:eastAsia="zh-CN" w:bidi="ar"/>
                    </w:rPr>
                    <w:t>生产</w:t>
                  </w:r>
                  <w:r>
                    <w:rPr>
                      <w:rFonts w:hint="eastAsia" w:ascii="宋体" w:hAnsi="宋体" w:eastAsia="宋体" w:cs="宋体"/>
                      <w:b/>
                      <w:bCs/>
                      <w:i w:val="0"/>
                      <w:iCs w:val="0"/>
                      <w:color w:val="auto"/>
                      <w:kern w:val="0"/>
                      <w:sz w:val="18"/>
                      <w:szCs w:val="18"/>
                      <w:u w:val="none"/>
                      <w:lang w:val="en-US" w:eastAsia="zh-CN" w:bidi="ar"/>
                    </w:rPr>
                    <w:t>车间西南角为原点（</w:t>
                  </w:r>
                  <w:r>
                    <w:rPr>
                      <w:rFonts w:hint="default" w:ascii="Times New Roman" w:hAnsi="Times New Roman" w:eastAsia="宋体" w:cs="Times New Roman"/>
                      <w:b/>
                      <w:bCs/>
                      <w:i w:val="0"/>
                      <w:iCs w:val="0"/>
                      <w:color w:val="auto"/>
                      <w:kern w:val="0"/>
                      <w:sz w:val="18"/>
                      <w:szCs w:val="18"/>
                      <w:u w:val="none"/>
                      <w:lang w:val="en-US" w:eastAsia="zh-CN" w:bidi="ar"/>
                    </w:rPr>
                    <w:t>0</w:t>
                  </w:r>
                  <w:r>
                    <w:rPr>
                      <w:rFonts w:hint="eastAsia" w:ascii="宋体" w:hAnsi="宋体" w:eastAsia="宋体" w:cs="宋体"/>
                      <w:b/>
                      <w:bCs/>
                      <w:i w:val="0"/>
                      <w:iCs w:val="0"/>
                      <w:color w:val="auto"/>
                      <w:kern w:val="0"/>
                      <w:sz w:val="18"/>
                      <w:szCs w:val="18"/>
                      <w:u w:val="none"/>
                      <w:lang w:val="en-US" w:eastAsia="zh-CN" w:bidi="ar"/>
                    </w:rPr>
                    <w:t>，</w:t>
                  </w:r>
                  <w:r>
                    <w:rPr>
                      <w:rFonts w:hint="default" w:ascii="Times New Roman" w:hAnsi="Times New Roman" w:eastAsia="宋体" w:cs="Times New Roman"/>
                      <w:b/>
                      <w:bCs/>
                      <w:i w:val="0"/>
                      <w:iCs w:val="0"/>
                      <w:color w:val="auto"/>
                      <w:kern w:val="0"/>
                      <w:sz w:val="18"/>
                      <w:szCs w:val="18"/>
                      <w:u w:val="none"/>
                      <w:lang w:val="en-US" w:eastAsia="zh-CN" w:bidi="ar"/>
                    </w:rPr>
                    <w:t>0</w:t>
                  </w:r>
                  <w:r>
                    <w:rPr>
                      <w:rFonts w:hint="eastAsia" w:ascii="宋体" w:hAnsi="宋体" w:eastAsia="宋体" w:cs="宋体"/>
                      <w:b/>
                      <w:bCs/>
                      <w:i w:val="0"/>
                      <w:iCs w:val="0"/>
                      <w:color w:val="auto"/>
                      <w:kern w:val="0"/>
                      <w:sz w:val="18"/>
                      <w:szCs w:val="18"/>
                      <w:u w:val="none"/>
                      <w:lang w:val="en-US" w:eastAsia="zh-CN" w:bidi="ar"/>
                    </w:rPr>
                    <w:t>，</w:t>
                  </w:r>
                  <w:r>
                    <w:rPr>
                      <w:rFonts w:hint="default" w:ascii="Times New Roman" w:hAnsi="Times New Roman" w:eastAsia="宋体" w:cs="Times New Roman"/>
                      <w:b/>
                      <w:bCs/>
                      <w:i w:val="0"/>
                      <w:iCs w:val="0"/>
                      <w:color w:val="auto"/>
                      <w:kern w:val="0"/>
                      <w:sz w:val="18"/>
                      <w:szCs w:val="18"/>
                      <w:u w:val="none"/>
                      <w:lang w:val="en-US" w:eastAsia="zh-CN" w:bidi="ar"/>
                    </w:rPr>
                    <w:t>0</w:t>
                  </w:r>
                  <w:r>
                    <w:rPr>
                      <w:rFonts w:hint="eastAsia" w:ascii="宋体" w:hAnsi="宋体" w:eastAsia="宋体" w:cs="宋体"/>
                      <w:b/>
                      <w:bCs/>
                      <w:i w:val="0"/>
                      <w:iCs w:val="0"/>
                      <w:color w:val="auto"/>
                      <w:kern w:val="0"/>
                      <w:sz w:val="18"/>
                      <w:szCs w:val="18"/>
                      <w:u w:val="none"/>
                      <w:lang w:val="en-US" w:eastAsia="zh-CN" w:bidi="ar"/>
                    </w:rPr>
                    <w:t>），生产车间</w:t>
                  </w:r>
                  <w:r>
                    <w:rPr>
                      <w:rFonts w:hint="eastAsia" w:ascii="宋体" w:hAnsi="宋体" w:cs="宋体"/>
                      <w:b/>
                      <w:bCs/>
                      <w:i w:val="0"/>
                      <w:iCs w:val="0"/>
                      <w:color w:val="auto"/>
                      <w:kern w:val="0"/>
                      <w:sz w:val="18"/>
                      <w:szCs w:val="18"/>
                      <w:u w:val="none"/>
                      <w:lang w:val="en-US" w:eastAsia="zh-CN" w:bidi="ar"/>
                    </w:rPr>
                    <w:t>东西</w:t>
                  </w:r>
                  <w:r>
                    <w:rPr>
                      <w:rFonts w:hint="eastAsia" w:ascii="宋体" w:hAnsi="宋体" w:eastAsia="宋体" w:cs="宋体"/>
                      <w:b/>
                      <w:bCs/>
                      <w:i w:val="0"/>
                      <w:iCs w:val="0"/>
                      <w:color w:val="auto"/>
                      <w:kern w:val="0"/>
                      <w:sz w:val="18"/>
                      <w:szCs w:val="18"/>
                      <w:u w:val="none"/>
                      <w:lang w:val="en-US" w:eastAsia="zh-CN" w:bidi="ar"/>
                    </w:rPr>
                    <w:t>长</w:t>
                  </w:r>
                  <w:r>
                    <w:rPr>
                      <w:rFonts w:hint="eastAsia" w:cs="Times New Roman"/>
                      <w:b/>
                      <w:bCs/>
                      <w:i w:val="0"/>
                      <w:iCs w:val="0"/>
                      <w:color w:val="auto"/>
                      <w:kern w:val="0"/>
                      <w:sz w:val="18"/>
                      <w:szCs w:val="18"/>
                      <w:u w:val="none"/>
                      <w:lang w:val="en-US" w:eastAsia="zh-CN" w:bidi="ar"/>
                    </w:rPr>
                    <w:t>36</w:t>
                  </w:r>
                  <w:r>
                    <w:rPr>
                      <w:rFonts w:hint="default" w:ascii="Times New Roman" w:hAnsi="Times New Roman" w:eastAsia="宋体" w:cs="Times New Roman"/>
                      <w:b/>
                      <w:bCs/>
                      <w:i w:val="0"/>
                      <w:iCs w:val="0"/>
                      <w:color w:val="auto"/>
                      <w:kern w:val="0"/>
                      <w:sz w:val="18"/>
                      <w:szCs w:val="18"/>
                      <w:u w:val="none"/>
                      <w:lang w:val="en-US" w:eastAsia="zh-CN" w:bidi="ar"/>
                    </w:rPr>
                    <w:t>m</w:t>
                  </w:r>
                  <w:r>
                    <w:rPr>
                      <w:rFonts w:hint="eastAsia" w:ascii="宋体" w:hAnsi="宋体" w:eastAsia="宋体" w:cs="宋体"/>
                      <w:b/>
                      <w:bCs/>
                      <w:i w:val="0"/>
                      <w:iCs w:val="0"/>
                      <w:color w:val="auto"/>
                      <w:kern w:val="0"/>
                      <w:sz w:val="18"/>
                      <w:szCs w:val="18"/>
                      <w:u w:val="none"/>
                      <w:lang w:val="en-US" w:eastAsia="zh-CN" w:bidi="ar"/>
                    </w:rPr>
                    <w:t>、</w:t>
                  </w:r>
                  <w:r>
                    <w:rPr>
                      <w:rFonts w:hint="eastAsia" w:ascii="宋体" w:hAnsi="宋体" w:cs="宋体"/>
                      <w:b/>
                      <w:bCs/>
                      <w:i w:val="0"/>
                      <w:iCs w:val="0"/>
                      <w:color w:val="auto"/>
                      <w:kern w:val="0"/>
                      <w:sz w:val="18"/>
                      <w:szCs w:val="18"/>
                      <w:u w:val="none"/>
                      <w:lang w:val="en-US" w:eastAsia="zh-CN" w:bidi="ar"/>
                    </w:rPr>
                    <w:t>南北</w:t>
                  </w:r>
                  <w:r>
                    <w:rPr>
                      <w:rFonts w:hint="eastAsia" w:ascii="宋体" w:hAnsi="宋体" w:eastAsia="宋体" w:cs="宋体"/>
                      <w:b/>
                      <w:bCs/>
                      <w:i w:val="0"/>
                      <w:iCs w:val="0"/>
                      <w:color w:val="auto"/>
                      <w:kern w:val="0"/>
                      <w:sz w:val="18"/>
                      <w:szCs w:val="18"/>
                      <w:u w:val="none"/>
                      <w:lang w:val="en-US" w:eastAsia="zh-CN" w:bidi="ar"/>
                    </w:rPr>
                    <w:t>宽</w:t>
                  </w:r>
                  <w:r>
                    <w:rPr>
                      <w:rFonts w:hint="eastAsia" w:cs="Times New Roman"/>
                      <w:b/>
                      <w:bCs/>
                      <w:i w:val="0"/>
                      <w:iCs w:val="0"/>
                      <w:color w:val="auto"/>
                      <w:kern w:val="0"/>
                      <w:sz w:val="18"/>
                      <w:szCs w:val="18"/>
                      <w:u w:val="none"/>
                      <w:lang w:val="en-US" w:eastAsia="zh-CN" w:bidi="ar"/>
                    </w:rPr>
                    <w:t>76</w:t>
                  </w:r>
                  <w:r>
                    <w:rPr>
                      <w:rFonts w:hint="default" w:ascii="Times New Roman" w:hAnsi="Times New Roman" w:eastAsia="宋体" w:cs="Times New Roman"/>
                      <w:b/>
                      <w:bCs/>
                      <w:i w:val="0"/>
                      <w:iCs w:val="0"/>
                      <w:color w:val="auto"/>
                      <w:kern w:val="0"/>
                      <w:sz w:val="18"/>
                      <w:szCs w:val="18"/>
                      <w:u w:val="none"/>
                      <w:lang w:val="en-US" w:eastAsia="zh-CN" w:bidi="ar"/>
                    </w:rPr>
                    <w:t>m</w:t>
                  </w:r>
                  <w:r>
                    <w:rPr>
                      <w:rFonts w:hint="eastAsia" w:cs="Times New Roman"/>
                      <w:b/>
                      <w:bCs/>
                      <w:i w:val="0"/>
                      <w:iCs w:val="0"/>
                      <w:color w:val="auto"/>
                      <w:kern w:val="0"/>
                      <w:sz w:val="18"/>
                      <w:szCs w:val="18"/>
                      <w:u w:val="none"/>
                      <w:lang w:val="en-US" w:eastAsia="zh-CN" w:bidi="ar"/>
                    </w:rPr>
                    <w:t>。</w:t>
                  </w:r>
                </w:p>
              </w:tc>
            </w:tr>
          </w:tbl>
          <w:p w14:paraId="24135A7C">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）预测模式</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室内声源</w:t>
            </w:r>
            <w:r>
              <w:rPr>
                <w:rFonts w:hint="default" w:ascii="Times New Roman" w:hAnsi="Times New Roman" w:eastAsia="宋体" w:cs="Times New Roman"/>
                <w:color w:val="auto"/>
                <w:sz w:val="24"/>
                <w:szCs w:val="24"/>
                <w:lang w:eastAsia="zh-CN"/>
              </w:rPr>
              <w:t>）</w:t>
            </w:r>
          </w:p>
          <w:p w14:paraId="24A674A3">
            <w:pPr>
              <w:tabs>
                <w:tab w:val="left" w:pos="1260"/>
              </w:tabs>
              <w:spacing w:line="360" w:lineRule="auto"/>
              <w:ind w:firstLine="480" w:firstLineChars="200"/>
              <w:rPr>
                <w:color w:val="auto"/>
                <w:sz w:val="24"/>
              </w:rPr>
            </w:pPr>
            <w:r>
              <w:rPr>
                <w:color w:val="auto"/>
                <w:sz w:val="24"/>
              </w:rPr>
              <w:t>①某一室内声源靠近围护结构处产生的倍频带声压级L</w:t>
            </w:r>
            <w:r>
              <w:rPr>
                <w:color w:val="auto"/>
                <w:sz w:val="24"/>
                <w:vertAlign w:val="subscript"/>
              </w:rPr>
              <w:t>p1</w:t>
            </w:r>
            <w:r>
              <w:rPr>
                <w:color w:val="auto"/>
                <w:sz w:val="24"/>
              </w:rPr>
              <w:t>：</w:t>
            </w:r>
          </w:p>
          <w:p w14:paraId="5091D5A6">
            <w:pPr>
              <w:tabs>
                <w:tab w:val="left" w:pos="1260"/>
              </w:tabs>
              <w:spacing w:line="360" w:lineRule="auto"/>
              <w:ind w:firstLine="480" w:firstLineChars="200"/>
              <w:jc w:val="center"/>
              <w:rPr>
                <w:color w:val="auto"/>
                <w:sz w:val="24"/>
              </w:rPr>
            </w:pPr>
            <w:r>
              <w:rPr>
                <w:color w:val="auto"/>
                <w:position w:val="-24"/>
                <w:sz w:val="24"/>
              </w:rPr>
              <w:drawing>
                <wp:inline distT="0" distB="0" distL="114300" distR="114300">
                  <wp:extent cx="1774190" cy="395605"/>
                  <wp:effectExtent l="0" t="0" r="0" b="635"/>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pic:cNvPicPr>
                        </pic:nvPicPr>
                        <pic:blipFill>
                          <a:blip r:embed="rId10"/>
                          <a:stretch>
                            <a:fillRect/>
                          </a:stretch>
                        </pic:blipFill>
                        <pic:spPr>
                          <a:xfrm>
                            <a:off x="0" y="0"/>
                            <a:ext cx="1774190" cy="395605"/>
                          </a:xfrm>
                          <a:prstGeom prst="rect">
                            <a:avLst/>
                          </a:prstGeom>
                          <a:noFill/>
                          <a:ln>
                            <a:noFill/>
                          </a:ln>
                        </pic:spPr>
                      </pic:pic>
                    </a:graphicData>
                  </a:graphic>
                </wp:inline>
              </w:drawing>
            </w:r>
          </w:p>
          <w:p w14:paraId="7CB361CA">
            <w:pPr>
              <w:tabs>
                <w:tab w:val="left" w:pos="1260"/>
              </w:tabs>
              <w:spacing w:line="360" w:lineRule="auto"/>
              <w:ind w:firstLine="480" w:firstLineChars="200"/>
              <w:rPr>
                <w:color w:val="auto"/>
                <w:sz w:val="24"/>
              </w:rPr>
            </w:pPr>
            <w:r>
              <w:rPr>
                <w:color w:val="auto"/>
                <w:sz w:val="24"/>
              </w:rPr>
              <w:t>式中：</w:t>
            </w:r>
          </w:p>
          <w:p w14:paraId="7228352B">
            <w:pPr>
              <w:tabs>
                <w:tab w:val="left" w:pos="1260"/>
              </w:tabs>
              <w:spacing w:line="360" w:lineRule="auto"/>
              <w:ind w:firstLine="480" w:firstLineChars="200"/>
              <w:rPr>
                <w:color w:val="auto"/>
                <w:sz w:val="24"/>
              </w:rPr>
            </w:pPr>
            <w:r>
              <w:rPr>
                <w:color w:val="auto"/>
                <w:position w:val="-14"/>
                <w:sz w:val="24"/>
              </w:rPr>
              <w:drawing>
                <wp:inline distT="0" distB="0" distL="114300" distR="114300">
                  <wp:extent cx="273050" cy="231775"/>
                  <wp:effectExtent l="0" t="0" r="0" b="12700"/>
                  <wp:docPr id="6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
                          <pic:cNvPicPr>
                            <a:picLocks noChangeAspect="1"/>
                          </pic:cNvPicPr>
                        </pic:nvPicPr>
                        <pic:blipFill>
                          <a:blip r:embed="rId11"/>
                          <a:stretch>
                            <a:fillRect/>
                          </a:stretch>
                        </pic:blipFill>
                        <pic:spPr>
                          <a:xfrm>
                            <a:off x="0" y="0"/>
                            <a:ext cx="273050" cy="231775"/>
                          </a:xfrm>
                          <a:prstGeom prst="rect">
                            <a:avLst/>
                          </a:prstGeom>
                          <a:noFill/>
                          <a:ln>
                            <a:noFill/>
                          </a:ln>
                        </pic:spPr>
                      </pic:pic>
                    </a:graphicData>
                  </a:graphic>
                </wp:inline>
              </w:drawing>
            </w:r>
            <w:r>
              <w:rPr>
                <w:color w:val="auto"/>
                <w:sz w:val="24"/>
              </w:rPr>
              <w:t>——倍频带声功率级，dB</w:t>
            </w:r>
          </w:p>
          <w:p w14:paraId="6E8D0A56">
            <w:pPr>
              <w:tabs>
                <w:tab w:val="left" w:pos="1260"/>
              </w:tabs>
              <w:spacing w:line="360" w:lineRule="auto"/>
              <w:ind w:firstLine="480" w:firstLineChars="200"/>
              <w:rPr>
                <w:color w:val="auto"/>
                <w:sz w:val="24"/>
              </w:rPr>
            </w:pPr>
            <w:r>
              <w:rPr>
                <w:color w:val="auto"/>
                <w:sz w:val="24"/>
              </w:rPr>
              <w:t>Q——指向性因数；通常对无指向性声源，当声源放在房间中心时，Q=1；当放在一面墙的中心时，Q=2；当放在两面墙夹角时，Q=4；当放在三面墙夹角时，Q=8。</w:t>
            </w:r>
          </w:p>
          <w:p w14:paraId="76E13CD0">
            <w:pPr>
              <w:tabs>
                <w:tab w:val="left" w:pos="1260"/>
              </w:tabs>
              <w:spacing w:line="360" w:lineRule="auto"/>
              <w:ind w:firstLine="480" w:firstLineChars="200"/>
              <w:rPr>
                <w:color w:val="auto"/>
                <w:sz w:val="24"/>
              </w:rPr>
            </w:pPr>
            <w:r>
              <w:rPr>
                <w:color w:val="auto"/>
                <w:sz w:val="24"/>
              </w:rPr>
              <w:t>R——房间常数；</w:t>
            </w:r>
            <w:r>
              <w:rPr>
                <w:color w:val="auto"/>
                <w:position w:val="-6"/>
                <w:sz w:val="24"/>
              </w:rPr>
              <w:drawing>
                <wp:inline distT="0" distB="0" distL="114300" distR="114300">
                  <wp:extent cx="941705" cy="177165"/>
                  <wp:effectExtent l="0" t="0" r="0" b="0"/>
                  <wp:docPr id="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
                          <pic:cNvPicPr>
                            <a:picLocks noChangeAspect="1"/>
                          </pic:cNvPicPr>
                        </pic:nvPicPr>
                        <pic:blipFill>
                          <a:blip r:embed="rId12"/>
                          <a:stretch>
                            <a:fillRect/>
                          </a:stretch>
                        </pic:blipFill>
                        <pic:spPr>
                          <a:xfrm>
                            <a:off x="0" y="0"/>
                            <a:ext cx="941705" cy="177165"/>
                          </a:xfrm>
                          <a:prstGeom prst="rect">
                            <a:avLst/>
                          </a:prstGeom>
                          <a:noFill/>
                          <a:ln>
                            <a:noFill/>
                          </a:ln>
                        </pic:spPr>
                      </pic:pic>
                    </a:graphicData>
                  </a:graphic>
                </wp:inline>
              </w:drawing>
            </w:r>
            <w:r>
              <w:rPr>
                <w:color w:val="auto"/>
                <w:sz w:val="24"/>
              </w:rPr>
              <w:t>，S为房间内表面面积，m</w:t>
            </w:r>
            <w:r>
              <w:rPr>
                <w:color w:val="auto"/>
                <w:sz w:val="24"/>
                <w:vertAlign w:val="superscript"/>
              </w:rPr>
              <w:t>2</w:t>
            </w:r>
            <w:r>
              <w:rPr>
                <w:color w:val="auto"/>
                <w:sz w:val="24"/>
              </w:rPr>
              <w:t>，</w:t>
            </w:r>
            <w:r>
              <w:rPr>
                <w:color w:val="auto"/>
                <w:position w:val="-6"/>
                <w:sz w:val="24"/>
              </w:rPr>
              <w:drawing>
                <wp:inline distT="0" distB="0" distL="114300" distR="114300">
                  <wp:extent cx="149860" cy="136525"/>
                  <wp:effectExtent l="0" t="0" r="0" b="635"/>
                  <wp:docPr id="6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7"/>
                          <pic:cNvPicPr>
                            <a:picLocks noChangeAspect="1"/>
                          </pic:cNvPicPr>
                        </pic:nvPicPr>
                        <pic:blipFill>
                          <a:blip r:embed="rId13"/>
                          <a:stretch>
                            <a:fillRect/>
                          </a:stretch>
                        </pic:blipFill>
                        <pic:spPr>
                          <a:xfrm>
                            <a:off x="0" y="0"/>
                            <a:ext cx="149860" cy="136525"/>
                          </a:xfrm>
                          <a:prstGeom prst="rect">
                            <a:avLst/>
                          </a:prstGeom>
                          <a:noFill/>
                          <a:ln>
                            <a:noFill/>
                          </a:ln>
                        </pic:spPr>
                      </pic:pic>
                    </a:graphicData>
                  </a:graphic>
                </wp:inline>
              </w:drawing>
            </w:r>
            <w:r>
              <w:rPr>
                <w:color w:val="auto"/>
                <w:sz w:val="24"/>
              </w:rPr>
              <w:t>为平均吸声系数；</w:t>
            </w:r>
          </w:p>
          <w:p w14:paraId="32F8DB33">
            <w:pPr>
              <w:tabs>
                <w:tab w:val="left" w:pos="1260"/>
              </w:tabs>
              <w:spacing w:line="360" w:lineRule="auto"/>
              <w:ind w:firstLine="480" w:firstLineChars="200"/>
              <w:rPr>
                <w:color w:val="auto"/>
                <w:sz w:val="24"/>
              </w:rPr>
            </w:pPr>
            <w:r>
              <w:rPr>
                <w:color w:val="auto"/>
                <w:sz w:val="24"/>
              </w:rPr>
              <w:t>R——声源到靠近围护结构某点处的距离，m；</w:t>
            </w:r>
          </w:p>
          <w:p w14:paraId="59CFE5E3">
            <w:pPr>
              <w:spacing w:line="360" w:lineRule="auto"/>
              <w:ind w:firstLine="480" w:firstLineChars="200"/>
              <w:rPr>
                <w:color w:val="auto"/>
                <w:sz w:val="24"/>
              </w:rPr>
            </w:pPr>
            <w:r>
              <w:rPr>
                <w:color w:val="auto"/>
                <w:sz w:val="24"/>
              </w:rPr>
              <w:t>②所有室内声源在围护结构处产生的i倍频带叠加声压级</w:t>
            </w:r>
            <w:r>
              <w:rPr>
                <w:color w:val="auto"/>
                <w:position w:val="-14"/>
                <w:sz w:val="24"/>
              </w:rPr>
              <w:drawing>
                <wp:inline distT="0" distB="0" distL="114300" distR="114300">
                  <wp:extent cx="559435" cy="231775"/>
                  <wp:effectExtent l="0" t="0" r="0" b="12700"/>
                  <wp:docPr id="6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8"/>
                          <pic:cNvPicPr>
                            <a:picLocks noChangeAspect="1"/>
                          </pic:cNvPicPr>
                        </pic:nvPicPr>
                        <pic:blipFill>
                          <a:blip r:embed="rId14"/>
                          <a:stretch>
                            <a:fillRect/>
                          </a:stretch>
                        </pic:blipFill>
                        <pic:spPr>
                          <a:xfrm>
                            <a:off x="0" y="0"/>
                            <a:ext cx="559435" cy="231775"/>
                          </a:xfrm>
                          <a:prstGeom prst="rect">
                            <a:avLst/>
                          </a:prstGeom>
                          <a:noFill/>
                          <a:ln>
                            <a:noFill/>
                          </a:ln>
                        </pic:spPr>
                      </pic:pic>
                    </a:graphicData>
                  </a:graphic>
                </wp:inline>
              </w:drawing>
            </w:r>
            <w:r>
              <w:rPr>
                <w:color w:val="auto"/>
                <w:sz w:val="24"/>
              </w:rPr>
              <w:t>：</w:t>
            </w:r>
          </w:p>
          <w:p w14:paraId="7A4F4344">
            <w:pPr>
              <w:spacing w:line="360" w:lineRule="auto"/>
              <w:ind w:firstLine="480" w:firstLineChars="200"/>
              <w:jc w:val="center"/>
              <w:rPr>
                <w:color w:val="auto"/>
                <w:sz w:val="24"/>
              </w:rPr>
            </w:pPr>
            <w:r>
              <w:rPr>
                <w:color w:val="auto"/>
                <w:position w:val="-30"/>
                <w:sz w:val="24"/>
              </w:rPr>
              <w:drawing>
                <wp:inline distT="0" distB="0" distL="114300" distR="114300">
                  <wp:extent cx="1760855" cy="450215"/>
                  <wp:effectExtent l="0" t="0" r="0" b="6350"/>
                  <wp:docPr id="6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9"/>
                          <pic:cNvPicPr>
                            <a:picLocks noChangeAspect="1"/>
                          </pic:cNvPicPr>
                        </pic:nvPicPr>
                        <pic:blipFill>
                          <a:blip r:embed="rId15"/>
                          <a:stretch>
                            <a:fillRect/>
                          </a:stretch>
                        </pic:blipFill>
                        <pic:spPr>
                          <a:xfrm>
                            <a:off x="0" y="0"/>
                            <a:ext cx="1760855" cy="450215"/>
                          </a:xfrm>
                          <a:prstGeom prst="rect">
                            <a:avLst/>
                          </a:prstGeom>
                          <a:noFill/>
                          <a:ln>
                            <a:noFill/>
                          </a:ln>
                        </pic:spPr>
                      </pic:pic>
                    </a:graphicData>
                  </a:graphic>
                </wp:inline>
              </w:drawing>
            </w:r>
          </w:p>
          <w:p w14:paraId="06669CAE">
            <w:pPr>
              <w:spacing w:line="360" w:lineRule="auto"/>
              <w:ind w:firstLine="480" w:firstLineChars="200"/>
              <w:rPr>
                <w:color w:val="auto"/>
                <w:sz w:val="24"/>
              </w:rPr>
            </w:pPr>
            <w:r>
              <w:rPr>
                <w:color w:val="auto"/>
                <w:sz w:val="24"/>
              </w:rPr>
              <w:t>式中：</w:t>
            </w:r>
          </w:p>
          <w:p w14:paraId="7ABB1D34">
            <w:pPr>
              <w:spacing w:line="360" w:lineRule="auto"/>
              <w:ind w:firstLine="480" w:firstLineChars="200"/>
              <w:rPr>
                <w:color w:val="auto"/>
                <w:sz w:val="24"/>
              </w:rPr>
            </w:pPr>
            <w:r>
              <w:rPr>
                <w:color w:val="auto"/>
                <w:position w:val="-16"/>
                <w:sz w:val="24"/>
              </w:rPr>
              <w:drawing>
                <wp:inline distT="0" distB="0" distL="114300" distR="114300">
                  <wp:extent cx="340995" cy="259080"/>
                  <wp:effectExtent l="0" t="0" r="9525" b="0"/>
                  <wp:docPr id="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0"/>
                          <pic:cNvPicPr>
                            <a:picLocks noChangeAspect="1"/>
                          </pic:cNvPicPr>
                        </pic:nvPicPr>
                        <pic:blipFill>
                          <a:blip r:embed="rId16"/>
                          <a:stretch>
                            <a:fillRect/>
                          </a:stretch>
                        </pic:blipFill>
                        <pic:spPr>
                          <a:xfrm>
                            <a:off x="0" y="0"/>
                            <a:ext cx="340995" cy="259080"/>
                          </a:xfrm>
                          <a:prstGeom prst="rect">
                            <a:avLst/>
                          </a:prstGeom>
                          <a:noFill/>
                          <a:ln>
                            <a:noFill/>
                          </a:ln>
                        </pic:spPr>
                      </pic:pic>
                    </a:graphicData>
                  </a:graphic>
                </wp:inline>
              </w:drawing>
            </w:r>
            <w:r>
              <w:rPr>
                <w:color w:val="auto"/>
                <w:sz w:val="24"/>
              </w:rPr>
              <w:t>——室内j声源i倍频带的声压级，dB；N—室内声源总和。</w:t>
            </w:r>
          </w:p>
          <w:p w14:paraId="4C32BDD7">
            <w:pPr>
              <w:spacing w:line="360" w:lineRule="auto"/>
              <w:ind w:firstLine="480" w:firstLineChars="200"/>
              <w:rPr>
                <w:color w:val="auto"/>
                <w:sz w:val="24"/>
              </w:rPr>
            </w:pPr>
            <w:r>
              <w:rPr>
                <w:color w:val="auto"/>
                <w:sz w:val="24"/>
              </w:rPr>
              <w:t>③计算出室外靠近围护结构处的声压级：</w:t>
            </w:r>
          </w:p>
          <w:p w14:paraId="7D00658A">
            <w:pPr>
              <w:spacing w:line="360" w:lineRule="auto"/>
              <w:ind w:firstLine="480" w:firstLineChars="200"/>
              <w:jc w:val="center"/>
              <w:rPr>
                <w:color w:val="auto"/>
                <w:sz w:val="24"/>
              </w:rPr>
            </w:pPr>
            <w:r>
              <w:rPr>
                <w:color w:val="auto"/>
                <w:position w:val="-14"/>
                <w:sz w:val="24"/>
              </w:rPr>
              <w:drawing>
                <wp:inline distT="0" distB="0" distL="114300" distR="114300">
                  <wp:extent cx="1869440" cy="231775"/>
                  <wp:effectExtent l="0" t="0" r="5080" b="12700"/>
                  <wp:docPr id="6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1"/>
                          <pic:cNvPicPr>
                            <a:picLocks noChangeAspect="1"/>
                          </pic:cNvPicPr>
                        </pic:nvPicPr>
                        <pic:blipFill>
                          <a:blip r:embed="rId17"/>
                          <a:stretch>
                            <a:fillRect/>
                          </a:stretch>
                        </pic:blipFill>
                        <pic:spPr>
                          <a:xfrm>
                            <a:off x="0" y="0"/>
                            <a:ext cx="1869440" cy="231775"/>
                          </a:xfrm>
                          <a:prstGeom prst="rect">
                            <a:avLst/>
                          </a:prstGeom>
                          <a:noFill/>
                          <a:ln>
                            <a:noFill/>
                          </a:ln>
                        </pic:spPr>
                      </pic:pic>
                    </a:graphicData>
                  </a:graphic>
                </wp:inline>
              </w:drawing>
            </w:r>
          </w:p>
          <w:p w14:paraId="507475B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color w:val="auto"/>
                <w:sz w:val="24"/>
              </w:rPr>
            </w:pPr>
            <w:r>
              <w:rPr>
                <w:color w:val="auto"/>
                <w:sz w:val="24"/>
              </w:rPr>
              <w:t>式中：</w:t>
            </w:r>
          </w:p>
          <w:p w14:paraId="5FC9279F">
            <w:pPr>
              <w:spacing w:line="360" w:lineRule="auto"/>
              <w:ind w:firstLine="480" w:firstLineChars="200"/>
              <w:rPr>
                <w:color w:val="auto"/>
                <w:sz w:val="24"/>
              </w:rPr>
            </w:pPr>
            <w:r>
              <w:rPr>
                <w:color w:val="auto"/>
                <w:sz w:val="24"/>
              </w:rPr>
              <w:t>TL</w:t>
            </w:r>
            <w:r>
              <w:rPr>
                <w:color w:val="auto"/>
                <w:sz w:val="24"/>
                <w:vertAlign w:val="subscript"/>
              </w:rPr>
              <w:t>i</w:t>
            </w:r>
            <w:r>
              <w:rPr>
                <w:color w:val="auto"/>
                <w:sz w:val="24"/>
              </w:rPr>
              <w:t>—围护结构i倍频带的隔声量，dB。</w:t>
            </w:r>
          </w:p>
          <w:p w14:paraId="1A38C51D">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color w:val="auto"/>
                <w:sz w:val="24"/>
              </w:rPr>
            </w:pPr>
            <w:r>
              <w:rPr>
                <w:color w:val="auto"/>
                <w:sz w:val="24"/>
              </w:rPr>
              <w:t>④将室外声源的声压级</w:t>
            </w:r>
            <w:r>
              <w:rPr>
                <w:color w:val="auto"/>
                <w:position w:val="-14"/>
                <w:sz w:val="24"/>
              </w:rPr>
              <w:drawing>
                <wp:inline distT="0" distB="0" distL="114300" distR="114300">
                  <wp:extent cx="518795" cy="231775"/>
                  <wp:effectExtent l="0" t="0" r="14605" b="12700"/>
                  <wp:docPr id="6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2"/>
                          <pic:cNvPicPr>
                            <a:picLocks noChangeAspect="1"/>
                          </pic:cNvPicPr>
                        </pic:nvPicPr>
                        <pic:blipFill>
                          <a:blip r:embed="rId18"/>
                          <a:stretch>
                            <a:fillRect/>
                          </a:stretch>
                        </pic:blipFill>
                        <pic:spPr>
                          <a:xfrm>
                            <a:off x="0" y="0"/>
                            <a:ext cx="518795" cy="231775"/>
                          </a:xfrm>
                          <a:prstGeom prst="rect">
                            <a:avLst/>
                          </a:prstGeom>
                          <a:noFill/>
                          <a:ln>
                            <a:noFill/>
                          </a:ln>
                        </pic:spPr>
                      </pic:pic>
                    </a:graphicData>
                  </a:graphic>
                </wp:inline>
              </w:drawing>
            </w:r>
            <w:r>
              <w:rPr>
                <w:color w:val="auto"/>
                <w:sz w:val="24"/>
              </w:rPr>
              <w:t>和透过面积S换算成等效的室外声源，计算出中心位置位于透过面积处的等效声源的倍频带声功率级：</w:t>
            </w:r>
          </w:p>
          <w:p w14:paraId="1B447434">
            <w:pPr>
              <w:spacing w:line="360" w:lineRule="auto"/>
              <w:ind w:firstLine="480" w:firstLineChars="200"/>
              <w:jc w:val="center"/>
              <w:rPr>
                <w:color w:val="auto"/>
                <w:sz w:val="24"/>
              </w:rPr>
            </w:pPr>
            <w:r>
              <w:rPr>
                <w:color w:val="auto"/>
                <w:position w:val="-14"/>
                <w:sz w:val="24"/>
              </w:rPr>
              <w:drawing>
                <wp:inline distT="0" distB="0" distL="114300" distR="114300">
                  <wp:extent cx="1378585" cy="231775"/>
                  <wp:effectExtent l="0" t="0" r="8255" b="12700"/>
                  <wp:docPr id="7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3"/>
                          <pic:cNvPicPr>
                            <a:picLocks noChangeAspect="1"/>
                          </pic:cNvPicPr>
                        </pic:nvPicPr>
                        <pic:blipFill>
                          <a:blip r:embed="rId19"/>
                          <a:stretch>
                            <a:fillRect/>
                          </a:stretch>
                        </pic:blipFill>
                        <pic:spPr>
                          <a:xfrm>
                            <a:off x="0" y="0"/>
                            <a:ext cx="1378585" cy="231775"/>
                          </a:xfrm>
                          <a:prstGeom prst="rect">
                            <a:avLst/>
                          </a:prstGeom>
                          <a:noFill/>
                          <a:ln>
                            <a:noFill/>
                          </a:ln>
                        </pic:spPr>
                      </pic:pic>
                    </a:graphicData>
                  </a:graphic>
                </wp:inline>
              </w:drawing>
            </w:r>
          </w:p>
          <w:p w14:paraId="5FB89CA2">
            <w:pPr>
              <w:spacing w:line="360" w:lineRule="auto"/>
              <w:ind w:firstLine="480" w:firstLineChars="200"/>
              <w:rPr>
                <w:color w:val="auto"/>
                <w:sz w:val="24"/>
              </w:rPr>
            </w:pPr>
            <w:r>
              <w:rPr>
                <w:color w:val="auto"/>
                <w:sz w:val="24"/>
              </w:rPr>
              <w:t>⑤等效室外声源的位置为围护结构的位置，其倍频带声功率级为</w:t>
            </w:r>
            <w:r>
              <w:rPr>
                <w:i/>
                <w:iCs/>
                <w:color w:val="auto"/>
                <w:position w:val="-14"/>
                <w:sz w:val="24"/>
              </w:rPr>
              <w:drawing>
                <wp:inline distT="0" distB="0" distL="114300" distR="114300">
                  <wp:extent cx="273050" cy="231775"/>
                  <wp:effectExtent l="0" t="0" r="0" b="12700"/>
                  <wp:docPr id="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4"/>
                          <pic:cNvPicPr>
                            <a:picLocks noChangeAspect="1"/>
                          </pic:cNvPicPr>
                        </pic:nvPicPr>
                        <pic:blipFill>
                          <a:blip r:embed="rId20"/>
                          <a:stretch>
                            <a:fillRect/>
                          </a:stretch>
                        </pic:blipFill>
                        <pic:spPr>
                          <a:xfrm>
                            <a:off x="0" y="0"/>
                            <a:ext cx="273050" cy="231775"/>
                          </a:xfrm>
                          <a:prstGeom prst="rect">
                            <a:avLst/>
                          </a:prstGeom>
                          <a:noFill/>
                          <a:ln>
                            <a:noFill/>
                          </a:ln>
                        </pic:spPr>
                      </pic:pic>
                    </a:graphicData>
                  </a:graphic>
                </wp:inline>
              </w:drawing>
            </w:r>
            <w:r>
              <w:rPr>
                <w:color w:val="auto"/>
                <w:sz w:val="24"/>
              </w:rPr>
              <w:t>，按室外声源方法计算等效室外声源在预测点产生的声级。</w:t>
            </w:r>
          </w:p>
          <w:p w14:paraId="49A12E78">
            <w:pPr>
              <w:spacing w:line="360" w:lineRule="auto"/>
              <w:ind w:firstLine="496" w:firstLineChars="200"/>
              <w:rPr>
                <w:color w:val="auto"/>
                <w:spacing w:val="4"/>
                <w:sz w:val="24"/>
              </w:rPr>
            </w:pPr>
            <w:r>
              <w:rPr>
                <w:color w:val="auto"/>
                <w:spacing w:val="4"/>
                <w:sz w:val="24"/>
              </w:rPr>
              <w:t>⑥源强叠加</w:t>
            </w:r>
          </w:p>
          <w:p w14:paraId="425937AE">
            <w:pPr>
              <w:spacing w:line="360" w:lineRule="auto"/>
              <w:ind w:firstLine="496" w:firstLineChars="200"/>
              <w:jc w:val="center"/>
              <w:rPr>
                <w:color w:val="auto"/>
                <w:spacing w:val="4"/>
                <w:sz w:val="24"/>
              </w:rPr>
            </w:pPr>
            <w:r>
              <w:rPr>
                <w:color w:val="auto"/>
                <w:spacing w:val="4"/>
                <w:sz w:val="24"/>
              </w:rPr>
              <w:drawing>
                <wp:inline distT="0" distB="0" distL="114300" distR="114300">
                  <wp:extent cx="1590040" cy="457200"/>
                  <wp:effectExtent l="0" t="0" r="0" b="0"/>
                  <wp:docPr id="4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5"/>
                          <pic:cNvPicPr>
                            <a:picLocks noChangeAspect="1"/>
                          </pic:cNvPicPr>
                        </pic:nvPicPr>
                        <pic:blipFill>
                          <a:blip r:embed="rId21"/>
                          <a:stretch>
                            <a:fillRect/>
                          </a:stretch>
                        </pic:blipFill>
                        <pic:spPr>
                          <a:xfrm>
                            <a:off x="0" y="0"/>
                            <a:ext cx="1590040" cy="457200"/>
                          </a:xfrm>
                          <a:prstGeom prst="rect">
                            <a:avLst/>
                          </a:prstGeom>
                          <a:noFill/>
                          <a:ln>
                            <a:noFill/>
                          </a:ln>
                        </pic:spPr>
                      </pic:pic>
                    </a:graphicData>
                  </a:graphic>
                </wp:inline>
              </w:drawing>
            </w:r>
          </w:p>
          <w:p w14:paraId="4949AE92">
            <w:pPr>
              <w:spacing w:line="360" w:lineRule="auto"/>
              <w:ind w:firstLine="496" w:firstLineChars="200"/>
              <w:rPr>
                <w:color w:val="auto"/>
                <w:spacing w:val="4"/>
                <w:sz w:val="24"/>
              </w:rPr>
            </w:pPr>
            <w:r>
              <w:rPr>
                <w:color w:val="auto"/>
                <w:spacing w:val="4"/>
                <w:sz w:val="24"/>
              </w:rPr>
              <w:t>式中：</w:t>
            </w:r>
          </w:p>
          <w:p w14:paraId="2162C310">
            <w:pPr>
              <w:spacing w:line="360" w:lineRule="auto"/>
              <w:ind w:firstLine="496" w:firstLineChars="200"/>
              <w:rPr>
                <w:color w:val="auto"/>
                <w:spacing w:val="4"/>
                <w:sz w:val="24"/>
              </w:rPr>
            </w:pPr>
            <w:r>
              <w:rPr>
                <w:color w:val="auto"/>
                <w:spacing w:val="4"/>
                <w:sz w:val="24"/>
              </w:rPr>
              <w:drawing>
                <wp:inline distT="0" distB="0" distL="114300" distR="114300">
                  <wp:extent cx="209550" cy="228600"/>
                  <wp:effectExtent l="0" t="0" r="3810" b="0"/>
                  <wp:docPr id="7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6"/>
                          <pic:cNvPicPr>
                            <a:picLocks noChangeAspect="1"/>
                          </pic:cNvPicPr>
                        </pic:nvPicPr>
                        <pic:blipFill>
                          <a:blip r:embed="rId22"/>
                          <a:stretch>
                            <a:fillRect/>
                          </a:stretch>
                        </pic:blipFill>
                        <pic:spPr>
                          <a:xfrm>
                            <a:off x="0" y="0"/>
                            <a:ext cx="209550" cy="228600"/>
                          </a:xfrm>
                          <a:prstGeom prst="rect">
                            <a:avLst/>
                          </a:prstGeom>
                          <a:noFill/>
                          <a:ln>
                            <a:noFill/>
                          </a:ln>
                        </pic:spPr>
                      </pic:pic>
                    </a:graphicData>
                  </a:graphic>
                </wp:inline>
              </w:drawing>
            </w:r>
            <w:r>
              <w:rPr>
                <w:color w:val="auto"/>
                <w:spacing w:val="4"/>
                <w:sz w:val="24"/>
              </w:rPr>
              <w:t>——几个声压级相加后的总声压级，dB(A)；</w:t>
            </w:r>
          </w:p>
          <w:p w14:paraId="6554F6EC">
            <w:pPr>
              <w:spacing w:line="360" w:lineRule="auto"/>
              <w:ind w:firstLine="496" w:firstLineChars="200"/>
              <w:rPr>
                <w:color w:val="auto"/>
                <w:spacing w:val="4"/>
                <w:sz w:val="24"/>
              </w:rPr>
            </w:pPr>
            <w:r>
              <w:rPr>
                <w:color w:val="auto"/>
                <w:spacing w:val="4"/>
                <w:sz w:val="24"/>
              </w:rPr>
              <w:drawing>
                <wp:inline distT="0" distB="0" distL="114300" distR="114300">
                  <wp:extent cx="180975" cy="228600"/>
                  <wp:effectExtent l="0" t="0" r="0" b="0"/>
                  <wp:docPr id="4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7"/>
                          <pic:cNvPicPr>
                            <a:picLocks noChangeAspect="1"/>
                          </pic:cNvPicPr>
                        </pic:nvPicPr>
                        <pic:blipFill>
                          <a:blip r:embed="rId23"/>
                          <a:stretch>
                            <a:fillRect/>
                          </a:stretch>
                        </pic:blipFill>
                        <pic:spPr>
                          <a:xfrm>
                            <a:off x="0" y="0"/>
                            <a:ext cx="180975" cy="228600"/>
                          </a:xfrm>
                          <a:prstGeom prst="rect">
                            <a:avLst/>
                          </a:prstGeom>
                          <a:noFill/>
                          <a:ln>
                            <a:noFill/>
                          </a:ln>
                        </pic:spPr>
                      </pic:pic>
                    </a:graphicData>
                  </a:graphic>
                </wp:inline>
              </w:drawing>
            </w:r>
            <w:r>
              <w:rPr>
                <w:color w:val="auto"/>
                <w:spacing w:val="4"/>
                <w:sz w:val="24"/>
              </w:rPr>
              <w:t>——某一个声压级，dB(A)。</w:t>
            </w:r>
          </w:p>
          <w:p w14:paraId="3306C8E2">
            <w:pPr>
              <w:spacing w:line="360" w:lineRule="auto"/>
              <w:ind w:firstLine="496" w:firstLineChars="200"/>
              <w:rPr>
                <w:color w:val="auto"/>
                <w:spacing w:val="4"/>
                <w:sz w:val="24"/>
              </w:rPr>
            </w:pPr>
            <w:r>
              <w:rPr>
                <w:color w:val="auto"/>
                <w:spacing w:val="4"/>
                <w:sz w:val="24"/>
              </w:rPr>
              <w:t>⑦噪声衰减</w:t>
            </w:r>
          </w:p>
          <w:p w14:paraId="6DF4C832">
            <w:pPr>
              <w:keepNext w:val="0"/>
              <w:keepLines w:val="0"/>
              <w:pageBreakBefore w:val="0"/>
              <w:widowControl w:val="0"/>
              <w:kinsoku/>
              <w:wordWrap/>
              <w:overflowPunct/>
              <w:topLinePunct w:val="0"/>
              <w:autoSpaceDE/>
              <w:autoSpaceDN/>
              <w:bidi w:val="0"/>
              <w:snapToGrid w:val="0"/>
              <w:spacing w:line="360" w:lineRule="auto"/>
              <w:ind w:firstLine="496" w:firstLineChars="200"/>
              <w:jc w:val="center"/>
              <w:textAlignment w:val="auto"/>
              <w:rPr>
                <w:color w:val="auto"/>
                <w:spacing w:val="4"/>
                <w:sz w:val="24"/>
              </w:rPr>
            </w:pPr>
            <w:r>
              <w:rPr>
                <w:color w:val="auto"/>
                <w:spacing w:val="4"/>
                <w:sz w:val="24"/>
              </w:rPr>
              <w:drawing>
                <wp:inline distT="0" distB="0" distL="114300" distR="114300">
                  <wp:extent cx="2189480" cy="476250"/>
                  <wp:effectExtent l="0" t="0" r="0" b="12065"/>
                  <wp:docPr id="5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8"/>
                          <pic:cNvPicPr>
                            <a:picLocks noChangeAspect="1"/>
                          </pic:cNvPicPr>
                        </pic:nvPicPr>
                        <pic:blipFill>
                          <a:blip r:embed="rId24"/>
                          <a:stretch>
                            <a:fillRect/>
                          </a:stretch>
                        </pic:blipFill>
                        <pic:spPr>
                          <a:xfrm>
                            <a:off x="0" y="0"/>
                            <a:ext cx="2189480" cy="476250"/>
                          </a:xfrm>
                          <a:prstGeom prst="rect">
                            <a:avLst/>
                          </a:prstGeom>
                          <a:noFill/>
                          <a:ln>
                            <a:noFill/>
                          </a:ln>
                        </pic:spPr>
                      </pic:pic>
                    </a:graphicData>
                  </a:graphic>
                </wp:inline>
              </w:drawing>
            </w:r>
          </w:p>
          <w:p w14:paraId="6562D6B8">
            <w:pPr>
              <w:keepNext w:val="0"/>
              <w:keepLines w:val="0"/>
              <w:pageBreakBefore w:val="0"/>
              <w:widowControl w:val="0"/>
              <w:kinsoku/>
              <w:wordWrap/>
              <w:overflowPunct/>
              <w:topLinePunct w:val="0"/>
              <w:autoSpaceDE/>
              <w:autoSpaceDN/>
              <w:bidi w:val="0"/>
              <w:snapToGrid w:val="0"/>
              <w:spacing w:line="360" w:lineRule="auto"/>
              <w:ind w:firstLine="496" w:firstLineChars="200"/>
              <w:textAlignment w:val="auto"/>
              <w:rPr>
                <w:color w:val="auto"/>
                <w:spacing w:val="4"/>
                <w:sz w:val="24"/>
              </w:rPr>
            </w:pPr>
            <w:r>
              <w:rPr>
                <w:color w:val="auto"/>
                <w:spacing w:val="4"/>
                <w:sz w:val="24"/>
              </w:rPr>
              <w:t>式中：</w:t>
            </w:r>
          </w:p>
          <w:p w14:paraId="7B41BF41">
            <w:pPr>
              <w:keepNext w:val="0"/>
              <w:keepLines w:val="0"/>
              <w:pageBreakBefore w:val="0"/>
              <w:widowControl w:val="0"/>
              <w:kinsoku/>
              <w:wordWrap/>
              <w:overflowPunct/>
              <w:topLinePunct w:val="0"/>
              <w:autoSpaceDE/>
              <w:autoSpaceDN/>
              <w:bidi w:val="0"/>
              <w:snapToGrid w:val="0"/>
              <w:spacing w:line="360" w:lineRule="auto"/>
              <w:ind w:firstLine="496" w:firstLineChars="200"/>
              <w:textAlignment w:val="auto"/>
              <w:rPr>
                <w:color w:val="auto"/>
                <w:spacing w:val="4"/>
                <w:sz w:val="24"/>
              </w:rPr>
            </w:pPr>
            <w:r>
              <w:rPr>
                <w:color w:val="auto"/>
                <w:spacing w:val="4"/>
                <w:sz w:val="24"/>
              </w:rPr>
              <w:drawing>
                <wp:inline distT="0" distB="0" distL="114300" distR="114300">
                  <wp:extent cx="190500" cy="247650"/>
                  <wp:effectExtent l="0" t="0" r="0" b="12065"/>
                  <wp:docPr id="5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9"/>
                          <pic:cNvPicPr>
                            <a:picLocks noChangeAspect="1"/>
                          </pic:cNvPicPr>
                        </pic:nvPicPr>
                        <pic:blipFill>
                          <a:blip r:embed="rId25"/>
                          <a:stretch>
                            <a:fillRect/>
                          </a:stretch>
                        </pic:blipFill>
                        <pic:spPr>
                          <a:xfrm>
                            <a:off x="0" y="0"/>
                            <a:ext cx="190500" cy="247650"/>
                          </a:xfrm>
                          <a:prstGeom prst="rect">
                            <a:avLst/>
                          </a:prstGeom>
                          <a:noFill/>
                          <a:ln>
                            <a:noFill/>
                          </a:ln>
                        </pic:spPr>
                      </pic:pic>
                    </a:graphicData>
                  </a:graphic>
                </wp:inline>
              </w:drawing>
            </w:r>
            <w:r>
              <w:rPr>
                <w:color w:val="auto"/>
                <w:spacing w:val="4"/>
                <w:sz w:val="24"/>
              </w:rPr>
              <w:t>——距声源r米处的施工噪声预测值，dB(A)；</w:t>
            </w:r>
          </w:p>
          <w:p w14:paraId="12EF1D5D">
            <w:pPr>
              <w:keepNext w:val="0"/>
              <w:keepLines w:val="0"/>
              <w:pageBreakBefore w:val="0"/>
              <w:widowControl w:val="0"/>
              <w:kinsoku/>
              <w:wordWrap/>
              <w:overflowPunct/>
              <w:topLinePunct w:val="0"/>
              <w:autoSpaceDE/>
              <w:autoSpaceDN/>
              <w:bidi w:val="0"/>
              <w:snapToGrid w:val="0"/>
              <w:spacing w:line="360" w:lineRule="auto"/>
              <w:ind w:firstLine="496" w:firstLineChars="200"/>
              <w:textAlignment w:val="auto"/>
              <w:rPr>
                <w:color w:val="auto"/>
                <w:spacing w:val="4"/>
                <w:sz w:val="24"/>
              </w:rPr>
            </w:pPr>
            <w:r>
              <w:rPr>
                <w:color w:val="auto"/>
                <w:spacing w:val="4"/>
                <w:sz w:val="24"/>
              </w:rPr>
              <w:drawing>
                <wp:inline distT="0" distB="0" distL="114300" distR="114300">
                  <wp:extent cx="228600" cy="247650"/>
                  <wp:effectExtent l="0" t="0" r="0" b="12065"/>
                  <wp:docPr id="7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0"/>
                          <pic:cNvPicPr>
                            <a:picLocks noChangeAspect="1"/>
                          </pic:cNvPicPr>
                        </pic:nvPicPr>
                        <pic:blipFill>
                          <a:blip r:embed="rId26"/>
                          <a:stretch>
                            <a:fillRect/>
                          </a:stretch>
                        </pic:blipFill>
                        <pic:spPr>
                          <a:xfrm>
                            <a:off x="0" y="0"/>
                            <a:ext cx="228600" cy="247650"/>
                          </a:xfrm>
                          <a:prstGeom prst="rect">
                            <a:avLst/>
                          </a:prstGeom>
                          <a:noFill/>
                          <a:ln>
                            <a:noFill/>
                          </a:ln>
                        </pic:spPr>
                      </pic:pic>
                    </a:graphicData>
                  </a:graphic>
                </wp:inline>
              </w:drawing>
            </w:r>
            <w:r>
              <w:rPr>
                <w:color w:val="auto"/>
                <w:spacing w:val="4"/>
                <w:sz w:val="24"/>
              </w:rPr>
              <w:t>——距声源r</w:t>
            </w:r>
            <w:r>
              <w:rPr>
                <w:color w:val="auto"/>
                <w:spacing w:val="4"/>
                <w:sz w:val="24"/>
                <w:vertAlign w:val="subscript"/>
              </w:rPr>
              <w:t>o</w:t>
            </w:r>
            <w:r>
              <w:rPr>
                <w:color w:val="auto"/>
                <w:spacing w:val="4"/>
                <w:sz w:val="24"/>
              </w:rPr>
              <w:t>米处的参考声级，dB(A)；</w:t>
            </w:r>
          </w:p>
          <w:p w14:paraId="3C36936C">
            <w:pPr>
              <w:keepNext w:val="0"/>
              <w:keepLines w:val="0"/>
              <w:pageBreakBefore w:val="0"/>
              <w:widowControl w:val="0"/>
              <w:kinsoku/>
              <w:wordWrap/>
              <w:overflowPunct/>
              <w:topLinePunct w:val="0"/>
              <w:autoSpaceDE/>
              <w:autoSpaceDN/>
              <w:bidi w:val="0"/>
              <w:snapToGrid w:val="0"/>
              <w:spacing w:line="360" w:lineRule="auto"/>
              <w:ind w:firstLine="496" w:firstLineChars="200"/>
              <w:textAlignment w:val="auto"/>
              <w:rPr>
                <w:color w:val="auto"/>
                <w:spacing w:val="4"/>
                <w:sz w:val="24"/>
              </w:rPr>
            </w:pPr>
            <w:r>
              <w:rPr>
                <w:color w:val="auto"/>
                <w:spacing w:val="4"/>
                <w:sz w:val="24"/>
              </w:rPr>
              <w:drawing>
                <wp:inline distT="0" distB="0" distL="114300" distR="114300">
                  <wp:extent cx="133350" cy="228600"/>
                  <wp:effectExtent l="0" t="0" r="0" b="0"/>
                  <wp:docPr id="4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pic:cNvPicPr>
                            <a:picLocks noChangeAspect="1"/>
                          </pic:cNvPicPr>
                        </pic:nvPicPr>
                        <pic:blipFill>
                          <a:blip r:embed="rId27"/>
                          <a:stretch>
                            <a:fillRect/>
                          </a:stretch>
                        </pic:blipFill>
                        <pic:spPr>
                          <a:xfrm>
                            <a:off x="0" y="0"/>
                            <a:ext cx="133350" cy="228600"/>
                          </a:xfrm>
                          <a:prstGeom prst="rect">
                            <a:avLst/>
                          </a:prstGeom>
                          <a:noFill/>
                          <a:ln>
                            <a:noFill/>
                          </a:ln>
                        </pic:spPr>
                      </pic:pic>
                    </a:graphicData>
                  </a:graphic>
                </wp:inline>
              </w:drawing>
            </w:r>
            <w:r>
              <w:rPr>
                <w:color w:val="auto"/>
                <w:spacing w:val="4"/>
                <w:sz w:val="24"/>
              </w:rPr>
              <w:t>——</w:t>
            </w:r>
            <w:r>
              <w:rPr>
                <w:color w:val="auto"/>
                <w:spacing w:val="4"/>
                <w:sz w:val="24"/>
              </w:rPr>
              <w:drawing>
                <wp:inline distT="0" distB="0" distL="114300" distR="114300">
                  <wp:extent cx="228600" cy="247650"/>
                  <wp:effectExtent l="0" t="0" r="0" b="12065"/>
                  <wp:docPr id="7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2"/>
                          <pic:cNvPicPr>
                            <a:picLocks noChangeAspect="1"/>
                          </pic:cNvPicPr>
                        </pic:nvPicPr>
                        <pic:blipFill>
                          <a:blip r:embed="rId26"/>
                          <a:stretch>
                            <a:fillRect/>
                          </a:stretch>
                        </pic:blipFill>
                        <pic:spPr>
                          <a:xfrm>
                            <a:off x="0" y="0"/>
                            <a:ext cx="228600" cy="247650"/>
                          </a:xfrm>
                          <a:prstGeom prst="rect">
                            <a:avLst/>
                          </a:prstGeom>
                          <a:noFill/>
                          <a:ln>
                            <a:noFill/>
                          </a:ln>
                        </pic:spPr>
                      </pic:pic>
                    </a:graphicData>
                  </a:graphic>
                </wp:inline>
              </w:drawing>
            </w:r>
            <w:r>
              <w:rPr>
                <w:color w:val="auto"/>
                <w:spacing w:val="4"/>
                <w:sz w:val="24"/>
              </w:rPr>
              <w:t>噪声的测点距离(1m)，m；</w:t>
            </w:r>
          </w:p>
          <w:p w14:paraId="0C160915">
            <w:pPr>
              <w:keepNext w:val="0"/>
              <w:keepLines w:val="0"/>
              <w:pageBreakBefore w:val="0"/>
              <w:widowControl w:val="0"/>
              <w:kinsoku/>
              <w:wordWrap/>
              <w:overflowPunct/>
              <w:topLinePunct w:val="0"/>
              <w:autoSpaceDE/>
              <w:autoSpaceDN/>
              <w:bidi w:val="0"/>
              <w:adjustRightInd w:val="0"/>
              <w:snapToGrid w:val="0"/>
              <w:spacing w:line="360" w:lineRule="auto"/>
              <w:ind w:firstLine="496" w:firstLineChars="200"/>
              <w:textAlignment w:val="auto"/>
              <w:rPr>
                <w:color w:val="auto"/>
                <w:sz w:val="24"/>
              </w:rPr>
            </w:pPr>
            <w:r>
              <w:rPr>
                <w:color w:val="auto"/>
                <w:spacing w:val="4"/>
                <w:sz w:val="24"/>
              </w:rPr>
              <w:t>△L——采取各种措施后的噪声衰减量，dB(A)。</w:t>
            </w:r>
          </w:p>
          <w:p w14:paraId="4A5AC4E3">
            <w:pPr>
              <w:adjustRightInd w:val="0"/>
              <w:snapToGrid w:val="0"/>
              <w:spacing w:line="360" w:lineRule="auto"/>
              <w:ind w:firstLine="480" w:firstLineChars="200"/>
              <w:rPr>
                <w:color w:val="auto"/>
                <w:sz w:val="24"/>
              </w:rPr>
            </w:pPr>
            <w:r>
              <w:rPr>
                <w:color w:val="auto"/>
                <w:sz w:val="24"/>
              </w:rPr>
              <w:t>（4）预测方案</w:t>
            </w:r>
          </w:p>
          <w:p w14:paraId="17AD947F">
            <w:pPr>
              <w:adjustRightInd w:val="0"/>
              <w:snapToGrid w:val="0"/>
              <w:spacing w:line="360" w:lineRule="auto"/>
              <w:ind w:firstLine="480" w:firstLineChars="200"/>
              <w:rPr>
                <w:color w:val="auto"/>
                <w:sz w:val="24"/>
              </w:rPr>
            </w:pPr>
            <w:r>
              <w:rPr>
                <w:color w:val="auto"/>
                <w:sz w:val="24"/>
              </w:rPr>
              <w:t>预测因子为等效连续A声级L</w:t>
            </w:r>
            <w:r>
              <w:rPr>
                <w:color w:val="auto"/>
                <w:sz w:val="24"/>
                <w:vertAlign w:val="subscript"/>
              </w:rPr>
              <w:t>eq</w:t>
            </w:r>
            <w:r>
              <w:rPr>
                <w:color w:val="auto"/>
                <w:sz w:val="24"/>
              </w:rPr>
              <w:t>(A)。</w:t>
            </w:r>
          </w:p>
          <w:p w14:paraId="7565DE38">
            <w:pPr>
              <w:adjustRightInd w:val="0"/>
              <w:snapToGrid w:val="0"/>
              <w:spacing w:line="360" w:lineRule="auto"/>
              <w:ind w:firstLine="480" w:firstLineChars="200"/>
              <w:rPr>
                <w:color w:val="auto"/>
                <w:sz w:val="24"/>
              </w:rPr>
            </w:pPr>
            <w:r>
              <w:rPr>
                <w:color w:val="auto"/>
                <w:sz w:val="24"/>
              </w:rPr>
              <w:t>预测内容为厂界噪声贡献值</w:t>
            </w:r>
            <w:r>
              <w:rPr>
                <w:rFonts w:hint="eastAsia"/>
                <w:color w:val="auto"/>
                <w:sz w:val="24"/>
                <w:lang w:eastAsia="zh-CN"/>
              </w:rPr>
              <w:t>、</w:t>
            </w:r>
            <w:r>
              <w:rPr>
                <w:rFonts w:hint="eastAsia"/>
                <w:color w:val="auto"/>
                <w:sz w:val="24"/>
                <w:lang w:val="en-US" w:eastAsia="zh-CN"/>
              </w:rPr>
              <w:t>敏感点噪声预测值</w:t>
            </w:r>
            <w:r>
              <w:rPr>
                <w:color w:val="auto"/>
                <w:sz w:val="24"/>
              </w:rPr>
              <w:t>。</w:t>
            </w:r>
          </w:p>
          <w:p w14:paraId="1974EC33">
            <w:pPr>
              <w:adjustRightInd w:val="0"/>
              <w:snapToGrid w:val="0"/>
              <w:spacing w:line="360" w:lineRule="auto"/>
              <w:ind w:firstLine="480" w:firstLineChars="200"/>
              <w:rPr>
                <w:color w:val="auto"/>
                <w:sz w:val="24"/>
              </w:rPr>
            </w:pPr>
            <w:r>
              <w:rPr>
                <w:color w:val="auto"/>
                <w:sz w:val="24"/>
              </w:rPr>
              <w:t>（5）预测结果与评价</w:t>
            </w:r>
          </w:p>
          <w:p w14:paraId="7FE607B5">
            <w:pPr>
              <w:adjustRightInd w:val="0"/>
              <w:snapToGrid w:val="0"/>
              <w:spacing w:line="360" w:lineRule="auto"/>
              <w:ind w:firstLine="480" w:firstLineChars="200"/>
              <w:rPr>
                <w:color w:val="auto"/>
                <w:sz w:val="24"/>
              </w:rPr>
            </w:pPr>
            <w:r>
              <w:rPr>
                <w:color w:val="auto"/>
                <w:sz w:val="24"/>
              </w:rPr>
              <w:t>本项目仅在昼间生产，夜间不生产，本次仅对昼间噪声值进行预测，噪声预测结果见表4-</w:t>
            </w:r>
            <w:r>
              <w:rPr>
                <w:rFonts w:hint="eastAsia"/>
                <w:color w:val="auto"/>
                <w:sz w:val="24"/>
                <w:lang w:val="en-US" w:eastAsia="zh-CN"/>
              </w:rPr>
              <w:t>11</w:t>
            </w:r>
            <w:r>
              <w:rPr>
                <w:color w:val="auto"/>
                <w:sz w:val="24"/>
              </w:rPr>
              <w:t>。</w:t>
            </w:r>
          </w:p>
          <w:p w14:paraId="78D13567">
            <w:pPr>
              <w:pStyle w:val="58"/>
              <w:ind w:firstLine="48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表4</w:t>
            </w:r>
            <w:r>
              <w:rPr>
                <w:rFonts w:hint="default" w:ascii="Times New Roman" w:hAnsi="Times New Roman" w:cs="Times New Roman"/>
                <w:color w:val="auto"/>
                <w:sz w:val="21"/>
                <w:szCs w:val="21"/>
                <w:lang w:val="en-US" w:eastAsia="zh-CN"/>
              </w:rPr>
              <w:t>-1</w:t>
            </w:r>
            <w:r>
              <w:rPr>
                <w:rFonts w:hint="eastAsia" w:cs="Times New Roman"/>
                <w:color w:val="auto"/>
                <w:sz w:val="21"/>
                <w:szCs w:val="21"/>
                <w:lang w:val="en-US" w:eastAsia="zh-CN"/>
              </w:rPr>
              <w:t>1</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噪声预测结果统计</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单位：dB（A）</w:t>
            </w:r>
          </w:p>
          <w:tbl>
            <w:tblPr>
              <w:tblStyle w:val="24"/>
              <w:tblW w:w="82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18"/>
              <w:gridCol w:w="1720"/>
              <w:gridCol w:w="1480"/>
              <w:gridCol w:w="1560"/>
              <w:gridCol w:w="1355"/>
            </w:tblGrid>
            <w:tr w14:paraId="7361D0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118" w:type="dxa"/>
                  <w:vMerge w:val="restart"/>
                  <w:tcBorders>
                    <w:tl2br w:val="nil"/>
                    <w:tr2bl w:val="nil"/>
                  </w:tcBorders>
                  <w:noWrap/>
                  <w:vAlign w:val="center"/>
                </w:tcPr>
                <w:p w14:paraId="6A6E4DE9">
                  <w:pPr>
                    <w:pStyle w:val="47"/>
                    <w:rPr>
                      <w:color w:val="auto"/>
                      <w:sz w:val="21"/>
                      <w:szCs w:val="21"/>
                    </w:rPr>
                  </w:pPr>
                  <w:r>
                    <w:rPr>
                      <w:color w:val="auto"/>
                      <w:sz w:val="21"/>
                      <w:szCs w:val="21"/>
                    </w:rPr>
                    <w:t>预测点位</w:t>
                  </w:r>
                </w:p>
              </w:tc>
              <w:tc>
                <w:tcPr>
                  <w:tcW w:w="6115" w:type="dxa"/>
                  <w:gridSpan w:val="4"/>
                  <w:tcBorders>
                    <w:tl2br w:val="nil"/>
                    <w:tr2bl w:val="nil"/>
                  </w:tcBorders>
                  <w:noWrap/>
                  <w:vAlign w:val="center"/>
                </w:tcPr>
                <w:p w14:paraId="467EF846">
                  <w:pPr>
                    <w:pStyle w:val="47"/>
                    <w:rPr>
                      <w:rFonts w:ascii="Times New Roman" w:hAnsi="Times New Roman" w:eastAsia="宋体" w:cs="Times New Roman"/>
                      <w:snapToGrid w:val="0"/>
                      <w:color w:val="auto"/>
                      <w:kern w:val="2"/>
                      <w:sz w:val="21"/>
                      <w:szCs w:val="21"/>
                      <w:lang w:val="en-US" w:eastAsia="zh-CN" w:bidi="ar-SA"/>
                    </w:rPr>
                  </w:pPr>
                  <w:r>
                    <w:rPr>
                      <w:color w:val="auto"/>
                      <w:sz w:val="21"/>
                      <w:szCs w:val="21"/>
                    </w:rPr>
                    <w:t>昼间</w:t>
                  </w:r>
                </w:p>
              </w:tc>
            </w:tr>
            <w:tr w14:paraId="7FDAFD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118" w:type="dxa"/>
                  <w:vMerge w:val="continue"/>
                  <w:tcBorders>
                    <w:tl2br w:val="nil"/>
                    <w:tr2bl w:val="nil"/>
                  </w:tcBorders>
                  <w:vAlign w:val="center"/>
                </w:tcPr>
                <w:p w14:paraId="475F11BF">
                  <w:pPr>
                    <w:pStyle w:val="47"/>
                    <w:rPr>
                      <w:color w:val="auto"/>
                      <w:sz w:val="21"/>
                      <w:szCs w:val="21"/>
                    </w:rPr>
                  </w:pPr>
                </w:p>
              </w:tc>
              <w:tc>
                <w:tcPr>
                  <w:tcW w:w="1720" w:type="dxa"/>
                  <w:tcBorders>
                    <w:tl2br w:val="nil"/>
                    <w:tr2bl w:val="nil"/>
                  </w:tcBorders>
                  <w:noWrap/>
                  <w:vAlign w:val="center"/>
                </w:tcPr>
                <w:p w14:paraId="437C5CD3">
                  <w:pPr>
                    <w:pStyle w:val="47"/>
                    <w:rPr>
                      <w:color w:val="auto"/>
                      <w:sz w:val="21"/>
                      <w:szCs w:val="21"/>
                    </w:rPr>
                  </w:pPr>
                  <w:r>
                    <w:rPr>
                      <w:color w:val="auto"/>
                      <w:sz w:val="21"/>
                      <w:szCs w:val="21"/>
                    </w:rPr>
                    <w:t>贡献值</w:t>
                  </w:r>
                </w:p>
              </w:tc>
              <w:tc>
                <w:tcPr>
                  <w:tcW w:w="1480" w:type="dxa"/>
                  <w:tcBorders>
                    <w:tl2br w:val="nil"/>
                    <w:tr2bl w:val="nil"/>
                  </w:tcBorders>
                  <w:vAlign w:val="center"/>
                </w:tcPr>
                <w:p w14:paraId="2029E640">
                  <w:pPr>
                    <w:pStyle w:val="47"/>
                    <w:rPr>
                      <w:rFonts w:hint="default" w:eastAsia="宋体"/>
                      <w:color w:val="auto"/>
                      <w:sz w:val="21"/>
                      <w:szCs w:val="21"/>
                      <w:lang w:val="en-US" w:eastAsia="zh-CN"/>
                    </w:rPr>
                  </w:pPr>
                  <w:r>
                    <w:rPr>
                      <w:rFonts w:hint="eastAsia"/>
                      <w:color w:val="auto"/>
                      <w:sz w:val="21"/>
                      <w:szCs w:val="21"/>
                      <w:lang w:val="en-US" w:eastAsia="zh-CN"/>
                    </w:rPr>
                    <w:t>现状值</w:t>
                  </w:r>
                </w:p>
              </w:tc>
              <w:tc>
                <w:tcPr>
                  <w:tcW w:w="1560" w:type="dxa"/>
                  <w:tcBorders>
                    <w:tl2br w:val="nil"/>
                    <w:tr2bl w:val="nil"/>
                  </w:tcBorders>
                  <w:vAlign w:val="center"/>
                </w:tcPr>
                <w:p w14:paraId="23B1E246">
                  <w:pPr>
                    <w:pStyle w:val="47"/>
                    <w:rPr>
                      <w:rFonts w:hint="eastAsia" w:eastAsia="宋体"/>
                      <w:color w:val="auto"/>
                      <w:sz w:val="21"/>
                      <w:szCs w:val="21"/>
                      <w:lang w:val="en-US" w:eastAsia="zh-CN"/>
                    </w:rPr>
                  </w:pPr>
                  <w:r>
                    <w:rPr>
                      <w:rFonts w:hint="eastAsia"/>
                      <w:color w:val="auto"/>
                      <w:sz w:val="21"/>
                      <w:szCs w:val="21"/>
                      <w:lang w:val="en-US" w:eastAsia="zh-CN"/>
                    </w:rPr>
                    <w:t>预测值</w:t>
                  </w:r>
                </w:p>
              </w:tc>
              <w:tc>
                <w:tcPr>
                  <w:tcW w:w="1355" w:type="dxa"/>
                  <w:tcBorders>
                    <w:tl2br w:val="nil"/>
                    <w:tr2bl w:val="nil"/>
                  </w:tcBorders>
                  <w:shd w:val="clear" w:color="auto" w:fill="auto"/>
                  <w:vAlign w:val="center"/>
                </w:tcPr>
                <w:p w14:paraId="38224E53">
                  <w:pPr>
                    <w:pStyle w:val="47"/>
                    <w:rPr>
                      <w:rFonts w:ascii="Times New Roman" w:hAnsi="Times New Roman" w:eastAsia="宋体" w:cs="Times New Roman"/>
                      <w:snapToGrid w:val="0"/>
                      <w:color w:val="auto"/>
                      <w:kern w:val="2"/>
                      <w:sz w:val="21"/>
                      <w:szCs w:val="21"/>
                      <w:lang w:val="en-US" w:eastAsia="zh-CN" w:bidi="ar-SA"/>
                    </w:rPr>
                  </w:pPr>
                  <w:r>
                    <w:rPr>
                      <w:color w:val="auto"/>
                      <w:sz w:val="21"/>
                      <w:szCs w:val="21"/>
                    </w:rPr>
                    <w:t>标准限值</w:t>
                  </w:r>
                </w:p>
              </w:tc>
            </w:tr>
            <w:tr w14:paraId="1A7E76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118" w:type="dxa"/>
                  <w:tcBorders>
                    <w:tl2br w:val="nil"/>
                    <w:tr2bl w:val="nil"/>
                  </w:tcBorders>
                  <w:noWrap/>
                  <w:vAlign w:val="center"/>
                </w:tcPr>
                <w:p w14:paraId="037B3361">
                  <w:pPr>
                    <w:pStyle w:val="47"/>
                    <w:rPr>
                      <w:color w:val="auto"/>
                      <w:sz w:val="21"/>
                      <w:szCs w:val="21"/>
                    </w:rPr>
                  </w:pPr>
                  <w:r>
                    <w:rPr>
                      <w:color w:val="auto"/>
                      <w:sz w:val="21"/>
                      <w:szCs w:val="21"/>
                    </w:rPr>
                    <w:t>东厂界</w:t>
                  </w:r>
                </w:p>
              </w:tc>
              <w:tc>
                <w:tcPr>
                  <w:tcW w:w="1720" w:type="dxa"/>
                  <w:tcBorders>
                    <w:tl2br w:val="nil"/>
                    <w:tr2bl w:val="nil"/>
                  </w:tcBorders>
                  <w:noWrap/>
                  <w:vAlign w:val="center"/>
                </w:tcPr>
                <w:p w14:paraId="3424347D">
                  <w:pPr>
                    <w:pStyle w:val="47"/>
                    <w:ind w:firstLine="0" w:firstLineChars="0"/>
                    <w:rPr>
                      <w:rFonts w:hint="default"/>
                      <w:color w:val="auto"/>
                      <w:sz w:val="21"/>
                      <w:szCs w:val="21"/>
                      <w:highlight w:val="none"/>
                      <w:lang w:val="en-US" w:eastAsia="zh-CN"/>
                    </w:rPr>
                  </w:pPr>
                  <w:r>
                    <w:rPr>
                      <w:rFonts w:hint="eastAsia" w:ascii="Times New Roman" w:hAnsi="Times New Roman" w:eastAsia="宋体" w:cs="Times New Roman"/>
                      <w:color w:val="auto"/>
                      <w:kern w:val="0"/>
                      <w:sz w:val="21"/>
                      <w:szCs w:val="21"/>
                      <w:lang w:val="en-US" w:eastAsia="zh-CN"/>
                    </w:rPr>
                    <w:t>57.6</w:t>
                  </w:r>
                </w:p>
              </w:tc>
              <w:tc>
                <w:tcPr>
                  <w:tcW w:w="1480" w:type="dxa"/>
                  <w:tcBorders>
                    <w:tl2br w:val="nil"/>
                    <w:tr2bl w:val="nil"/>
                  </w:tcBorders>
                  <w:vAlign w:val="center"/>
                </w:tcPr>
                <w:p w14:paraId="24CCAD8D">
                  <w:pPr>
                    <w:pStyle w:val="47"/>
                    <w:rPr>
                      <w:rFonts w:hint="eastAsia" w:eastAsia="宋体"/>
                      <w:color w:val="auto"/>
                      <w:sz w:val="21"/>
                      <w:szCs w:val="21"/>
                      <w:lang w:val="en-US" w:eastAsia="zh-CN"/>
                    </w:rPr>
                  </w:pPr>
                  <w:r>
                    <w:rPr>
                      <w:rFonts w:hint="eastAsia"/>
                      <w:color w:val="auto"/>
                      <w:sz w:val="21"/>
                      <w:szCs w:val="21"/>
                      <w:lang w:val="en-US" w:eastAsia="zh-CN"/>
                    </w:rPr>
                    <w:t>/</w:t>
                  </w:r>
                </w:p>
              </w:tc>
              <w:tc>
                <w:tcPr>
                  <w:tcW w:w="1560" w:type="dxa"/>
                  <w:tcBorders>
                    <w:tl2br w:val="nil"/>
                    <w:tr2bl w:val="nil"/>
                  </w:tcBorders>
                  <w:vAlign w:val="center"/>
                </w:tcPr>
                <w:p w14:paraId="683F0849">
                  <w:pPr>
                    <w:pStyle w:val="47"/>
                    <w:rPr>
                      <w:rFonts w:hint="eastAsia" w:eastAsia="宋体"/>
                      <w:color w:val="auto"/>
                      <w:sz w:val="21"/>
                      <w:szCs w:val="21"/>
                      <w:lang w:val="en-US" w:eastAsia="zh-CN"/>
                    </w:rPr>
                  </w:pPr>
                  <w:r>
                    <w:rPr>
                      <w:rFonts w:hint="eastAsia"/>
                      <w:color w:val="auto"/>
                      <w:sz w:val="21"/>
                      <w:szCs w:val="21"/>
                      <w:lang w:val="en-US" w:eastAsia="zh-CN"/>
                    </w:rPr>
                    <w:t>/</w:t>
                  </w:r>
                </w:p>
              </w:tc>
              <w:tc>
                <w:tcPr>
                  <w:tcW w:w="1355" w:type="dxa"/>
                  <w:tcBorders>
                    <w:tl2br w:val="nil"/>
                    <w:tr2bl w:val="nil"/>
                  </w:tcBorders>
                  <w:shd w:val="clear" w:color="auto" w:fill="auto"/>
                  <w:vAlign w:val="center"/>
                </w:tcPr>
                <w:p w14:paraId="5976CB17">
                  <w:pPr>
                    <w:jc w:val="center"/>
                    <w:rPr>
                      <w:rFonts w:ascii="Times New Roman" w:hAnsi="Times New Roman" w:eastAsia="宋体" w:cs="Times New Roman"/>
                      <w:snapToGrid w:val="0"/>
                      <w:color w:val="auto"/>
                      <w:kern w:val="2"/>
                      <w:sz w:val="21"/>
                      <w:szCs w:val="21"/>
                      <w:lang w:val="en-US" w:eastAsia="zh-CN" w:bidi="ar-SA"/>
                    </w:rPr>
                  </w:pPr>
                  <w:r>
                    <w:rPr>
                      <w:rFonts w:hint="eastAsia"/>
                      <w:color w:val="auto"/>
                      <w:sz w:val="21"/>
                      <w:szCs w:val="21"/>
                      <w:lang w:val="en-US" w:eastAsia="zh-CN"/>
                    </w:rPr>
                    <w:t>65</w:t>
                  </w:r>
                </w:p>
              </w:tc>
            </w:tr>
            <w:tr w14:paraId="578D55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118" w:type="dxa"/>
                  <w:tcBorders>
                    <w:tl2br w:val="nil"/>
                    <w:tr2bl w:val="nil"/>
                  </w:tcBorders>
                  <w:noWrap/>
                  <w:vAlign w:val="center"/>
                </w:tcPr>
                <w:p w14:paraId="61278D7C">
                  <w:pPr>
                    <w:pStyle w:val="47"/>
                    <w:rPr>
                      <w:color w:val="auto"/>
                      <w:sz w:val="21"/>
                      <w:szCs w:val="21"/>
                    </w:rPr>
                  </w:pPr>
                  <w:r>
                    <w:rPr>
                      <w:color w:val="auto"/>
                      <w:sz w:val="21"/>
                      <w:szCs w:val="21"/>
                    </w:rPr>
                    <w:t>南厂界</w:t>
                  </w:r>
                </w:p>
              </w:tc>
              <w:tc>
                <w:tcPr>
                  <w:tcW w:w="1720" w:type="dxa"/>
                  <w:tcBorders>
                    <w:tl2br w:val="nil"/>
                    <w:tr2bl w:val="nil"/>
                  </w:tcBorders>
                  <w:noWrap/>
                  <w:vAlign w:val="center"/>
                </w:tcPr>
                <w:p w14:paraId="3AD1AAC1">
                  <w:pPr>
                    <w:pStyle w:val="47"/>
                    <w:ind w:firstLine="0" w:firstLineChars="0"/>
                    <w:rPr>
                      <w:rFonts w:hint="default"/>
                      <w:color w:val="auto"/>
                      <w:sz w:val="21"/>
                      <w:szCs w:val="21"/>
                      <w:highlight w:val="none"/>
                      <w:lang w:val="en-US" w:eastAsia="zh-CN"/>
                    </w:rPr>
                  </w:pPr>
                  <w:r>
                    <w:rPr>
                      <w:rFonts w:hint="eastAsia" w:ascii="Times New Roman" w:hAnsi="Times New Roman" w:cs="Times New Roman"/>
                      <w:color w:val="auto"/>
                      <w:sz w:val="21"/>
                      <w:szCs w:val="21"/>
                      <w:lang w:val="en-US" w:eastAsia="zh-CN"/>
                    </w:rPr>
                    <w:t>57.1</w:t>
                  </w:r>
                </w:p>
              </w:tc>
              <w:tc>
                <w:tcPr>
                  <w:tcW w:w="1480" w:type="dxa"/>
                  <w:tcBorders>
                    <w:tl2br w:val="nil"/>
                    <w:tr2bl w:val="nil"/>
                  </w:tcBorders>
                  <w:vAlign w:val="center"/>
                </w:tcPr>
                <w:p w14:paraId="02CD6151">
                  <w:pPr>
                    <w:pStyle w:val="47"/>
                    <w:rPr>
                      <w:rFonts w:hint="eastAsia" w:eastAsia="宋体"/>
                      <w:color w:val="auto"/>
                      <w:sz w:val="21"/>
                      <w:szCs w:val="21"/>
                      <w:lang w:val="en-US" w:eastAsia="zh-CN"/>
                    </w:rPr>
                  </w:pPr>
                  <w:r>
                    <w:rPr>
                      <w:rFonts w:hint="eastAsia"/>
                      <w:color w:val="auto"/>
                      <w:sz w:val="21"/>
                      <w:szCs w:val="21"/>
                      <w:lang w:val="en-US" w:eastAsia="zh-CN"/>
                    </w:rPr>
                    <w:t>/</w:t>
                  </w:r>
                </w:p>
              </w:tc>
              <w:tc>
                <w:tcPr>
                  <w:tcW w:w="1560" w:type="dxa"/>
                  <w:tcBorders>
                    <w:tl2br w:val="nil"/>
                    <w:tr2bl w:val="nil"/>
                  </w:tcBorders>
                  <w:vAlign w:val="center"/>
                </w:tcPr>
                <w:p w14:paraId="56B98059">
                  <w:pPr>
                    <w:pStyle w:val="47"/>
                    <w:rPr>
                      <w:rFonts w:hint="eastAsia" w:eastAsia="宋体"/>
                      <w:color w:val="auto"/>
                      <w:sz w:val="21"/>
                      <w:szCs w:val="21"/>
                      <w:lang w:val="en-US" w:eastAsia="zh-CN"/>
                    </w:rPr>
                  </w:pPr>
                  <w:r>
                    <w:rPr>
                      <w:rFonts w:hint="eastAsia"/>
                      <w:color w:val="auto"/>
                      <w:sz w:val="21"/>
                      <w:szCs w:val="21"/>
                      <w:lang w:val="en-US" w:eastAsia="zh-CN"/>
                    </w:rPr>
                    <w:t>/</w:t>
                  </w:r>
                </w:p>
              </w:tc>
              <w:tc>
                <w:tcPr>
                  <w:tcW w:w="1355" w:type="dxa"/>
                  <w:tcBorders>
                    <w:tl2br w:val="nil"/>
                    <w:tr2bl w:val="nil"/>
                  </w:tcBorders>
                  <w:shd w:val="clear" w:color="auto" w:fill="auto"/>
                  <w:vAlign w:val="center"/>
                </w:tcPr>
                <w:p w14:paraId="3C03E8A3">
                  <w:pPr>
                    <w:jc w:val="center"/>
                    <w:rPr>
                      <w:rFonts w:ascii="Times New Roman" w:hAnsi="Times New Roman" w:eastAsia="宋体" w:cs="Times New Roman"/>
                      <w:snapToGrid w:val="0"/>
                      <w:color w:val="auto"/>
                      <w:kern w:val="2"/>
                      <w:sz w:val="21"/>
                      <w:szCs w:val="21"/>
                      <w:lang w:val="en-US" w:eastAsia="zh-CN" w:bidi="ar-SA"/>
                    </w:rPr>
                  </w:pPr>
                  <w:r>
                    <w:rPr>
                      <w:rFonts w:hint="eastAsia"/>
                      <w:color w:val="auto"/>
                      <w:sz w:val="21"/>
                      <w:szCs w:val="21"/>
                      <w:lang w:val="en-US" w:eastAsia="zh-CN"/>
                    </w:rPr>
                    <w:t>65</w:t>
                  </w:r>
                </w:p>
              </w:tc>
            </w:tr>
            <w:tr w14:paraId="2C1C67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118" w:type="dxa"/>
                  <w:tcBorders>
                    <w:tl2br w:val="nil"/>
                    <w:tr2bl w:val="nil"/>
                  </w:tcBorders>
                  <w:noWrap/>
                  <w:vAlign w:val="center"/>
                </w:tcPr>
                <w:p w14:paraId="08F6C555">
                  <w:pPr>
                    <w:pStyle w:val="47"/>
                    <w:rPr>
                      <w:color w:val="auto"/>
                      <w:sz w:val="21"/>
                      <w:szCs w:val="21"/>
                    </w:rPr>
                  </w:pPr>
                  <w:r>
                    <w:rPr>
                      <w:color w:val="auto"/>
                      <w:sz w:val="21"/>
                      <w:szCs w:val="21"/>
                    </w:rPr>
                    <w:t>西厂界</w:t>
                  </w:r>
                </w:p>
              </w:tc>
              <w:tc>
                <w:tcPr>
                  <w:tcW w:w="1720" w:type="dxa"/>
                  <w:tcBorders>
                    <w:tl2br w:val="nil"/>
                    <w:tr2bl w:val="nil"/>
                  </w:tcBorders>
                  <w:noWrap/>
                  <w:vAlign w:val="center"/>
                </w:tcPr>
                <w:p w14:paraId="266EB0BD">
                  <w:pPr>
                    <w:pStyle w:val="47"/>
                    <w:ind w:firstLine="0" w:firstLineChars="0"/>
                    <w:rPr>
                      <w:rFonts w:hint="default"/>
                      <w:color w:val="auto"/>
                      <w:sz w:val="21"/>
                      <w:szCs w:val="21"/>
                      <w:highlight w:val="none"/>
                      <w:lang w:val="en-US" w:eastAsia="zh-CN"/>
                    </w:rPr>
                  </w:pPr>
                  <w:r>
                    <w:rPr>
                      <w:rFonts w:hint="eastAsia" w:ascii="Times New Roman" w:hAnsi="Times New Roman" w:cs="Times New Roman"/>
                      <w:color w:val="auto"/>
                      <w:kern w:val="0"/>
                      <w:sz w:val="21"/>
                      <w:szCs w:val="21"/>
                      <w:lang w:val="en-US" w:eastAsia="zh-CN"/>
                    </w:rPr>
                    <w:t>57.2</w:t>
                  </w:r>
                </w:p>
              </w:tc>
              <w:tc>
                <w:tcPr>
                  <w:tcW w:w="1480" w:type="dxa"/>
                  <w:tcBorders>
                    <w:tl2br w:val="nil"/>
                    <w:tr2bl w:val="nil"/>
                  </w:tcBorders>
                  <w:vAlign w:val="center"/>
                </w:tcPr>
                <w:p w14:paraId="18248EF8">
                  <w:pPr>
                    <w:pStyle w:val="47"/>
                    <w:rPr>
                      <w:rFonts w:hint="eastAsia" w:eastAsia="宋体"/>
                      <w:color w:val="auto"/>
                      <w:sz w:val="21"/>
                      <w:szCs w:val="21"/>
                      <w:lang w:val="en-US" w:eastAsia="zh-CN"/>
                    </w:rPr>
                  </w:pPr>
                  <w:r>
                    <w:rPr>
                      <w:rFonts w:hint="eastAsia"/>
                      <w:color w:val="auto"/>
                      <w:sz w:val="21"/>
                      <w:szCs w:val="21"/>
                      <w:lang w:val="en-US" w:eastAsia="zh-CN"/>
                    </w:rPr>
                    <w:t>/</w:t>
                  </w:r>
                </w:p>
              </w:tc>
              <w:tc>
                <w:tcPr>
                  <w:tcW w:w="1560" w:type="dxa"/>
                  <w:tcBorders>
                    <w:tl2br w:val="nil"/>
                    <w:tr2bl w:val="nil"/>
                  </w:tcBorders>
                  <w:vAlign w:val="center"/>
                </w:tcPr>
                <w:p w14:paraId="38928F15">
                  <w:pPr>
                    <w:pStyle w:val="47"/>
                    <w:rPr>
                      <w:rFonts w:hint="eastAsia" w:eastAsia="宋体"/>
                      <w:color w:val="auto"/>
                      <w:sz w:val="21"/>
                      <w:szCs w:val="21"/>
                      <w:lang w:val="en-US" w:eastAsia="zh-CN"/>
                    </w:rPr>
                  </w:pPr>
                  <w:r>
                    <w:rPr>
                      <w:rFonts w:hint="eastAsia"/>
                      <w:color w:val="auto"/>
                      <w:sz w:val="21"/>
                      <w:szCs w:val="21"/>
                      <w:lang w:val="en-US" w:eastAsia="zh-CN"/>
                    </w:rPr>
                    <w:t>/</w:t>
                  </w:r>
                </w:p>
              </w:tc>
              <w:tc>
                <w:tcPr>
                  <w:tcW w:w="1355" w:type="dxa"/>
                  <w:tcBorders>
                    <w:tl2br w:val="nil"/>
                    <w:tr2bl w:val="nil"/>
                  </w:tcBorders>
                  <w:shd w:val="clear" w:color="auto" w:fill="auto"/>
                  <w:vAlign w:val="center"/>
                </w:tcPr>
                <w:p w14:paraId="082E06FE">
                  <w:pPr>
                    <w:jc w:val="center"/>
                    <w:rPr>
                      <w:rFonts w:ascii="Times New Roman" w:hAnsi="Times New Roman" w:eastAsia="宋体" w:cs="Times New Roman"/>
                      <w:snapToGrid w:val="0"/>
                      <w:color w:val="auto"/>
                      <w:kern w:val="2"/>
                      <w:sz w:val="21"/>
                      <w:szCs w:val="21"/>
                      <w:lang w:val="en-US" w:eastAsia="zh-CN" w:bidi="ar-SA"/>
                    </w:rPr>
                  </w:pPr>
                  <w:r>
                    <w:rPr>
                      <w:rFonts w:hint="eastAsia"/>
                      <w:color w:val="auto"/>
                      <w:sz w:val="21"/>
                      <w:szCs w:val="21"/>
                      <w:lang w:val="en-US" w:eastAsia="zh-CN"/>
                    </w:rPr>
                    <w:t>65</w:t>
                  </w:r>
                </w:p>
              </w:tc>
            </w:tr>
            <w:tr w14:paraId="6B3CA7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118" w:type="dxa"/>
                  <w:tcBorders>
                    <w:tl2br w:val="nil"/>
                    <w:tr2bl w:val="nil"/>
                  </w:tcBorders>
                  <w:noWrap/>
                  <w:vAlign w:val="center"/>
                </w:tcPr>
                <w:p w14:paraId="2F56EF7B">
                  <w:pPr>
                    <w:pStyle w:val="47"/>
                    <w:rPr>
                      <w:color w:val="auto"/>
                      <w:sz w:val="21"/>
                      <w:szCs w:val="21"/>
                    </w:rPr>
                  </w:pPr>
                  <w:r>
                    <w:rPr>
                      <w:color w:val="auto"/>
                      <w:sz w:val="21"/>
                      <w:szCs w:val="21"/>
                    </w:rPr>
                    <w:t>北厂界</w:t>
                  </w:r>
                </w:p>
              </w:tc>
              <w:tc>
                <w:tcPr>
                  <w:tcW w:w="1720" w:type="dxa"/>
                  <w:tcBorders>
                    <w:tl2br w:val="nil"/>
                    <w:tr2bl w:val="nil"/>
                  </w:tcBorders>
                  <w:noWrap/>
                  <w:vAlign w:val="center"/>
                </w:tcPr>
                <w:p w14:paraId="49740743">
                  <w:pPr>
                    <w:pStyle w:val="47"/>
                    <w:ind w:firstLine="0" w:firstLineChars="0"/>
                    <w:rPr>
                      <w:rFonts w:hint="default"/>
                      <w:color w:val="auto"/>
                      <w:sz w:val="21"/>
                      <w:szCs w:val="21"/>
                      <w:highlight w:val="none"/>
                      <w:lang w:val="en-US" w:eastAsia="zh-CN"/>
                    </w:rPr>
                  </w:pPr>
                  <w:r>
                    <w:rPr>
                      <w:rFonts w:hint="eastAsia" w:ascii="Times New Roman" w:hAnsi="Times New Roman" w:cs="Times New Roman"/>
                      <w:color w:val="auto"/>
                      <w:sz w:val="21"/>
                      <w:szCs w:val="21"/>
                      <w:lang w:val="en-US" w:eastAsia="zh-CN"/>
                    </w:rPr>
                    <w:t>57.0</w:t>
                  </w:r>
                </w:p>
              </w:tc>
              <w:tc>
                <w:tcPr>
                  <w:tcW w:w="1480" w:type="dxa"/>
                  <w:tcBorders>
                    <w:tl2br w:val="nil"/>
                    <w:tr2bl w:val="nil"/>
                  </w:tcBorders>
                  <w:vAlign w:val="center"/>
                </w:tcPr>
                <w:p w14:paraId="11B68F25">
                  <w:pPr>
                    <w:pStyle w:val="47"/>
                    <w:rPr>
                      <w:rFonts w:hint="default" w:eastAsia="宋体"/>
                      <w:color w:val="auto"/>
                      <w:sz w:val="21"/>
                      <w:szCs w:val="21"/>
                      <w:lang w:val="en-US" w:eastAsia="zh-CN"/>
                    </w:rPr>
                  </w:pPr>
                  <w:r>
                    <w:rPr>
                      <w:rFonts w:hint="eastAsia"/>
                      <w:color w:val="auto"/>
                      <w:sz w:val="21"/>
                      <w:szCs w:val="21"/>
                      <w:lang w:val="en-US" w:eastAsia="zh-CN"/>
                    </w:rPr>
                    <w:t>/</w:t>
                  </w:r>
                </w:p>
              </w:tc>
              <w:tc>
                <w:tcPr>
                  <w:tcW w:w="1560" w:type="dxa"/>
                  <w:tcBorders>
                    <w:tl2br w:val="nil"/>
                    <w:tr2bl w:val="nil"/>
                  </w:tcBorders>
                  <w:vAlign w:val="center"/>
                </w:tcPr>
                <w:p w14:paraId="4B6EBB0F">
                  <w:pPr>
                    <w:pStyle w:val="47"/>
                    <w:rPr>
                      <w:color w:val="auto"/>
                      <w:sz w:val="21"/>
                      <w:szCs w:val="21"/>
                    </w:rPr>
                  </w:pPr>
                  <w:r>
                    <w:rPr>
                      <w:rFonts w:hint="eastAsia"/>
                      <w:color w:val="auto"/>
                      <w:sz w:val="21"/>
                      <w:szCs w:val="21"/>
                      <w:lang w:val="en-US" w:eastAsia="zh-CN"/>
                    </w:rPr>
                    <w:t>/</w:t>
                  </w:r>
                </w:p>
              </w:tc>
              <w:tc>
                <w:tcPr>
                  <w:tcW w:w="1355" w:type="dxa"/>
                  <w:tcBorders>
                    <w:tl2br w:val="nil"/>
                    <w:tr2bl w:val="nil"/>
                  </w:tcBorders>
                  <w:shd w:val="clear" w:color="auto" w:fill="auto"/>
                  <w:vAlign w:val="center"/>
                </w:tcPr>
                <w:p w14:paraId="7E364CA9">
                  <w:pPr>
                    <w:jc w:val="center"/>
                    <w:rPr>
                      <w:rFonts w:ascii="Times New Roman" w:hAnsi="Times New Roman" w:eastAsia="宋体" w:cs="Times New Roman"/>
                      <w:snapToGrid w:val="0"/>
                      <w:color w:val="auto"/>
                      <w:kern w:val="2"/>
                      <w:sz w:val="21"/>
                      <w:szCs w:val="21"/>
                      <w:lang w:val="en-US" w:eastAsia="zh-CN" w:bidi="ar-SA"/>
                    </w:rPr>
                  </w:pPr>
                  <w:r>
                    <w:rPr>
                      <w:rFonts w:hint="eastAsia"/>
                      <w:color w:val="auto"/>
                      <w:sz w:val="21"/>
                      <w:szCs w:val="21"/>
                      <w:lang w:val="en-US" w:eastAsia="zh-CN"/>
                    </w:rPr>
                    <w:t>65</w:t>
                  </w:r>
                </w:p>
              </w:tc>
            </w:tr>
            <w:tr w14:paraId="7AF2FE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2118" w:type="dxa"/>
                  <w:tcBorders>
                    <w:tl2br w:val="nil"/>
                    <w:tr2bl w:val="nil"/>
                  </w:tcBorders>
                  <w:noWrap/>
                  <w:vAlign w:val="center"/>
                </w:tcPr>
                <w:p w14:paraId="7F26FE3E">
                  <w:pPr>
                    <w:pStyle w:val="47"/>
                    <w:rPr>
                      <w:rFonts w:hint="default" w:eastAsia="宋体"/>
                      <w:color w:val="auto"/>
                      <w:sz w:val="21"/>
                      <w:szCs w:val="21"/>
                      <w:lang w:val="en-US" w:eastAsia="zh-CN"/>
                    </w:rPr>
                  </w:pPr>
                  <w:r>
                    <w:rPr>
                      <w:rFonts w:hint="eastAsia"/>
                      <w:color w:val="auto"/>
                      <w:sz w:val="21"/>
                      <w:szCs w:val="21"/>
                      <w:lang w:val="en-US" w:eastAsia="zh-CN"/>
                    </w:rPr>
                    <w:t>村委会</w:t>
                  </w:r>
                </w:p>
              </w:tc>
              <w:tc>
                <w:tcPr>
                  <w:tcW w:w="1720" w:type="dxa"/>
                  <w:tcBorders>
                    <w:tl2br w:val="nil"/>
                    <w:tr2bl w:val="nil"/>
                  </w:tcBorders>
                  <w:noWrap/>
                  <w:vAlign w:val="center"/>
                </w:tcPr>
                <w:p w14:paraId="3192D332">
                  <w:pPr>
                    <w:pStyle w:val="47"/>
                    <w:rPr>
                      <w:rFonts w:hint="default"/>
                      <w:color w:val="auto"/>
                      <w:sz w:val="21"/>
                      <w:szCs w:val="21"/>
                      <w:highlight w:val="none"/>
                      <w:lang w:val="en-US" w:eastAsia="zh-CN"/>
                    </w:rPr>
                  </w:pPr>
                  <w:r>
                    <w:rPr>
                      <w:rFonts w:hint="eastAsia"/>
                      <w:color w:val="auto"/>
                      <w:sz w:val="21"/>
                      <w:szCs w:val="21"/>
                      <w:highlight w:val="none"/>
                      <w:lang w:val="en-US" w:eastAsia="zh-CN"/>
                    </w:rPr>
                    <w:t>31</w:t>
                  </w:r>
                </w:p>
              </w:tc>
              <w:tc>
                <w:tcPr>
                  <w:tcW w:w="1480" w:type="dxa"/>
                  <w:tcBorders>
                    <w:tl2br w:val="nil"/>
                    <w:tr2bl w:val="nil"/>
                  </w:tcBorders>
                  <w:vAlign w:val="center"/>
                </w:tcPr>
                <w:p w14:paraId="0DA1712A">
                  <w:pPr>
                    <w:pStyle w:val="47"/>
                    <w:rPr>
                      <w:rFonts w:hint="default" w:eastAsia="宋体"/>
                      <w:color w:val="auto"/>
                      <w:sz w:val="21"/>
                      <w:szCs w:val="21"/>
                      <w:highlight w:val="none"/>
                      <w:lang w:val="en-US" w:eastAsia="zh-CN"/>
                    </w:rPr>
                  </w:pPr>
                  <w:r>
                    <w:rPr>
                      <w:rFonts w:hint="eastAsia"/>
                      <w:color w:val="auto"/>
                      <w:sz w:val="21"/>
                      <w:szCs w:val="21"/>
                      <w:highlight w:val="none"/>
                      <w:lang w:val="en-US" w:eastAsia="zh-CN"/>
                    </w:rPr>
                    <w:t>55</w:t>
                  </w:r>
                </w:p>
              </w:tc>
              <w:tc>
                <w:tcPr>
                  <w:tcW w:w="1560" w:type="dxa"/>
                  <w:tcBorders>
                    <w:tl2br w:val="nil"/>
                    <w:tr2bl w:val="nil"/>
                  </w:tcBorders>
                  <w:vAlign w:val="center"/>
                </w:tcPr>
                <w:p w14:paraId="3DB64CBC">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55</w:t>
                  </w:r>
                </w:p>
              </w:tc>
              <w:tc>
                <w:tcPr>
                  <w:tcW w:w="1355" w:type="dxa"/>
                  <w:tcBorders>
                    <w:tl2br w:val="nil"/>
                    <w:tr2bl w:val="nil"/>
                  </w:tcBorders>
                  <w:vAlign w:val="center"/>
                </w:tcPr>
                <w:p w14:paraId="76EAD819">
                  <w:pPr>
                    <w:jc w:val="center"/>
                    <w:rPr>
                      <w:rFonts w:hint="default" w:eastAsia="宋体"/>
                      <w:color w:val="auto"/>
                      <w:sz w:val="21"/>
                      <w:szCs w:val="21"/>
                      <w:highlight w:val="none"/>
                      <w:lang w:val="en-US" w:eastAsia="zh-CN"/>
                    </w:rPr>
                  </w:pPr>
                  <w:r>
                    <w:rPr>
                      <w:rFonts w:hint="eastAsia"/>
                      <w:color w:val="auto"/>
                      <w:sz w:val="21"/>
                      <w:szCs w:val="21"/>
                      <w:lang w:val="en-US" w:eastAsia="zh-CN"/>
                    </w:rPr>
                    <w:t>65</w:t>
                  </w:r>
                </w:p>
              </w:tc>
            </w:tr>
            <w:tr w14:paraId="21B045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2118" w:type="dxa"/>
                  <w:tcBorders>
                    <w:tl2br w:val="nil"/>
                    <w:tr2bl w:val="nil"/>
                  </w:tcBorders>
                  <w:noWrap/>
                  <w:vAlign w:val="center"/>
                </w:tcPr>
                <w:p w14:paraId="11FA52B1">
                  <w:pPr>
                    <w:pStyle w:val="47"/>
                    <w:rPr>
                      <w:rFonts w:hint="eastAsia"/>
                      <w:color w:val="auto"/>
                      <w:sz w:val="21"/>
                      <w:szCs w:val="21"/>
                      <w:lang w:val="en-US" w:eastAsia="zh-CN"/>
                    </w:rPr>
                  </w:pPr>
                  <w:r>
                    <w:rPr>
                      <w:rFonts w:hint="eastAsia"/>
                      <w:color w:val="auto"/>
                      <w:sz w:val="21"/>
                      <w:szCs w:val="21"/>
                      <w:lang w:val="en-US" w:eastAsia="zh-CN"/>
                    </w:rPr>
                    <w:t>西安城建工程学校</w:t>
                  </w:r>
                </w:p>
              </w:tc>
              <w:tc>
                <w:tcPr>
                  <w:tcW w:w="1720" w:type="dxa"/>
                  <w:tcBorders>
                    <w:tl2br w:val="nil"/>
                    <w:tr2bl w:val="nil"/>
                  </w:tcBorders>
                  <w:noWrap/>
                  <w:vAlign w:val="center"/>
                </w:tcPr>
                <w:p w14:paraId="64D57211">
                  <w:pPr>
                    <w:pStyle w:val="47"/>
                    <w:rPr>
                      <w:rFonts w:hint="default"/>
                      <w:color w:val="auto"/>
                      <w:sz w:val="21"/>
                      <w:szCs w:val="21"/>
                      <w:highlight w:val="none"/>
                      <w:lang w:val="en-US" w:eastAsia="zh-CN"/>
                    </w:rPr>
                  </w:pPr>
                  <w:r>
                    <w:rPr>
                      <w:rFonts w:hint="eastAsia"/>
                      <w:color w:val="auto"/>
                      <w:sz w:val="21"/>
                      <w:szCs w:val="21"/>
                      <w:highlight w:val="none"/>
                      <w:lang w:val="en-US" w:eastAsia="zh-CN"/>
                    </w:rPr>
                    <w:t>57.6</w:t>
                  </w:r>
                </w:p>
              </w:tc>
              <w:tc>
                <w:tcPr>
                  <w:tcW w:w="1480" w:type="dxa"/>
                  <w:tcBorders>
                    <w:tl2br w:val="nil"/>
                    <w:tr2bl w:val="nil"/>
                  </w:tcBorders>
                  <w:shd w:val="clear" w:color="auto" w:fill="auto"/>
                  <w:vAlign w:val="center"/>
                </w:tcPr>
                <w:p w14:paraId="7A5C8971">
                  <w:pPr>
                    <w:pStyle w:val="47"/>
                    <w:ind w:firstLine="0" w:firstLineChars="0"/>
                    <w:rPr>
                      <w:rFonts w:hint="default" w:ascii="Times New Roman" w:hAnsi="Times New Roman" w:eastAsia="宋体" w:cs="Times New Roman"/>
                      <w:snapToGrid w:val="0"/>
                      <w:color w:val="auto"/>
                      <w:kern w:val="2"/>
                      <w:sz w:val="21"/>
                      <w:szCs w:val="21"/>
                      <w:highlight w:val="none"/>
                      <w:lang w:val="en-US" w:eastAsia="zh-CN" w:bidi="ar-SA"/>
                    </w:rPr>
                  </w:pPr>
                  <w:r>
                    <w:rPr>
                      <w:rFonts w:hint="eastAsia"/>
                      <w:color w:val="auto"/>
                      <w:sz w:val="21"/>
                      <w:szCs w:val="21"/>
                      <w:highlight w:val="none"/>
                      <w:lang w:val="en-US" w:eastAsia="zh-CN"/>
                    </w:rPr>
                    <w:t>52</w:t>
                  </w:r>
                </w:p>
              </w:tc>
              <w:tc>
                <w:tcPr>
                  <w:tcW w:w="1560" w:type="dxa"/>
                  <w:tcBorders>
                    <w:tl2br w:val="nil"/>
                    <w:tr2bl w:val="nil"/>
                  </w:tcBorders>
                  <w:shd w:val="clear" w:color="auto" w:fill="auto"/>
                  <w:vAlign w:val="center"/>
                </w:tcPr>
                <w:p w14:paraId="0BD5A284">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58.6</w:t>
                  </w:r>
                </w:p>
              </w:tc>
              <w:tc>
                <w:tcPr>
                  <w:tcW w:w="1355" w:type="dxa"/>
                  <w:tcBorders>
                    <w:tl2br w:val="nil"/>
                    <w:tr2bl w:val="nil"/>
                  </w:tcBorders>
                  <w:shd w:val="clear" w:color="auto" w:fill="auto"/>
                  <w:vAlign w:val="center"/>
                </w:tcPr>
                <w:p w14:paraId="0A4DABBD">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lang w:val="en-US" w:eastAsia="zh-CN"/>
                    </w:rPr>
                    <w:t>65</w:t>
                  </w:r>
                </w:p>
              </w:tc>
            </w:tr>
          </w:tbl>
          <w:p w14:paraId="157BF586">
            <w:pPr>
              <w:snapToGrid w:val="0"/>
              <w:spacing w:before="120" w:beforeLines="50" w:line="360" w:lineRule="auto"/>
              <w:ind w:firstLine="480" w:firstLineChars="200"/>
              <w:rPr>
                <w:color w:val="auto"/>
                <w:sz w:val="24"/>
              </w:rPr>
            </w:pPr>
            <w:r>
              <w:rPr>
                <w:rFonts w:hint="default" w:ascii="Times New Roman" w:hAnsi="Times New Roman" w:eastAsia="宋体" w:cs="Times New Roman"/>
                <w:color w:val="auto"/>
                <w:sz w:val="24"/>
                <w:szCs w:val="24"/>
              </w:rPr>
              <w:t>根据预测结果，项目运营期东、南、西、北厂界噪声均满足《工业企业厂界环境噪声排放标准》（GB12348-2008）中的</w:t>
            </w: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rPr>
              <w:t>类标准。</w:t>
            </w:r>
            <w:r>
              <w:rPr>
                <w:rFonts w:hint="eastAsia"/>
                <w:color w:val="auto"/>
                <w:sz w:val="24"/>
                <w:lang w:val="en-US" w:eastAsia="zh-CN"/>
              </w:rPr>
              <w:t>项目北侧居委会、东侧</w:t>
            </w:r>
            <w:r>
              <w:rPr>
                <w:rFonts w:hint="eastAsia" w:ascii="Times New Roman" w:hAnsi="Times New Roman" w:eastAsia="宋体" w:cs="Times New Roman"/>
                <w:color w:val="auto"/>
                <w:sz w:val="24"/>
                <w:lang w:val="en-US" w:eastAsia="zh-CN"/>
              </w:rPr>
              <w:t>西安城建工程学校噪声预测值昼间满足《声环境质量标准》（GB3096-2008</w:t>
            </w:r>
            <w:r>
              <w:rPr>
                <w:rFonts w:hint="eastAsia" w:ascii="Times New Roman" w:hAnsi="Times New Roman" w:eastAsia="宋体" w:cs="Times New Roman"/>
                <w:color w:val="auto"/>
                <w:sz w:val="24"/>
              </w:rPr>
              <w:t>）</w:t>
            </w:r>
            <w:r>
              <w:rPr>
                <w:rFonts w:hint="eastAsia" w:cs="Times New Roman"/>
                <w:color w:val="auto"/>
                <w:sz w:val="24"/>
                <w:lang w:val="en-US" w:eastAsia="zh-CN"/>
              </w:rPr>
              <w:t>3</w:t>
            </w:r>
            <w:r>
              <w:rPr>
                <w:rFonts w:hint="eastAsia" w:ascii="Times New Roman" w:hAnsi="Times New Roman" w:eastAsia="宋体" w:cs="Times New Roman"/>
                <w:color w:val="auto"/>
                <w:sz w:val="24"/>
              </w:rPr>
              <w:t>类标准</w:t>
            </w:r>
            <w:r>
              <w:rPr>
                <w:rFonts w:hint="eastAsia" w:ascii="Times New Roman" w:hAnsi="Times New Roman" w:eastAsia="宋体" w:cs="Times New Roman"/>
                <w:color w:val="auto"/>
                <w:sz w:val="24"/>
                <w:lang w:val="en-US" w:eastAsia="zh-CN"/>
              </w:rPr>
              <w:t>要求</w:t>
            </w:r>
            <w:r>
              <w:rPr>
                <w:rFonts w:ascii="Times New Roman" w:hAnsi="Times New Roman" w:eastAsia="宋体" w:cs="Times New Roman"/>
                <w:color w:val="auto"/>
                <w:sz w:val="24"/>
              </w:rPr>
              <w:t>，项目建成后对周边声环境影响较小。</w:t>
            </w:r>
          </w:p>
          <w:p w14:paraId="261E1BC5">
            <w:pPr>
              <w:snapToGrid w:val="0"/>
              <w:spacing w:line="360" w:lineRule="auto"/>
              <w:ind w:firstLine="480" w:firstLineChars="200"/>
              <w:rPr>
                <w:color w:val="auto"/>
                <w:sz w:val="24"/>
              </w:rPr>
            </w:pPr>
            <w:r>
              <w:rPr>
                <w:color w:val="auto"/>
                <w:sz w:val="24"/>
              </w:rPr>
              <w:t>（4）噪声措施</w:t>
            </w:r>
          </w:p>
          <w:p w14:paraId="43A39338">
            <w:pPr>
              <w:snapToGrid w:val="0"/>
              <w:spacing w:line="360" w:lineRule="auto"/>
              <w:ind w:firstLine="480" w:firstLineChars="200"/>
              <w:rPr>
                <w:color w:val="auto"/>
                <w:sz w:val="24"/>
              </w:rPr>
            </w:pPr>
            <w:r>
              <w:rPr>
                <w:color w:val="auto"/>
                <w:sz w:val="24"/>
              </w:rPr>
              <w:t>为了进一步降低噪声污染，建设单位已采取以下防治措施：</w:t>
            </w:r>
          </w:p>
          <w:p w14:paraId="270D74CA">
            <w:pPr>
              <w:snapToGrid w:val="0"/>
              <w:spacing w:line="360" w:lineRule="auto"/>
              <w:ind w:firstLine="480" w:firstLineChars="200"/>
              <w:rPr>
                <w:color w:val="auto"/>
                <w:sz w:val="24"/>
              </w:rPr>
            </w:pPr>
            <w:r>
              <w:rPr>
                <w:color w:val="auto"/>
                <w:sz w:val="24"/>
              </w:rPr>
              <w:t xml:space="preserve">①控制设备噪声 </w:t>
            </w:r>
          </w:p>
          <w:p w14:paraId="66E00C84">
            <w:pPr>
              <w:snapToGrid w:val="0"/>
              <w:spacing w:line="360" w:lineRule="auto"/>
              <w:ind w:firstLine="480" w:firstLineChars="200"/>
              <w:rPr>
                <w:snapToGrid w:val="0"/>
                <w:color w:val="auto"/>
                <w:sz w:val="24"/>
                <w:szCs w:val="22"/>
              </w:rPr>
            </w:pPr>
            <w:r>
              <w:rPr>
                <w:color w:val="auto"/>
                <w:sz w:val="24"/>
              </w:rPr>
              <w:t>设备选型时选用先进低噪声设备，在满足工艺设计的前提下，尽量选用满足国际标准的低噪声、低振动型号的设备，降低噪声源强。</w:t>
            </w:r>
            <w:r>
              <w:rPr>
                <w:snapToGrid w:val="0"/>
                <w:color w:val="auto"/>
                <w:sz w:val="24"/>
                <w:szCs w:val="22"/>
              </w:rPr>
              <w:t>高噪声</w:t>
            </w:r>
            <w:r>
              <w:rPr>
                <w:rFonts w:hint="eastAsia"/>
                <w:snapToGrid w:val="0"/>
                <w:color w:val="auto"/>
                <w:sz w:val="24"/>
                <w:szCs w:val="22"/>
                <w:lang w:val="en-US" w:eastAsia="zh-CN"/>
              </w:rPr>
              <w:t>设备布置在厂房内，安装减振基座等措施</w:t>
            </w:r>
            <w:r>
              <w:rPr>
                <w:snapToGrid w:val="0"/>
                <w:color w:val="auto"/>
                <w:sz w:val="24"/>
                <w:szCs w:val="22"/>
              </w:rPr>
              <w:t>。</w:t>
            </w:r>
          </w:p>
          <w:p w14:paraId="5D424BF6">
            <w:pPr>
              <w:snapToGrid w:val="0"/>
              <w:spacing w:line="360" w:lineRule="auto"/>
              <w:ind w:firstLine="480" w:firstLineChars="200"/>
              <w:rPr>
                <w:color w:val="auto"/>
                <w:sz w:val="24"/>
              </w:rPr>
            </w:pPr>
            <w:r>
              <w:rPr>
                <w:color w:val="auto"/>
                <w:sz w:val="24"/>
              </w:rPr>
              <w:t xml:space="preserve">②加强建筑物隔声措施 </w:t>
            </w:r>
          </w:p>
          <w:p w14:paraId="0A3A8016">
            <w:pPr>
              <w:snapToGrid w:val="0"/>
              <w:spacing w:line="360" w:lineRule="auto"/>
              <w:ind w:firstLine="480" w:firstLineChars="200"/>
              <w:rPr>
                <w:rFonts w:hint="eastAsia"/>
                <w:color w:val="auto"/>
                <w:sz w:val="24"/>
                <w:lang w:val="en-US" w:eastAsia="zh-CN"/>
              </w:rPr>
            </w:pPr>
            <w:r>
              <w:rPr>
                <w:color w:val="auto"/>
                <w:sz w:val="24"/>
              </w:rPr>
              <w:t>室内高噪声设备合理布局，有效利用了建筑隔声，并采取隔声材料制作门窗、墙体等，防止噪声的扩散和传播，正常生产时门窗密闭</w:t>
            </w:r>
            <w:r>
              <w:rPr>
                <w:rFonts w:hint="eastAsia"/>
                <w:color w:val="auto"/>
                <w:sz w:val="24"/>
                <w:lang w:eastAsia="zh-CN"/>
              </w:rPr>
              <w:t>。</w:t>
            </w:r>
            <w:r>
              <w:rPr>
                <w:rFonts w:hint="eastAsia" w:ascii="Times New Roman" w:hAnsi="Times New Roman" w:eastAsia="宋体" w:cs="Times New Roman"/>
                <w:color w:val="auto"/>
                <w:sz w:val="24"/>
                <w:lang w:val="en-US" w:eastAsia="zh-CN"/>
              </w:rPr>
              <w:t>西安城建工程学校</w:t>
            </w:r>
            <w:r>
              <w:rPr>
                <w:rFonts w:hint="eastAsia"/>
                <w:color w:val="auto"/>
                <w:sz w:val="24"/>
                <w:lang w:val="en-US" w:eastAsia="zh-CN"/>
              </w:rPr>
              <w:t>位于项目东侧，距离较近，为减轻噪声对</w:t>
            </w:r>
            <w:r>
              <w:rPr>
                <w:rFonts w:hint="eastAsia" w:ascii="Times New Roman" w:hAnsi="Times New Roman" w:eastAsia="宋体" w:cs="Times New Roman"/>
                <w:color w:val="auto"/>
                <w:sz w:val="24"/>
                <w:lang w:val="en-US" w:eastAsia="zh-CN"/>
              </w:rPr>
              <w:t>西安城建工程学校</w:t>
            </w:r>
            <w:r>
              <w:rPr>
                <w:rFonts w:hint="eastAsia"/>
                <w:color w:val="auto"/>
                <w:sz w:val="24"/>
                <w:lang w:val="en-US" w:eastAsia="zh-CN"/>
              </w:rPr>
              <w:t>的影响，高噪声设备尽量远离东侧布置。</w:t>
            </w:r>
          </w:p>
          <w:p w14:paraId="3A3F4189">
            <w:pPr>
              <w:snapToGrid w:val="0"/>
              <w:spacing w:line="360" w:lineRule="auto"/>
              <w:ind w:firstLine="480" w:firstLineChars="200"/>
              <w:rPr>
                <w:color w:val="auto"/>
                <w:sz w:val="24"/>
              </w:rPr>
            </w:pPr>
            <w:r>
              <w:rPr>
                <w:color w:val="auto"/>
                <w:sz w:val="24"/>
              </w:rPr>
              <w:t>③强化生产管理：</w:t>
            </w:r>
            <w:r>
              <w:rPr>
                <w:rFonts w:hint="eastAsia"/>
                <w:color w:val="auto"/>
                <w:sz w:val="24"/>
                <w:lang w:val="en-US" w:eastAsia="zh-CN"/>
              </w:rPr>
              <w:t>合理优化工作时间，禁止夜间生产（22:00-次日6:00）。</w:t>
            </w:r>
            <w:r>
              <w:rPr>
                <w:color w:val="auto"/>
                <w:sz w:val="24"/>
              </w:rPr>
              <w:t>加强职工环保意识教育，提倡文明生产，防止人为噪声；强化行车管理制度，设置降噪标准，严禁鸣笛，进入厂区低速行驶，最大限度减少流动噪声源。</w:t>
            </w:r>
          </w:p>
          <w:p w14:paraId="0F4322A4">
            <w:pPr>
              <w:snapToGrid w:val="0"/>
              <w:spacing w:line="360" w:lineRule="auto"/>
              <w:ind w:firstLine="480" w:firstLineChars="200"/>
              <w:rPr>
                <w:color w:val="auto"/>
                <w:sz w:val="24"/>
              </w:rPr>
            </w:pPr>
            <w:r>
              <w:rPr>
                <w:color w:val="auto"/>
                <w:sz w:val="24"/>
              </w:rPr>
              <w:t>严格按照上述治理措施降噪后，项目昼间噪声</w:t>
            </w:r>
            <w:r>
              <w:rPr>
                <w:rFonts w:hint="eastAsia"/>
                <w:color w:val="auto"/>
                <w:sz w:val="24"/>
                <w:lang w:val="en-US" w:eastAsia="zh-CN"/>
              </w:rPr>
              <w:t>贡献</w:t>
            </w:r>
            <w:r>
              <w:rPr>
                <w:color w:val="auto"/>
                <w:sz w:val="24"/>
              </w:rPr>
              <w:t>值均满足《工业企业厂界环境噪声排放标准》（GB12348-2008）</w:t>
            </w:r>
            <w:r>
              <w:rPr>
                <w:rFonts w:hint="eastAsia"/>
                <w:color w:val="auto"/>
                <w:sz w:val="24"/>
                <w:lang w:val="en-US" w:eastAsia="zh-CN"/>
              </w:rPr>
              <w:t>3</w:t>
            </w:r>
            <w:r>
              <w:rPr>
                <w:color w:val="auto"/>
                <w:sz w:val="24"/>
              </w:rPr>
              <w:t>类标准要求，</w:t>
            </w:r>
            <w:r>
              <w:rPr>
                <w:rFonts w:hint="eastAsia"/>
                <w:color w:val="auto"/>
                <w:sz w:val="24"/>
                <w:lang w:val="en-US" w:eastAsia="zh-CN"/>
              </w:rPr>
              <w:t>东侧</w:t>
            </w:r>
            <w:r>
              <w:rPr>
                <w:rFonts w:hint="eastAsia" w:ascii="Times New Roman" w:hAnsi="Times New Roman" w:eastAsia="宋体" w:cs="Times New Roman"/>
                <w:color w:val="auto"/>
                <w:sz w:val="24"/>
                <w:lang w:val="en-US" w:eastAsia="zh-CN"/>
              </w:rPr>
              <w:t>西安城建工程学校、北侧居委会</w:t>
            </w:r>
            <w:r>
              <w:rPr>
                <w:rFonts w:hint="eastAsia"/>
                <w:color w:val="auto"/>
                <w:sz w:val="24"/>
                <w:lang w:val="en-US" w:eastAsia="zh-CN"/>
              </w:rPr>
              <w:t>声环境质量预测值满足《</w:t>
            </w:r>
            <w:r>
              <w:rPr>
                <w:rFonts w:hint="eastAsia" w:ascii="Times New Roman" w:hAnsi="Times New Roman" w:eastAsia="宋体" w:cs="Times New Roman"/>
                <w:color w:val="auto"/>
                <w:sz w:val="24"/>
                <w:lang w:val="en-US" w:eastAsia="zh-CN"/>
              </w:rPr>
              <w:t>声环境质量标准</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GB</w:t>
            </w:r>
            <w:r>
              <w:rPr>
                <w:rFonts w:hint="eastAsia" w:ascii="Times New Roman" w:hAnsi="Times New Roman" w:eastAsia="宋体" w:cs="Times New Roman"/>
                <w:color w:val="auto"/>
                <w:sz w:val="24"/>
                <w:lang w:val="en-US" w:eastAsia="zh-CN"/>
              </w:rPr>
              <w:t>3096-</w:t>
            </w:r>
            <w:r>
              <w:rPr>
                <w:rFonts w:ascii="Times New Roman" w:hAnsi="Times New Roman" w:eastAsia="宋体" w:cs="Times New Roman"/>
                <w:color w:val="auto"/>
                <w:sz w:val="24"/>
              </w:rPr>
              <w:t>2008</w:t>
            </w:r>
            <w:r>
              <w:rPr>
                <w:rFonts w:hint="eastAsia" w:ascii="Times New Roman" w:hAnsi="Times New Roman" w:eastAsia="宋体" w:cs="Times New Roman"/>
                <w:color w:val="auto"/>
                <w:sz w:val="24"/>
              </w:rPr>
              <w:t>）</w:t>
            </w:r>
            <w:r>
              <w:rPr>
                <w:rFonts w:hint="eastAsia" w:cs="Times New Roman"/>
                <w:color w:val="auto"/>
                <w:sz w:val="24"/>
                <w:lang w:val="en-US" w:eastAsia="zh-CN"/>
              </w:rPr>
              <w:t>3</w:t>
            </w:r>
            <w:r>
              <w:rPr>
                <w:rFonts w:hint="eastAsia" w:ascii="Times New Roman" w:hAnsi="Times New Roman" w:eastAsia="宋体" w:cs="Times New Roman"/>
                <w:color w:val="auto"/>
                <w:sz w:val="24"/>
              </w:rPr>
              <w:t>类标准</w:t>
            </w:r>
            <w:r>
              <w:rPr>
                <w:rFonts w:hint="eastAsia" w:ascii="Times New Roman" w:hAnsi="Times New Roman" w:eastAsia="宋体" w:cs="Times New Roman"/>
                <w:color w:val="auto"/>
                <w:sz w:val="24"/>
                <w:lang w:val="en-US" w:eastAsia="zh-CN"/>
              </w:rPr>
              <w:t>要求</w:t>
            </w:r>
            <w:r>
              <w:rPr>
                <w:rFonts w:ascii="Times New Roman" w:hAnsi="Times New Roman" w:eastAsia="宋体" w:cs="Times New Roman"/>
                <w:color w:val="auto"/>
                <w:sz w:val="24"/>
              </w:rPr>
              <w:t>，</w:t>
            </w:r>
            <w:r>
              <w:rPr>
                <w:color w:val="auto"/>
                <w:sz w:val="24"/>
              </w:rPr>
              <w:t>噪声控制措施可行。</w:t>
            </w:r>
          </w:p>
          <w:p w14:paraId="71AC853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z w:val="24"/>
                <w:szCs w:val="24"/>
              </w:rPr>
            </w:pPr>
            <w:r>
              <w:rPr>
                <w:rStyle w:val="27"/>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5）监测要求</w:t>
            </w:r>
          </w:p>
          <w:p w14:paraId="24DAA577">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监测要求见表4-</w:t>
            </w:r>
            <w:r>
              <w:rPr>
                <w:rFonts w:hint="default"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rPr>
              <w:t>。</w:t>
            </w:r>
          </w:p>
          <w:p w14:paraId="08B92A1B">
            <w:pPr>
              <w:pStyle w:val="58"/>
              <w:keepNext w:val="0"/>
              <w:keepLines w:val="0"/>
              <w:pageBreakBefore w:val="0"/>
              <w:widowControl w:val="0"/>
              <w:kinsoku/>
              <w:wordWrap/>
              <w:overflowPunct/>
              <w:topLinePunct w:val="0"/>
              <w:autoSpaceDE/>
              <w:autoSpaceDN/>
              <w:bidi w:val="0"/>
              <w:adjustRightInd/>
              <w:snapToGrid/>
              <w:ind w:firstLine="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表4-</w:t>
            </w:r>
            <w:r>
              <w:rPr>
                <w:rFonts w:hint="default" w:ascii="Times New Roman" w:hAnsi="Times New Roman" w:eastAsia="宋体" w:cs="Times New Roman"/>
                <w:color w:val="auto"/>
                <w:sz w:val="21"/>
                <w:szCs w:val="21"/>
                <w:lang w:val="en-US" w:eastAsia="zh-CN"/>
              </w:rPr>
              <w:t>1</w:t>
            </w: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噪声监测要求</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018"/>
              <w:gridCol w:w="1505"/>
              <w:gridCol w:w="1473"/>
              <w:gridCol w:w="1362"/>
            </w:tblGrid>
            <w:tr w14:paraId="6FF2B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03" w:type="pct"/>
                  <w:tcBorders>
                    <w:tl2br w:val="nil"/>
                    <w:tr2bl w:val="nil"/>
                  </w:tcBorders>
                  <w:noWrap/>
                  <w:vAlign w:val="center"/>
                </w:tcPr>
                <w:p w14:paraId="4CBCC4D9">
                  <w:pPr>
                    <w:pStyle w:val="5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排放标准</w:t>
                  </w:r>
                </w:p>
              </w:tc>
              <w:tc>
                <w:tcPr>
                  <w:tcW w:w="900" w:type="pct"/>
                  <w:tcBorders>
                    <w:tl2br w:val="nil"/>
                    <w:tr2bl w:val="nil"/>
                  </w:tcBorders>
                  <w:noWrap/>
                  <w:vAlign w:val="center"/>
                </w:tcPr>
                <w:p w14:paraId="09B7E026">
                  <w:pPr>
                    <w:pStyle w:val="5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监测点位</w:t>
                  </w:r>
                </w:p>
              </w:tc>
              <w:tc>
                <w:tcPr>
                  <w:tcW w:w="881" w:type="pct"/>
                  <w:tcBorders>
                    <w:tl2br w:val="nil"/>
                    <w:tr2bl w:val="nil"/>
                  </w:tcBorders>
                  <w:noWrap/>
                  <w:vAlign w:val="center"/>
                </w:tcPr>
                <w:p w14:paraId="29BD581C">
                  <w:pPr>
                    <w:pStyle w:val="5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监测因子</w:t>
                  </w:r>
                </w:p>
              </w:tc>
              <w:tc>
                <w:tcPr>
                  <w:tcW w:w="814" w:type="pct"/>
                  <w:tcBorders>
                    <w:tl2br w:val="nil"/>
                    <w:tr2bl w:val="nil"/>
                  </w:tcBorders>
                  <w:noWrap/>
                  <w:vAlign w:val="center"/>
                </w:tcPr>
                <w:p w14:paraId="4A8DD2BD">
                  <w:pPr>
                    <w:pStyle w:val="5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监测频次</w:t>
                  </w:r>
                </w:p>
              </w:tc>
            </w:tr>
            <w:tr w14:paraId="31A07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2403" w:type="pct"/>
                  <w:tcBorders>
                    <w:tl2br w:val="nil"/>
                    <w:tr2bl w:val="nil"/>
                  </w:tcBorders>
                  <w:noWrap w:val="0"/>
                  <w:vAlign w:val="center"/>
                </w:tcPr>
                <w:p w14:paraId="4635A498">
                  <w:pPr>
                    <w:pStyle w:val="5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w:t>
                  </w:r>
                  <w:r>
                    <w:rPr>
                      <w:rFonts w:hint="eastAsia" w:cs="Times New Roman"/>
                      <w:color w:val="auto"/>
                      <w:sz w:val="21"/>
                      <w:szCs w:val="21"/>
                      <w:lang w:val="en-US" w:eastAsia="zh-CN"/>
                    </w:rPr>
                    <w:t>3</w:t>
                  </w:r>
                  <w:r>
                    <w:rPr>
                      <w:rFonts w:hint="default" w:ascii="Times New Roman" w:hAnsi="Times New Roman" w:cs="Times New Roman"/>
                      <w:color w:val="auto"/>
                      <w:sz w:val="21"/>
                      <w:szCs w:val="21"/>
                    </w:rPr>
                    <w:t>类标准</w:t>
                  </w:r>
                </w:p>
              </w:tc>
              <w:tc>
                <w:tcPr>
                  <w:tcW w:w="900" w:type="pct"/>
                  <w:tcBorders>
                    <w:tl2br w:val="nil"/>
                    <w:tr2bl w:val="nil"/>
                  </w:tcBorders>
                  <w:noWrap w:val="0"/>
                  <w:vAlign w:val="center"/>
                </w:tcPr>
                <w:p w14:paraId="6C380D14">
                  <w:pPr>
                    <w:pStyle w:val="5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厂界四周</w:t>
                  </w:r>
                </w:p>
              </w:tc>
              <w:tc>
                <w:tcPr>
                  <w:tcW w:w="881" w:type="pct"/>
                  <w:tcBorders>
                    <w:tl2br w:val="nil"/>
                    <w:tr2bl w:val="nil"/>
                  </w:tcBorders>
                  <w:noWrap/>
                  <w:vAlign w:val="center"/>
                </w:tcPr>
                <w:p w14:paraId="423AD548">
                  <w:pPr>
                    <w:pStyle w:val="5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814" w:type="pct"/>
                  <w:tcBorders>
                    <w:tl2br w:val="nil"/>
                    <w:tr2bl w:val="nil"/>
                  </w:tcBorders>
                  <w:noWrap w:val="0"/>
                  <w:vAlign w:val="center"/>
                </w:tcPr>
                <w:p w14:paraId="5266518F">
                  <w:pPr>
                    <w:pStyle w:val="5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每季度1次</w:t>
                  </w:r>
                </w:p>
              </w:tc>
            </w:tr>
          </w:tbl>
          <w:p w14:paraId="0914F5FA">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2"/>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由上表可知，本项目运营期设备噪声源强经基础减震、厂房隔声以及距离衰减后，项目厂界噪声符合《工业企业厂界环境噪声排放标准》</w:t>
            </w:r>
            <w:r>
              <w:rPr>
                <w:rFonts w:hint="eastAsia" w:cs="Times New Roman"/>
                <w:color w:val="auto"/>
                <w:sz w:val="24"/>
                <w:szCs w:val="24"/>
                <w:lang w:eastAsia="zh-CN"/>
              </w:rPr>
              <w:t>（</w:t>
            </w:r>
            <w:r>
              <w:rPr>
                <w:rFonts w:hint="default" w:ascii="Times New Roman" w:hAnsi="Times New Roman" w:cs="Times New Roman"/>
                <w:color w:val="auto"/>
                <w:sz w:val="24"/>
                <w:szCs w:val="24"/>
              </w:rPr>
              <w:t>GB12348-2008</w:t>
            </w:r>
            <w:r>
              <w:rPr>
                <w:rFonts w:hint="eastAsia" w:cs="Times New Roman"/>
                <w:color w:val="auto"/>
                <w:sz w:val="24"/>
                <w:szCs w:val="24"/>
                <w:lang w:eastAsia="zh-CN"/>
              </w:rPr>
              <w:t>）</w:t>
            </w:r>
            <w:r>
              <w:rPr>
                <w:rFonts w:hint="default" w:ascii="Times New Roman" w:hAnsi="Times New Roman" w:cs="Times New Roman"/>
                <w:color w:val="auto"/>
                <w:sz w:val="24"/>
                <w:szCs w:val="24"/>
              </w:rPr>
              <w:t>中的</w:t>
            </w:r>
            <w:r>
              <w:rPr>
                <w:rFonts w:hint="eastAsia" w:cs="Times New Roman"/>
                <w:color w:val="auto"/>
                <w:sz w:val="24"/>
                <w:szCs w:val="24"/>
                <w:lang w:val="en-US" w:eastAsia="zh-CN"/>
              </w:rPr>
              <w:t>3</w:t>
            </w:r>
            <w:r>
              <w:rPr>
                <w:rFonts w:hint="default" w:ascii="Times New Roman" w:hAnsi="Times New Roman" w:cs="Times New Roman"/>
                <w:color w:val="auto"/>
                <w:sz w:val="24"/>
                <w:szCs w:val="24"/>
              </w:rPr>
              <w:t>类标准。</w:t>
            </w:r>
          </w:p>
          <w:p w14:paraId="4E8C3CF1">
            <w:pPr>
              <w:spacing w:line="360" w:lineRule="auto"/>
              <w:ind w:firstLine="482"/>
              <w:rPr>
                <w:b/>
                <w:bCs/>
                <w:color w:val="auto"/>
                <w:kern w:val="0"/>
                <w:sz w:val="24"/>
                <w:szCs w:val="20"/>
              </w:rPr>
            </w:pPr>
            <w:r>
              <w:rPr>
                <w:b/>
                <w:bCs/>
                <w:color w:val="auto"/>
                <w:kern w:val="0"/>
                <w:sz w:val="24"/>
                <w:szCs w:val="20"/>
              </w:rPr>
              <w:t>4、固体废物</w:t>
            </w:r>
          </w:p>
          <w:p w14:paraId="1FEE9F81">
            <w:pPr>
              <w:spacing w:line="360" w:lineRule="auto"/>
              <w:ind w:firstLine="480" w:firstLineChars="200"/>
              <w:rPr>
                <w:bCs/>
                <w:color w:val="auto"/>
                <w:kern w:val="0"/>
                <w:sz w:val="24"/>
                <w:szCs w:val="20"/>
              </w:rPr>
            </w:pPr>
            <w:r>
              <w:rPr>
                <w:bCs/>
                <w:color w:val="auto"/>
                <w:kern w:val="0"/>
                <w:sz w:val="24"/>
                <w:szCs w:val="20"/>
              </w:rPr>
              <w:t>本项目产生固废主要分为</w:t>
            </w:r>
            <w:r>
              <w:rPr>
                <w:rFonts w:hint="eastAsia"/>
                <w:bCs/>
                <w:color w:val="auto"/>
                <w:kern w:val="0"/>
                <w:sz w:val="24"/>
                <w:szCs w:val="20"/>
                <w:lang w:val="en-US" w:eastAsia="zh-CN"/>
              </w:rPr>
              <w:t>一般固废、危险废物</w:t>
            </w:r>
            <w:r>
              <w:rPr>
                <w:bCs/>
                <w:color w:val="auto"/>
                <w:kern w:val="0"/>
                <w:sz w:val="24"/>
                <w:szCs w:val="20"/>
              </w:rPr>
              <w:t>及生活垃圾。</w:t>
            </w:r>
          </w:p>
          <w:p w14:paraId="56944908">
            <w:pPr>
              <w:spacing w:line="360" w:lineRule="auto"/>
              <w:ind w:firstLine="480" w:firstLineChars="200"/>
              <w:contextualSpacing/>
              <w:rPr>
                <w:bCs/>
                <w:color w:val="auto"/>
                <w:kern w:val="0"/>
                <w:sz w:val="24"/>
                <w:szCs w:val="20"/>
              </w:rPr>
            </w:pPr>
            <w:r>
              <w:rPr>
                <w:rFonts w:hint="eastAsia"/>
                <w:bCs/>
                <w:color w:val="auto"/>
                <w:kern w:val="0"/>
                <w:sz w:val="24"/>
                <w:szCs w:val="20"/>
                <w:lang w:val="en-US" w:eastAsia="zh-CN"/>
              </w:rPr>
              <w:t>（1）一般</w:t>
            </w:r>
            <w:r>
              <w:rPr>
                <w:bCs/>
                <w:color w:val="auto"/>
                <w:kern w:val="0"/>
                <w:sz w:val="24"/>
                <w:szCs w:val="20"/>
              </w:rPr>
              <w:t>固废</w:t>
            </w:r>
          </w:p>
          <w:p w14:paraId="36A4F566">
            <w:pPr>
              <w:spacing w:line="360" w:lineRule="auto"/>
              <w:ind w:firstLine="480" w:firstLineChars="200"/>
              <w:contextualSpacing/>
              <w:rPr>
                <w:rFonts w:hint="default" w:ascii="Times New Roman" w:hAnsi="Times New Roman" w:cs="Times New Roman"/>
                <w:bCs/>
                <w:color w:val="0000FF"/>
                <w:kern w:val="0"/>
                <w:sz w:val="24"/>
                <w:szCs w:val="20"/>
              </w:rPr>
            </w:pPr>
            <w:r>
              <w:rPr>
                <w:bCs/>
                <w:color w:val="auto"/>
                <w:kern w:val="0"/>
                <w:sz w:val="24"/>
                <w:szCs w:val="20"/>
              </w:rPr>
              <w:t>本项目生产固废主要包括一般固废：</w:t>
            </w:r>
            <w:r>
              <w:rPr>
                <w:rFonts w:hint="eastAsia"/>
                <w:bCs/>
                <w:color w:val="auto"/>
                <w:kern w:val="0"/>
                <w:sz w:val="24"/>
                <w:szCs w:val="20"/>
                <w:lang w:val="en-US" w:eastAsia="zh-CN"/>
              </w:rPr>
              <w:t>废砂轮、废陶瓷壳、除尘灰、废布袋和废沉渣</w:t>
            </w:r>
            <w:r>
              <w:rPr>
                <w:bCs/>
                <w:color w:val="auto"/>
                <w:kern w:val="0"/>
                <w:sz w:val="24"/>
                <w:szCs w:val="20"/>
                <w:highlight w:val="none"/>
              </w:rPr>
              <w:t>。</w:t>
            </w:r>
          </w:p>
          <w:p w14:paraId="644392F1">
            <w:pPr>
              <w:spacing w:line="360" w:lineRule="auto"/>
              <w:ind w:firstLine="480" w:firstLineChars="200"/>
              <w:contextualSpacing/>
              <w:rPr>
                <w:rFonts w:hint="default" w:cs="Times New Roman"/>
                <w:bCs/>
                <w:color w:val="auto"/>
                <w:kern w:val="0"/>
                <w:sz w:val="24"/>
                <w:szCs w:val="20"/>
                <w:lang w:val="en-US" w:eastAsia="zh-CN"/>
              </w:rPr>
            </w:pPr>
            <w:r>
              <w:rPr>
                <w:rFonts w:hint="eastAsia"/>
                <w:bCs/>
                <w:color w:val="auto"/>
                <w:sz w:val="24"/>
                <w:lang w:val="en-US" w:eastAsia="zh-CN"/>
              </w:rPr>
              <w:t>根据建设单位提供资料，废砂轮片产生量约7.5t/a；</w:t>
            </w:r>
            <w:r>
              <w:rPr>
                <w:rFonts w:hint="eastAsia" w:cs="Times New Roman"/>
                <w:bCs/>
                <w:color w:val="auto"/>
                <w:kern w:val="0"/>
                <w:sz w:val="24"/>
                <w:szCs w:val="20"/>
                <w:lang w:val="en-US" w:eastAsia="zh-CN"/>
              </w:rPr>
              <w:t>根据工程分析，钛铸件振壳过程中会产生废陶瓷壳，废陶瓷壳产生量约7t/a，</w:t>
            </w:r>
            <w:r>
              <w:rPr>
                <w:rFonts w:hint="eastAsia"/>
                <w:bCs/>
                <w:color w:val="auto"/>
                <w:sz w:val="24"/>
                <w:lang w:val="en-US" w:eastAsia="zh-CN"/>
              </w:rPr>
              <w:t>暂存于一般固废暂存区后外售处理。</w:t>
            </w:r>
          </w:p>
          <w:p w14:paraId="75DFDB31">
            <w:pPr>
              <w:spacing w:line="360" w:lineRule="auto"/>
              <w:ind w:firstLine="480" w:firstLineChars="200"/>
              <w:rPr>
                <w:rFonts w:hint="default" w:eastAsia="宋体"/>
                <w:bCs/>
                <w:color w:val="auto"/>
                <w:kern w:val="0"/>
                <w:sz w:val="24"/>
                <w:szCs w:val="20"/>
                <w:lang w:val="en-US" w:eastAsia="zh-CN"/>
              </w:rPr>
            </w:pPr>
            <w:r>
              <w:rPr>
                <w:rFonts w:hint="eastAsia" w:cs="Times New Roman"/>
                <w:bCs/>
                <w:color w:val="auto"/>
                <w:kern w:val="0"/>
                <w:sz w:val="24"/>
                <w:szCs w:val="20"/>
                <w:lang w:val="en-US" w:eastAsia="zh-CN"/>
              </w:rPr>
              <w:t>根据工程分析，喷砂工序废气处理过程中会产生除尘灰，产生量为</w:t>
            </w:r>
            <w:r>
              <w:rPr>
                <w:rFonts w:hint="eastAsia" w:cs="Times New Roman"/>
                <w:bCs/>
                <w:color w:val="auto"/>
                <w:kern w:val="0"/>
                <w:sz w:val="24"/>
                <w:szCs w:val="20"/>
                <w:highlight w:val="none"/>
                <w:lang w:val="en-US" w:eastAsia="zh-CN"/>
              </w:rPr>
              <w:t>0.658t/a；</w:t>
            </w:r>
            <w:r>
              <w:rPr>
                <w:rFonts w:hint="eastAsia"/>
                <w:bCs/>
                <w:color w:val="auto"/>
                <w:kern w:val="0"/>
                <w:sz w:val="24"/>
                <w:szCs w:val="20"/>
                <w:lang w:val="en-US" w:eastAsia="zh-CN"/>
              </w:rPr>
              <w:t>喷淋塔除尘配套的循环水池需定期清理沉渣，产生量约7.5t/a，</w:t>
            </w:r>
            <w:r>
              <w:rPr>
                <w:rFonts w:hint="eastAsia" w:cs="Times New Roman"/>
                <w:bCs/>
                <w:color w:val="auto"/>
                <w:kern w:val="0"/>
                <w:sz w:val="24"/>
                <w:szCs w:val="20"/>
                <w:highlight w:val="none"/>
                <w:lang w:val="en-US" w:eastAsia="zh-CN"/>
              </w:rPr>
              <w:t>收集后统一外售处理。</w:t>
            </w:r>
          </w:p>
          <w:p w14:paraId="4EAA1543">
            <w:pPr>
              <w:spacing w:line="360" w:lineRule="auto"/>
              <w:ind w:firstLine="480" w:firstLineChars="200"/>
              <w:rPr>
                <w:rFonts w:hint="default" w:eastAsia="宋体"/>
                <w:bCs/>
                <w:color w:val="auto"/>
                <w:kern w:val="0"/>
                <w:sz w:val="24"/>
                <w:szCs w:val="20"/>
                <w:lang w:val="en-US" w:eastAsia="zh-CN"/>
              </w:rPr>
            </w:pPr>
            <w:r>
              <w:rPr>
                <w:rFonts w:hint="eastAsia" w:cs="Times New Roman"/>
                <w:bCs/>
                <w:color w:val="auto"/>
                <w:kern w:val="0"/>
                <w:sz w:val="24"/>
                <w:szCs w:val="20"/>
                <w:lang w:val="en-US" w:eastAsia="zh-CN"/>
              </w:rPr>
              <w:t>根据建设单位提供资料，</w:t>
            </w:r>
            <w:r>
              <w:rPr>
                <w:rFonts w:hint="eastAsia"/>
                <w:bCs/>
                <w:color w:val="auto"/>
                <w:kern w:val="0"/>
                <w:sz w:val="24"/>
                <w:szCs w:val="20"/>
                <w:lang w:val="en-US" w:eastAsia="zh-CN"/>
              </w:rPr>
              <w:t>袋式除尘器中的布袋需定期更换，产生量为0.1t/a，</w:t>
            </w:r>
            <w:r>
              <w:rPr>
                <w:rFonts w:hint="eastAsia"/>
                <w:bCs/>
                <w:color w:val="auto"/>
                <w:sz w:val="24"/>
                <w:lang w:val="en-US" w:eastAsia="zh-CN"/>
              </w:rPr>
              <w:t>暂存于一般固废暂存区后外售处理。</w:t>
            </w:r>
          </w:p>
          <w:p w14:paraId="5D78FA00">
            <w:pPr>
              <w:spacing w:line="360" w:lineRule="auto"/>
              <w:ind w:firstLine="480" w:firstLineChars="200"/>
              <w:rPr>
                <w:bCs/>
                <w:color w:val="auto"/>
                <w:kern w:val="0"/>
                <w:sz w:val="24"/>
                <w:szCs w:val="20"/>
              </w:rPr>
            </w:pPr>
            <w:r>
              <w:rPr>
                <w:rFonts w:hint="eastAsia"/>
                <w:bCs/>
                <w:color w:val="auto"/>
                <w:kern w:val="0"/>
                <w:sz w:val="24"/>
                <w:szCs w:val="20"/>
                <w:lang w:eastAsia="zh-CN"/>
              </w:rPr>
              <w:t>（</w:t>
            </w:r>
            <w:r>
              <w:rPr>
                <w:rFonts w:hint="eastAsia"/>
                <w:bCs/>
                <w:color w:val="auto"/>
                <w:kern w:val="0"/>
                <w:sz w:val="24"/>
                <w:szCs w:val="20"/>
                <w:lang w:val="en-US" w:eastAsia="zh-CN"/>
              </w:rPr>
              <w:t>2</w:t>
            </w:r>
            <w:r>
              <w:rPr>
                <w:rFonts w:hint="eastAsia"/>
                <w:bCs/>
                <w:color w:val="auto"/>
                <w:kern w:val="0"/>
                <w:sz w:val="24"/>
                <w:szCs w:val="20"/>
                <w:lang w:eastAsia="zh-CN"/>
              </w:rPr>
              <w:t>）</w:t>
            </w:r>
            <w:r>
              <w:rPr>
                <w:bCs/>
                <w:color w:val="auto"/>
                <w:kern w:val="0"/>
                <w:sz w:val="24"/>
                <w:szCs w:val="20"/>
              </w:rPr>
              <w:t>生活垃圾</w:t>
            </w:r>
          </w:p>
          <w:p w14:paraId="0A2DDAB3">
            <w:pPr>
              <w:spacing w:line="360" w:lineRule="auto"/>
              <w:ind w:firstLine="480" w:firstLineChars="200"/>
              <w:rPr>
                <w:color w:val="auto"/>
                <w:sz w:val="24"/>
              </w:rPr>
            </w:pPr>
            <w:r>
              <w:rPr>
                <w:color w:val="auto"/>
                <w:sz w:val="24"/>
              </w:rPr>
              <w:t>项目劳动定员</w:t>
            </w:r>
            <w:r>
              <w:rPr>
                <w:rFonts w:hint="eastAsia"/>
                <w:color w:val="auto"/>
                <w:sz w:val="24"/>
                <w:lang w:val="en-US" w:eastAsia="zh-CN"/>
              </w:rPr>
              <w:t>3</w:t>
            </w:r>
            <w:r>
              <w:rPr>
                <w:color w:val="auto"/>
                <w:sz w:val="24"/>
              </w:rPr>
              <w:t>0人，生活垃圾产生量取0.5kg/人·d，年工作日</w:t>
            </w:r>
            <w:r>
              <w:rPr>
                <w:rFonts w:hint="eastAsia"/>
                <w:color w:val="auto"/>
                <w:sz w:val="24"/>
                <w:lang w:val="en-US" w:eastAsia="zh-CN"/>
              </w:rPr>
              <w:t>300</w:t>
            </w:r>
            <w:r>
              <w:rPr>
                <w:color w:val="auto"/>
                <w:sz w:val="24"/>
              </w:rPr>
              <w:t>天，本项目生活垃圾产生量</w:t>
            </w:r>
            <w:r>
              <w:rPr>
                <w:rFonts w:hint="eastAsia"/>
                <w:color w:val="auto"/>
                <w:sz w:val="24"/>
                <w:lang w:val="en-US" w:eastAsia="zh-CN"/>
              </w:rPr>
              <w:t>4.5</w:t>
            </w:r>
            <w:r>
              <w:rPr>
                <w:color w:val="auto"/>
                <w:sz w:val="24"/>
              </w:rPr>
              <w:t>t/a，设垃圾桶分类收集后定期交由当地环卫部门处置。</w:t>
            </w:r>
          </w:p>
          <w:p w14:paraId="18400410">
            <w:pPr>
              <w:adjustRightIn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3</w:t>
            </w:r>
            <w:r>
              <w:rPr>
                <w:color w:val="000000" w:themeColor="text1"/>
                <w:sz w:val="24"/>
                <w14:textFill>
                  <w14:solidFill>
                    <w14:schemeClr w14:val="tx1"/>
                  </w14:solidFill>
                </w14:textFill>
              </w:rPr>
              <w:t>）危险废物</w:t>
            </w:r>
          </w:p>
          <w:p w14:paraId="138ACF97">
            <w:pPr>
              <w:adjustRightIn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本项目产生的危险废物包括</w:t>
            </w:r>
            <w:r>
              <w:rPr>
                <w:bCs/>
                <w:color w:val="000000" w:themeColor="text1"/>
                <w:kern w:val="0"/>
                <w:sz w:val="24"/>
                <w14:textFill>
                  <w14:solidFill>
                    <w14:schemeClr w14:val="tx1"/>
                  </w14:solidFill>
                </w14:textFill>
              </w:rPr>
              <w:t>废油桶</w:t>
            </w:r>
            <w:r>
              <w:rPr>
                <w:rFonts w:hint="eastAsia"/>
                <w:bCs/>
                <w:color w:val="000000" w:themeColor="text1"/>
                <w:kern w:val="0"/>
                <w:sz w:val="24"/>
                <w:lang w:eastAsia="zh-CN"/>
                <w14:textFill>
                  <w14:solidFill>
                    <w14:schemeClr w14:val="tx1"/>
                  </w14:solidFill>
                </w14:textFill>
              </w:rPr>
              <w:t>、</w:t>
            </w:r>
            <w:r>
              <w:rPr>
                <w:rFonts w:hint="eastAsia"/>
                <w:bCs/>
                <w:color w:val="000000" w:themeColor="text1"/>
                <w:kern w:val="0"/>
                <w:sz w:val="24"/>
                <w:lang w:val="en-US" w:eastAsia="zh-CN"/>
                <w14:textFill>
                  <w14:solidFill>
                    <w14:schemeClr w14:val="tx1"/>
                  </w14:solidFill>
                </w14:textFill>
              </w:rPr>
              <w:t>废油类、废</w:t>
            </w:r>
            <w:r>
              <w:rPr>
                <w:bCs/>
                <w:color w:val="000000" w:themeColor="text1"/>
                <w:kern w:val="0"/>
                <w:sz w:val="24"/>
                <w14:textFill>
                  <w14:solidFill>
                    <w14:schemeClr w14:val="tx1"/>
                  </w14:solidFill>
                </w14:textFill>
              </w:rPr>
              <w:t>含油手套</w:t>
            </w:r>
            <w:r>
              <w:rPr>
                <w:rFonts w:hint="eastAsia"/>
                <w:bCs/>
                <w:color w:val="000000" w:themeColor="text1"/>
                <w:kern w:val="0"/>
                <w:sz w:val="24"/>
                <w:lang w:val="en-US" w:eastAsia="zh-CN"/>
                <w14:textFill>
                  <w14:solidFill>
                    <w14:schemeClr w14:val="tx1"/>
                  </w14:solidFill>
                </w14:textFill>
              </w:rPr>
              <w:t>抹布</w:t>
            </w:r>
            <w:r>
              <w:rPr>
                <w:color w:val="000000" w:themeColor="text1"/>
                <w:sz w:val="24"/>
                <w14:textFill>
                  <w14:solidFill>
                    <w14:schemeClr w14:val="tx1"/>
                  </w14:solidFill>
                </w14:textFill>
              </w:rPr>
              <w:t>。</w:t>
            </w:r>
          </w:p>
          <w:p w14:paraId="07A9E715">
            <w:pPr>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eastAsia="宋体" w:cs="Times New Roman"/>
                <w:color w:val="000000" w:themeColor="text1"/>
                <w:sz w:val="24"/>
                <w:szCs w:val="24"/>
                <w:lang w:val="en-US" w:eastAsia="zh-CN"/>
                <w14:textFill>
                  <w14:solidFill>
                    <w14:schemeClr w14:val="tx1"/>
                  </w14:solidFill>
                </w14:textFill>
              </w:rPr>
              <w:t>①</w:t>
            </w:r>
            <w:r>
              <w:rPr>
                <w:rFonts w:hint="default" w:ascii="Times New Roman" w:hAnsi="Times New Roman" w:eastAsia="宋体" w:cs="Times New Roman"/>
                <w:color w:val="000000" w:themeColor="text1"/>
                <w:sz w:val="24"/>
                <w:szCs w:val="24"/>
                <w14:textFill>
                  <w14:solidFill>
                    <w14:schemeClr w14:val="tx1"/>
                  </w14:solidFill>
                </w14:textFill>
              </w:rPr>
              <w:t>废油</w:t>
            </w:r>
            <w:r>
              <w:rPr>
                <w:rFonts w:hint="eastAsia" w:eastAsia="宋体" w:cs="Times New Roman"/>
                <w:color w:val="000000" w:themeColor="text1"/>
                <w:sz w:val="24"/>
                <w:szCs w:val="24"/>
                <w:lang w:val="en-US" w:eastAsia="zh-CN"/>
                <w14:textFill>
                  <w14:solidFill>
                    <w14:schemeClr w14:val="tx1"/>
                  </w14:solidFill>
                </w14:textFill>
              </w:rPr>
              <w:t>类</w:t>
            </w:r>
          </w:p>
          <w:p w14:paraId="6EE0FA6E">
            <w:pPr>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根据建设单位提供资料，加工过程中产生</w:t>
            </w:r>
            <w:r>
              <w:rPr>
                <w:rFonts w:hint="eastAsia" w:eastAsia="宋体" w:cs="Times New Roman"/>
                <w:color w:val="000000" w:themeColor="text1"/>
                <w:sz w:val="24"/>
                <w:szCs w:val="24"/>
                <w:lang w:val="en-US" w:eastAsia="zh-CN"/>
                <w14:textFill>
                  <w14:solidFill>
                    <w14:schemeClr w14:val="tx1"/>
                  </w14:solidFill>
                </w14:textFill>
              </w:rPr>
              <w:t>废润滑油</w:t>
            </w:r>
            <w:r>
              <w:rPr>
                <w:rFonts w:hint="default" w:ascii="Times New Roman" w:hAnsi="Times New Roman" w:eastAsia="宋体" w:cs="Times New Roman"/>
                <w:color w:val="000000" w:themeColor="text1"/>
                <w:sz w:val="24"/>
                <w:szCs w:val="24"/>
                <w14:textFill>
                  <w14:solidFill>
                    <w14:schemeClr w14:val="tx1"/>
                  </w14:solidFill>
                </w14:textFill>
              </w:rPr>
              <w:t>，废油产生量约0.0</w:t>
            </w:r>
            <w:r>
              <w:rPr>
                <w:rFonts w:hint="eastAsia" w:eastAsia="宋体" w:cs="Times New Roman"/>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w:t>
            </w:r>
            <w:r>
              <w:rPr>
                <w:rFonts w:hint="default" w:ascii="Times New Roman" w:hAnsi="Times New Roman" w:eastAsia="宋体" w:cs="Times New Roman"/>
                <w:color w:val="000000" w:themeColor="text1"/>
                <w:sz w:val="24"/>
                <w:szCs w:val="24"/>
                <w14:textFill>
                  <w14:solidFill>
                    <w14:schemeClr w14:val="tx1"/>
                  </w14:solidFill>
                </w14:textFill>
              </w:rPr>
              <w:t>《国家危险废物名录（202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年版）》</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废润滑油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属于名录</w:t>
            </w:r>
            <w:r>
              <w:rPr>
                <w:rFonts w:hint="default" w:ascii="Times New Roman" w:hAnsi="Times New Roman" w:eastAsia="宋体" w:cs="Times New Roman"/>
                <w:color w:val="000000" w:themeColor="text1"/>
                <w:sz w:val="24"/>
                <w:szCs w:val="24"/>
                <w14:textFill>
                  <w14:solidFill>
                    <w14:schemeClr w14:val="tx1"/>
                  </w14:solidFill>
                </w14:textFill>
              </w:rPr>
              <w:t>中HW0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14:textFill>
                  <w14:solidFill>
                    <w14:schemeClr w14:val="tx1"/>
                  </w14:solidFill>
                </w14:textFill>
              </w:rPr>
              <w:t>类：900-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217</w:t>
            </w:r>
            <w:r>
              <w:rPr>
                <w:rFonts w:hint="default" w:ascii="Times New Roman" w:hAnsi="Times New Roman" w:eastAsia="宋体" w:cs="Times New Roman"/>
                <w:color w:val="000000" w:themeColor="text1"/>
                <w:sz w:val="24"/>
                <w:szCs w:val="24"/>
                <w14:textFill>
                  <w14:solidFill>
                    <w14:schemeClr w14:val="tx1"/>
                  </w14:solidFill>
                </w14:textFill>
              </w:rPr>
              <w:t>-0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14:textFill>
                  <w14:solidFill>
                    <w14:schemeClr w14:val="tx1"/>
                  </w14:solidFill>
                </w14:textFill>
              </w:rPr>
              <w:t>。</w:t>
            </w:r>
          </w:p>
          <w:p w14:paraId="79D35F81">
            <w:pPr>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eastAsia="宋体" w:cs="Times New Roman"/>
                <w:color w:val="000000" w:themeColor="text1"/>
                <w:sz w:val="24"/>
                <w:szCs w:val="24"/>
                <w:lang w:val="en-US" w:eastAsia="zh-CN"/>
                <w14:textFill>
                  <w14:solidFill>
                    <w14:schemeClr w14:val="tx1"/>
                  </w14:solidFill>
                </w14:textFill>
              </w:rPr>
              <w:t>②</w:t>
            </w:r>
            <w:r>
              <w:rPr>
                <w:rFonts w:hint="default" w:ascii="Times New Roman" w:hAnsi="Times New Roman" w:eastAsia="宋体" w:cs="Times New Roman"/>
                <w:color w:val="000000" w:themeColor="text1"/>
                <w:sz w:val="24"/>
                <w:szCs w:val="24"/>
                <w14:textFill>
                  <w14:solidFill>
                    <w14:schemeClr w14:val="tx1"/>
                  </w14:solidFill>
                </w14:textFill>
              </w:rPr>
              <w:t>废油桶</w:t>
            </w:r>
          </w:p>
          <w:p w14:paraId="45CD2A6A">
            <w:pPr>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根据建设单位提供资料，项目使用</w:t>
            </w:r>
            <w:r>
              <w:rPr>
                <w:rFonts w:hint="eastAsia" w:eastAsia="宋体" w:cs="Times New Roman"/>
                <w:color w:val="000000" w:themeColor="text1"/>
                <w:sz w:val="24"/>
                <w:szCs w:val="24"/>
                <w:lang w:val="en-US" w:eastAsia="zh-CN"/>
                <w14:textFill>
                  <w14:solidFill>
                    <w14:schemeClr w14:val="tx1"/>
                  </w14:solidFill>
                </w14:textFill>
              </w:rPr>
              <w:t>润滑油</w:t>
            </w:r>
            <w:r>
              <w:rPr>
                <w:rFonts w:hint="default" w:ascii="Times New Roman" w:hAnsi="Times New Roman" w:eastAsia="宋体" w:cs="Times New Roman"/>
                <w:color w:val="000000" w:themeColor="text1"/>
                <w:sz w:val="24"/>
                <w:szCs w:val="24"/>
                <w14:textFill>
                  <w14:solidFill>
                    <w14:schemeClr w14:val="tx1"/>
                  </w14:solidFill>
                </w14:textFill>
              </w:rPr>
              <w:t>的用量为</w:t>
            </w:r>
            <w:r>
              <w:rPr>
                <w:rFonts w:hint="eastAsia" w:eastAsia="宋体" w:cs="Times New Roman"/>
                <w:color w:val="000000" w:themeColor="text1"/>
                <w:sz w:val="24"/>
                <w:szCs w:val="24"/>
                <w:lang w:val="en-US" w:eastAsia="zh-CN"/>
                <w14:textFill>
                  <w14:solidFill>
                    <w14:schemeClr w14:val="tx1"/>
                  </w14:solidFill>
                </w14:textFill>
              </w:rPr>
              <w:t>0.</w:t>
            </w:r>
            <w:r>
              <w:rPr>
                <w:rFonts w:hint="eastAsia"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使用过程中</w:t>
            </w:r>
            <w:r>
              <w:rPr>
                <w:rFonts w:hint="default" w:ascii="Times New Roman" w:hAnsi="Times New Roman" w:eastAsia="宋体" w:cs="Times New Roman"/>
                <w:color w:val="000000" w:themeColor="text1"/>
                <w:sz w:val="24"/>
                <w:szCs w:val="24"/>
                <w14:textFill>
                  <w14:solidFill>
                    <w14:schemeClr w14:val="tx1"/>
                  </w14:solidFill>
                </w14:textFill>
              </w:rPr>
              <w:t>会产生废油桶，</w:t>
            </w:r>
            <w:r>
              <w:rPr>
                <w:rFonts w:hint="eastAsia" w:eastAsia="宋体" w:cs="Times New Roman"/>
                <w:color w:val="000000" w:themeColor="text1"/>
                <w:sz w:val="24"/>
                <w:szCs w:val="24"/>
                <w:lang w:val="en-US" w:eastAsia="zh-CN"/>
                <w14:textFill>
                  <w14:solidFill>
                    <w14:schemeClr w14:val="tx1"/>
                  </w14:solidFill>
                </w14:textFill>
              </w:rPr>
              <w:t>油类规格</w:t>
            </w:r>
            <w:r>
              <w:rPr>
                <w:rFonts w:hint="default" w:ascii="Times New Roman" w:hAnsi="Times New Roman" w:eastAsia="宋体" w:cs="Times New Roman"/>
                <w:color w:val="000000" w:themeColor="text1"/>
                <w:sz w:val="24"/>
                <w:szCs w:val="24"/>
                <w14:textFill>
                  <w14:solidFill>
                    <w14:schemeClr w14:val="tx1"/>
                  </w14:solidFill>
                </w14:textFill>
              </w:rPr>
              <w:t>均为2</w:t>
            </w:r>
            <w:r>
              <w:rPr>
                <w:rFonts w:hint="eastAsia" w:eastAsia="宋体" w:cs="Times New Roman"/>
                <w:color w:val="000000" w:themeColor="text1"/>
                <w:sz w:val="24"/>
                <w:szCs w:val="24"/>
                <w:lang w:val="en-US" w:eastAsia="zh-CN"/>
                <w14:textFill>
                  <w14:solidFill>
                    <w14:schemeClr w14:val="tx1"/>
                  </w14:solidFill>
                </w14:textFill>
              </w:rPr>
              <w:t>5L</w:t>
            </w:r>
            <w:r>
              <w:rPr>
                <w:rFonts w:hint="default" w:ascii="Times New Roman" w:hAnsi="Times New Roman" w:eastAsia="宋体" w:cs="Times New Roman"/>
                <w:color w:val="000000" w:themeColor="text1"/>
                <w:sz w:val="24"/>
                <w:szCs w:val="24"/>
                <w14:textFill>
                  <w14:solidFill>
                    <w14:schemeClr w14:val="tx1"/>
                  </w14:solidFill>
                </w14:textFill>
              </w:rPr>
              <w:t>/桶，则产生的废油桶约为</w:t>
            </w:r>
            <w:r>
              <w:rPr>
                <w:rFonts w:hint="eastAsia" w:cs="Times New Roman"/>
                <w:color w:val="000000" w:themeColor="text1"/>
                <w:sz w:val="24"/>
                <w:szCs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szCs w:val="24"/>
                <w14:textFill>
                  <w14:solidFill>
                    <w14:schemeClr w14:val="tx1"/>
                  </w14:solidFill>
                </w14:textFill>
              </w:rPr>
              <w:t>个/a，每个空桶约</w:t>
            </w:r>
            <w:r>
              <w:rPr>
                <w:rFonts w:hint="eastAsia" w:eastAsia="宋体" w:cs="Times New Roman"/>
                <w:color w:val="000000" w:themeColor="text1"/>
                <w:sz w:val="24"/>
                <w:szCs w:val="24"/>
                <w:lang w:val="en-US" w:eastAsia="zh-CN"/>
                <w14:textFill>
                  <w14:solidFill>
                    <w14:schemeClr w14:val="tx1"/>
                  </w14:solidFill>
                </w14:textFill>
              </w:rPr>
              <w:t>200g</w:t>
            </w:r>
            <w:r>
              <w:rPr>
                <w:rFonts w:hint="default" w:ascii="Times New Roman" w:hAnsi="Times New Roman" w:eastAsia="宋体" w:cs="Times New Roman"/>
                <w:color w:val="000000" w:themeColor="text1"/>
                <w:sz w:val="24"/>
                <w:szCs w:val="24"/>
                <w14:textFill>
                  <w14:solidFill>
                    <w14:schemeClr w14:val="tx1"/>
                  </w14:solidFill>
                </w14:textFill>
              </w:rPr>
              <w:t>，则产生的废油桶量为</w:t>
            </w:r>
            <w:r>
              <w:rPr>
                <w:rFonts w:hint="eastAsia" w:eastAsia="宋体" w:cs="Times New Roman"/>
                <w:color w:val="000000" w:themeColor="text1"/>
                <w:sz w:val="24"/>
                <w:szCs w:val="24"/>
                <w:lang w:val="en-US" w:eastAsia="zh-CN"/>
                <w14:textFill>
                  <w14:solidFill>
                    <w14:schemeClr w14:val="tx1"/>
                  </w14:solidFill>
                </w14:textFill>
              </w:rPr>
              <w:t>0.0</w:t>
            </w:r>
            <w:r>
              <w:rPr>
                <w:rFonts w:hint="eastAsia" w:cs="Times New Roman"/>
                <w:color w:val="000000" w:themeColor="text1"/>
                <w:sz w:val="24"/>
                <w:szCs w:val="24"/>
                <w:lang w:val="en-US" w:eastAsia="zh-CN"/>
                <w14:textFill>
                  <w14:solidFill>
                    <w14:schemeClr w14:val="tx1"/>
                  </w14:solidFill>
                </w14:textFill>
              </w:rPr>
              <w:t>04</w:t>
            </w:r>
            <w:r>
              <w:rPr>
                <w:rFonts w:hint="default" w:ascii="Times New Roman" w:hAnsi="Times New Roman" w:eastAsia="宋体" w:cs="Times New Roman"/>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废油桶</w:t>
            </w:r>
            <w:r>
              <w:rPr>
                <w:rFonts w:hint="default" w:ascii="Times New Roman" w:hAnsi="Times New Roman" w:eastAsia="宋体" w:cs="Times New Roman"/>
                <w:color w:val="000000" w:themeColor="text1"/>
                <w:sz w:val="24"/>
                <w:szCs w:val="24"/>
                <w14:textFill>
                  <w14:solidFill>
                    <w14:schemeClr w14:val="tx1"/>
                  </w14:solidFill>
                </w14:textFill>
              </w:rPr>
              <w:t>属于《国家危险废物名录（202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年版）》中HW</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08</w:t>
            </w:r>
            <w:r>
              <w:rPr>
                <w:rFonts w:hint="default" w:ascii="Times New Roman" w:hAnsi="Times New Roman" w:eastAsia="宋体" w:cs="Times New Roman"/>
                <w:color w:val="000000" w:themeColor="text1"/>
                <w:sz w:val="24"/>
                <w:szCs w:val="24"/>
                <w14:textFill>
                  <w14:solidFill>
                    <w14:schemeClr w14:val="tx1"/>
                  </w14:solidFill>
                </w14:textFill>
              </w:rPr>
              <w:t>类：900-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249</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08</w:t>
            </w:r>
            <w:r>
              <w:rPr>
                <w:rFonts w:hint="default" w:ascii="Times New Roman" w:hAnsi="Times New Roman" w:eastAsia="宋体" w:cs="Times New Roman"/>
                <w:color w:val="000000" w:themeColor="text1"/>
                <w:sz w:val="24"/>
                <w:szCs w:val="24"/>
                <w14:textFill>
                  <w14:solidFill>
                    <w14:schemeClr w14:val="tx1"/>
                  </w14:solidFill>
                </w14:textFill>
              </w:rPr>
              <w:t>。</w:t>
            </w:r>
          </w:p>
          <w:p w14:paraId="24DBEA7B">
            <w:pPr>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③</w:t>
            </w:r>
            <w:r>
              <w:rPr>
                <w:rFonts w:hint="default" w:ascii="Times New Roman" w:hAnsi="Times New Roman" w:eastAsia="宋体" w:cs="Times New Roman"/>
                <w:color w:val="000000" w:themeColor="text1"/>
                <w:sz w:val="24"/>
                <w:szCs w:val="24"/>
                <w14:textFill>
                  <w14:solidFill>
                    <w14:schemeClr w14:val="tx1"/>
                  </w14:solidFill>
                </w14:textFill>
              </w:rPr>
              <w:t>废油手套、含油抹布</w:t>
            </w:r>
          </w:p>
          <w:p w14:paraId="545BD3AD">
            <w:pPr>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本项目在生产过程中会产生一定量的废油手套和擦拭机器的含油抹布，产生量约为0.002t/a，属于《国家危险废物名录（2025年版）》中HW49类：900-041-49。</w:t>
            </w:r>
          </w:p>
          <w:p w14:paraId="67597A05">
            <w:pPr>
              <w:spacing w:line="360" w:lineRule="auto"/>
              <w:ind w:firstLine="480" w:firstLineChars="200"/>
              <w:rPr>
                <w:color w:val="auto"/>
                <w:kern w:val="0"/>
                <w:sz w:val="24"/>
                <w:szCs w:val="20"/>
              </w:rPr>
            </w:pPr>
            <w:r>
              <w:rPr>
                <w:bCs/>
                <w:color w:val="auto"/>
                <w:kern w:val="0"/>
                <w:sz w:val="24"/>
                <w:szCs w:val="20"/>
              </w:rPr>
              <w:t>本项目各类固废产生量及利用处置方式见表</w:t>
            </w:r>
            <w:r>
              <w:rPr>
                <w:rFonts w:hint="eastAsia"/>
                <w:bCs/>
                <w:color w:val="auto"/>
                <w:kern w:val="0"/>
                <w:sz w:val="24"/>
                <w:szCs w:val="20"/>
              </w:rPr>
              <w:t>4-</w:t>
            </w:r>
            <w:r>
              <w:rPr>
                <w:rFonts w:hint="eastAsia"/>
                <w:bCs/>
                <w:color w:val="auto"/>
                <w:kern w:val="0"/>
                <w:sz w:val="24"/>
                <w:szCs w:val="20"/>
                <w:lang w:val="en-US" w:eastAsia="zh-CN"/>
              </w:rPr>
              <w:t>13</w:t>
            </w:r>
            <w:r>
              <w:rPr>
                <w:bCs/>
                <w:color w:val="auto"/>
                <w:kern w:val="0"/>
                <w:sz w:val="24"/>
                <w:szCs w:val="20"/>
              </w:rPr>
              <w:t>。</w:t>
            </w:r>
          </w:p>
          <w:p w14:paraId="2D134991">
            <w:pPr>
              <w:keepNext w:val="0"/>
              <w:keepLines w:val="0"/>
              <w:pageBreakBefore w:val="0"/>
              <w:widowControl w:val="0"/>
              <w:kinsoku/>
              <w:wordWrap/>
              <w:overflowPunct/>
              <w:topLinePunct w:val="0"/>
              <w:autoSpaceDE/>
              <w:autoSpaceDN/>
              <w:bidi w:val="0"/>
              <w:adjustRightInd/>
              <w:snapToGrid w:val="0"/>
              <w:jc w:val="center"/>
              <w:textAlignment w:val="auto"/>
              <w:rPr>
                <w:b/>
                <w:bCs/>
                <w:color w:val="auto"/>
                <w:kern w:val="0"/>
                <w:szCs w:val="21"/>
              </w:rPr>
            </w:pPr>
            <w:r>
              <w:rPr>
                <w:b/>
                <w:bCs/>
                <w:color w:val="auto"/>
                <w:kern w:val="0"/>
                <w:szCs w:val="21"/>
              </w:rPr>
              <w:t>表</w:t>
            </w:r>
            <w:r>
              <w:rPr>
                <w:rFonts w:hint="eastAsia"/>
                <w:b/>
                <w:bCs/>
                <w:color w:val="auto"/>
                <w:kern w:val="0"/>
                <w:szCs w:val="21"/>
              </w:rPr>
              <w:t>4-</w:t>
            </w:r>
            <w:r>
              <w:rPr>
                <w:rFonts w:hint="eastAsia"/>
                <w:b/>
                <w:bCs/>
                <w:color w:val="auto"/>
                <w:kern w:val="0"/>
                <w:szCs w:val="21"/>
                <w:lang w:val="en-US" w:eastAsia="zh-CN"/>
              </w:rPr>
              <w:t>13</w:t>
            </w:r>
            <w:r>
              <w:rPr>
                <w:rFonts w:hint="eastAsia"/>
                <w:b/>
                <w:bCs/>
                <w:color w:val="auto"/>
                <w:kern w:val="0"/>
                <w:szCs w:val="21"/>
              </w:rPr>
              <w:t xml:space="preserve">   </w:t>
            </w:r>
            <w:r>
              <w:rPr>
                <w:b/>
                <w:bCs/>
                <w:color w:val="auto"/>
                <w:kern w:val="0"/>
                <w:szCs w:val="21"/>
              </w:rPr>
              <w:t>固体废物产生量及利用处置方式</w:t>
            </w:r>
          </w:p>
          <w:tbl>
            <w:tblPr>
              <w:tblStyle w:val="24"/>
              <w:tblW w:w="822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1106"/>
              <w:gridCol w:w="840"/>
              <w:gridCol w:w="642"/>
              <w:gridCol w:w="858"/>
              <w:gridCol w:w="1342"/>
              <w:gridCol w:w="972"/>
              <w:gridCol w:w="1335"/>
            </w:tblGrid>
            <w:tr w14:paraId="17922D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vAlign w:val="center"/>
                </w:tcPr>
                <w:p w14:paraId="6B67EB13">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名称</w:t>
                  </w:r>
                </w:p>
              </w:tc>
              <w:tc>
                <w:tcPr>
                  <w:tcW w:w="1106" w:type="dxa"/>
                  <w:tcBorders>
                    <w:tl2br w:val="nil"/>
                    <w:tr2bl w:val="nil"/>
                  </w:tcBorders>
                  <w:vAlign w:val="center"/>
                </w:tcPr>
                <w:p w14:paraId="1FAB942C">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产生环节</w:t>
                  </w:r>
                </w:p>
              </w:tc>
              <w:tc>
                <w:tcPr>
                  <w:tcW w:w="840" w:type="dxa"/>
                  <w:tcBorders>
                    <w:tl2br w:val="nil"/>
                    <w:tr2bl w:val="nil"/>
                  </w:tcBorders>
                  <w:vAlign w:val="center"/>
                </w:tcPr>
                <w:p w14:paraId="313D654A">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产生量t/a</w:t>
                  </w:r>
                </w:p>
              </w:tc>
              <w:tc>
                <w:tcPr>
                  <w:tcW w:w="642" w:type="dxa"/>
                  <w:tcBorders>
                    <w:tl2br w:val="nil"/>
                    <w:tr2bl w:val="nil"/>
                  </w:tcBorders>
                  <w:vAlign w:val="center"/>
                </w:tcPr>
                <w:p w14:paraId="2DC7819B">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属性</w:t>
                  </w:r>
                </w:p>
              </w:tc>
              <w:tc>
                <w:tcPr>
                  <w:tcW w:w="858" w:type="dxa"/>
                  <w:tcBorders>
                    <w:tl2br w:val="nil"/>
                    <w:tr2bl w:val="nil"/>
                  </w:tcBorders>
                  <w:vAlign w:val="center"/>
                </w:tcPr>
                <w:p w14:paraId="1560E418">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固废类别</w:t>
                  </w:r>
                </w:p>
              </w:tc>
              <w:tc>
                <w:tcPr>
                  <w:tcW w:w="1342" w:type="dxa"/>
                  <w:tcBorders>
                    <w:tl2br w:val="nil"/>
                    <w:tr2bl w:val="nil"/>
                  </w:tcBorders>
                  <w:vAlign w:val="center"/>
                </w:tcPr>
                <w:p w14:paraId="23577EB4">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固废代码</w:t>
                  </w:r>
                </w:p>
              </w:tc>
              <w:tc>
                <w:tcPr>
                  <w:tcW w:w="972" w:type="dxa"/>
                  <w:tcBorders>
                    <w:tl2br w:val="nil"/>
                    <w:tr2bl w:val="nil"/>
                  </w:tcBorders>
                  <w:vAlign w:val="center"/>
                </w:tcPr>
                <w:p w14:paraId="7DD47D17">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储存方式</w:t>
                  </w:r>
                </w:p>
              </w:tc>
              <w:tc>
                <w:tcPr>
                  <w:tcW w:w="1335" w:type="dxa"/>
                  <w:tcBorders>
                    <w:tl2br w:val="nil"/>
                    <w:tr2bl w:val="nil"/>
                  </w:tcBorders>
                  <w:vAlign w:val="center"/>
                </w:tcPr>
                <w:p w14:paraId="6CBCA003">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利用处置方式和去向</w:t>
                  </w:r>
                </w:p>
              </w:tc>
            </w:tr>
            <w:tr w14:paraId="40F1D0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131" w:type="dxa"/>
                  <w:tcBorders>
                    <w:tl2br w:val="nil"/>
                    <w:tr2bl w:val="nil"/>
                  </w:tcBorders>
                  <w:noWrap/>
                  <w:vAlign w:val="center"/>
                </w:tcPr>
                <w:p w14:paraId="40B8BE23">
                  <w:pPr>
                    <w:jc w:val="center"/>
                    <w:rPr>
                      <w:rFonts w:hint="eastAsia" w:eastAsia="宋体"/>
                      <w:color w:val="000000" w:themeColor="text1"/>
                      <w:sz w:val="21"/>
                      <w:szCs w:val="21"/>
                      <w:lang w:eastAsia="zh-CN"/>
                      <w14:textFill>
                        <w14:solidFill>
                          <w14:schemeClr w14:val="tx1"/>
                        </w14:solidFill>
                      </w14:textFill>
                    </w:rPr>
                  </w:pPr>
                  <w:r>
                    <w:rPr>
                      <w:rFonts w:hint="eastAsia"/>
                      <w:color w:val="auto"/>
                      <w:kern w:val="0"/>
                      <w:szCs w:val="21"/>
                      <w:lang w:val="en-US" w:eastAsia="zh-CN"/>
                    </w:rPr>
                    <w:t>废砂轮</w:t>
                  </w:r>
                </w:p>
              </w:tc>
              <w:tc>
                <w:tcPr>
                  <w:tcW w:w="1106" w:type="dxa"/>
                  <w:tcBorders>
                    <w:tl2br w:val="nil"/>
                    <w:tr2bl w:val="nil"/>
                  </w:tcBorders>
                  <w:noWrap/>
                  <w:vAlign w:val="center"/>
                </w:tcPr>
                <w:p w14:paraId="0D1EB995">
                  <w:pPr>
                    <w:jc w:val="center"/>
                    <w:rPr>
                      <w:rFonts w:hint="default" w:eastAsia="宋体"/>
                      <w:color w:val="000000" w:themeColor="text1"/>
                      <w:sz w:val="21"/>
                      <w:szCs w:val="21"/>
                      <w:lang w:val="en-US" w:eastAsia="zh-CN"/>
                      <w14:textFill>
                        <w14:solidFill>
                          <w14:schemeClr w14:val="tx1"/>
                        </w14:solidFill>
                      </w14:textFill>
                    </w:rPr>
                  </w:pPr>
                  <w:r>
                    <w:rPr>
                      <w:rFonts w:hint="eastAsia"/>
                      <w:color w:val="auto"/>
                      <w:kern w:val="0"/>
                      <w:szCs w:val="21"/>
                      <w:lang w:val="en-US" w:eastAsia="zh-CN"/>
                    </w:rPr>
                    <w:t>打磨</w:t>
                  </w:r>
                </w:p>
              </w:tc>
              <w:tc>
                <w:tcPr>
                  <w:tcW w:w="840" w:type="dxa"/>
                  <w:tcBorders>
                    <w:tl2br w:val="nil"/>
                    <w:tr2bl w:val="nil"/>
                  </w:tcBorders>
                  <w:vAlign w:val="center"/>
                </w:tcPr>
                <w:p w14:paraId="7DEE0E04">
                  <w:pPr>
                    <w:jc w:val="center"/>
                    <w:rPr>
                      <w:rFonts w:hint="default" w:eastAsia="宋体"/>
                      <w:color w:val="000000" w:themeColor="text1"/>
                      <w:sz w:val="21"/>
                      <w:szCs w:val="21"/>
                      <w:lang w:val="en-US" w:eastAsia="zh-CN"/>
                      <w14:textFill>
                        <w14:solidFill>
                          <w14:schemeClr w14:val="tx1"/>
                        </w14:solidFill>
                      </w14:textFill>
                    </w:rPr>
                  </w:pPr>
                  <w:r>
                    <w:rPr>
                      <w:rFonts w:hint="eastAsia"/>
                      <w:color w:val="auto"/>
                      <w:kern w:val="0"/>
                      <w:szCs w:val="21"/>
                      <w:lang w:val="en-US" w:eastAsia="zh-CN"/>
                    </w:rPr>
                    <w:t>7.5</w:t>
                  </w:r>
                </w:p>
              </w:tc>
              <w:tc>
                <w:tcPr>
                  <w:tcW w:w="642" w:type="dxa"/>
                  <w:vMerge w:val="restart"/>
                  <w:tcBorders>
                    <w:tl2br w:val="nil"/>
                    <w:tr2bl w:val="nil"/>
                  </w:tcBorders>
                  <w:vAlign w:val="center"/>
                </w:tcPr>
                <w:p w14:paraId="145EBB05">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一般工业固废</w:t>
                  </w:r>
                </w:p>
              </w:tc>
              <w:tc>
                <w:tcPr>
                  <w:tcW w:w="858" w:type="dxa"/>
                  <w:tcBorders>
                    <w:tl2br w:val="nil"/>
                    <w:tr2bl w:val="nil"/>
                  </w:tcBorders>
                  <w:vAlign w:val="center"/>
                </w:tcPr>
                <w:p w14:paraId="6B971028">
                  <w:pPr>
                    <w:pStyle w:val="47"/>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SW59</w:t>
                  </w:r>
                </w:p>
              </w:tc>
              <w:tc>
                <w:tcPr>
                  <w:tcW w:w="1342" w:type="dxa"/>
                  <w:tcBorders>
                    <w:tl2br w:val="nil"/>
                    <w:tr2bl w:val="nil"/>
                  </w:tcBorders>
                  <w:vAlign w:val="center"/>
                </w:tcPr>
                <w:p w14:paraId="5C322011">
                  <w:pPr>
                    <w:tabs>
                      <w:tab w:val="right" w:leader="dot" w:pos="8834"/>
                    </w:tabs>
                    <w:jc w:val="center"/>
                    <w:rPr>
                      <w:rFonts w:hint="default" w:eastAsia="宋体"/>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szCs w:val="21"/>
                      <w:lang w:val="en-US" w:eastAsia="zh-CN"/>
                    </w:rPr>
                    <w:t>900-00</w:t>
                  </w:r>
                  <w:r>
                    <w:rPr>
                      <w:rFonts w:hint="eastAsia"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-S</w:t>
                  </w:r>
                  <w:r>
                    <w:rPr>
                      <w:rFonts w:hint="eastAsia" w:cs="Times New Roman"/>
                      <w:color w:val="auto"/>
                      <w:kern w:val="0"/>
                      <w:szCs w:val="21"/>
                      <w:lang w:val="en-US" w:eastAsia="zh-CN"/>
                    </w:rPr>
                    <w:t>59</w:t>
                  </w:r>
                </w:p>
              </w:tc>
              <w:tc>
                <w:tcPr>
                  <w:tcW w:w="972" w:type="dxa"/>
                  <w:vMerge w:val="restart"/>
                  <w:tcBorders>
                    <w:tl2br w:val="nil"/>
                    <w:tr2bl w:val="nil"/>
                  </w:tcBorders>
                  <w:vAlign w:val="center"/>
                </w:tcPr>
                <w:p w14:paraId="324ADD94">
                  <w:pPr>
                    <w:pStyle w:val="47"/>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一般固废暂存区</w:t>
                  </w:r>
                </w:p>
              </w:tc>
              <w:tc>
                <w:tcPr>
                  <w:tcW w:w="1335" w:type="dxa"/>
                  <w:vMerge w:val="restart"/>
                  <w:tcBorders>
                    <w:tl2br w:val="nil"/>
                    <w:tr2bl w:val="nil"/>
                  </w:tcBorders>
                  <w:vAlign w:val="center"/>
                </w:tcPr>
                <w:p w14:paraId="1701081E">
                  <w:pPr>
                    <w:pStyle w:val="47"/>
                    <w:rPr>
                      <w:rFonts w:hint="default" w:eastAsia="宋体"/>
                      <w:color w:val="000000" w:themeColor="text1"/>
                      <w:sz w:val="21"/>
                      <w:szCs w:val="21"/>
                      <w:lang w:val="en-US" w:eastAsia="zh-CN"/>
                      <w14:textFill>
                        <w14:solidFill>
                          <w14:schemeClr w14:val="tx1"/>
                        </w14:solidFill>
                      </w14:textFill>
                    </w:rPr>
                  </w:pPr>
                  <w:r>
                    <w:rPr>
                      <w:bCs/>
                      <w:color w:val="auto"/>
                      <w:kern w:val="0"/>
                      <w:szCs w:val="21"/>
                    </w:rPr>
                    <w:t>收集后统一外售处理</w:t>
                  </w:r>
                </w:p>
              </w:tc>
            </w:tr>
            <w:tr w14:paraId="199CFE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noWrap/>
                  <w:vAlign w:val="center"/>
                </w:tcPr>
                <w:p w14:paraId="20145672">
                  <w:pPr>
                    <w:jc w:val="center"/>
                    <w:rPr>
                      <w:rFonts w:hint="eastAsia" w:eastAsia="宋体"/>
                      <w:color w:val="000000" w:themeColor="text1"/>
                      <w:sz w:val="21"/>
                      <w:szCs w:val="21"/>
                      <w:lang w:eastAsia="zh-CN"/>
                      <w14:textFill>
                        <w14:solidFill>
                          <w14:schemeClr w14:val="tx1"/>
                        </w14:solidFill>
                      </w14:textFill>
                    </w:rPr>
                  </w:pPr>
                  <w:r>
                    <w:rPr>
                      <w:rFonts w:hint="eastAsia"/>
                      <w:color w:val="auto"/>
                      <w:kern w:val="0"/>
                      <w:szCs w:val="21"/>
                      <w:lang w:val="en-US" w:eastAsia="zh-CN"/>
                    </w:rPr>
                    <w:t>废陶瓷壳</w:t>
                  </w:r>
                </w:p>
              </w:tc>
              <w:tc>
                <w:tcPr>
                  <w:tcW w:w="1106" w:type="dxa"/>
                  <w:tcBorders>
                    <w:tl2br w:val="nil"/>
                    <w:tr2bl w:val="nil"/>
                  </w:tcBorders>
                  <w:noWrap/>
                  <w:vAlign w:val="center"/>
                </w:tcPr>
                <w:p w14:paraId="66303BD5">
                  <w:pPr>
                    <w:jc w:val="center"/>
                    <w:rPr>
                      <w:rFonts w:hint="default" w:eastAsia="宋体"/>
                      <w:color w:val="000000" w:themeColor="text1"/>
                      <w:sz w:val="21"/>
                      <w:szCs w:val="21"/>
                      <w:lang w:val="en-US" w:eastAsia="zh-CN"/>
                      <w14:textFill>
                        <w14:solidFill>
                          <w14:schemeClr w14:val="tx1"/>
                        </w14:solidFill>
                      </w14:textFill>
                    </w:rPr>
                  </w:pPr>
                  <w:r>
                    <w:rPr>
                      <w:rFonts w:hint="eastAsia"/>
                      <w:color w:val="auto"/>
                      <w:kern w:val="0"/>
                      <w:szCs w:val="21"/>
                      <w:lang w:val="en-US" w:eastAsia="zh-CN"/>
                    </w:rPr>
                    <w:t>振壳</w:t>
                  </w:r>
                </w:p>
              </w:tc>
              <w:tc>
                <w:tcPr>
                  <w:tcW w:w="840" w:type="dxa"/>
                  <w:tcBorders>
                    <w:tl2br w:val="nil"/>
                    <w:tr2bl w:val="nil"/>
                  </w:tcBorders>
                  <w:vAlign w:val="center"/>
                </w:tcPr>
                <w:p w14:paraId="1EDFA10E">
                  <w:pPr>
                    <w:jc w:val="center"/>
                    <w:rPr>
                      <w:rFonts w:hint="default" w:eastAsia="宋体"/>
                      <w:color w:val="000000" w:themeColor="text1"/>
                      <w:sz w:val="21"/>
                      <w:szCs w:val="21"/>
                      <w:lang w:val="en-US" w:eastAsia="zh-CN"/>
                      <w14:textFill>
                        <w14:solidFill>
                          <w14:schemeClr w14:val="tx1"/>
                        </w14:solidFill>
                      </w14:textFill>
                    </w:rPr>
                  </w:pPr>
                  <w:r>
                    <w:rPr>
                      <w:rFonts w:hint="eastAsia"/>
                      <w:color w:val="auto"/>
                      <w:kern w:val="0"/>
                      <w:szCs w:val="21"/>
                      <w:lang w:val="en-US" w:eastAsia="zh-CN"/>
                    </w:rPr>
                    <w:t>7.0</w:t>
                  </w:r>
                </w:p>
              </w:tc>
              <w:tc>
                <w:tcPr>
                  <w:tcW w:w="642" w:type="dxa"/>
                  <w:vMerge w:val="continue"/>
                  <w:tcBorders>
                    <w:tl2br w:val="nil"/>
                    <w:tr2bl w:val="nil"/>
                  </w:tcBorders>
                  <w:vAlign w:val="center"/>
                </w:tcPr>
                <w:p w14:paraId="5641E374">
                  <w:pPr>
                    <w:pStyle w:val="47"/>
                    <w:rPr>
                      <w:color w:val="000000" w:themeColor="text1"/>
                      <w:sz w:val="21"/>
                      <w:szCs w:val="21"/>
                      <w14:textFill>
                        <w14:solidFill>
                          <w14:schemeClr w14:val="tx1"/>
                        </w14:solidFill>
                      </w14:textFill>
                    </w:rPr>
                  </w:pPr>
                </w:p>
              </w:tc>
              <w:tc>
                <w:tcPr>
                  <w:tcW w:w="858" w:type="dxa"/>
                  <w:tcBorders>
                    <w:tl2br w:val="nil"/>
                    <w:tr2bl w:val="nil"/>
                  </w:tcBorders>
                  <w:vAlign w:val="center"/>
                </w:tcPr>
                <w:p w14:paraId="63E65204">
                  <w:pPr>
                    <w:pStyle w:val="47"/>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SW59</w:t>
                  </w:r>
                </w:p>
              </w:tc>
              <w:tc>
                <w:tcPr>
                  <w:tcW w:w="1342" w:type="dxa"/>
                  <w:tcBorders>
                    <w:tl2br w:val="nil"/>
                    <w:tr2bl w:val="nil"/>
                  </w:tcBorders>
                  <w:vAlign w:val="center"/>
                </w:tcPr>
                <w:p w14:paraId="6D256168">
                  <w:pPr>
                    <w:tabs>
                      <w:tab w:val="right" w:leader="dot" w:pos="8834"/>
                    </w:tabs>
                    <w:jc w:val="center"/>
                    <w:rPr>
                      <w:rFonts w:hint="eastAsia" w:eastAsia="宋体"/>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szCs w:val="21"/>
                      <w:lang w:val="en-US" w:eastAsia="zh-CN"/>
                    </w:rPr>
                    <w:t>900-00</w:t>
                  </w:r>
                  <w:r>
                    <w:rPr>
                      <w:rFonts w:hint="eastAsia"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-S</w:t>
                  </w:r>
                  <w:r>
                    <w:rPr>
                      <w:rFonts w:hint="eastAsia" w:cs="Times New Roman"/>
                      <w:color w:val="auto"/>
                      <w:kern w:val="0"/>
                      <w:szCs w:val="21"/>
                      <w:lang w:val="en-US" w:eastAsia="zh-CN"/>
                    </w:rPr>
                    <w:t>59</w:t>
                  </w:r>
                </w:p>
              </w:tc>
              <w:tc>
                <w:tcPr>
                  <w:tcW w:w="972" w:type="dxa"/>
                  <w:vMerge w:val="continue"/>
                  <w:tcBorders>
                    <w:tl2br w:val="nil"/>
                    <w:tr2bl w:val="nil"/>
                  </w:tcBorders>
                  <w:vAlign w:val="center"/>
                </w:tcPr>
                <w:p w14:paraId="0453289F">
                  <w:pPr>
                    <w:pStyle w:val="47"/>
                    <w:rPr>
                      <w:color w:val="000000" w:themeColor="text1"/>
                      <w:sz w:val="21"/>
                      <w:szCs w:val="21"/>
                      <w14:textFill>
                        <w14:solidFill>
                          <w14:schemeClr w14:val="tx1"/>
                        </w14:solidFill>
                      </w14:textFill>
                    </w:rPr>
                  </w:pPr>
                </w:p>
              </w:tc>
              <w:tc>
                <w:tcPr>
                  <w:tcW w:w="1335" w:type="dxa"/>
                  <w:vMerge w:val="continue"/>
                  <w:tcBorders>
                    <w:tl2br w:val="nil"/>
                    <w:tr2bl w:val="nil"/>
                  </w:tcBorders>
                  <w:vAlign w:val="center"/>
                </w:tcPr>
                <w:p w14:paraId="739A4118">
                  <w:pPr>
                    <w:pStyle w:val="47"/>
                    <w:rPr>
                      <w:color w:val="000000" w:themeColor="text1"/>
                      <w:sz w:val="21"/>
                      <w:szCs w:val="21"/>
                      <w14:textFill>
                        <w14:solidFill>
                          <w14:schemeClr w14:val="tx1"/>
                        </w14:solidFill>
                      </w14:textFill>
                    </w:rPr>
                  </w:pPr>
                </w:p>
              </w:tc>
            </w:tr>
            <w:tr w14:paraId="466D80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noWrap/>
                  <w:vAlign w:val="center"/>
                </w:tcPr>
                <w:p w14:paraId="7DCDF03F">
                  <w:pPr>
                    <w:jc w:val="center"/>
                    <w:rPr>
                      <w:rFonts w:hint="eastAsia"/>
                      <w:color w:val="000000" w:themeColor="text1"/>
                      <w:sz w:val="21"/>
                      <w:szCs w:val="21"/>
                      <w:lang w:val="en-US" w:eastAsia="zh-CN"/>
                      <w14:textFill>
                        <w14:solidFill>
                          <w14:schemeClr w14:val="tx1"/>
                        </w14:solidFill>
                      </w14:textFill>
                    </w:rPr>
                  </w:pPr>
                  <w:r>
                    <w:rPr>
                      <w:rFonts w:hint="eastAsia"/>
                      <w:color w:val="auto"/>
                      <w:kern w:val="0"/>
                      <w:szCs w:val="21"/>
                      <w:lang w:val="en-US" w:eastAsia="zh-CN"/>
                    </w:rPr>
                    <w:t>除尘灰</w:t>
                  </w:r>
                </w:p>
              </w:tc>
              <w:tc>
                <w:tcPr>
                  <w:tcW w:w="1106" w:type="dxa"/>
                  <w:tcBorders>
                    <w:tl2br w:val="nil"/>
                    <w:tr2bl w:val="nil"/>
                  </w:tcBorders>
                  <w:noWrap/>
                  <w:vAlign w:val="center"/>
                </w:tcPr>
                <w:p w14:paraId="1FBBD98C">
                  <w:pPr>
                    <w:jc w:val="center"/>
                    <w:rPr>
                      <w:rFonts w:hint="eastAsia"/>
                      <w:color w:val="000000" w:themeColor="text1"/>
                      <w:sz w:val="21"/>
                      <w:szCs w:val="21"/>
                      <w:lang w:val="en-US" w:eastAsia="zh-CN"/>
                      <w14:textFill>
                        <w14:solidFill>
                          <w14:schemeClr w14:val="tx1"/>
                        </w14:solidFill>
                      </w14:textFill>
                    </w:rPr>
                  </w:pPr>
                  <w:r>
                    <w:rPr>
                      <w:rFonts w:hint="eastAsia"/>
                      <w:color w:val="auto"/>
                      <w:kern w:val="0"/>
                      <w:szCs w:val="21"/>
                      <w:lang w:val="en-US" w:eastAsia="zh-CN"/>
                    </w:rPr>
                    <w:t>喷砂</w:t>
                  </w:r>
                </w:p>
              </w:tc>
              <w:tc>
                <w:tcPr>
                  <w:tcW w:w="840" w:type="dxa"/>
                  <w:tcBorders>
                    <w:tl2br w:val="nil"/>
                    <w:tr2bl w:val="nil"/>
                  </w:tcBorders>
                  <w:vAlign w:val="center"/>
                </w:tcPr>
                <w:p w14:paraId="62BD4D93">
                  <w:pPr>
                    <w:jc w:val="center"/>
                    <w:rPr>
                      <w:rFonts w:hint="eastAsia"/>
                      <w:color w:val="000000" w:themeColor="text1"/>
                      <w:sz w:val="21"/>
                      <w:szCs w:val="21"/>
                      <w:lang w:val="en-US" w:eastAsia="zh-CN"/>
                      <w14:textFill>
                        <w14:solidFill>
                          <w14:schemeClr w14:val="tx1"/>
                        </w14:solidFill>
                      </w14:textFill>
                    </w:rPr>
                  </w:pPr>
                  <w:r>
                    <w:rPr>
                      <w:rFonts w:hint="eastAsia" w:cs="Times New Roman"/>
                      <w:color w:val="auto"/>
                      <w:kern w:val="0"/>
                      <w:sz w:val="21"/>
                      <w:szCs w:val="21"/>
                      <w:lang w:val="en-US" w:eastAsia="zh-CN" w:bidi="ar-SA"/>
                    </w:rPr>
                    <w:t>0.658</w:t>
                  </w:r>
                </w:p>
              </w:tc>
              <w:tc>
                <w:tcPr>
                  <w:tcW w:w="642" w:type="dxa"/>
                  <w:vMerge w:val="continue"/>
                  <w:tcBorders>
                    <w:tl2br w:val="nil"/>
                    <w:tr2bl w:val="nil"/>
                  </w:tcBorders>
                  <w:vAlign w:val="center"/>
                </w:tcPr>
                <w:p w14:paraId="3E7BC22C">
                  <w:pPr>
                    <w:pStyle w:val="47"/>
                    <w:rPr>
                      <w:color w:val="000000" w:themeColor="text1"/>
                      <w:sz w:val="21"/>
                      <w:szCs w:val="21"/>
                      <w14:textFill>
                        <w14:solidFill>
                          <w14:schemeClr w14:val="tx1"/>
                        </w14:solidFill>
                      </w14:textFill>
                    </w:rPr>
                  </w:pPr>
                </w:p>
              </w:tc>
              <w:tc>
                <w:tcPr>
                  <w:tcW w:w="858" w:type="dxa"/>
                  <w:tcBorders>
                    <w:tl2br w:val="nil"/>
                    <w:tr2bl w:val="nil"/>
                  </w:tcBorders>
                  <w:vAlign w:val="center"/>
                </w:tcPr>
                <w:p w14:paraId="1A05D64E">
                  <w:pPr>
                    <w:pStyle w:val="47"/>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SW17</w:t>
                  </w:r>
                </w:p>
              </w:tc>
              <w:tc>
                <w:tcPr>
                  <w:tcW w:w="1342" w:type="dxa"/>
                  <w:tcBorders>
                    <w:tl2br w:val="nil"/>
                    <w:tr2bl w:val="nil"/>
                  </w:tcBorders>
                  <w:vAlign w:val="center"/>
                </w:tcPr>
                <w:p w14:paraId="61A70837">
                  <w:pPr>
                    <w:tabs>
                      <w:tab w:val="right" w:leader="dot" w:pos="8834"/>
                    </w:tabs>
                    <w:jc w:val="center"/>
                    <w:rPr>
                      <w:rFonts w:hint="eastAsia" w:eastAsia="宋体"/>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szCs w:val="21"/>
                      <w:lang w:val="en-US" w:eastAsia="zh-CN"/>
                    </w:rPr>
                    <w:t>900-00</w:t>
                  </w:r>
                  <w:r>
                    <w:rPr>
                      <w:rFonts w:hint="eastAsia" w:cs="Times New Roman"/>
                      <w:color w:val="auto"/>
                      <w:kern w:val="0"/>
                      <w:szCs w:val="21"/>
                      <w:lang w:val="en-US" w:eastAsia="zh-CN"/>
                    </w:rPr>
                    <w:t>2</w:t>
                  </w:r>
                  <w:r>
                    <w:rPr>
                      <w:rFonts w:hint="eastAsia" w:ascii="Times New Roman" w:hAnsi="Times New Roman" w:eastAsia="宋体" w:cs="Times New Roman"/>
                      <w:color w:val="auto"/>
                      <w:kern w:val="0"/>
                      <w:szCs w:val="21"/>
                      <w:lang w:val="en-US" w:eastAsia="zh-CN"/>
                    </w:rPr>
                    <w:t>-S17</w:t>
                  </w:r>
                </w:p>
              </w:tc>
              <w:tc>
                <w:tcPr>
                  <w:tcW w:w="972" w:type="dxa"/>
                  <w:vMerge w:val="continue"/>
                  <w:tcBorders>
                    <w:tl2br w:val="nil"/>
                    <w:tr2bl w:val="nil"/>
                  </w:tcBorders>
                  <w:vAlign w:val="center"/>
                </w:tcPr>
                <w:p w14:paraId="4C2698F8">
                  <w:pPr>
                    <w:pStyle w:val="47"/>
                    <w:rPr>
                      <w:color w:val="000000" w:themeColor="text1"/>
                      <w:sz w:val="21"/>
                      <w:szCs w:val="21"/>
                      <w14:textFill>
                        <w14:solidFill>
                          <w14:schemeClr w14:val="tx1"/>
                        </w14:solidFill>
                      </w14:textFill>
                    </w:rPr>
                  </w:pPr>
                </w:p>
              </w:tc>
              <w:tc>
                <w:tcPr>
                  <w:tcW w:w="1335" w:type="dxa"/>
                  <w:vMerge w:val="continue"/>
                  <w:tcBorders>
                    <w:tl2br w:val="nil"/>
                    <w:tr2bl w:val="nil"/>
                  </w:tcBorders>
                  <w:vAlign w:val="center"/>
                </w:tcPr>
                <w:p w14:paraId="6C2FC91C">
                  <w:pPr>
                    <w:pStyle w:val="47"/>
                    <w:rPr>
                      <w:color w:val="000000" w:themeColor="text1"/>
                      <w:sz w:val="21"/>
                      <w:szCs w:val="21"/>
                      <w14:textFill>
                        <w14:solidFill>
                          <w14:schemeClr w14:val="tx1"/>
                        </w14:solidFill>
                      </w14:textFill>
                    </w:rPr>
                  </w:pPr>
                </w:p>
              </w:tc>
            </w:tr>
            <w:tr w14:paraId="2B702B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noWrap/>
                  <w:vAlign w:val="center"/>
                </w:tcPr>
                <w:p w14:paraId="399645AA">
                  <w:pPr>
                    <w:jc w:val="center"/>
                    <w:rPr>
                      <w:rFonts w:hint="eastAsia"/>
                      <w:color w:val="000000" w:themeColor="text1"/>
                      <w:sz w:val="21"/>
                      <w:szCs w:val="21"/>
                      <w:lang w:val="en-US" w:eastAsia="zh-CN"/>
                      <w14:textFill>
                        <w14:solidFill>
                          <w14:schemeClr w14:val="tx1"/>
                        </w14:solidFill>
                      </w14:textFill>
                    </w:rPr>
                  </w:pPr>
                  <w:r>
                    <w:rPr>
                      <w:rFonts w:hint="eastAsia"/>
                      <w:color w:val="auto"/>
                      <w:kern w:val="0"/>
                      <w:szCs w:val="21"/>
                      <w:lang w:val="en-US" w:eastAsia="zh-CN"/>
                    </w:rPr>
                    <w:t>废沉渣</w:t>
                  </w:r>
                </w:p>
              </w:tc>
              <w:tc>
                <w:tcPr>
                  <w:tcW w:w="1106" w:type="dxa"/>
                  <w:tcBorders>
                    <w:tl2br w:val="nil"/>
                    <w:tr2bl w:val="nil"/>
                  </w:tcBorders>
                  <w:noWrap/>
                  <w:vAlign w:val="center"/>
                </w:tcPr>
                <w:p w14:paraId="6345559E">
                  <w:pPr>
                    <w:jc w:val="center"/>
                    <w:rPr>
                      <w:rFonts w:hint="eastAsia"/>
                      <w:color w:val="000000" w:themeColor="text1"/>
                      <w:sz w:val="21"/>
                      <w:szCs w:val="21"/>
                      <w:lang w:val="en-US" w:eastAsia="zh-CN"/>
                      <w14:textFill>
                        <w14:solidFill>
                          <w14:schemeClr w14:val="tx1"/>
                        </w14:solidFill>
                      </w14:textFill>
                    </w:rPr>
                  </w:pPr>
                  <w:r>
                    <w:rPr>
                      <w:rFonts w:hint="eastAsia"/>
                      <w:color w:val="auto"/>
                      <w:kern w:val="0"/>
                      <w:szCs w:val="21"/>
                      <w:lang w:val="en-US" w:eastAsia="zh-CN"/>
                    </w:rPr>
                    <w:t>循环水池</w:t>
                  </w:r>
                </w:p>
              </w:tc>
              <w:tc>
                <w:tcPr>
                  <w:tcW w:w="840" w:type="dxa"/>
                  <w:tcBorders>
                    <w:tl2br w:val="nil"/>
                    <w:tr2bl w:val="nil"/>
                  </w:tcBorders>
                  <w:vAlign w:val="center"/>
                </w:tcPr>
                <w:p w14:paraId="01B0A8A9">
                  <w:pPr>
                    <w:jc w:val="center"/>
                    <w:rPr>
                      <w:rFonts w:hint="eastAsia"/>
                      <w:color w:val="000000" w:themeColor="text1"/>
                      <w:sz w:val="21"/>
                      <w:szCs w:val="21"/>
                      <w:lang w:val="en-US" w:eastAsia="zh-CN"/>
                      <w14:textFill>
                        <w14:solidFill>
                          <w14:schemeClr w14:val="tx1"/>
                        </w14:solidFill>
                      </w14:textFill>
                    </w:rPr>
                  </w:pPr>
                  <w:r>
                    <w:rPr>
                      <w:rFonts w:hint="eastAsia" w:cs="Times New Roman"/>
                      <w:color w:val="auto"/>
                      <w:kern w:val="0"/>
                      <w:sz w:val="21"/>
                      <w:szCs w:val="21"/>
                      <w:lang w:val="en-US" w:eastAsia="zh-CN" w:bidi="ar-SA"/>
                    </w:rPr>
                    <w:t>7.5</w:t>
                  </w:r>
                </w:p>
              </w:tc>
              <w:tc>
                <w:tcPr>
                  <w:tcW w:w="642" w:type="dxa"/>
                  <w:vMerge w:val="continue"/>
                  <w:tcBorders>
                    <w:tl2br w:val="nil"/>
                    <w:tr2bl w:val="nil"/>
                  </w:tcBorders>
                  <w:vAlign w:val="center"/>
                </w:tcPr>
                <w:p w14:paraId="1F21457B">
                  <w:pPr>
                    <w:pStyle w:val="47"/>
                    <w:rPr>
                      <w:color w:val="000000" w:themeColor="text1"/>
                      <w:sz w:val="21"/>
                      <w:szCs w:val="21"/>
                      <w14:textFill>
                        <w14:solidFill>
                          <w14:schemeClr w14:val="tx1"/>
                        </w14:solidFill>
                      </w14:textFill>
                    </w:rPr>
                  </w:pPr>
                </w:p>
              </w:tc>
              <w:tc>
                <w:tcPr>
                  <w:tcW w:w="858" w:type="dxa"/>
                  <w:tcBorders>
                    <w:tl2br w:val="nil"/>
                    <w:tr2bl w:val="nil"/>
                  </w:tcBorders>
                  <w:vAlign w:val="center"/>
                </w:tcPr>
                <w:p w14:paraId="29F2EB46">
                  <w:pPr>
                    <w:pStyle w:val="47"/>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SW17</w:t>
                  </w:r>
                </w:p>
              </w:tc>
              <w:tc>
                <w:tcPr>
                  <w:tcW w:w="1342" w:type="dxa"/>
                  <w:tcBorders>
                    <w:tl2br w:val="nil"/>
                    <w:tr2bl w:val="nil"/>
                  </w:tcBorders>
                  <w:vAlign w:val="center"/>
                </w:tcPr>
                <w:p w14:paraId="55EE2038">
                  <w:pPr>
                    <w:tabs>
                      <w:tab w:val="right" w:leader="dot" w:pos="8834"/>
                    </w:tabs>
                    <w:jc w:val="center"/>
                    <w:rPr>
                      <w:rFonts w:hint="eastAsia" w:eastAsia="宋体"/>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szCs w:val="21"/>
                      <w:lang w:val="en-US" w:eastAsia="zh-CN"/>
                    </w:rPr>
                    <w:t>900-00</w:t>
                  </w:r>
                  <w:r>
                    <w:rPr>
                      <w:rFonts w:hint="eastAsia" w:cs="Times New Roman"/>
                      <w:color w:val="auto"/>
                      <w:kern w:val="0"/>
                      <w:szCs w:val="21"/>
                      <w:lang w:val="en-US" w:eastAsia="zh-CN"/>
                    </w:rPr>
                    <w:t>2</w:t>
                  </w:r>
                  <w:r>
                    <w:rPr>
                      <w:rFonts w:hint="eastAsia" w:ascii="Times New Roman" w:hAnsi="Times New Roman" w:eastAsia="宋体" w:cs="Times New Roman"/>
                      <w:color w:val="auto"/>
                      <w:kern w:val="0"/>
                      <w:szCs w:val="21"/>
                      <w:lang w:val="en-US" w:eastAsia="zh-CN"/>
                    </w:rPr>
                    <w:t>-S17</w:t>
                  </w:r>
                </w:p>
              </w:tc>
              <w:tc>
                <w:tcPr>
                  <w:tcW w:w="972" w:type="dxa"/>
                  <w:vMerge w:val="continue"/>
                  <w:tcBorders>
                    <w:tl2br w:val="nil"/>
                    <w:tr2bl w:val="nil"/>
                  </w:tcBorders>
                  <w:vAlign w:val="center"/>
                </w:tcPr>
                <w:p w14:paraId="58051188">
                  <w:pPr>
                    <w:pStyle w:val="47"/>
                    <w:rPr>
                      <w:color w:val="000000" w:themeColor="text1"/>
                      <w:sz w:val="21"/>
                      <w:szCs w:val="21"/>
                      <w14:textFill>
                        <w14:solidFill>
                          <w14:schemeClr w14:val="tx1"/>
                        </w14:solidFill>
                      </w14:textFill>
                    </w:rPr>
                  </w:pPr>
                </w:p>
              </w:tc>
              <w:tc>
                <w:tcPr>
                  <w:tcW w:w="1335" w:type="dxa"/>
                  <w:vMerge w:val="continue"/>
                  <w:tcBorders>
                    <w:tl2br w:val="nil"/>
                    <w:tr2bl w:val="nil"/>
                  </w:tcBorders>
                  <w:vAlign w:val="center"/>
                </w:tcPr>
                <w:p w14:paraId="798990DF">
                  <w:pPr>
                    <w:pStyle w:val="47"/>
                    <w:rPr>
                      <w:color w:val="000000" w:themeColor="text1"/>
                      <w:sz w:val="21"/>
                      <w:szCs w:val="21"/>
                      <w14:textFill>
                        <w14:solidFill>
                          <w14:schemeClr w14:val="tx1"/>
                        </w14:solidFill>
                      </w14:textFill>
                    </w:rPr>
                  </w:pPr>
                </w:p>
              </w:tc>
            </w:tr>
            <w:tr w14:paraId="6E742A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shd w:val="clear" w:color="auto" w:fill="auto"/>
                  <w:noWrap/>
                  <w:vAlign w:val="center"/>
                </w:tcPr>
                <w:p w14:paraId="07B8B731">
                  <w:pPr>
                    <w:jc w:val="center"/>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color w:val="auto"/>
                      <w:kern w:val="0"/>
                      <w:szCs w:val="21"/>
                      <w:lang w:val="en-US" w:eastAsia="zh-CN"/>
                    </w:rPr>
                    <w:t>废布袋</w:t>
                  </w:r>
                </w:p>
              </w:tc>
              <w:tc>
                <w:tcPr>
                  <w:tcW w:w="1106" w:type="dxa"/>
                  <w:tcBorders>
                    <w:tl2br w:val="nil"/>
                    <w:tr2bl w:val="nil"/>
                  </w:tcBorders>
                  <w:shd w:val="clear" w:color="auto" w:fill="auto"/>
                  <w:noWrap/>
                  <w:vAlign w:val="center"/>
                </w:tcPr>
                <w:p w14:paraId="440A18B0">
                  <w:pPr>
                    <w:jc w:val="center"/>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color w:val="auto"/>
                      <w:kern w:val="0"/>
                      <w:szCs w:val="21"/>
                      <w:lang w:val="en-US" w:eastAsia="zh-CN"/>
                    </w:rPr>
                    <w:t>废气处理</w:t>
                  </w:r>
                </w:p>
              </w:tc>
              <w:tc>
                <w:tcPr>
                  <w:tcW w:w="840" w:type="dxa"/>
                  <w:tcBorders>
                    <w:tl2br w:val="nil"/>
                    <w:tr2bl w:val="nil"/>
                  </w:tcBorders>
                  <w:shd w:val="clear" w:color="auto" w:fill="auto"/>
                  <w:vAlign w:val="center"/>
                </w:tcPr>
                <w:p w14:paraId="60233206">
                  <w:pPr>
                    <w:jc w:val="center"/>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cs="Times New Roman"/>
                      <w:color w:val="auto"/>
                      <w:kern w:val="0"/>
                      <w:sz w:val="21"/>
                      <w:szCs w:val="21"/>
                      <w:lang w:val="en-US" w:eastAsia="zh-CN" w:bidi="ar-SA"/>
                    </w:rPr>
                    <w:t>0.1</w:t>
                  </w:r>
                </w:p>
              </w:tc>
              <w:tc>
                <w:tcPr>
                  <w:tcW w:w="642" w:type="dxa"/>
                  <w:vMerge w:val="continue"/>
                  <w:tcBorders>
                    <w:tl2br w:val="nil"/>
                    <w:tr2bl w:val="nil"/>
                  </w:tcBorders>
                  <w:shd w:val="clear" w:color="auto" w:fill="auto"/>
                  <w:vAlign w:val="center"/>
                </w:tcPr>
                <w:p w14:paraId="1E2B7E3F">
                  <w:pPr>
                    <w:pStyle w:val="47"/>
                    <w:rPr>
                      <w:rFonts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p>
              </w:tc>
              <w:tc>
                <w:tcPr>
                  <w:tcW w:w="858" w:type="dxa"/>
                  <w:tcBorders>
                    <w:tl2br w:val="nil"/>
                    <w:tr2bl w:val="nil"/>
                  </w:tcBorders>
                  <w:shd w:val="clear" w:color="auto" w:fill="auto"/>
                  <w:vAlign w:val="center"/>
                </w:tcPr>
                <w:p w14:paraId="7FF8255D">
                  <w:pPr>
                    <w:pStyle w:val="47"/>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SW59</w:t>
                  </w:r>
                </w:p>
              </w:tc>
              <w:tc>
                <w:tcPr>
                  <w:tcW w:w="1342" w:type="dxa"/>
                  <w:tcBorders>
                    <w:tl2br w:val="nil"/>
                    <w:tr2bl w:val="nil"/>
                  </w:tcBorders>
                  <w:shd w:val="clear" w:color="auto" w:fill="auto"/>
                  <w:vAlign w:val="center"/>
                </w:tcPr>
                <w:p w14:paraId="0EA5D374">
                  <w:pPr>
                    <w:tabs>
                      <w:tab w:val="right" w:leader="dot" w:pos="8834"/>
                    </w:tabs>
                    <w:jc w:val="center"/>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Cs w:val="21"/>
                      <w:lang w:val="en-US" w:eastAsia="zh-CN"/>
                    </w:rPr>
                    <w:t>900-0</w:t>
                  </w:r>
                  <w:r>
                    <w:rPr>
                      <w:rFonts w:hint="eastAsia" w:cs="Times New Roman"/>
                      <w:color w:val="auto"/>
                      <w:kern w:val="0"/>
                      <w:szCs w:val="21"/>
                      <w:lang w:val="en-US" w:eastAsia="zh-CN"/>
                    </w:rPr>
                    <w:t>99-S59</w:t>
                  </w:r>
                </w:p>
              </w:tc>
              <w:tc>
                <w:tcPr>
                  <w:tcW w:w="972" w:type="dxa"/>
                  <w:vMerge w:val="continue"/>
                  <w:tcBorders>
                    <w:tl2br w:val="nil"/>
                    <w:tr2bl w:val="nil"/>
                  </w:tcBorders>
                  <w:vAlign w:val="center"/>
                </w:tcPr>
                <w:p w14:paraId="58F9C94E">
                  <w:pPr>
                    <w:pStyle w:val="47"/>
                    <w:rPr>
                      <w:color w:val="000000" w:themeColor="text1"/>
                      <w:sz w:val="21"/>
                      <w:szCs w:val="21"/>
                      <w14:textFill>
                        <w14:solidFill>
                          <w14:schemeClr w14:val="tx1"/>
                        </w14:solidFill>
                      </w14:textFill>
                    </w:rPr>
                  </w:pPr>
                </w:p>
              </w:tc>
              <w:tc>
                <w:tcPr>
                  <w:tcW w:w="1335" w:type="dxa"/>
                  <w:vMerge w:val="continue"/>
                  <w:tcBorders>
                    <w:tl2br w:val="nil"/>
                    <w:tr2bl w:val="nil"/>
                  </w:tcBorders>
                  <w:vAlign w:val="center"/>
                </w:tcPr>
                <w:p w14:paraId="27370062">
                  <w:pPr>
                    <w:pStyle w:val="47"/>
                    <w:rPr>
                      <w:color w:val="000000" w:themeColor="text1"/>
                      <w:sz w:val="21"/>
                      <w:szCs w:val="21"/>
                      <w14:textFill>
                        <w14:solidFill>
                          <w14:schemeClr w14:val="tx1"/>
                        </w14:solidFill>
                      </w14:textFill>
                    </w:rPr>
                  </w:pPr>
                </w:p>
              </w:tc>
            </w:tr>
            <w:tr w14:paraId="04E6AE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shd w:val="clear" w:color="auto" w:fill="auto"/>
                  <w:noWrap/>
                  <w:vAlign w:val="center"/>
                </w:tcPr>
                <w:p w14:paraId="7AA15353">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废油类</w:t>
                  </w:r>
                </w:p>
              </w:tc>
              <w:tc>
                <w:tcPr>
                  <w:tcW w:w="1106" w:type="dxa"/>
                  <w:vMerge w:val="restart"/>
                  <w:tcBorders>
                    <w:tl2br w:val="nil"/>
                    <w:tr2bl w:val="nil"/>
                  </w:tcBorders>
                  <w:vAlign w:val="center"/>
                </w:tcPr>
                <w:p w14:paraId="5EA51BD8">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设备维护保养设备维护保养</w:t>
                  </w:r>
                </w:p>
              </w:tc>
              <w:tc>
                <w:tcPr>
                  <w:tcW w:w="840" w:type="dxa"/>
                  <w:tcBorders>
                    <w:tl2br w:val="nil"/>
                    <w:tr2bl w:val="nil"/>
                  </w:tcBorders>
                  <w:vAlign w:val="center"/>
                </w:tcPr>
                <w:p w14:paraId="11010870">
                  <w:pPr>
                    <w:pStyle w:val="47"/>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0.01</w:t>
                  </w:r>
                </w:p>
              </w:tc>
              <w:tc>
                <w:tcPr>
                  <w:tcW w:w="642" w:type="dxa"/>
                  <w:vMerge w:val="restart"/>
                  <w:tcBorders>
                    <w:tl2br w:val="nil"/>
                    <w:tr2bl w:val="nil"/>
                  </w:tcBorders>
                  <w:vAlign w:val="center"/>
                </w:tcPr>
                <w:p w14:paraId="346F19DE">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危险废物</w:t>
                  </w:r>
                </w:p>
              </w:tc>
              <w:tc>
                <w:tcPr>
                  <w:tcW w:w="858" w:type="dxa"/>
                  <w:tcBorders>
                    <w:tl2br w:val="nil"/>
                    <w:tr2bl w:val="nil"/>
                  </w:tcBorders>
                  <w:shd w:val="clear" w:color="auto" w:fill="auto"/>
                  <w:vAlign w:val="center"/>
                </w:tcPr>
                <w:p w14:paraId="421768A6">
                  <w:pPr>
                    <w:pStyle w:val="47"/>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HW08</w:t>
                  </w:r>
                </w:p>
              </w:tc>
              <w:tc>
                <w:tcPr>
                  <w:tcW w:w="1342" w:type="dxa"/>
                  <w:tcBorders>
                    <w:tl2br w:val="nil"/>
                    <w:tr2bl w:val="nil"/>
                  </w:tcBorders>
                  <w:shd w:val="clear" w:color="auto" w:fill="auto"/>
                  <w:vAlign w:val="center"/>
                </w:tcPr>
                <w:p w14:paraId="1D5A1A97">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900-249-08</w:t>
                  </w:r>
                </w:p>
              </w:tc>
              <w:tc>
                <w:tcPr>
                  <w:tcW w:w="972" w:type="dxa"/>
                  <w:vMerge w:val="restart"/>
                  <w:tcBorders>
                    <w:tl2br w:val="nil"/>
                    <w:tr2bl w:val="nil"/>
                  </w:tcBorders>
                  <w:vAlign w:val="center"/>
                </w:tcPr>
                <w:p w14:paraId="7F167BA6">
                  <w:pPr>
                    <w:pStyle w:val="47"/>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危废贮存库</w:t>
                  </w:r>
                  <w:r>
                    <w:rPr>
                      <w:color w:val="000000" w:themeColor="text1"/>
                      <w:sz w:val="21"/>
                      <w:szCs w:val="21"/>
                      <w14:textFill>
                        <w14:solidFill>
                          <w14:schemeClr w14:val="tx1"/>
                        </w14:solidFill>
                      </w14:textFill>
                    </w:rPr>
                    <w:t>暂存</w:t>
                  </w:r>
                </w:p>
              </w:tc>
              <w:tc>
                <w:tcPr>
                  <w:tcW w:w="1335" w:type="dxa"/>
                  <w:vMerge w:val="restart"/>
                  <w:tcBorders>
                    <w:tl2br w:val="nil"/>
                    <w:tr2bl w:val="nil"/>
                  </w:tcBorders>
                  <w:vAlign w:val="center"/>
                </w:tcPr>
                <w:p w14:paraId="1F8C1C24">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交由有资质单位处置</w:t>
                  </w:r>
                </w:p>
              </w:tc>
            </w:tr>
            <w:tr w14:paraId="7B70C8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shd w:val="clear" w:color="auto" w:fill="auto"/>
                  <w:noWrap/>
                  <w:vAlign w:val="center"/>
                </w:tcPr>
                <w:p w14:paraId="194A00C6">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废油桶</w:t>
                  </w:r>
                </w:p>
              </w:tc>
              <w:tc>
                <w:tcPr>
                  <w:tcW w:w="1106" w:type="dxa"/>
                  <w:vMerge w:val="continue"/>
                  <w:tcBorders>
                    <w:tl2br w:val="nil"/>
                    <w:tr2bl w:val="nil"/>
                  </w:tcBorders>
                  <w:shd w:val="clear" w:color="auto" w:fill="auto"/>
                  <w:vAlign w:val="center"/>
                </w:tcPr>
                <w:p w14:paraId="6C8D007A">
                  <w:pPr>
                    <w:pStyle w:val="47"/>
                    <w:rPr>
                      <w:rFonts w:hint="eastAsia" w:eastAsia="宋体"/>
                      <w:color w:val="000000" w:themeColor="text1"/>
                      <w:sz w:val="21"/>
                      <w:szCs w:val="21"/>
                      <w:lang w:val="en-US" w:eastAsia="zh-CN"/>
                      <w14:textFill>
                        <w14:solidFill>
                          <w14:schemeClr w14:val="tx1"/>
                        </w14:solidFill>
                      </w14:textFill>
                    </w:rPr>
                  </w:pPr>
                </w:p>
              </w:tc>
              <w:tc>
                <w:tcPr>
                  <w:tcW w:w="840" w:type="dxa"/>
                  <w:tcBorders>
                    <w:tl2br w:val="nil"/>
                    <w:tr2bl w:val="nil"/>
                  </w:tcBorders>
                  <w:shd w:val="clear" w:color="auto" w:fill="auto"/>
                  <w:vAlign w:val="center"/>
                </w:tcPr>
                <w:p w14:paraId="7F752C37">
                  <w:pPr>
                    <w:pStyle w:val="47"/>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04</w:t>
                  </w:r>
                </w:p>
              </w:tc>
              <w:tc>
                <w:tcPr>
                  <w:tcW w:w="642" w:type="dxa"/>
                  <w:vMerge w:val="continue"/>
                  <w:tcBorders>
                    <w:tl2br w:val="nil"/>
                    <w:tr2bl w:val="nil"/>
                  </w:tcBorders>
                  <w:shd w:val="clear" w:color="auto" w:fill="auto"/>
                  <w:vAlign w:val="center"/>
                </w:tcPr>
                <w:p w14:paraId="460CD3BC">
                  <w:pPr>
                    <w:pStyle w:val="47"/>
                    <w:rPr>
                      <w:rFonts w:hint="eastAsia" w:eastAsia="宋体"/>
                      <w:color w:val="000000" w:themeColor="text1"/>
                      <w:sz w:val="21"/>
                      <w:szCs w:val="21"/>
                      <w:lang w:val="en-US" w:eastAsia="zh-CN"/>
                      <w14:textFill>
                        <w14:solidFill>
                          <w14:schemeClr w14:val="tx1"/>
                        </w14:solidFill>
                      </w14:textFill>
                    </w:rPr>
                  </w:pPr>
                </w:p>
              </w:tc>
              <w:tc>
                <w:tcPr>
                  <w:tcW w:w="858" w:type="dxa"/>
                  <w:tcBorders>
                    <w:tl2br w:val="nil"/>
                    <w:tr2bl w:val="nil"/>
                  </w:tcBorders>
                  <w:shd w:val="clear" w:color="auto" w:fill="auto"/>
                  <w:vAlign w:val="center"/>
                </w:tcPr>
                <w:p w14:paraId="44DB3243">
                  <w:pPr>
                    <w:pStyle w:val="47"/>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HW08</w:t>
                  </w:r>
                </w:p>
              </w:tc>
              <w:tc>
                <w:tcPr>
                  <w:tcW w:w="1342" w:type="dxa"/>
                  <w:tcBorders>
                    <w:tl2br w:val="nil"/>
                    <w:tr2bl w:val="nil"/>
                  </w:tcBorders>
                  <w:shd w:val="clear" w:color="auto" w:fill="auto"/>
                  <w:vAlign w:val="center"/>
                </w:tcPr>
                <w:p w14:paraId="691C74C2">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900-249-08</w:t>
                  </w:r>
                </w:p>
              </w:tc>
              <w:tc>
                <w:tcPr>
                  <w:tcW w:w="972" w:type="dxa"/>
                  <w:vMerge w:val="continue"/>
                  <w:tcBorders>
                    <w:tl2br w:val="nil"/>
                    <w:tr2bl w:val="nil"/>
                  </w:tcBorders>
                  <w:vAlign w:val="center"/>
                </w:tcPr>
                <w:p w14:paraId="245D347F">
                  <w:pPr>
                    <w:pStyle w:val="47"/>
                    <w:rPr>
                      <w:rFonts w:hint="eastAsia"/>
                      <w:color w:val="000000" w:themeColor="text1"/>
                      <w:sz w:val="21"/>
                      <w:szCs w:val="21"/>
                      <w14:textFill>
                        <w14:solidFill>
                          <w14:schemeClr w14:val="tx1"/>
                        </w14:solidFill>
                      </w14:textFill>
                    </w:rPr>
                  </w:pPr>
                </w:p>
              </w:tc>
              <w:tc>
                <w:tcPr>
                  <w:tcW w:w="1335" w:type="dxa"/>
                  <w:vMerge w:val="continue"/>
                  <w:tcBorders>
                    <w:tl2br w:val="nil"/>
                    <w:tr2bl w:val="nil"/>
                  </w:tcBorders>
                  <w:vAlign w:val="center"/>
                </w:tcPr>
                <w:p w14:paraId="543CD919">
                  <w:pPr>
                    <w:pStyle w:val="47"/>
                    <w:rPr>
                      <w:color w:val="000000" w:themeColor="text1"/>
                      <w:sz w:val="21"/>
                      <w:szCs w:val="21"/>
                      <w14:textFill>
                        <w14:solidFill>
                          <w14:schemeClr w14:val="tx1"/>
                        </w14:solidFill>
                      </w14:textFill>
                    </w:rPr>
                  </w:pPr>
                </w:p>
              </w:tc>
            </w:tr>
            <w:tr w14:paraId="7035C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shd w:val="clear" w:color="auto" w:fill="auto"/>
                  <w:noWrap/>
                  <w:vAlign w:val="center"/>
                </w:tcPr>
                <w:p w14:paraId="36DF92AF">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废油手套</w:t>
                  </w:r>
                </w:p>
                <w:p w14:paraId="6FC5B66F">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含油抹布</w:t>
                  </w:r>
                </w:p>
              </w:tc>
              <w:tc>
                <w:tcPr>
                  <w:tcW w:w="1106" w:type="dxa"/>
                  <w:vMerge w:val="continue"/>
                  <w:tcBorders>
                    <w:tl2br w:val="nil"/>
                    <w:tr2bl w:val="nil"/>
                  </w:tcBorders>
                  <w:vAlign w:val="center"/>
                </w:tcPr>
                <w:p w14:paraId="63AC8665">
                  <w:pPr>
                    <w:pStyle w:val="47"/>
                    <w:rPr>
                      <w:rFonts w:hint="eastAsia" w:eastAsia="宋体"/>
                      <w:color w:val="000000" w:themeColor="text1"/>
                      <w:sz w:val="21"/>
                      <w:szCs w:val="21"/>
                      <w:lang w:val="en-US" w:eastAsia="zh-CN"/>
                      <w14:textFill>
                        <w14:solidFill>
                          <w14:schemeClr w14:val="tx1"/>
                        </w14:solidFill>
                      </w14:textFill>
                    </w:rPr>
                  </w:pPr>
                </w:p>
              </w:tc>
              <w:tc>
                <w:tcPr>
                  <w:tcW w:w="840" w:type="dxa"/>
                  <w:tcBorders>
                    <w:tl2br w:val="nil"/>
                    <w:tr2bl w:val="nil"/>
                  </w:tcBorders>
                  <w:vAlign w:val="center"/>
                </w:tcPr>
                <w:p w14:paraId="76AFDD89">
                  <w:pPr>
                    <w:pStyle w:val="47"/>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0.002</w:t>
                  </w:r>
                </w:p>
              </w:tc>
              <w:tc>
                <w:tcPr>
                  <w:tcW w:w="642" w:type="dxa"/>
                  <w:vMerge w:val="continue"/>
                  <w:tcBorders>
                    <w:tl2br w:val="nil"/>
                    <w:tr2bl w:val="nil"/>
                  </w:tcBorders>
                  <w:vAlign w:val="center"/>
                </w:tcPr>
                <w:p w14:paraId="37137FA3">
                  <w:pPr>
                    <w:pStyle w:val="47"/>
                    <w:rPr>
                      <w:rFonts w:hint="eastAsia" w:eastAsia="宋体"/>
                      <w:color w:val="000000" w:themeColor="text1"/>
                      <w:sz w:val="21"/>
                      <w:szCs w:val="21"/>
                      <w:lang w:val="en-US" w:eastAsia="zh-CN"/>
                      <w14:textFill>
                        <w14:solidFill>
                          <w14:schemeClr w14:val="tx1"/>
                        </w14:solidFill>
                      </w14:textFill>
                    </w:rPr>
                  </w:pPr>
                </w:p>
              </w:tc>
              <w:tc>
                <w:tcPr>
                  <w:tcW w:w="858" w:type="dxa"/>
                  <w:tcBorders>
                    <w:tl2br w:val="nil"/>
                    <w:tr2bl w:val="nil"/>
                  </w:tcBorders>
                  <w:shd w:val="clear" w:color="auto" w:fill="auto"/>
                  <w:vAlign w:val="center"/>
                </w:tcPr>
                <w:p w14:paraId="74A8C149">
                  <w:pPr>
                    <w:pStyle w:val="47"/>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HW49</w:t>
                  </w:r>
                </w:p>
              </w:tc>
              <w:tc>
                <w:tcPr>
                  <w:tcW w:w="1342" w:type="dxa"/>
                  <w:tcBorders>
                    <w:tl2br w:val="nil"/>
                    <w:tr2bl w:val="nil"/>
                  </w:tcBorders>
                  <w:shd w:val="clear" w:color="auto" w:fill="auto"/>
                  <w:vAlign w:val="center"/>
                </w:tcPr>
                <w:p w14:paraId="363CA649">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900-041-49</w:t>
                  </w:r>
                </w:p>
              </w:tc>
              <w:tc>
                <w:tcPr>
                  <w:tcW w:w="972" w:type="dxa"/>
                  <w:vMerge w:val="continue"/>
                  <w:tcBorders>
                    <w:tl2br w:val="nil"/>
                    <w:tr2bl w:val="nil"/>
                  </w:tcBorders>
                  <w:vAlign w:val="center"/>
                </w:tcPr>
                <w:p w14:paraId="24308BA4">
                  <w:pPr>
                    <w:pStyle w:val="47"/>
                    <w:rPr>
                      <w:color w:val="000000" w:themeColor="text1"/>
                      <w:sz w:val="21"/>
                      <w:szCs w:val="21"/>
                      <w14:textFill>
                        <w14:solidFill>
                          <w14:schemeClr w14:val="tx1"/>
                        </w14:solidFill>
                      </w14:textFill>
                    </w:rPr>
                  </w:pPr>
                </w:p>
              </w:tc>
              <w:tc>
                <w:tcPr>
                  <w:tcW w:w="1335" w:type="dxa"/>
                  <w:vMerge w:val="continue"/>
                  <w:tcBorders>
                    <w:tl2br w:val="nil"/>
                    <w:tr2bl w:val="nil"/>
                  </w:tcBorders>
                  <w:vAlign w:val="center"/>
                </w:tcPr>
                <w:p w14:paraId="14FB5E00">
                  <w:pPr>
                    <w:pStyle w:val="47"/>
                    <w:rPr>
                      <w:color w:val="000000" w:themeColor="text1"/>
                      <w:sz w:val="21"/>
                      <w:szCs w:val="21"/>
                      <w14:textFill>
                        <w14:solidFill>
                          <w14:schemeClr w14:val="tx1"/>
                        </w14:solidFill>
                      </w14:textFill>
                    </w:rPr>
                  </w:pPr>
                </w:p>
              </w:tc>
            </w:tr>
            <w:tr w14:paraId="56E4EB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1" w:type="dxa"/>
                  <w:tcBorders>
                    <w:tl2br w:val="nil"/>
                    <w:tr2bl w:val="nil"/>
                  </w:tcBorders>
                  <w:vAlign w:val="center"/>
                </w:tcPr>
                <w:p w14:paraId="268FF11A">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生活垃圾</w:t>
                  </w:r>
                </w:p>
              </w:tc>
              <w:tc>
                <w:tcPr>
                  <w:tcW w:w="1106" w:type="dxa"/>
                  <w:tcBorders>
                    <w:tl2br w:val="nil"/>
                    <w:tr2bl w:val="nil"/>
                  </w:tcBorders>
                  <w:vAlign w:val="center"/>
                </w:tcPr>
                <w:p w14:paraId="166D429F">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职工生活</w:t>
                  </w:r>
                </w:p>
              </w:tc>
              <w:tc>
                <w:tcPr>
                  <w:tcW w:w="840" w:type="dxa"/>
                  <w:tcBorders>
                    <w:tl2br w:val="nil"/>
                    <w:tr2bl w:val="nil"/>
                  </w:tcBorders>
                  <w:vAlign w:val="center"/>
                </w:tcPr>
                <w:p w14:paraId="08F17C35">
                  <w:pPr>
                    <w:pStyle w:val="47"/>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2.56</w:t>
                  </w:r>
                </w:p>
              </w:tc>
              <w:tc>
                <w:tcPr>
                  <w:tcW w:w="642" w:type="dxa"/>
                  <w:tcBorders>
                    <w:tl2br w:val="nil"/>
                    <w:tr2bl w:val="nil"/>
                  </w:tcBorders>
                  <w:vAlign w:val="center"/>
                </w:tcPr>
                <w:p w14:paraId="125B7901">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生活垃圾</w:t>
                  </w:r>
                </w:p>
              </w:tc>
              <w:tc>
                <w:tcPr>
                  <w:tcW w:w="858" w:type="dxa"/>
                  <w:tcBorders>
                    <w:tl2br w:val="nil"/>
                    <w:tr2bl w:val="nil"/>
                  </w:tcBorders>
                  <w:vAlign w:val="center"/>
                </w:tcPr>
                <w:p w14:paraId="6FFFC393">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S62</w:t>
                  </w:r>
                </w:p>
              </w:tc>
              <w:tc>
                <w:tcPr>
                  <w:tcW w:w="1342" w:type="dxa"/>
                  <w:tcBorders>
                    <w:tl2br w:val="nil"/>
                    <w:tr2bl w:val="nil"/>
                  </w:tcBorders>
                  <w:vAlign w:val="center"/>
                </w:tcPr>
                <w:p w14:paraId="4F130459">
                  <w:pPr>
                    <w:pStyle w:val="47"/>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9</w:t>
                  </w:r>
                  <w:r>
                    <w:rPr>
                      <w:rFonts w:hint="default" w:eastAsia="宋体"/>
                      <w:color w:val="000000" w:themeColor="text1"/>
                      <w:sz w:val="21"/>
                      <w:szCs w:val="21"/>
                      <w:lang w:val="en-US" w:eastAsia="zh-CN"/>
                      <w14:textFill>
                        <w14:solidFill>
                          <w14:schemeClr w14:val="tx1"/>
                        </w14:solidFill>
                      </w14:textFill>
                    </w:rPr>
                    <w:t>00-001-S62</w:t>
                  </w:r>
                </w:p>
                <w:p w14:paraId="08C4E38A">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9</w:t>
                  </w:r>
                  <w:r>
                    <w:rPr>
                      <w:rFonts w:hint="default" w:eastAsia="宋体"/>
                      <w:color w:val="000000" w:themeColor="text1"/>
                      <w:sz w:val="21"/>
                      <w:szCs w:val="21"/>
                      <w:lang w:val="en-US" w:eastAsia="zh-CN"/>
                      <w14:textFill>
                        <w14:solidFill>
                          <w14:schemeClr w14:val="tx1"/>
                        </w14:solidFill>
                      </w14:textFill>
                    </w:rPr>
                    <w:t>00-001-S62</w:t>
                  </w:r>
                </w:p>
              </w:tc>
              <w:tc>
                <w:tcPr>
                  <w:tcW w:w="972" w:type="dxa"/>
                  <w:tcBorders>
                    <w:tl2br w:val="nil"/>
                    <w:tr2bl w:val="nil"/>
                  </w:tcBorders>
                  <w:vAlign w:val="center"/>
                </w:tcPr>
                <w:p w14:paraId="0FD5704C">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厂内垃圾桶收集</w:t>
                  </w:r>
                </w:p>
              </w:tc>
              <w:tc>
                <w:tcPr>
                  <w:tcW w:w="1335" w:type="dxa"/>
                  <w:tcBorders>
                    <w:tl2br w:val="nil"/>
                    <w:tr2bl w:val="nil"/>
                  </w:tcBorders>
                  <w:vAlign w:val="center"/>
                </w:tcPr>
                <w:p w14:paraId="3821EB29">
                  <w:pPr>
                    <w:pStyle w:val="47"/>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分类收集后定期交由当地环卫部门处置</w:t>
                  </w:r>
                </w:p>
              </w:tc>
            </w:tr>
          </w:tbl>
          <w:p w14:paraId="687E59A1">
            <w:pPr>
              <w:keepNext w:val="0"/>
              <w:keepLines w:val="0"/>
              <w:pageBreakBefore w:val="0"/>
              <w:widowControl w:val="0"/>
              <w:kinsoku/>
              <w:wordWrap/>
              <w:overflowPunct/>
              <w:topLinePunct w:val="0"/>
              <w:autoSpaceDE/>
              <w:autoSpaceDN w:val="0"/>
              <w:bidi w:val="0"/>
              <w:adjustRightInd/>
              <w:snapToGrid w:val="0"/>
              <w:spacing w:before="157" w:beforeLines="50" w:line="360" w:lineRule="auto"/>
              <w:ind w:firstLine="480" w:firstLineChars="200"/>
              <w:textAlignment w:val="auto"/>
              <w:rPr>
                <w:color w:val="auto"/>
                <w:spacing w:val="0"/>
                <w:kern w:val="0"/>
                <w:sz w:val="24"/>
                <w:szCs w:val="20"/>
              </w:rPr>
            </w:pPr>
            <w:r>
              <w:rPr>
                <w:color w:val="000000" w:themeColor="text1"/>
                <w:sz w:val="24"/>
                <w14:textFill>
                  <w14:solidFill>
                    <w14:schemeClr w14:val="tx1"/>
                  </w14:solidFill>
                </w14:textFill>
              </w:rPr>
              <w:t>项目一般工业固体废物暂存场所满足《一般工业固体废物贮存和填埋污染控制标准》（GB18599-2020）的相关规定，贮存场所采取防风、防雨、防晒等措施。生活垃圾分为可回收物、其他垃圾和有害垃圾，分类收集，不得混放，分类收集后定期交由当地环卫部门处置。</w:t>
            </w:r>
            <w:r>
              <w:rPr>
                <w:color w:val="auto"/>
                <w:spacing w:val="0"/>
                <w:kern w:val="0"/>
                <w:sz w:val="24"/>
                <w:szCs w:val="20"/>
              </w:rPr>
              <w:t>本项目一般固废暂存区选在</w:t>
            </w:r>
            <w:r>
              <w:rPr>
                <w:rFonts w:hint="eastAsia"/>
                <w:color w:val="auto"/>
                <w:spacing w:val="0"/>
                <w:kern w:val="0"/>
                <w:sz w:val="24"/>
                <w:szCs w:val="20"/>
                <w:lang w:val="en-US" w:eastAsia="zh-CN"/>
              </w:rPr>
              <w:t>车间东侧</w:t>
            </w:r>
            <w:r>
              <w:rPr>
                <w:color w:val="auto"/>
                <w:spacing w:val="0"/>
                <w:kern w:val="0"/>
                <w:sz w:val="24"/>
                <w:szCs w:val="20"/>
              </w:rPr>
              <w:t>，</w:t>
            </w:r>
            <w:r>
              <w:rPr>
                <w:snapToGrid w:val="0"/>
                <w:color w:val="auto"/>
                <w:spacing w:val="0"/>
                <w:sz w:val="24"/>
              </w:rPr>
              <w:t>建筑面积</w:t>
            </w:r>
            <w:r>
              <w:rPr>
                <w:rFonts w:hint="eastAsia"/>
                <w:snapToGrid w:val="0"/>
                <w:color w:val="auto"/>
                <w:spacing w:val="0"/>
                <w:sz w:val="24"/>
                <w:lang w:val="en-US" w:eastAsia="zh-CN"/>
              </w:rPr>
              <w:t>50</w:t>
            </w:r>
            <w:r>
              <w:rPr>
                <w:color w:val="auto"/>
                <w:spacing w:val="0"/>
                <w:sz w:val="24"/>
              </w:rPr>
              <w:t>m</w:t>
            </w:r>
            <w:r>
              <w:rPr>
                <w:color w:val="auto"/>
                <w:spacing w:val="0"/>
                <w:sz w:val="24"/>
                <w:vertAlign w:val="superscript"/>
              </w:rPr>
              <w:t>2</w:t>
            </w:r>
            <w:r>
              <w:rPr>
                <w:color w:val="auto"/>
                <w:spacing w:val="0"/>
                <w:kern w:val="0"/>
                <w:sz w:val="24"/>
                <w:szCs w:val="20"/>
              </w:rPr>
              <w:t>，地面后期全部进行硬化，建设符合相关要求。</w:t>
            </w:r>
          </w:p>
          <w:p w14:paraId="66867DA7">
            <w:pPr>
              <w:spacing w:line="360" w:lineRule="auto"/>
              <w:ind w:firstLine="482" w:firstLineChars="200"/>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危险废物贮存要求：</w:t>
            </w:r>
          </w:p>
          <w:p w14:paraId="15E64EC1">
            <w:pPr>
              <w:spacing w:line="360" w:lineRule="auto"/>
              <w:ind w:firstLine="480" w:firstLineChars="200"/>
              <w:rPr>
                <w:rFonts w:hint="default"/>
                <w:color w:val="000000" w:themeColor="text1"/>
                <w:sz w:val="24"/>
                <w:lang w:val="en-US" w:eastAsia="zh-CN"/>
                <w14:textFill>
                  <w14:solidFill>
                    <w14:schemeClr w14:val="tx1"/>
                  </w14:solidFill>
                </w14:textFill>
              </w:rPr>
            </w:pP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1</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贮存容器要求</w:t>
            </w:r>
          </w:p>
          <w:p w14:paraId="71C129D9">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危险废物统一收集在贮存容器中，贮存容器的选择</w:t>
            </w:r>
            <w:r>
              <w:rPr>
                <w:rFonts w:hint="eastAsia"/>
                <w:color w:val="000000" w:themeColor="text1"/>
                <w:sz w:val="24"/>
                <w:lang w:eastAsia="zh-CN"/>
                <w14:textFill>
                  <w14:solidFill>
                    <w14:schemeClr w14:val="tx1"/>
                  </w14:solidFill>
                </w14:textFill>
              </w:rPr>
              <w:t>必须</w:t>
            </w:r>
            <w:r>
              <w:rPr>
                <w:color w:val="000000" w:themeColor="text1"/>
                <w:sz w:val="24"/>
                <w14:textFill>
                  <w14:solidFill>
                    <w14:schemeClr w14:val="tx1"/>
                  </w14:solidFill>
                </w14:textFill>
              </w:rPr>
              <w:t>做到防渗、防雨、防晒的要求：</w:t>
            </w:r>
          </w:p>
          <w:p w14:paraId="7C5EB3DA">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①应当使用符合标准的容器盛装危险废物。</w:t>
            </w:r>
          </w:p>
          <w:p w14:paraId="06EF17F2">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②装载危险废物的容器及材质要满足相应的强度要求。</w:t>
            </w:r>
          </w:p>
          <w:p w14:paraId="6E6381C4">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③装载危险废物的容器必须完好无损。</w:t>
            </w:r>
          </w:p>
          <w:p w14:paraId="3B4879F1">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④盛装危险废物的容器材质和衬里要与危险废物相容（不相互反应）。</w:t>
            </w:r>
          </w:p>
          <w:p w14:paraId="138ABAF2">
            <w:pPr>
              <w:spacing w:line="360" w:lineRule="auto"/>
              <w:ind w:firstLine="480" w:firstLineChars="200"/>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2</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贮存库要求：</w:t>
            </w:r>
          </w:p>
          <w:p w14:paraId="42FF1E2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①不兼容的危险废物分别单独收集贮存，危险废物容器和包装袋上设立危险废物明显标志。</w:t>
            </w:r>
          </w:p>
          <w:p w14:paraId="7A24AB8F">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②</w:t>
            </w:r>
            <w:r>
              <w:rPr>
                <w:rFonts w:hint="eastAsia"/>
                <w:color w:val="000000" w:themeColor="text1"/>
                <w:sz w:val="24"/>
                <w14:textFill>
                  <w14:solidFill>
                    <w14:schemeClr w14:val="tx1"/>
                  </w14:solidFill>
                </w14:textFill>
              </w:rPr>
              <w:t>危废贮存库</w:t>
            </w:r>
            <w:r>
              <w:rPr>
                <w:color w:val="000000" w:themeColor="text1"/>
                <w:sz w:val="24"/>
                <w14:textFill>
                  <w14:solidFill>
                    <w14:schemeClr w14:val="tx1"/>
                  </w14:solidFill>
                </w14:textFill>
              </w:rPr>
              <w:t>地面与裙脚应采取表面防渗措施；表面防渗材料应与所接触的物料或污染物相容，可采用抗渗混凝土、高密度聚乙烯膜、钠基膨润土防水毯或其他防渗性能等效的材料。基础必须防渗，防渗层要求至少1m厚黏土层（渗透系数≤10</w:t>
            </w:r>
            <w:r>
              <w:rPr>
                <w:color w:val="000000" w:themeColor="text1"/>
                <w:sz w:val="24"/>
                <w:vertAlign w:val="superscript"/>
                <w14:textFill>
                  <w14:solidFill>
                    <w14:schemeClr w14:val="tx1"/>
                  </w14:solidFill>
                </w14:textFill>
              </w:rPr>
              <w:t>-7</w:t>
            </w:r>
            <w:r>
              <w:rPr>
                <w:color w:val="000000" w:themeColor="text1"/>
                <w:sz w:val="24"/>
                <w14:textFill>
                  <w14:solidFill>
                    <w14:schemeClr w14:val="tx1"/>
                  </w14:solidFill>
                </w14:textFill>
              </w:rPr>
              <w:t>cm/s），或人工材料渗透系数≤10</w:t>
            </w:r>
            <w:r>
              <w:rPr>
                <w:color w:val="000000" w:themeColor="text1"/>
                <w:sz w:val="24"/>
                <w:vertAlign w:val="superscript"/>
                <w14:textFill>
                  <w14:solidFill>
                    <w14:schemeClr w14:val="tx1"/>
                  </w14:solidFill>
                </w14:textFill>
              </w:rPr>
              <w:t>-10</w:t>
            </w:r>
            <w:r>
              <w:rPr>
                <w:color w:val="000000" w:themeColor="text1"/>
                <w:sz w:val="24"/>
                <w14:textFill>
                  <w14:solidFill>
                    <w14:schemeClr w14:val="tx1"/>
                  </w14:solidFill>
                </w14:textFill>
              </w:rPr>
              <w:t>cm/s，或其他防渗性能等效的材料。</w:t>
            </w:r>
          </w:p>
          <w:p w14:paraId="60C4A2AF">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③危险废物</w:t>
            </w:r>
            <w:r>
              <w:rPr>
                <w:rFonts w:hint="eastAsia"/>
                <w:color w:val="000000" w:themeColor="text1"/>
                <w:sz w:val="24"/>
                <w14:textFill>
                  <w14:solidFill>
                    <w14:schemeClr w14:val="tx1"/>
                  </w14:solidFill>
                </w14:textFill>
              </w:rPr>
              <w:t>贮存库</w:t>
            </w:r>
            <w:r>
              <w:rPr>
                <w:color w:val="000000" w:themeColor="text1"/>
                <w:sz w:val="24"/>
                <w14:textFill>
                  <w14:solidFill>
                    <w14:schemeClr w14:val="tx1"/>
                  </w14:solidFill>
                </w14:textFill>
              </w:rPr>
              <w:t>必须有泄漏液体收集装置（比如托盘及防渗围堰等），必须有耐腐蚀的硬化地面，且表面无裂缝。</w:t>
            </w:r>
          </w:p>
          <w:p w14:paraId="2673E3DE">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④危险废物</w:t>
            </w:r>
            <w:r>
              <w:rPr>
                <w:rFonts w:hint="eastAsia"/>
                <w:color w:val="000000" w:themeColor="text1"/>
                <w:sz w:val="24"/>
                <w14:textFill>
                  <w14:solidFill>
                    <w14:schemeClr w14:val="tx1"/>
                  </w14:solidFill>
                </w14:textFill>
              </w:rPr>
              <w:t>贮存库</w:t>
            </w:r>
            <w:r>
              <w:rPr>
                <w:color w:val="000000" w:themeColor="text1"/>
                <w:sz w:val="24"/>
                <w14:textFill>
                  <w14:solidFill>
                    <w14:schemeClr w14:val="tx1"/>
                  </w14:solidFill>
                </w14:textFill>
              </w:rPr>
              <w:t>防风、防雨、防晒。要有安全照明设施和观察窗口，并张贴了标识牌及相关危险废物警示标志。</w:t>
            </w:r>
          </w:p>
          <w:p w14:paraId="5CA70714">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⑤建立危险废物管理台账。如实记录危险废物贮存、利用、处置相关情况，</w:t>
            </w:r>
            <w:r>
              <w:rPr>
                <w:rFonts w:hint="eastAsia"/>
                <w:color w:val="000000" w:themeColor="text1"/>
                <w:sz w:val="24"/>
                <w:lang w:eastAsia="zh-CN"/>
                <w14:textFill>
                  <w14:solidFill>
                    <w14:schemeClr w14:val="tx1"/>
                  </w14:solidFill>
                </w14:textFill>
              </w:rPr>
              <w:t>制定</w:t>
            </w:r>
            <w:r>
              <w:rPr>
                <w:color w:val="000000" w:themeColor="text1"/>
                <w:sz w:val="24"/>
                <w14:textFill>
                  <w14:solidFill>
                    <w14:schemeClr w14:val="tx1"/>
                  </w14:solidFill>
                </w14:textFill>
              </w:rPr>
              <w:t>危险废物管理计划并报生态环境管理部门备案，进行危险废物申报登记，如实申报危险废物种类、产生量、流向、贮存、处置等有关资料；</w:t>
            </w:r>
          </w:p>
          <w:p w14:paraId="33276CF1">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⑥危险废物委托具有相应危险废物经营资质的单位利用处置，危险废物的转运应严格按照《危险废物转移管理办法》（部令第23号）和《陕西省危险废物转移电子联单管理办法（试行）》的有关规定执行，实行电子联单制度，保证危险废物得到安全合理处置。经采取如上措施后，各类固废均可得到有效处置，不会产生二次污染，对周围环境影响较小。</w:t>
            </w:r>
          </w:p>
          <w:p w14:paraId="5010A76F">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本项目产生的危险废物为</w:t>
            </w:r>
            <w:r>
              <w:rPr>
                <w:rFonts w:hint="eastAsia" w:cs="Times New Roman"/>
                <w:bCs/>
                <w:color w:val="000000" w:themeColor="text1"/>
                <w:kern w:val="0"/>
                <w:sz w:val="24"/>
                <w:lang w:val="en-US" w:eastAsia="zh-CN"/>
                <w14:textFill>
                  <w14:solidFill>
                    <w14:schemeClr w14:val="tx1"/>
                  </w14:solidFill>
                </w14:textFill>
              </w:rPr>
              <w:t>废油类、</w:t>
            </w:r>
            <w:r>
              <w:rPr>
                <w:rFonts w:hint="eastAsia" w:ascii="Times New Roman" w:hAnsi="Times New Roman" w:eastAsia="宋体" w:cs="Times New Roman"/>
                <w:bCs/>
                <w:color w:val="000000" w:themeColor="text1"/>
                <w:kern w:val="0"/>
                <w:sz w:val="24"/>
                <w:lang w:val="en-US" w:eastAsia="zh-CN"/>
                <w14:textFill>
                  <w14:solidFill>
                    <w14:schemeClr w14:val="tx1"/>
                  </w14:solidFill>
                </w14:textFill>
              </w:rPr>
              <w:t>废油桶、废含油手套抹布</w:t>
            </w:r>
            <w:r>
              <w:rPr>
                <w:rFonts w:hint="eastAsia" w:eastAsia="宋体"/>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在存储过程中还应采取以下措施：</w:t>
            </w:r>
          </w:p>
          <w:p w14:paraId="2FBCD0A8">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①</w:t>
            </w:r>
            <w:r>
              <w:rPr>
                <w:rFonts w:hint="eastAsia"/>
                <w:color w:val="000000" w:themeColor="text1"/>
                <w:sz w:val="24"/>
                <w14:textFill>
                  <w14:solidFill>
                    <w14:schemeClr w14:val="tx1"/>
                  </w14:solidFill>
                </w14:textFill>
              </w:rPr>
              <w:t>危废贮存库</w:t>
            </w:r>
            <w:r>
              <w:rPr>
                <w:color w:val="000000" w:themeColor="text1"/>
                <w:sz w:val="24"/>
                <w14:textFill>
                  <w14:solidFill>
                    <w14:schemeClr w14:val="tx1"/>
                  </w14:solidFill>
                </w14:textFill>
              </w:rPr>
              <w:t>根据不同类别的危险废物进行分区，建议按照危废</w:t>
            </w:r>
            <w:r>
              <w:rPr>
                <w:rFonts w:hint="eastAsia"/>
                <w:color w:val="000000" w:themeColor="text1"/>
                <w:sz w:val="24"/>
                <w:lang w:val="en-US" w:eastAsia="zh-CN"/>
                <w14:textFill>
                  <w14:solidFill>
                    <w14:schemeClr w14:val="tx1"/>
                  </w14:solidFill>
                </w14:textFill>
              </w:rPr>
              <w:t>类别</w:t>
            </w:r>
            <w:r>
              <w:rPr>
                <w:color w:val="000000" w:themeColor="text1"/>
                <w:sz w:val="24"/>
                <w14:textFill>
                  <w14:solidFill>
                    <w14:schemeClr w14:val="tx1"/>
                  </w14:solidFill>
                </w14:textFill>
              </w:rPr>
              <w:t>进行分区；</w:t>
            </w:r>
          </w:p>
          <w:p w14:paraId="3B4967BC">
            <w:pPr>
              <w:spacing w:line="360" w:lineRule="auto"/>
              <w:ind w:firstLine="480" w:firstLineChars="200"/>
              <w:rPr>
                <w:rFonts w:hint="default" w:eastAsia="宋体"/>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②</w:t>
            </w:r>
            <w:r>
              <w:rPr>
                <w:color w:val="000000" w:themeColor="text1"/>
                <w:sz w:val="24"/>
                <w:lang w:val="zh-CN"/>
                <w14:textFill>
                  <w14:solidFill>
                    <w14:schemeClr w14:val="tx1"/>
                  </w14:solidFill>
                </w14:textFill>
              </w:rPr>
              <w:t>公司应建立危险废物</w:t>
            </w:r>
            <w:r>
              <w:rPr>
                <w:rFonts w:hint="eastAsia"/>
                <w:color w:val="000000" w:themeColor="text1"/>
                <w:sz w:val="24"/>
                <w:lang w:val="zh-CN"/>
                <w14:textFill>
                  <w14:solidFill>
                    <w14:schemeClr w14:val="tx1"/>
                  </w14:solidFill>
                </w14:textFill>
              </w:rPr>
              <w:t>台账</w:t>
            </w:r>
            <w:r>
              <w:rPr>
                <w:color w:val="000000" w:themeColor="text1"/>
                <w:sz w:val="24"/>
                <w:lang w:val="zh-CN"/>
                <w14:textFill>
                  <w14:solidFill>
                    <w14:schemeClr w14:val="tx1"/>
                  </w14:solidFill>
                </w14:textFill>
              </w:rPr>
              <w:t>管理制度，</w:t>
            </w:r>
            <w:r>
              <w:rPr>
                <w:color w:val="000000" w:themeColor="text1"/>
                <w:sz w:val="24"/>
                <w14:textFill>
                  <w14:solidFill>
                    <w14:schemeClr w14:val="tx1"/>
                  </w14:solidFill>
                </w14:textFill>
              </w:rPr>
              <w:t>危险废物转移处置要委托有资质的单位进行，应采取危险废物转移“五联单”制度，保证运输安全，防止非法转移和非法处置，保证危险废物的安全监控，防止危险废物污染事故发生。</w:t>
            </w:r>
          </w:p>
          <w:p w14:paraId="1EE629CA">
            <w:pPr>
              <w:spacing w:line="360" w:lineRule="auto"/>
              <w:ind w:firstLine="480" w:firstLineChars="200"/>
              <w:rPr>
                <w:color w:val="000000" w:themeColor="text1"/>
                <w:sz w:val="24"/>
                <w:lang w:val="zh-CN"/>
                <w14:textFill>
                  <w14:solidFill>
                    <w14:schemeClr w14:val="tx1"/>
                  </w14:solidFill>
                </w14:textFill>
              </w:rPr>
            </w:pPr>
            <w:r>
              <w:rPr>
                <w:color w:val="000000" w:themeColor="text1"/>
                <w:sz w:val="24"/>
                <w14:textFill>
                  <w14:solidFill>
                    <w14:schemeClr w14:val="tx1"/>
                  </w14:solidFill>
                </w14:textFill>
              </w:rPr>
              <w:t>③</w:t>
            </w:r>
            <w:r>
              <w:rPr>
                <w:rFonts w:hint="eastAsia"/>
                <w:color w:val="000000" w:themeColor="text1"/>
                <w:sz w:val="24"/>
                <w14:textFill>
                  <w14:solidFill>
                    <w14:schemeClr w14:val="tx1"/>
                  </w14:solidFill>
                </w14:textFill>
              </w:rPr>
              <w:t>危废贮存库</w:t>
            </w:r>
            <w:r>
              <w:rPr>
                <w:color w:val="000000" w:themeColor="text1"/>
                <w:sz w:val="24"/>
                <w14:textFill>
                  <w14:solidFill>
                    <w14:schemeClr w14:val="tx1"/>
                  </w14:solidFill>
                </w14:textFill>
              </w:rPr>
              <w:t>、容器和包装物应按HJ1276要求设置危险废物贮存设施或场所标志、危险废物贮存分区标志和危险废物标签等危险废物识别标志。</w:t>
            </w:r>
          </w:p>
          <w:p w14:paraId="674BE692">
            <w:pPr>
              <w:spacing w:line="360" w:lineRule="auto"/>
              <w:ind w:firstLine="480" w:firstLineChars="200"/>
              <w:rPr>
                <w:color w:val="000000" w:themeColor="text1"/>
                <w:sz w:val="24"/>
                <w14:textFill>
                  <w14:solidFill>
                    <w14:schemeClr w14:val="tx1"/>
                  </w14:solidFill>
                </w14:textFill>
              </w:rPr>
            </w:pPr>
            <w:r>
              <w:rPr>
                <w:color w:val="000000" w:themeColor="text1"/>
                <w:sz w:val="24"/>
                <w:lang w:val="zh-CN"/>
                <w14:textFill>
                  <w14:solidFill>
                    <w14:schemeClr w14:val="tx1"/>
                  </w14:solidFill>
                </w14:textFill>
              </w:rPr>
              <w:t>按照《建设项目危险废物环境影响评价指南</w:t>
            </w:r>
            <w:r>
              <w:rPr>
                <w:rFonts w:hint="eastAsia"/>
                <w:color w:val="000000" w:themeColor="text1"/>
                <w:sz w:val="24"/>
                <w:lang w:val="zh-CN"/>
                <w14:textFill>
                  <w14:solidFill>
                    <w14:schemeClr w14:val="tx1"/>
                  </w14:solidFill>
                </w14:textFill>
              </w:rPr>
              <w:t>》《</w:t>
            </w:r>
            <w:r>
              <w:rPr>
                <w:color w:val="000000" w:themeColor="text1"/>
                <w:sz w:val="24"/>
                <w:lang w:val="zh-CN"/>
                <w14:textFill>
                  <w14:solidFill>
                    <w14:schemeClr w14:val="tx1"/>
                  </w14:solidFill>
                </w14:textFill>
              </w:rPr>
              <w:t>危险废物贮存污染控制标准》（GB18597-20</w:t>
            </w:r>
            <w:r>
              <w:rPr>
                <w:color w:val="000000" w:themeColor="text1"/>
                <w:sz w:val="24"/>
                <w14:textFill>
                  <w14:solidFill>
                    <w14:schemeClr w14:val="tx1"/>
                  </w14:solidFill>
                </w14:textFill>
              </w:rPr>
              <w:t>23</w:t>
            </w:r>
            <w:r>
              <w:rPr>
                <w:color w:val="000000" w:themeColor="text1"/>
                <w:sz w:val="24"/>
                <w:lang w:val="zh-CN"/>
                <w14:textFill>
                  <w14:solidFill>
                    <w14:schemeClr w14:val="tx1"/>
                  </w14:solidFill>
                </w14:textFill>
              </w:rPr>
              <w:t>）的要求等，对危险废物贮存的运行管理提出要求：建设单位需</w:t>
            </w:r>
            <w:r>
              <w:rPr>
                <w:rFonts w:hint="eastAsia"/>
                <w:color w:val="000000" w:themeColor="text1"/>
                <w:sz w:val="24"/>
                <w:lang w:val="zh-CN"/>
                <w14:textFill>
                  <w14:solidFill>
                    <w14:schemeClr w14:val="tx1"/>
                  </w14:solidFill>
                </w14:textFill>
              </w:rPr>
              <w:t>做好</w:t>
            </w:r>
            <w:r>
              <w:rPr>
                <w:color w:val="000000" w:themeColor="text1"/>
                <w:sz w:val="24"/>
                <w:lang w:val="zh-CN"/>
                <w14:textFill>
                  <w14:solidFill>
                    <w14:schemeClr w14:val="tx1"/>
                  </w14:solidFill>
                </w14:textFill>
              </w:rPr>
              <w:t>危险废物情况的记录，记录上须注明危险废物的名称、来源、数量、特性和包装容器的类别、入库日期、存放库位、废物出库日期及接收单位名称。危险废物的记录和货单在危险废物回取后应继续保留三年。必须定期对所贮存的危险废物包装容器及贮存设施进行检查，发现破损，应及时采取措施清理更换。</w:t>
            </w:r>
          </w:p>
          <w:p w14:paraId="5275093A">
            <w:pPr>
              <w:tabs>
                <w:tab w:val="left" w:leader="middleDot" w:pos="8399"/>
              </w:tabs>
              <w:ind w:firstLine="1845" w:firstLineChars="875"/>
              <w:rPr>
                <w:b/>
                <w:color w:val="000000" w:themeColor="text1"/>
                <w:sz w:val="24"/>
                <w14:textFill>
                  <w14:solidFill>
                    <w14:schemeClr w14:val="tx1"/>
                  </w14:solidFill>
                </w14:textFill>
              </w:rPr>
            </w:pPr>
            <w:r>
              <w:rPr>
                <w:b/>
                <w:color w:val="000000" w:themeColor="text1"/>
                <w:szCs w:val="21"/>
                <w14:textFill>
                  <w14:solidFill>
                    <w14:schemeClr w14:val="tx1"/>
                  </w14:solidFill>
                </w14:textFill>
              </w:rPr>
              <w:t>表4-1</w:t>
            </w:r>
            <w:r>
              <w:rPr>
                <w:rFonts w:hint="eastAsia"/>
                <w:b/>
                <w:color w:val="000000" w:themeColor="text1"/>
                <w:szCs w:val="21"/>
                <w:lang w:val="en-US" w:eastAsia="zh-CN"/>
                <w14:textFill>
                  <w14:solidFill>
                    <w14:schemeClr w14:val="tx1"/>
                  </w14:solidFill>
                </w14:textFill>
              </w:rPr>
              <w:t>4</w:t>
            </w:r>
            <w:r>
              <w:rPr>
                <w:b/>
                <w:color w:val="000000" w:themeColor="text1"/>
                <w:szCs w:val="21"/>
                <w14:textFill>
                  <w14:solidFill>
                    <w14:schemeClr w14:val="tx1"/>
                  </w14:solidFill>
                </w14:textFill>
              </w:rPr>
              <w:t xml:space="preserve">  本项目危险废物贮存场所（设施）基本情况表</w:t>
            </w:r>
          </w:p>
          <w:tbl>
            <w:tblPr>
              <w:tblStyle w:val="24"/>
              <w:tblW w:w="822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934"/>
              <w:gridCol w:w="1202"/>
              <w:gridCol w:w="956"/>
              <w:gridCol w:w="1249"/>
              <w:gridCol w:w="708"/>
              <w:gridCol w:w="769"/>
              <w:gridCol w:w="661"/>
              <w:gridCol w:w="689"/>
              <w:gridCol w:w="634"/>
            </w:tblGrid>
            <w:tr w14:paraId="231B4CB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46" w:hRule="atLeast"/>
                <w:jc w:val="center"/>
              </w:trPr>
              <w:tc>
                <w:tcPr>
                  <w:tcW w:w="426" w:type="dxa"/>
                  <w:vAlign w:val="center"/>
                </w:tcPr>
                <w:p w14:paraId="59F8D4E8">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序号</w:t>
                  </w:r>
                </w:p>
              </w:tc>
              <w:tc>
                <w:tcPr>
                  <w:tcW w:w="934" w:type="dxa"/>
                  <w:vAlign w:val="center"/>
                </w:tcPr>
                <w:p w14:paraId="09B2DBFE">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贮存场所（设施）名称</w:t>
                  </w:r>
                </w:p>
              </w:tc>
              <w:tc>
                <w:tcPr>
                  <w:tcW w:w="1202" w:type="dxa"/>
                  <w:vAlign w:val="center"/>
                </w:tcPr>
                <w:p w14:paraId="7D003042">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危险废物名称</w:t>
                  </w:r>
                </w:p>
              </w:tc>
              <w:tc>
                <w:tcPr>
                  <w:tcW w:w="956" w:type="dxa"/>
                  <w:vAlign w:val="center"/>
                </w:tcPr>
                <w:p w14:paraId="48DFB299">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危险废物类别</w:t>
                  </w:r>
                </w:p>
              </w:tc>
              <w:tc>
                <w:tcPr>
                  <w:tcW w:w="1249" w:type="dxa"/>
                  <w:vAlign w:val="center"/>
                </w:tcPr>
                <w:p w14:paraId="19C61658">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危险废物</w:t>
                  </w:r>
                </w:p>
                <w:p w14:paraId="71AC5E18">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代码</w:t>
                  </w:r>
                </w:p>
              </w:tc>
              <w:tc>
                <w:tcPr>
                  <w:tcW w:w="708" w:type="dxa"/>
                  <w:vAlign w:val="center"/>
                </w:tcPr>
                <w:p w14:paraId="676BD4CB">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位置</w:t>
                  </w:r>
                </w:p>
              </w:tc>
              <w:tc>
                <w:tcPr>
                  <w:tcW w:w="769" w:type="dxa"/>
                  <w:vAlign w:val="center"/>
                </w:tcPr>
                <w:p w14:paraId="5F81743B">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占地</w:t>
                  </w:r>
                </w:p>
                <w:p w14:paraId="05D79B2A">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面积</w:t>
                  </w:r>
                </w:p>
              </w:tc>
              <w:tc>
                <w:tcPr>
                  <w:tcW w:w="661" w:type="dxa"/>
                  <w:vAlign w:val="center"/>
                </w:tcPr>
                <w:p w14:paraId="70D48D52">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贮存方式</w:t>
                  </w:r>
                </w:p>
              </w:tc>
              <w:tc>
                <w:tcPr>
                  <w:tcW w:w="689" w:type="dxa"/>
                  <w:vAlign w:val="center"/>
                </w:tcPr>
                <w:p w14:paraId="07FF9B85">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贮存</w:t>
                  </w:r>
                </w:p>
                <w:p w14:paraId="3BFC5271">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能力</w:t>
                  </w:r>
                </w:p>
              </w:tc>
              <w:tc>
                <w:tcPr>
                  <w:tcW w:w="634" w:type="dxa"/>
                  <w:vAlign w:val="center"/>
                </w:tcPr>
                <w:p w14:paraId="37FF97E4">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贮存</w:t>
                  </w:r>
                </w:p>
                <w:p w14:paraId="3D9F10F9">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周期</w:t>
                  </w:r>
                </w:p>
              </w:tc>
            </w:tr>
            <w:tr w14:paraId="642072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14" w:hRule="atLeast"/>
                <w:jc w:val="center"/>
              </w:trPr>
              <w:tc>
                <w:tcPr>
                  <w:tcW w:w="426" w:type="dxa"/>
                  <w:vMerge w:val="restart"/>
                  <w:vAlign w:val="center"/>
                </w:tcPr>
                <w:p w14:paraId="7E72EB94">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c>
                <w:tcPr>
                  <w:tcW w:w="934" w:type="dxa"/>
                  <w:vMerge w:val="restart"/>
                  <w:vAlign w:val="center"/>
                </w:tcPr>
                <w:p w14:paraId="06EB03EC">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危废贮存库</w:t>
                  </w:r>
                </w:p>
              </w:tc>
              <w:tc>
                <w:tcPr>
                  <w:tcW w:w="1202" w:type="dxa"/>
                  <w:vAlign w:val="center"/>
                </w:tcPr>
                <w:p w14:paraId="3493030D">
                  <w:pPr>
                    <w:pStyle w:val="47"/>
                    <w:rPr>
                      <w:color w:val="000000" w:themeColor="text1"/>
                      <w:kern w:val="0"/>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废油类</w:t>
                  </w:r>
                </w:p>
              </w:tc>
              <w:tc>
                <w:tcPr>
                  <w:tcW w:w="956" w:type="dxa"/>
                  <w:vAlign w:val="center"/>
                </w:tcPr>
                <w:p w14:paraId="55DF316F">
                  <w:pPr>
                    <w:pStyle w:val="47"/>
                    <w:rPr>
                      <w:color w:val="000000" w:themeColor="text1"/>
                      <w:kern w:val="0"/>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HW08</w:t>
                  </w:r>
                </w:p>
              </w:tc>
              <w:tc>
                <w:tcPr>
                  <w:tcW w:w="1249" w:type="dxa"/>
                  <w:vAlign w:val="center"/>
                </w:tcPr>
                <w:p w14:paraId="5923C633">
                  <w:pPr>
                    <w:pStyle w:val="47"/>
                    <w:rPr>
                      <w:color w:val="000000" w:themeColor="text1"/>
                      <w:kern w:val="0"/>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900-249-08</w:t>
                  </w:r>
                </w:p>
              </w:tc>
              <w:tc>
                <w:tcPr>
                  <w:tcW w:w="708" w:type="dxa"/>
                  <w:vMerge w:val="restart"/>
                  <w:vAlign w:val="center"/>
                </w:tcPr>
                <w:p w14:paraId="2D3A58E9">
                  <w:pPr>
                    <w:adjustRightInd w:val="0"/>
                    <w:snapToGrid w:val="0"/>
                    <w:jc w:val="center"/>
                    <w:rPr>
                      <w:rFonts w:hint="default" w:eastAsia="宋体"/>
                      <w:color w:val="000000" w:themeColor="text1"/>
                      <w:kern w:val="0"/>
                      <w:szCs w:val="21"/>
                      <w:lang w:val="en-US" w:eastAsia="zh-CN"/>
                      <w14:textFill>
                        <w14:solidFill>
                          <w14:schemeClr w14:val="tx1"/>
                        </w14:solidFill>
                      </w14:textFill>
                    </w:rPr>
                  </w:pPr>
                  <w:r>
                    <w:rPr>
                      <w:color w:val="000000" w:themeColor="text1"/>
                      <w:kern w:val="0"/>
                      <w:szCs w:val="21"/>
                      <w14:textFill>
                        <w14:solidFill>
                          <w14:schemeClr w14:val="tx1"/>
                        </w14:solidFill>
                      </w14:textFill>
                    </w:rPr>
                    <w:t>厂房</w:t>
                  </w:r>
                  <w:r>
                    <w:rPr>
                      <w:rFonts w:hint="eastAsia"/>
                      <w:color w:val="000000" w:themeColor="text1"/>
                      <w:kern w:val="0"/>
                      <w:szCs w:val="21"/>
                      <w:lang w:val="en-US" w:eastAsia="zh-CN"/>
                      <w14:textFill>
                        <w14:solidFill>
                          <w14:schemeClr w14:val="tx1"/>
                        </w14:solidFill>
                      </w14:textFill>
                    </w:rPr>
                    <w:t>东南角</w:t>
                  </w:r>
                </w:p>
              </w:tc>
              <w:tc>
                <w:tcPr>
                  <w:tcW w:w="769" w:type="dxa"/>
                  <w:vMerge w:val="restart"/>
                  <w:vAlign w:val="center"/>
                </w:tcPr>
                <w:p w14:paraId="75351C22">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5</w:t>
                  </w:r>
                  <w:r>
                    <w:rPr>
                      <w:color w:val="000000" w:themeColor="text1"/>
                      <w:kern w:val="0"/>
                      <w:szCs w:val="21"/>
                      <w14:textFill>
                        <w14:solidFill>
                          <w14:schemeClr w14:val="tx1"/>
                        </w14:solidFill>
                      </w14:textFill>
                    </w:rPr>
                    <w:t>m</w:t>
                  </w:r>
                  <w:r>
                    <w:rPr>
                      <w:color w:val="000000" w:themeColor="text1"/>
                      <w:kern w:val="0"/>
                      <w:szCs w:val="21"/>
                      <w:vertAlign w:val="superscript"/>
                      <w14:textFill>
                        <w14:solidFill>
                          <w14:schemeClr w14:val="tx1"/>
                        </w14:solidFill>
                      </w14:textFill>
                    </w:rPr>
                    <w:t>2</w:t>
                  </w:r>
                </w:p>
              </w:tc>
              <w:tc>
                <w:tcPr>
                  <w:tcW w:w="661" w:type="dxa"/>
                  <w:vMerge w:val="restart"/>
                  <w:vAlign w:val="center"/>
                </w:tcPr>
                <w:p w14:paraId="20863ACF">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桶装</w:t>
                  </w:r>
                </w:p>
              </w:tc>
              <w:tc>
                <w:tcPr>
                  <w:tcW w:w="689" w:type="dxa"/>
                  <w:vMerge w:val="restart"/>
                  <w:vAlign w:val="center"/>
                </w:tcPr>
                <w:p w14:paraId="6422842F">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5</w:t>
                  </w:r>
                  <w:r>
                    <w:rPr>
                      <w:color w:val="000000" w:themeColor="text1"/>
                      <w:kern w:val="0"/>
                      <w:szCs w:val="21"/>
                      <w14:textFill>
                        <w14:solidFill>
                          <w14:schemeClr w14:val="tx1"/>
                        </w14:solidFill>
                      </w14:textFill>
                    </w:rPr>
                    <w:t>t</w:t>
                  </w:r>
                </w:p>
              </w:tc>
              <w:tc>
                <w:tcPr>
                  <w:tcW w:w="634" w:type="dxa"/>
                  <w:vMerge w:val="restart"/>
                  <w:vAlign w:val="center"/>
                </w:tcPr>
                <w:p w14:paraId="24C54750">
                  <w:pPr>
                    <w:adjustRightInd w:val="0"/>
                    <w:snapToGrid w:val="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≤1a</w:t>
                  </w:r>
                </w:p>
              </w:tc>
            </w:tr>
            <w:tr w14:paraId="04C1D89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46" w:hRule="atLeast"/>
                <w:jc w:val="center"/>
              </w:trPr>
              <w:tc>
                <w:tcPr>
                  <w:tcW w:w="426" w:type="dxa"/>
                  <w:vMerge w:val="continue"/>
                  <w:vAlign w:val="center"/>
                </w:tcPr>
                <w:p w14:paraId="6524AE7B">
                  <w:pPr>
                    <w:adjustRightInd w:val="0"/>
                    <w:snapToGrid w:val="0"/>
                    <w:jc w:val="center"/>
                    <w:rPr>
                      <w:color w:val="000000" w:themeColor="text1"/>
                      <w:kern w:val="0"/>
                      <w:szCs w:val="21"/>
                      <w14:textFill>
                        <w14:solidFill>
                          <w14:schemeClr w14:val="tx1"/>
                        </w14:solidFill>
                      </w14:textFill>
                    </w:rPr>
                  </w:pPr>
                </w:p>
              </w:tc>
              <w:tc>
                <w:tcPr>
                  <w:tcW w:w="934" w:type="dxa"/>
                  <w:vMerge w:val="continue"/>
                  <w:vAlign w:val="center"/>
                </w:tcPr>
                <w:p w14:paraId="71EF50A6">
                  <w:pPr>
                    <w:adjustRightInd w:val="0"/>
                    <w:snapToGrid w:val="0"/>
                    <w:jc w:val="center"/>
                    <w:rPr>
                      <w:color w:val="000000" w:themeColor="text1"/>
                      <w:kern w:val="0"/>
                      <w:szCs w:val="21"/>
                      <w14:textFill>
                        <w14:solidFill>
                          <w14:schemeClr w14:val="tx1"/>
                        </w14:solidFill>
                      </w14:textFill>
                    </w:rPr>
                  </w:pPr>
                </w:p>
              </w:tc>
              <w:tc>
                <w:tcPr>
                  <w:tcW w:w="1202" w:type="dxa"/>
                  <w:vAlign w:val="center"/>
                </w:tcPr>
                <w:p w14:paraId="5BC6DDCB">
                  <w:pPr>
                    <w:pStyle w:val="47"/>
                    <w:rPr>
                      <w:color w:val="000000" w:themeColor="text1"/>
                      <w:kern w:val="0"/>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废油桶</w:t>
                  </w:r>
                </w:p>
              </w:tc>
              <w:tc>
                <w:tcPr>
                  <w:tcW w:w="956" w:type="dxa"/>
                  <w:vAlign w:val="center"/>
                </w:tcPr>
                <w:p w14:paraId="0EBC25FB">
                  <w:pPr>
                    <w:pStyle w:val="47"/>
                    <w:rPr>
                      <w:rFonts w:ascii="Times New Roman" w:hAnsi="Times New Roman" w:cs="Times New Roman"/>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HW08</w:t>
                  </w:r>
                </w:p>
              </w:tc>
              <w:tc>
                <w:tcPr>
                  <w:tcW w:w="1249" w:type="dxa"/>
                  <w:vAlign w:val="center"/>
                </w:tcPr>
                <w:p w14:paraId="427D2E3F">
                  <w:pPr>
                    <w:pStyle w:val="47"/>
                    <w:rPr>
                      <w:color w:val="000000" w:themeColor="text1"/>
                      <w:kern w:val="0"/>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900-249-08</w:t>
                  </w:r>
                </w:p>
              </w:tc>
              <w:tc>
                <w:tcPr>
                  <w:tcW w:w="708" w:type="dxa"/>
                  <w:vMerge w:val="continue"/>
                  <w:vAlign w:val="center"/>
                </w:tcPr>
                <w:p w14:paraId="55FE66E9">
                  <w:pPr>
                    <w:adjustRightInd w:val="0"/>
                    <w:snapToGrid w:val="0"/>
                    <w:jc w:val="center"/>
                    <w:rPr>
                      <w:color w:val="000000" w:themeColor="text1"/>
                      <w:kern w:val="0"/>
                      <w:szCs w:val="21"/>
                      <w14:textFill>
                        <w14:solidFill>
                          <w14:schemeClr w14:val="tx1"/>
                        </w14:solidFill>
                      </w14:textFill>
                    </w:rPr>
                  </w:pPr>
                </w:p>
              </w:tc>
              <w:tc>
                <w:tcPr>
                  <w:tcW w:w="769" w:type="dxa"/>
                  <w:vMerge w:val="continue"/>
                  <w:vAlign w:val="center"/>
                </w:tcPr>
                <w:p w14:paraId="3428C274">
                  <w:pPr>
                    <w:adjustRightInd w:val="0"/>
                    <w:snapToGrid w:val="0"/>
                    <w:jc w:val="center"/>
                    <w:rPr>
                      <w:color w:val="000000" w:themeColor="text1"/>
                      <w:kern w:val="0"/>
                      <w:szCs w:val="21"/>
                      <w14:textFill>
                        <w14:solidFill>
                          <w14:schemeClr w14:val="tx1"/>
                        </w14:solidFill>
                      </w14:textFill>
                    </w:rPr>
                  </w:pPr>
                </w:p>
              </w:tc>
              <w:tc>
                <w:tcPr>
                  <w:tcW w:w="661" w:type="dxa"/>
                  <w:vMerge w:val="continue"/>
                  <w:vAlign w:val="center"/>
                </w:tcPr>
                <w:p w14:paraId="104ECDBC">
                  <w:pPr>
                    <w:adjustRightInd w:val="0"/>
                    <w:snapToGrid w:val="0"/>
                    <w:jc w:val="center"/>
                    <w:rPr>
                      <w:color w:val="000000" w:themeColor="text1"/>
                      <w:kern w:val="0"/>
                      <w:szCs w:val="21"/>
                      <w14:textFill>
                        <w14:solidFill>
                          <w14:schemeClr w14:val="tx1"/>
                        </w14:solidFill>
                      </w14:textFill>
                    </w:rPr>
                  </w:pPr>
                </w:p>
              </w:tc>
              <w:tc>
                <w:tcPr>
                  <w:tcW w:w="689" w:type="dxa"/>
                  <w:vMerge w:val="continue"/>
                  <w:vAlign w:val="center"/>
                </w:tcPr>
                <w:p w14:paraId="7DD50676">
                  <w:pPr>
                    <w:adjustRightInd w:val="0"/>
                    <w:snapToGrid w:val="0"/>
                    <w:jc w:val="center"/>
                    <w:rPr>
                      <w:color w:val="000000" w:themeColor="text1"/>
                      <w:kern w:val="0"/>
                      <w:szCs w:val="21"/>
                      <w14:textFill>
                        <w14:solidFill>
                          <w14:schemeClr w14:val="tx1"/>
                        </w14:solidFill>
                      </w14:textFill>
                    </w:rPr>
                  </w:pPr>
                </w:p>
              </w:tc>
              <w:tc>
                <w:tcPr>
                  <w:tcW w:w="634" w:type="dxa"/>
                  <w:vMerge w:val="continue"/>
                  <w:vAlign w:val="center"/>
                </w:tcPr>
                <w:p w14:paraId="0FFAB9D9">
                  <w:pPr>
                    <w:adjustRightInd w:val="0"/>
                    <w:snapToGrid w:val="0"/>
                    <w:jc w:val="center"/>
                    <w:rPr>
                      <w:color w:val="000000" w:themeColor="text1"/>
                      <w:kern w:val="0"/>
                      <w:szCs w:val="21"/>
                      <w14:textFill>
                        <w14:solidFill>
                          <w14:schemeClr w14:val="tx1"/>
                        </w14:solidFill>
                      </w14:textFill>
                    </w:rPr>
                  </w:pPr>
                </w:p>
              </w:tc>
            </w:tr>
            <w:tr w14:paraId="476AA6C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46" w:hRule="atLeast"/>
                <w:jc w:val="center"/>
              </w:trPr>
              <w:tc>
                <w:tcPr>
                  <w:tcW w:w="426" w:type="dxa"/>
                  <w:vMerge w:val="continue"/>
                  <w:vAlign w:val="center"/>
                </w:tcPr>
                <w:p w14:paraId="0DA25176">
                  <w:pPr>
                    <w:adjustRightInd w:val="0"/>
                    <w:snapToGrid w:val="0"/>
                    <w:jc w:val="center"/>
                    <w:rPr>
                      <w:color w:val="000000" w:themeColor="text1"/>
                      <w:kern w:val="0"/>
                      <w:szCs w:val="21"/>
                      <w14:textFill>
                        <w14:solidFill>
                          <w14:schemeClr w14:val="tx1"/>
                        </w14:solidFill>
                      </w14:textFill>
                    </w:rPr>
                  </w:pPr>
                </w:p>
              </w:tc>
              <w:tc>
                <w:tcPr>
                  <w:tcW w:w="934" w:type="dxa"/>
                  <w:vMerge w:val="continue"/>
                  <w:vAlign w:val="center"/>
                </w:tcPr>
                <w:p w14:paraId="26D53A85">
                  <w:pPr>
                    <w:adjustRightInd w:val="0"/>
                    <w:snapToGrid w:val="0"/>
                    <w:jc w:val="center"/>
                    <w:rPr>
                      <w:color w:val="000000" w:themeColor="text1"/>
                      <w:kern w:val="0"/>
                      <w:szCs w:val="21"/>
                      <w14:textFill>
                        <w14:solidFill>
                          <w14:schemeClr w14:val="tx1"/>
                        </w14:solidFill>
                      </w14:textFill>
                    </w:rPr>
                  </w:pPr>
                </w:p>
              </w:tc>
              <w:tc>
                <w:tcPr>
                  <w:tcW w:w="1202" w:type="dxa"/>
                  <w:vAlign w:val="center"/>
                </w:tcPr>
                <w:p w14:paraId="34D8C92D">
                  <w:pPr>
                    <w:pStyle w:val="47"/>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废油手套</w:t>
                  </w:r>
                </w:p>
                <w:p w14:paraId="67973084">
                  <w:pPr>
                    <w:pStyle w:val="47"/>
                    <w:rPr>
                      <w:color w:val="000000" w:themeColor="text1"/>
                      <w:kern w:val="0"/>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含油抹布</w:t>
                  </w:r>
                </w:p>
              </w:tc>
              <w:tc>
                <w:tcPr>
                  <w:tcW w:w="956" w:type="dxa"/>
                  <w:vAlign w:val="center"/>
                </w:tcPr>
                <w:p w14:paraId="085AFF88">
                  <w:pPr>
                    <w:pStyle w:val="47"/>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HW49</w:t>
                  </w:r>
                </w:p>
              </w:tc>
              <w:tc>
                <w:tcPr>
                  <w:tcW w:w="1249" w:type="dxa"/>
                  <w:vAlign w:val="center"/>
                </w:tcPr>
                <w:p w14:paraId="19461557">
                  <w:pPr>
                    <w:pStyle w:val="47"/>
                    <w:rPr>
                      <w:color w:val="000000" w:themeColor="text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900-041-49</w:t>
                  </w:r>
                </w:p>
              </w:tc>
              <w:tc>
                <w:tcPr>
                  <w:tcW w:w="708" w:type="dxa"/>
                  <w:vMerge w:val="continue"/>
                  <w:vAlign w:val="center"/>
                </w:tcPr>
                <w:p w14:paraId="2BF01FF2">
                  <w:pPr>
                    <w:adjustRightInd w:val="0"/>
                    <w:snapToGrid w:val="0"/>
                    <w:jc w:val="center"/>
                    <w:rPr>
                      <w:color w:val="000000" w:themeColor="text1"/>
                      <w:kern w:val="0"/>
                      <w:szCs w:val="21"/>
                      <w14:textFill>
                        <w14:solidFill>
                          <w14:schemeClr w14:val="tx1"/>
                        </w14:solidFill>
                      </w14:textFill>
                    </w:rPr>
                  </w:pPr>
                </w:p>
              </w:tc>
              <w:tc>
                <w:tcPr>
                  <w:tcW w:w="769" w:type="dxa"/>
                  <w:vMerge w:val="continue"/>
                  <w:vAlign w:val="center"/>
                </w:tcPr>
                <w:p w14:paraId="5E5D7791">
                  <w:pPr>
                    <w:adjustRightInd w:val="0"/>
                    <w:snapToGrid w:val="0"/>
                    <w:jc w:val="center"/>
                    <w:rPr>
                      <w:color w:val="000000" w:themeColor="text1"/>
                      <w:kern w:val="0"/>
                      <w:szCs w:val="21"/>
                      <w14:textFill>
                        <w14:solidFill>
                          <w14:schemeClr w14:val="tx1"/>
                        </w14:solidFill>
                      </w14:textFill>
                    </w:rPr>
                  </w:pPr>
                </w:p>
              </w:tc>
              <w:tc>
                <w:tcPr>
                  <w:tcW w:w="661" w:type="dxa"/>
                  <w:vMerge w:val="continue"/>
                  <w:vAlign w:val="center"/>
                </w:tcPr>
                <w:p w14:paraId="2F9F54AA">
                  <w:pPr>
                    <w:adjustRightInd w:val="0"/>
                    <w:snapToGrid w:val="0"/>
                    <w:jc w:val="center"/>
                    <w:rPr>
                      <w:color w:val="000000" w:themeColor="text1"/>
                      <w:kern w:val="0"/>
                      <w:szCs w:val="21"/>
                      <w14:textFill>
                        <w14:solidFill>
                          <w14:schemeClr w14:val="tx1"/>
                        </w14:solidFill>
                      </w14:textFill>
                    </w:rPr>
                  </w:pPr>
                </w:p>
              </w:tc>
              <w:tc>
                <w:tcPr>
                  <w:tcW w:w="689" w:type="dxa"/>
                  <w:vMerge w:val="continue"/>
                  <w:vAlign w:val="center"/>
                </w:tcPr>
                <w:p w14:paraId="5E4C0E90">
                  <w:pPr>
                    <w:adjustRightInd w:val="0"/>
                    <w:snapToGrid w:val="0"/>
                    <w:jc w:val="center"/>
                    <w:rPr>
                      <w:color w:val="000000" w:themeColor="text1"/>
                      <w:kern w:val="0"/>
                      <w:szCs w:val="21"/>
                      <w14:textFill>
                        <w14:solidFill>
                          <w14:schemeClr w14:val="tx1"/>
                        </w14:solidFill>
                      </w14:textFill>
                    </w:rPr>
                  </w:pPr>
                </w:p>
              </w:tc>
              <w:tc>
                <w:tcPr>
                  <w:tcW w:w="634" w:type="dxa"/>
                  <w:vMerge w:val="continue"/>
                  <w:vAlign w:val="center"/>
                </w:tcPr>
                <w:p w14:paraId="77B709D7">
                  <w:pPr>
                    <w:adjustRightInd w:val="0"/>
                    <w:snapToGrid w:val="0"/>
                    <w:jc w:val="center"/>
                    <w:rPr>
                      <w:color w:val="000000" w:themeColor="text1"/>
                      <w:kern w:val="0"/>
                      <w:szCs w:val="21"/>
                      <w14:textFill>
                        <w14:solidFill>
                          <w14:schemeClr w14:val="tx1"/>
                        </w14:solidFill>
                      </w14:textFill>
                    </w:rPr>
                  </w:pPr>
                </w:p>
              </w:tc>
            </w:tr>
          </w:tbl>
          <w:p w14:paraId="6836B858">
            <w:pPr>
              <w:keepNext w:val="0"/>
              <w:keepLines w:val="0"/>
              <w:pageBreakBefore w:val="0"/>
              <w:widowControl w:val="0"/>
              <w:kinsoku/>
              <w:wordWrap/>
              <w:overflowPunct/>
              <w:topLinePunct w:val="0"/>
              <w:autoSpaceDE/>
              <w:autoSpaceDN w:val="0"/>
              <w:bidi w:val="0"/>
              <w:adjustRightInd/>
              <w:snapToGrid/>
              <w:spacing w:before="157" w:beforeLines="50" w:line="360" w:lineRule="auto"/>
              <w:ind w:firstLine="480" w:firstLineChars="200"/>
              <w:textAlignment w:val="auto"/>
              <w:rPr>
                <w:color w:val="auto"/>
                <w:spacing w:val="0"/>
                <w:kern w:val="0"/>
                <w:sz w:val="24"/>
                <w:szCs w:val="20"/>
              </w:rPr>
            </w:pPr>
            <w:r>
              <w:rPr>
                <w:color w:val="000000" w:themeColor="text1"/>
                <w:sz w:val="24"/>
                <w:lang w:val="zh-CN"/>
                <w14:textFill>
                  <w14:solidFill>
                    <w14:schemeClr w14:val="tx1"/>
                  </w14:solidFill>
                </w14:textFill>
              </w:rPr>
              <w:t>综上所述，本项目固体废物均得到妥善处置，对环境影响较小。</w:t>
            </w:r>
          </w:p>
          <w:p w14:paraId="12C11212">
            <w:pPr>
              <w:spacing w:line="360" w:lineRule="auto"/>
              <w:ind w:firstLine="482" w:firstLineChars="200"/>
              <w:rPr>
                <w:rFonts w:hint="eastAsia" w:eastAsia="宋体"/>
                <w:b/>
                <w:bCs/>
                <w:color w:val="000000" w:themeColor="text1"/>
                <w:sz w:val="24"/>
                <w:lang w:val="zh-CN" w:eastAsia="zh-CN"/>
                <w14:textFill>
                  <w14:solidFill>
                    <w14:schemeClr w14:val="tx1"/>
                  </w14:solidFill>
                </w14:textFill>
              </w:rPr>
            </w:pPr>
            <w:r>
              <w:rPr>
                <w:b/>
                <w:bCs/>
                <w:color w:val="000000" w:themeColor="text1"/>
                <w:sz w:val="24"/>
                <w:lang w:val="zh-CN"/>
                <w14:textFill>
                  <w14:solidFill>
                    <w14:schemeClr w14:val="tx1"/>
                  </w14:solidFill>
                </w14:textFill>
              </w:rPr>
              <w:t>5、地下水、土壤环境</w:t>
            </w:r>
            <w:r>
              <w:rPr>
                <w:rFonts w:hint="eastAsia"/>
                <w:b/>
                <w:bCs/>
                <w:color w:val="000000" w:themeColor="text1"/>
                <w:sz w:val="24"/>
                <w:lang w:val="en-US" w:eastAsia="zh-CN"/>
                <w14:textFill>
                  <w14:solidFill>
                    <w14:schemeClr w14:val="tx1"/>
                  </w14:solidFill>
                </w14:textFill>
              </w:rPr>
              <w:t>分析</w:t>
            </w:r>
          </w:p>
          <w:p w14:paraId="759ADA3E">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（1）污染源、污染物类型</w:t>
            </w:r>
          </w:p>
          <w:p w14:paraId="0CEC4F3F">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本项目土壤、地下水污染源主要为</w:t>
            </w:r>
            <w:r>
              <w:rPr>
                <w:rFonts w:hint="eastAsia" w:cs="Times New Roman"/>
                <w:color w:val="000000" w:themeColor="text1"/>
                <w:sz w:val="24"/>
                <w:lang w:val="en-US" w:eastAsia="zh-CN"/>
                <w14:textFill>
                  <w14:solidFill>
                    <w14:schemeClr w14:val="tx1"/>
                  </w14:solidFill>
                </w14:textFill>
              </w:rPr>
              <w:t>油类</w:t>
            </w:r>
            <w:r>
              <w:rPr>
                <w:rFonts w:hint="eastAsia" w:ascii="Times New Roman" w:hAnsi="Times New Roman" w:cs="Times New Roman"/>
                <w:color w:val="000000" w:themeColor="text1"/>
                <w:sz w:val="24"/>
                <w:lang w:val="en-US" w:eastAsia="zh-CN"/>
                <w14:textFill>
                  <w14:solidFill>
                    <w14:schemeClr w14:val="tx1"/>
                  </w14:solidFill>
                </w14:textFill>
              </w:rPr>
              <w:t>储存区、</w:t>
            </w:r>
            <w:r>
              <w:rPr>
                <w:rFonts w:hint="default" w:ascii="Times New Roman" w:hAnsi="Times New Roman" w:cs="Times New Roman"/>
                <w:color w:val="000000" w:themeColor="text1"/>
                <w:sz w:val="24"/>
                <w14:textFill>
                  <w14:solidFill>
                    <w14:schemeClr w14:val="tx1"/>
                  </w14:solidFill>
                </w14:textFill>
              </w:rPr>
              <w:t>危险废物贮存库，污染物为</w:t>
            </w:r>
            <w:r>
              <w:rPr>
                <w:rFonts w:hint="eastAsia" w:ascii="Times New Roman" w:hAnsi="Times New Roman" w:cs="Times New Roman"/>
                <w:color w:val="000000" w:themeColor="text1"/>
                <w:sz w:val="24"/>
                <w:lang w:val="en-US" w:eastAsia="zh-CN"/>
                <w14:textFill>
                  <w14:solidFill>
                    <w14:schemeClr w14:val="tx1"/>
                  </w14:solidFill>
                </w14:textFill>
              </w:rPr>
              <w:t>润滑油</w:t>
            </w:r>
            <w:r>
              <w:rPr>
                <w:rFonts w:hint="default" w:ascii="Times New Roman" w:hAnsi="Times New Roman" w:cs="Times New Roman"/>
                <w:color w:val="000000" w:themeColor="text1"/>
                <w:sz w:val="24"/>
                <w14:textFill>
                  <w14:solidFill>
                    <w14:schemeClr w14:val="tx1"/>
                  </w14:solidFill>
                </w14:textFill>
              </w:rPr>
              <w:t>等原料以及</w:t>
            </w:r>
            <w:r>
              <w:rPr>
                <w:rFonts w:hint="eastAsia" w:ascii="Times New Roman" w:hAnsi="Times New Roman" w:cs="Times New Roman"/>
                <w:color w:val="000000" w:themeColor="text1"/>
                <w:sz w:val="24"/>
                <w:lang w:val="en-US" w:eastAsia="zh-CN"/>
                <w14:textFill>
                  <w14:solidFill>
                    <w14:schemeClr w14:val="tx1"/>
                  </w14:solidFill>
                </w14:textFill>
              </w:rPr>
              <w:t>产生的</w:t>
            </w:r>
            <w:r>
              <w:rPr>
                <w:rFonts w:hint="default" w:ascii="Times New Roman" w:hAnsi="Times New Roman" w:cs="Times New Roman"/>
                <w:color w:val="000000" w:themeColor="text1"/>
                <w:sz w:val="24"/>
                <w14:textFill>
                  <w14:solidFill>
                    <w14:schemeClr w14:val="tx1"/>
                  </w14:solidFill>
                </w14:textFill>
              </w:rPr>
              <w:t>危险废物。</w:t>
            </w:r>
          </w:p>
          <w:p w14:paraId="38B220EA">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（2）污染途径</w:t>
            </w:r>
          </w:p>
          <w:p w14:paraId="3772209A">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本项目正常运营情况下，采取相关措施后无土壤、地下水污染途径。只有在非正常情况下才出现污染途径，污染途径主要为危险废物贮存库地面开裂，盛装</w:t>
            </w:r>
            <w:r>
              <w:rPr>
                <w:rFonts w:hint="eastAsia" w:ascii="Times New Roman" w:hAnsi="Times New Roman" w:cs="Times New Roman"/>
                <w:color w:val="000000" w:themeColor="text1"/>
                <w:sz w:val="24"/>
                <w:lang w:val="en-US" w:eastAsia="zh-CN"/>
                <w14:textFill>
                  <w14:solidFill>
                    <w14:schemeClr w14:val="tx1"/>
                  </w14:solidFill>
                </w14:textFill>
              </w:rPr>
              <w:t>废油</w:t>
            </w:r>
            <w:r>
              <w:rPr>
                <w:rFonts w:hint="default" w:ascii="Times New Roman" w:hAnsi="Times New Roman" w:cs="Times New Roman"/>
                <w:color w:val="000000" w:themeColor="text1"/>
                <w:sz w:val="24"/>
                <w14:textFill>
                  <w14:solidFill>
                    <w14:schemeClr w14:val="tx1"/>
                  </w14:solidFill>
                </w14:textFill>
              </w:rPr>
              <w:t>等容器破损发生泄漏，通过地面下渗污染土壤及地下水。</w:t>
            </w:r>
          </w:p>
          <w:p w14:paraId="5F732A53">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（3）防治措施及环境影响</w:t>
            </w:r>
          </w:p>
          <w:p w14:paraId="0C357312">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①源头防控措施</w:t>
            </w:r>
          </w:p>
          <w:p w14:paraId="0451E56C">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A.本项目运营中对</w:t>
            </w:r>
            <w:r>
              <w:rPr>
                <w:rFonts w:hint="eastAsia" w:ascii="Times New Roman" w:hAnsi="Times New Roman" w:cs="Times New Roman"/>
                <w:color w:val="000000" w:themeColor="text1"/>
                <w:sz w:val="24"/>
                <w:lang w:val="en-US" w:eastAsia="zh-CN"/>
                <w14:textFill>
                  <w14:solidFill>
                    <w14:schemeClr w14:val="tx1"/>
                  </w14:solidFill>
                </w14:textFill>
              </w:rPr>
              <w:t>油类储存区</w:t>
            </w:r>
            <w:r>
              <w:rPr>
                <w:rFonts w:hint="default" w:ascii="Times New Roman" w:hAnsi="Times New Roman" w:cs="Times New Roman"/>
                <w:color w:val="000000" w:themeColor="text1"/>
                <w:sz w:val="24"/>
                <w14:textFill>
                  <w14:solidFill>
                    <w14:schemeClr w14:val="tx1"/>
                  </w14:solidFill>
                </w14:textFill>
              </w:rPr>
              <w:t>、危险废物贮存库加强管理和巡查，发现问题及时采取相应措施，防止或降低可能出现的污染物跑、冒、滴、漏现象，将危险物质泄漏的环境风险降低到最低程度；</w:t>
            </w:r>
            <w:r>
              <w:rPr>
                <w:rFonts w:hint="eastAsia" w:ascii="Times New Roman" w:hAnsi="Times New Roman" w:cs="Times New Roman"/>
                <w:color w:val="000000" w:themeColor="text1"/>
                <w:sz w:val="24"/>
                <w:lang w:val="en-US" w:eastAsia="zh-CN"/>
                <w14:textFill>
                  <w14:solidFill>
                    <w14:schemeClr w14:val="tx1"/>
                  </w14:solidFill>
                </w14:textFill>
              </w:rPr>
              <w:t>油类储存区</w:t>
            </w:r>
            <w:r>
              <w:rPr>
                <w:rFonts w:hint="default" w:ascii="Times New Roman" w:hAnsi="Times New Roman" w:cs="Times New Roman"/>
                <w:color w:val="000000" w:themeColor="text1"/>
                <w:sz w:val="24"/>
                <w14:textFill>
                  <w14:solidFill>
                    <w14:schemeClr w14:val="tx1"/>
                  </w14:solidFill>
                </w14:textFill>
              </w:rPr>
              <w:t>、危险废物贮存间盛装危险废物的容器底部设置防渗托盘。</w:t>
            </w:r>
          </w:p>
          <w:p w14:paraId="3FA0D75D">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B.建立规章制度和岗位职责，制定风险预警方案，储存应急物资和设备。</w:t>
            </w:r>
          </w:p>
          <w:p w14:paraId="77C0376B">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②过程防控措施</w:t>
            </w:r>
          </w:p>
          <w:p w14:paraId="5942CE31">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A.分区防控措施</w:t>
            </w:r>
          </w:p>
          <w:p w14:paraId="45AF1066">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危险废物贮存库</w:t>
            </w:r>
            <w:r>
              <w:rPr>
                <w:rFonts w:hint="default" w:ascii="Times New Roman" w:hAnsi="Times New Roman" w:cs="Times New Roman"/>
                <w:color w:val="000000" w:themeColor="text1"/>
                <w:sz w:val="24"/>
                <w14:textFill>
                  <w14:solidFill>
                    <w14:schemeClr w14:val="tx1"/>
                  </w14:solidFill>
                </w14:textFill>
              </w:rPr>
              <w:t>地面为混凝土结构</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要求</w:t>
            </w:r>
            <w:r>
              <w:rPr>
                <w:rFonts w:hint="default" w:ascii="Times New Roman" w:hAnsi="Times New Roman" w:cs="Times New Roman"/>
                <w:color w:val="000000" w:themeColor="text1"/>
                <w:sz w:val="24"/>
                <w14:textFill>
                  <w14:solidFill>
                    <w14:schemeClr w14:val="tx1"/>
                  </w14:solidFill>
                </w14:textFill>
              </w:rPr>
              <w:t>涂防渗层</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防渗层</w:t>
            </w:r>
            <w:r>
              <w:rPr>
                <w:rFonts w:hint="eastAsia" w:ascii="Times New Roman" w:hAnsi="Times New Roman" w:cs="Times New Roman"/>
                <w:color w:val="000000" w:themeColor="text1"/>
                <w:sz w:val="24"/>
                <w:lang w:val="en-US" w:eastAsia="zh-CN"/>
                <w14:textFill>
                  <w14:solidFill>
                    <w14:schemeClr w14:val="tx1"/>
                  </w14:solidFill>
                </w14:textFill>
              </w:rPr>
              <w:t>均为</w:t>
            </w:r>
            <w:r>
              <w:rPr>
                <w:rFonts w:hint="default" w:ascii="Times New Roman" w:hAnsi="Times New Roman" w:cs="Times New Roman"/>
                <w:color w:val="000000" w:themeColor="text1"/>
                <w:sz w:val="24"/>
                <w:lang w:val="en-US" w:eastAsia="zh-CN"/>
                <w14:textFill>
                  <w14:solidFill>
                    <w14:schemeClr w14:val="tx1"/>
                  </w14:solidFill>
                </w14:textFill>
              </w:rPr>
              <w:t>20cm厚的混凝土层且表面涂刷</w:t>
            </w:r>
            <w:r>
              <w:rPr>
                <w:rFonts w:hint="default" w:ascii="Times New Roman" w:hAnsi="Times New Roman" w:cs="Times New Roman"/>
                <w:color w:val="000000" w:themeColor="text1"/>
                <w:sz w:val="24"/>
                <w14:textFill>
                  <w14:solidFill>
                    <w14:schemeClr w14:val="tx1"/>
                  </w14:solidFill>
                </w14:textFill>
              </w:rPr>
              <w:t>2mm厚人工材料，渗透系数≤10</w:t>
            </w:r>
            <w:r>
              <w:rPr>
                <w:rFonts w:hint="default" w:ascii="Times New Roman" w:hAnsi="Times New Roman" w:cs="Times New Roman"/>
                <w:color w:val="000000" w:themeColor="text1"/>
                <w:sz w:val="24"/>
                <w:vertAlign w:val="superscript"/>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cm/s。</w:t>
            </w:r>
          </w:p>
          <w:p w14:paraId="2889B717">
            <w:pPr>
              <w:widowControl/>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B.</w:t>
            </w:r>
            <w:r>
              <w:rPr>
                <w:rFonts w:hint="eastAsia" w:ascii="Times New Roman" w:hAnsi="Times New Roman" w:cs="Times New Roman"/>
                <w:color w:val="000000" w:themeColor="text1"/>
                <w:sz w:val="24"/>
                <w:lang w:val="en-US" w:eastAsia="zh-CN"/>
                <w14:textFill>
                  <w14:solidFill>
                    <w14:schemeClr w14:val="tx1"/>
                  </w14:solidFill>
                </w14:textFill>
              </w:rPr>
              <w:t>油类储存区、</w:t>
            </w:r>
            <w:r>
              <w:rPr>
                <w:rFonts w:hint="default" w:ascii="Times New Roman" w:hAnsi="Times New Roman" w:cs="Times New Roman"/>
                <w:color w:val="000000" w:themeColor="text1"/>
                <w:sz w:val="24"/>
                <w14:textFill>
                  <w14:solidFill>
                    <w14:schemeClr w14:val="tx1"/>
                  </w14:solidFill>
                </w14:textFill>
              </w:rPr>
              <w:t>危险废物贮存库等设置由专人负责</w:t>
            </w:r>
            <w:r>
              <w:rPr>
                <w:rFonts w:ascii="Times New Roman" w:hAnsi="Times New Roman" w:cs="Times New Roman"/>
                <w:color w:val="000000" w:themeColor="text1"/>
                <w:sz w:val="24"/>
                <w14:textFill>
                  <w14:solidFill>
                    <w14:schemeClr w14:val="tx1"/>
                  </w14:solidFill>
                </w14:textFill>
              </w:rPr>
              <w:t>，定期检查</w:t>
            </w:r>
          </w:p>
          <w:p w14:paraId="57C848F3">
            <w:pPr>
              <w:widowControl/>
              <w:spacing w:line="360" w:lineRule="auto"/>
              <w:ind w:firstLine="480" w:firstLineChars="200"/>
              <w:rPr>
                <w:rFonts w:ascii="Times New Roman" w:hAnsi="Times New Roman" w:cs="Times New Roman"/>
                <w:color w:val="000000" w:themeColor="text1"/>
                <w:sz w:val="24"/>
                <w:lang w:val="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建设单位</w:t>
            </w:r>
            <w:r>
              <w:rPr>
                <w:rFonts w:hint="eastAsia" w:cs="Times New Roman"/>
                <w:color w:val="000000" w:themeColor="text1"/>
                <w:sz w:val="24"/>
                <w:lang w:val="en-US" w:eastAsia="zh-CN"/>
                <w14:textFill>
                  <w14:solidFill>
                    <w14:schemeClr w14:val="tx1"/>
                  </w14:solidFill>
                </w14:textFill>
              </w:rPr>
              <w:t>应</w:t>
            </w:r>
            <w:r>
              <w:rPr>
                <w:rFonts w:hint="eastAsia" w:ascii="Times New Roman" w:hAnsi="Times New Roman" w:cs="Times New Roman"/>
                <w:color w:val="000000" w:themeColor="text1"/>
                <w:sz w:val="24"/>
                <w:lang w:val="en-US" w:eastAsia="zh-CN"/>
                <w14:textFill>
                  <w14:solidFill>
                    <w14:schemeClr w14:val="tx1"/>
                  </w14:solidFill>
                </w14:textFill>
              </w:rPr>
              <w:t>对油类储存区及危废贮存库均制定相应的管理制度及巡检制度</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防渗措施均满足要求，</w:t>
            </w:r>
            <w:r>
              <w:rPr>
                <w:rFonts w:ascii="Times New Roman" w:hAnsi="Times New Roman" w:cs="Times New Roman"/>
                <w:color w:val="000000" w:themeColor="text1"/>
                <w:sz w:val="24"/>
                <w14:textFill>
                  <w14:solidFill>
                    <w14:schemeClr w14:val="tx1"/>
                  </w14:solidFill>
                </w14:textFill>
              </w:rPr>
              <w:t>本项目运营对地下水、土壤环境影响较小。</w:t>
            </w:r>
          </w:p>
          <w:p w14:paraId="555991B5">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6、环境风险分析</w:t>
            </w:r>
          </w:p>
          <w:p w14:paraId="44A53F15">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（1）危险物质及风险源分布</w:t>
            </w:r>
          </w:p>
          <w:p w14:paraId="2114359E">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根据《建设项目环境风险评价技术导则》（HJ169-2018）标准所列物质，本项目涉及的风险物质主要为</w:t>
            </w:r>
            <w:r>
              <w:rPr>
                <w:rFonts w:hint="eastAsia"/>
                <w:color w:val="000000" w:themeColor="text1"/>
                <w:sz w:val="24"/>
                <w:lang w:val="en-US" w:eastAsia="zh-CN"/>
                <w14:textFill>
                  <w14:solidFill>
                    <w14:schemeClr w14:val="tx1"/>
                  </w14:solidFill>
                </w14:textFill>
              </w:rPr>
              <w:t>润滑油、废润滑油</w:t>
            </w:r>
            <w:r>
              <w:rPr>
                <w:color w:val="000000" w:themeColor="text1"/>
                <w:sz w:val="24"/>
                <w14:textFill>
                  <w14:solidFill>
                    <w14:schemeClr w14:val="tx1"/>
                  </w14:solidFill>
                </w14:textFill>
              </w:rPr>
              <w:t>。</w:t>
            </w:r>
          </w:p>
          <w:p w14:paraId="22413EB1">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根据《建设项目环境风险评价技术导则》（HJ169-2018）附录C，当只涉</w:t>
            </w:r>
            <w:r>
              <w:rPr>
                <w:rFonts w:hint="eastAsia"/>
                <w:color w:val="000000" w:themeColor="text1"/>
                <w:sz w:val="24"/>
                <w:lang w:eastAsia="zh-CN"/>
                <w14:textFill>
                  <w14:solidFill>
                    <w14:schemeClr w14:val="tx1"/>
                  </w14:solidFill>
                </w14:textFill>
              </w:rPr>
              <w:t>及一</w:t>
            </w:r>
            <w:r>
              <w:rPr>
                <w:color w:val="000000" w:themeColor="text1"/>
                <w:sz w:val="24"/>
                <w14:textFill>
                  <w14:solidFill>
                    <w14:schemeClr w14:val="tx1"/>
                  </w14:solidFill>
                </w14:textFill>
              </w:rPr>
              <w:t>种危险物质时，计算该物质的总量与其临界量比值，即为Q；当存在多种危险物质时，按下式计算物质总量与其临界量的比值（Q）：</w:t>
            </w:r>
          </w:p>
          <w:p w14:paraId="333C0DE4">
            <w:pPr>
              <w:widowControl/>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drawing>
                <wp:inline distT="0" distB="0" distL="114300" distR="114300">
                  <wp:extent cx="1363345" cy="419735"/>
                  <wp:effectExtent l="0" t="0" r="8255" b="698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8"/>
                          <a:stretch>
                            <a:fillRect/>
                          </a:stretch>
                        </pic:blipFill>
                        <pic:spPr>
                          <a:xfrm>
                            <a:off x="0" y="0"/>
                            <a:ext cx="1363345" cy="419735"/>
                          </a:xfrm>
                          <a:prstGeom prst="rect">
                            <a:avLst/>
                          </a:prstGeom>
                          <a:noFill/>
                          <a:ln>
                            <a:noFill/>
                          </a:ln>
                        </pic:spPr>
                      </pic:pic>
                    </a:graphicData>
                  </a:graphic>
                </wp:inline>
              </w:drawing>
            </w:r>
          </w:p>
          <w:p w14:paraId="19FCF09E">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式中：q</w:t>
            </w:r>
            <w:r>
              <w:rPr>
                <w:color w:val="000000" w:themeColor="text1"/>
                <w:sz w:val="24"/>
                <w:vertAlign w:val="subscript"/>
                <w14:textFill>
                  <w14:solidFill>
                    <w14:schemeClr w14:val="tx1"/>
                  </w14:solidFill>
                </w14:textFill>
              </w:rPr>
              <w:t>1</w:t>
            </w:r>
            <w:r>
              <w:rPr>
                <w:color w:val="000000" w:themeColor="text1"/>
                <w:sz w:val="24"/>
                <w14:textFill>
                  <w14:solidFill>
                    <w14:schemeClr w14:val="tx1"/>
                  </w14:solidFill>
                </w14:textFill>
              </w:rPr>
              <w:t>，q</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，…qn—每种危险物质的最大存在量，t；</w:t>
            </w:r>
          </w:p>
          <w:p w14:paraId="5BA9086A">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Q</w:t>
            </w:r>
            <w:r>
              <w:rPr>
                <w:color w:val="000000" w:themeColor="text1"/>
                <w:sz w:val="24"/>
                <w:vertAlign w:val="subscript"/>
                <w14:textFill>
                  <w14:solidFill>
                    <w14:schemeClr w14:val="tx1"/>
                  </w14:solidFill>
                </w14:textFill>
              </w:rPr>
              <w:t>1</w:t>
            </w:r>
            <w:r>
              <w:rPr>
                <w:color w:val="000000" w:themeColor="text1"/>
                <w:sz w:val="24"/>
                <w14:textFill>
                  <w14:solidFill>
                    <w14:schemeClr w14:val="tx1"/>
                  </w14:solidFill>
                </w14:textFill>
              </w:rPr>
              <w:t>，Q</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，…Qn—每种危险物质的临界量，t。</w:t>
            </w:r>
          </w:p>
          <w:p w14:paraId="39BB3D16">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当Q＜1时，该项目环境风险潜势为Ⅰ。</w:t>
            </w:r>
          </w:p>
          <w:p w14:paraId="59B4686F">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当Q≥1时，将Q值划分为：（1）1≤Q＜10；（2）10≤Q＜100；（3）Q≥100。本项目危险物质数量与临界量比值（Q）计算结果见表4-1</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w:t>
            </w:r>
          </w:p>
          <w:p w14:paraId="26149FD2">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w:t>
            </w:r>
            <w:r>
              <w:rPr>
                <w:rFonts w:hint="eastAsia"/>
                <w:b/>
                <w:bCs/>
                <w:color w:val="000000" w:themeColor="text1"/>
                <w:szCs w:val="21"/>
                <w:lang w:val="en-US" w:eastAsia="zh-CN"/>
                <w14:textFill>
                  <w14:solidFill>
                    <w14:schemeClr w14:val="tx1"/>
                  </w14:solidFill>
                </w14:textFill>
              </w:rPr>
              <w:t>15</w:t>
            </w:r>
            <w:r>
              <w:rPr>
                <w:b/>
                <w:bCs/>
                <w:color w:val="000000" w:themeColor="text1"/>
                <w:szCs w:val="21"/>
                <w14:textFill>
                  <w14:solidFill>
                    <w14:schemeClr w14:val="tx1"/>
                  </w14:solidFill>
                </w14:textFill>
              </w:rPr>
              <w:t xml:space="preserve">  危险物质数量及临界量比</w:t>
            </w:r>
          </w:p>
          <w:tbl>
            <w:tblPr>
              <w:tblStyle w:val="24"/>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232"/>
              <w:gridCol w:w="1629"/>
              <w:gridCol w:w="1060"/>
              <w:gridCol w:w="1503"/>
              <w:gridCol w:w="1122"/>
              <w:gridCol w:w="1022"/>
            </w:tblGrid>
            <w:tr w14:paraId="2933AC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73" w:type="pct"/>
                  <w:tcBorders>
                    <w:tl2br w:val="nil"/>
                    <w:tr2bl w:val="nil"/>
                  </w:tcBorders>
                  <w:noWrap w:val="0"/>
                  <w:vAlign w:val="center"/>
                </w:tcPr>
                <w:p w14:paraId="701E80FB">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序号</w:t>
                  </w:r>
                </w:p>
              </w:tc>
              <w:tc>
                <w:tcPr>
                  <w:tcW w:w="737" w:type="pct"/>
                  <w:tcBorders>
                    <w:tl2br w:val="nil"/>
                    <w:tr2bl w:val="nil"/>
                  </w:tcBorders>
                  <w:noWrap w:val="0"/>
                  <w:vAlign w:val="center"/>
                </w:tcPr>
                <w:p w14:paraId="05DF5F73">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危险单元</w:t>
                  </w:r>
                </w:p>
              </w:tc>
              <w:tc>
                <w:tcPr>
                  <w:tcW w:w="974" w:type="pct"/>
                  <w:tcBorders>
                    <w:tl2br w:val="nil"/>
                    <w:tr2bl w:val="nil"/>
                  </w:tcBorders>
                  <w:noWrap w:val="0"/>
                  <w:vAlign w:val="center"/>
                </w:tcPr>
                <w:p w14:paraId="34E16ABE">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危险物质名称</w:t>
                  </w:r>
                </w:p>
              </w:tc>
              <w:tc>
                <w:tcPr>
                  <w:tcW w:w="634" w:type="pct"/>
                  <w:tcBorders>
                    <w:tl2br w:val="nil"/>
                    <w:tr2bl w:val="nil"/>
                  </w:tcBorders>
                  <w:noWrap w:val="0"/>
                  <w:vAlign w:val="center"/>
                </w:tcPr>
                <w:p w14:paraId="5C2AF4C3">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CAS号</w:t>
                  </w:r>
                </w:p>
              </w:tc>
              <w:tc>
                <w:tcPr>
                  <w:tcW w:w="899" w:type="pct"/>
                  <w:tcBorders>
                    <w:tl2br w:val="nil"/>
                    <w:tr2bl w:val="nil"/>
                  </w:tcBorders>
                  <w:noWrap w:val="0"/>
                  <w:vAlign w:val="center"/>
                </w:tcPr>
                <w:p w14:paraId="6104BED1">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最大存在量</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t</w:t>
                  </w:r>
                </w:p>
              </w:tc>
              <w:tc>
                <w:tcPr>
                  <w:tcW w:w="669" w:type="pct"/>
                  <w:tcBorders>
                    <w:tl2br w:val="nil"/>
                    <w:tr2bl w:val="nil"/>
                  </w:tcBorders>
                  <w:noWrap w:val="0"/>
                  <w:vAlign w:val="center"/>
                </w:tcPr>
                <w:p w14:paraId="61BC0DCF">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临界量</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t</w:t>
                  </w:r>
                </w:p>
              </w:tc>
              <w:tc>
                <w:tcPr>
                  <w:tcW w:w="611" w:type="pct"/>
                  <w:tcBorders>
                    <w:tl2br w:val="nil"/>
                    <w:tr2bl w:val="nil"/>
                  </w:tcBorders>
                  <w:noWrap w:val="0"/>
                  <w:vAlign w:val="center"/>
                </w:tcPr>
                <w:p w14:paraId="0D04EC60">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Q值</w:t>
                  </w:r>
                </w:p>
              </w:tc>
            </w:tr>
            <w:tr w14:paraId="0186EC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73" w:type="pct"/>
                  <w:tcBorders>
                    <w:tl2br w:val="nil"/>
                    <w:tr2bl w:val="nil"/>
                  </w:tcBorders>
                  <w:noWrap w:val="0"/>
                  <w:vAlign w:val="center"/>
                </w:tcPr>
                <w:p w14:paraId="178D06ED">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w:t>
                  </w:r>
                </w:p>
              </w:tc>
              <w:tc>
                <w:tcPr>
                  <w:tcW w:w="737" w:type="pct"/>
                  <w:tcBorders>
                    <w:tl2br w:val="nil"/>
                    <w:tr2bl w:val="nil"/>
                  </w:tcBorders>
                  <w:shd w:val="clear" w:color="auto" w:fill="auto"/>
                  <w:noWrap w:val="0"/>
                  <w:vAlign w:val="center"/>
                </w:tcPr>
                <w:p w14:paraId="0E32FA0E">
                  <w:pPr>
                    <w:pStyle w:val="47"/>
                    <w:ind w:firstLine="0" w:firstLineChars="0"/>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润滑油</w:t>
                  </w:r>
                </w:p>
              </w:tc>
              <w:tc>
                <w:tcPr>
                  <w:tcW w:w="974" w:type="pct"/>
                  <w:tcBorders>
                    <w:tl2br w:val="nil"/>
                    <w:tr2bl w:val="nil"/>
                  </w:tcBorders>
                  <w:shd w:val="clear" w:color="auto" w:fill="auto"/>
                  <w:noWrap w:val="0"/>
                  <w:vAlign w:val="center"/>
                </w:tcPr>
                <w:p w14:paraId="5A6B8353">
                  <w:pPr>
                    <w:pStyle w:val="47"/>
                    <w:ind w:firstLine="0" w:firstLineChars="0"/>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矿物油</w:t>
                  </w:r>
                </w:p>
              </w:tc>
              <w:tc>
                <w:tcPr>
                  <w:tcW w:w="634" w:type="pct"/>
                  <w:tcBorders>
                    <w:tl2br w:val="nil"/>
                    <w:tr2bl w:val="nil"/>
                  </w:tcBorders>
                  <w:shd w:val="clear" w:color="auto" w:fill="auto"/>
                  <w:noWrap w:val="0"/>
                  <w:vAlign w:val="center"/>
                </w:tcPr>
                <w:p w14:paraId="4C104281">
                  <w:pPr>
                    <w:pStyle w:val="47"/>
                    <w:ind w:firstLine="0" w:firstLineChars="0"/>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899" w:type="pct"/>
                  <w:tcBorders>
                    <w:tl2br w:val="nil"/>
                    <w:tr2bl w:val="nil"/>
                  </w:tcBorders>
                  <w:shd w:val="clear" w:color="auto" w:fill="auto"/>
                  <w:noWrap w:val="0"/>
                  <w:vAlign w:val="center"/>
                </w:tcPr>
                <w:p w14:paraId="23E7E6F4">
                  <w:pPr>
                    <w:pStyle w:val="47"/>
                    <w:ind w:firstLine="0" w:firstLineChars="0"/>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r>
                    <w:rPr>
                      <w:rFonts w:hint="eastAsia" w:cs="Times New Roman"/>
                      <w:color w:val="000000" w:themeColor="text1"/>
                      <w:sz w:val="21"/>
                      <w:szCs w:val="21"/>
                      <w:highlight w:val="none"/>
                      <w:lang w:val="en-US" w:eastAsia="zh-CN"/>
                      <w14:textFill>
                        <w14:solidFill>
                          <w14:schemeClr w14:val="tx1"/>
                        </w14:solidFill>
                      </w14:textFill>
                    </w:rPr>
                    <w:t>5</w:t>
                  </w:r>
                </w:p>
              </w:tc>
              <w:tc>
                <w:tcPr>
                  <w:tcW w:w="669" w:type="pct"/>
                  <w:tcBorders>
                    <w:tl2br w:val="nil"/>
                    <w:tr2bl w:val="nil"/>
                  </w:tcBorders>
                  <w:shd w:val="clear" w:color="auto" w:fill="auto"/>
                  <w:noWrap w:val="0"/>
                  <w:vAlign w:val="center"/>
                </w:tcPr>
                <w:p w14:paraId="4ED293AB">
                  <w:pPr>
                    <w:pStyle w:val="47"/>
                    <w:ind w:firstLine="0" w:firstLineChars="0"/>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2500</w:t>
                  </w:r>
                </w:p>
              </w:tc>
              <w:tc>
                <w:tcPr>
                  <w:tcW w:w="1022" w:type="dxa"/>
                  <w:tcBorders>
                    <w:tl2br w:val="nil"/>
                    <w:tr2bl w:val="nil"/>
                  </w:tcBorders>
                  <w:shd w:val="clear" w:color="auto" w:fill="auto"/>
                  <w:noWrap w:val="0"/>
                  <w:vAlign w:val="center"/>
                </w:tcPr>
                <w:p w14:paraId="06227F18">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0.0002</w:t>
                  </w:r>
                </w:p>
              </w:tc>
            </w:tr>
            <w:tr w14:paraId="71C284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73" w:type="pct"/>
                  <w:tcBorders>
                    <w:tl2br w:val="nil"/>
                    <w:tr2bl w:val="nil"/>
                  </w:tcBorders>
                  <w:shd w:val="clear" w:color="auto" w:fill="auto"/>
                  <w:noWrap w:val="0"/>
                  <w:vAlign w:val="center"/>
                </w:tcPr>
                <w:p w14:paraId="5F3B3DD3">
                  <w:pPr>
                    <w:pStyle w:val="47"/>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w:t>
                  </w:r>
                </w:p>
              </w:tc>
              <w:tc>
                <w:tcPr>
                  <w:tcW w:w="737" w:type="pct"/>
                  <w:tcBorders>
                    <w:tl2br w:val="nil"/>
                    <w:tr2bl w:val="nil"/>
                  </w:tcBorders>
                  <w:shd w:val="clear" w:color="auto" w:fill="auto"/>
                  <w:noWrap w:val="0"/>
                  <w:vAlign w:val="center"/>
                </w:tcPr>
                <w:p w14:paraId="68AD8A58">
                  <w:pPr>
                    <w:pStyle w:val="47"/>
                    <w:ind w:firstLine="0" w:firstLineChars="0"/>
                    <w:rPr>
                      <w:rFonts w:hint="eastAsia"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废润滑油</w:t>
                  </w:r>
                </w:p>
              </w:tc>
              <w:tc>
                <w:tcPr>
                  <w:tcW w:w="974" w:type="pct"/>
                  <w:tcBorders>
                    <w:tl2br w:val="nil"/>
                    <w:tr2bl w:val="nil"/>
                  </w:tcBorders>
                  <w:shd w:val="clear" w:color="auto" w:fill="auto"/>
                  <w:noWrap w:val="0"/>
                  <w:vAlign w:val="center"/>
                </w:tcPr>
                <w:p w14:paraId="1E499275">
                  <w:pPr>
                    <w:pStyle w:val="47"/>
                    <w:ind w:firstLine="0" w:firstLineChars="0"/>
                    <w:jc w:val="both"/>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snapToGrid w:val="0"/>
                      <w:color w:val="000000" w:themeColor="text1"/>
                      <w:kern w:val="2"/>
                      <w:sz w:val="21"/>
                      <w:szCs w:val="21"/>
                      <w:highlight w:val="none"/>
                      <w:lang w:val="en-US" w:eastAsia="zh-CN" w:bidi="ar-SA"/>
                      <w14:textFill>
                        <w14:solidFill>
                          <w14:schemeClr w14:val="tx1"/>
                        </w14:solidFill>
                      </w14:textFill>
                    </w:rPr>
                    <w:t>其他危险物质</w:t>
                  </w:r>
                </w:p>
              </w:tc>
              <w:tc>
                <w:tcPr>
                  <w:tcW w:w="634" w:type="pct"/>
                  <w:tcBorders>
                    <w:tl2br w:val="nil"/>
                    <w:tr2bl w:val="nil"/>
                  </w:tcBorders>
                  <w:shd w:val="clear" w:color="auto" w:fill="auto"/>
                  <w:noWrap w:val="0"/>
                  <w:vAlign w:val="center"/>
                </w:tcPr>
                <w:p w14:paraId="14E4B43E">
                  <w:pPr>
                    <w:pStyle w:val="47"/>
                    <w:ind w:firstLine="0" w:firstLineChars="0"/>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899" w:type="pct"/>
                  <w:tcBorders>
                    <w:tl2br w:val="nil"/>
                    <w:tr2bl w:val="nil"/>
                  </w:tcBorders>
                  <w:shd w:val="clear" w:color="auto" w:fill="auto"/>
                  <w:noWrap w:val="0"/>
                  <w:vAlign w:val="center"/>
                </w:tcPr>
                <w:p w14:paraId="37AB00F7">
                  <w:pPr>
                    <w:pStyle w:val="47"/>
                    <w:ind w:firstLine="0" w:firstLineChars="0"/>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0.0</w:t>
                  </w:r>
                  <w:r>
                    <w:rPr>
                      <w:rFonts w:hint="eastAsia" w:cs="Times New Roman"/>
                      <w:color w:val="000000" w:themeColor="text1"/>
                      <w:sz w:val="21"/>
                      <w:szCs w:val="21"/>
                      <w:highlight w:val="none"/>
                      <w:lang w:val="en-US" w:eastAsia="zh-CN"/>
                      <w14:textFill>
                        <w14:solidFill>
                          <w14:schemeClr w14:val="tx1"/>
                        </w14:solidFill>
                      </w14:textFill>
                    </w:rPr>
                    <w:t>1</w:t>
                  </w:r>
                </w:p>
              </w:tc>
              <w:tc>
                <w:tcPr>
                  <w:tcW w:w="669" w:type="pct"/>
                  <w:tcBorders>
                    <w:tl2br w:val="nil"/>
                    <w:tr2bl w:val="nil"/>
                  </w:tcBorders>
                  <w:shd w:val="clear" w:color="auto" w:fill="auto"/>
                  <w:noWrap w:val="0"/>
                  <w:vAlign w:val="center"/>
                </w:tcPr>
                <w:p w14:paraId="584FFAA8">
                  <w:pPr>
                    <w:pStyle w:val="47"/>
                    <w:ind w:firstLine="0" w:firstLineChars="0"/>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50</w:t>
                  </w:r>
                </w:p>
              </w:tc>
              <w:tc>
                <w:tcPr>
                  <w:tcW w:w="1022" w:type="dxa"/>
                  <w:tcBorders>
                    <w:tl2br w:val="nil"/>
                    <w:tr2bl w:val="nil"/>
                  </w:tcBorders>
                  <w:shd w:val="clear" w:color="auto" w:fill="auto"/>
                  <w:noWrap w:val="0"/>
                  <w:vAlign w:val="center"/>
                </w:tcPr>
                <w:p w14:paraId="5F81920B">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0.0002</w:t>
                  </w:r>
                </w:p>
              </w:tc>
            </w:tr>
            <w:tr w14:paraId="7728B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88" w:type="pct"/>
                  <w:gridSpan w:val="6"/>
                  <w:tcBorders>
                    <w:tl2br w:val="nil"/>
                    <w:tr2bl w:val="nil"/>
                  </w:tcBorders>
                  <w:noWrap w:val="0"/>
                  <w:vAlign w:val="center"/>
                </w:tcPr>
                <w:p w14:paraId="6BED5BDB">
                  <w:pPr>
                    <w:pStyle w:val="47"/>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项目Q值∑</w:t>
                  </w:r>
                </w:p>
              </w:tc>
              <w:tc>
                <w:tcPr>
                  <w:tcW w:w="1022" w:type="dxa"/>
                  <w:tcBorders>
                    <w:tl2br w:val="nil"/>
                    <w:tr2bl w:val="nil"/>
                  </w:tcBorders>
                  <w:noWrap w:val="0"/>
                  <w:vAlign w:val="center"/>
                </w:tcPr>
                <w:p w14:paraId="470FE59C">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0.0004</w:t>
                  </w:r>
                </w:p>
              </w:tc>
            </w:tr>
          </w:tbl>
          <w:p w14:paraId="47780FCF">
            <w:pPr>
              <w:widowControl/>
              <w:spacing w:before="120" w:beforeLines="5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由上表可知，Q=0.0</w:t>
            </w:r>
            <w:r>
              <w:rPr>
                <w:rFonts w:hint="eastAsia"/>
                <w:color w:val="000000" w:themeColor="text1"/>
                <w:sz w:val="24"/>
                <w:lang w:val="en-US" w:eastAsia="zh-CN"/>
                <w14:textFill>
                  <w14:solidFill>
                    <w14:schemeClr w14:val="tx1"/>
                  </w14:solidFill>
                </w14:textFill>
              </w:rPr>
              <w:t>004</w:t>
            </w:r>
            <w:r>
              <w:rPr>
                <w:color w:val="000000" w:themeColor="text1"/>
                <w:sz w:val="24"/>
                <w14:textFill>
                  <w14:solidFill>
                    <w14:schemeClr w14:val="tx1"/>
                  </w14:solidFill>
                </w14:textFill>
              </w:rPr>
              <w:t>＜1。</w:t>
            </w:r>
          </w:p>
          <w:p w14:paraId="146F945B">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（2）可能影响途径</w:t>
            </w:r>
          </w:p>
          <w:p w14:paraId="564305BD">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lang w:val="en-US" w:eastAsia="zh-CN"/>
                <w14:textFill>
                  <w14:solidFill>
                    <w14:schemeClr w14:val="tx1"/>
                  </w14:solidFill>
                </w14:textFill>
              </w:rPr>
              <w:t>润滑油</w:t>
            </w:r>
            <w:r>
              <w:rPr>
                <w:color w:val="000000" w:themeColor="text1"/>
                <w:sz w:val="24"/>
                <w14:textFill>
                  <w14:solidFill>
                    <w14:schemeClr w14:val="tx1"/>
                  </w14:solidFill>
                </w14:textFill>
              </w:rPr>
              <w:t>容器破损导致泄漏，泄漏处置不当会污染当地地下水或土壤等。</w:t>
            </w:r>
          </w:p>
          <w:p w14:paraId="1FC3D8B0">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（3）环境风险防范措施</w:t>
            </w:r>
          </w:p>
          <w:p w14:paraId="5CF9D741">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本项目营运期主要采取的风险防范措施如下：</w:t>
            </w:r>
          </w:p>
          <w:p w14:paraId="33EBC060">
            <w:pPr>
              <w:widowControl/>
              <w:spacing w:line="360" w:lineRule="auto"/>
              <w:ind w:firstLine="480" w:firstLineChars="200"/>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①规范</w:t>
            </w:r>
            <w:r>
              <w:rPr>
                <w:rFonts w:hint="eastAsia"/>
                <w:color w:val="000000" w:themeColor="text1"/>
                <w:sz w:val="24"/>
                <w:lang w:val="en-US" w:eastAsia="zh-CN"/>
                <w14:textFill>
                  <w14:solidFill>
                    <w14:schemeClr w14:val="tx1"/>
                  </w14:solidFill>
                </w14:textFill>
              </w:rPr>
              <w:t>油类</w:t>
            </w:r>
            <w:r>
              <w:rPr>
                <w:color w:val="000000" w:themeColor="text1"/>
                <w:sz w:val="24"/>
                <w14:textFill>
                  <w14:solidFill>
                    <w14:schemeClr w14:val="tx1"/>
                  </w14:solidFill>
                </w14:textFill>
              </w:rPr>
              <w:t>暂存过程中应执行相关技术规范，装卸过程中要求防撞、防倾斜，断火源、禁火种，通风和降温。</w:t>
            </w:r>
          </w:p>
          <w:p w14:paraId="6F88F50B">
            <w:pPr>
              <w:widowControl/>
              <w:spacing w:line="360" w:lineRule="auto"/>
              <w:ind w:firstLine="480" w:firstLineChars="200"/>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②强化风险意识，加强安全管理，严格按操作规程进行操作；</w:t>
            </w:r>
            <w:r>
              <w:rPr>
                <w:rFonts w:hint="eastAsia"/>
                <w:color w:val="000000" w:themeColor="text1"/>
                <w:sz w:val="24"/>
                <w14:textFill>
                  <w14:solidFill>
                    <w14:schemeClr w14:val="tx1"/>
                  </w14:solidFill>
                </w14:textFill>
              </w:rPr>
              <w:t>危废贮存库</w:t>
            </w:r>
            <w:r>
              <w:rPr>
                <w:color w:val="000000" w:themeColor="text1"/>
                <w:sz w:val="24"/>
                <w14:textFill>
                  <w14:solidFill>
                    <w14:schemeClr w14:val="tx1"/>
                  </w14:solidFill>
                </w14:textFill>
              </w:rPr>
              <w:t>等涉及油类物质、易燃物质的地面应做好防渗处理，确保事故状态下泄漏物不进入外环境</w:t>
            </w:r>
            <w:r>
              <w:rPr>
                <w:rFonts w:hint="eastAsia"/>
                <w:color w:val="000000" w:themeColor="text1"/>
                <w:sz w:val="24"/>
                <w:lang w:eastAsia="zh-CN"/>
                <w14:textFill>
                  <w14:solidFill>
                    <w14:schemeClr w14:val="tx1"/>
                  </w14:solidFill>
                </w14:textFill>
              </w:rPr>
              <w:t>。</w:t>
            </w:r>
          </w:p>
          <w:p w14:paraId="3005EA9C">
            <w:pPr>
              <w:widowControl/>
              <w:spacing w:line="360" w:lineRule="auto"/>
              <w:ind w:firstLine="480" w:firstLineChars="200"/>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③</w:t>
            </w:r>
            <w:r>
              <w:rPr>
                <w:color w:val="000000" w:themeColor="text1"/>
                <w:sz w:val="24"/>
                <w:lang w:bidi="ar"/>
                <w14:textFill>
                  <w14:solidFill>
                    <w14:schemeClr w14:val="tx1"/>
                  </w14:solidFill>
                </w14:textFill>
              </w:rPr>
              <w:t>尽量避免</w:t>
            </w:r>
            <w:r>
              <w:rPr>
                <w:rFonts w:hint="eastAsia"/>
                <w:color w:val="000000" w:themeColor="text1"/>
                <w:sz w:val="24"/>
                <w:lang w:val="en-US" w:eastAsia="zh-CN" w:bidi="ar"/>
                <w14:textFill>
                  <w14:solidFill>
                    <w14:schemeClr w14:val="tx1"/>
                  </w14:solidFill>
                </w14:textFill>
              </w:rPr>
              <w:t>油类</w:t>
            </w:r>
            <w:r>
              <w:rPr>
                <w:bCs/>
                <w:color w:val="000000" w:themeColor="text1"/>
                <w:sz w:val="24"/>
                <w:lang w:bidi="ar"/>
                <w14:textFill>
                  <w14:solidFill>
                    <w14:schemeClr w14:val="tx1"/>
                  </w14:solidFill>
                </w14:textFill>
              </w:rPr>
              <w:t>跑、冒、滴、漏，</w:t>
            </w:r>
            <w:r>
              <w:rPr>
                <w:color w:val="000000" w:themeColor="text1"/>
                <w:sz w:val="24"/>
                <w:lang w:bidi="ar"/>
                <w14:textFill>
                  <w14:solidFill>
                    <w14:schemeClr w14:val="tx1"/>
                  </w14:solidFill>
                </w14:textFill>
              </w:rPr>
              <w:t>当发生油品</w:t>
            </w:r>
            <w:r>
              <w:rPr>
                <w:bCs/>
                <w:color w:val="000000" w:themeColor="text1"/>
                <w:sz w:val="24"/>
                <w:lang w:bidi="ar"/>
                <w14:textFill>
                  <w14:solidFill>
                    <w14:schemeClr w14:val="tx1"/>
                  </w14:solidFill>
                </w14:textFill>
              </w:rPr>
              <w:t>跑、冒、滴、漏时，及时进行清理、处置</w:t>
            </w:r>
            <w:r>
              <w:rPr>
                <w:rFonts w:hint="eastAsia"/>
                <w:color w:val="000000" w:themeColor="text1"/>
                <w:sz w:val="24"/>
                <w:lang w:eastAsia="zh-CN"/>
                <w14:textFill>
                  <w14:solidFill>
                    <w14:schemeClr w14:val="tx1"/>
                  </w14:solidFill>
                </w14:textFill>
              </w:rPr>
              <w:t>。</w:t>
            </w:r>
          </w:p>
          <w:p w14:paraId="25F9E532">
            <w:pPr>
              <w:widowControl/>
              <w:spacing w:line="360" w:lineRule="auto"/>
              <w:ind w:firstLine="480" w:firstLineChars="200"/>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④厂区按要求设置灭火器、消防栓、消防沙等应急设施、装备，环境风险源、应急处置措施均设置标志牌，定期对应急措施进行排查并保存记录</w:t>
            </w:r>
            <w:r>
              <w:rPr>
                <w:rFonts w:hint="eastAsia"/>
                <w:color w:val="000000" w:themeColor="text1"/>
                <w:sz w:val="24"/>
                <w:lang w:eastAsia="zh-CN"/>
                <w14:textFill>
                  <w14:solidFill>
                    <w14:schemeClr w14:val="tx1"/>
                  </w14:solidFill>
                </w14:textFill>
              </w:rPr>
              <w:t>。</w:t>
            </w:r>
          </w:p>
          <w:p w14:paraId="768590B3">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⑤对易发生泄漏的部位实行定期的巡检制度，及时发现问题，尽快解决</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建立健全安全、环境管理体系及高效的安全生产机构，一旦发生事故，要做到快速、高效、安全处置；制定可行的风险应急预案。</w:t>
            </w:r>
          </w:p>
          <w:p w14:paraId="1E16A5A7">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⑥加强职工的环境风险教育，提高风险防范意识。</w:t>
            </w:r>
          </w:p>
          <w:p w14:paraId="303F576F">
            <w:pPr>
              <w:widowControl/>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⑦制定环境管理制度，确保环保设施正常运行，加强环保设施的日常管理和维护。</w:t>
            </w:r>
          </w:p>
          <w:p w14:paraId="63FC316B">
            <w:pPr>
              <w:numPr>
                <w:ilvl w:val="0"/>
                <w:numId w:val="0"/>
              </w:numPr>
              <w:spacing w:line="360" w:lineRule="auto"/>
              <w:ind w:firstLine="480" w:firstLineChars="200"/>
              <w:rPr>
                <w:rFonts w:hint="default" w:ascii="Times New Roman" w:hAnsi="Times New Roman" w:cs="Times New Roman"/>
                <w:b w:val="0"/>
                <w:bCs w:val="0"/>
                <w:color w:val="auto"/>
                <w:sz w:val="24"/>
                <w:szCs w:val="32"/>
                <w:lang w:val="en-US" w:eastAsia="zh-CN"/>
              </w:rPr>
            </w:pPr>
            <w:r>
              <w:rPr>
                <w:rFonts w:hint="default" w:eastAsia="宋体"/>
                <w:color w:val="000000" w:themeColor="text1"/>
                <w:sz w:val="24"/>
                <w14:textFill>
                  <w14:solidFill>
                    <w14:schemeClr w14:val="tx1"/>
                  </w14:solidFill>
                </w14:textFill>
              </w:rPr>
              <w:t>本次评价提出了风险防范措施，在做好各项风险防范措施的情况下，项目环境风险事故对周围环境的影响较小。项目环境风险属可接受水平。</w:t>
            </w:r>
          </w:p>
          <w:p w14:paraId="3477B8F0">
            <w:pPr>
              <w:widowControl/>
              <w:spacing w:line="360" w:lineRule="auto"/>
              <w:ind w:firstLine="482" w:firstLineChars="200"/>
              <w:rPr>
                <w:b/>
                <w:bCs/>
                <w:color w:val="auto"/>
                <w:sz w:val="24"/>
              </w:rPr>
            </w:pPr>
            <w:r>
              <w:rPr>
                <w:b/>
                <w:bCs/>
                <w:color w:val="auto"/>
                <w:sz w:val="24"/>
              </w:rPr>
              <w:t>7、环保投资</w:t>
            </w:r>
          </w:p>
          <w:p w14:paraId="2B0753ED">
            <w:pPr>
              <w:widowControl/>
              <w:spacing w:line="360" w:lineRule="auto"/>
              <w:ind w:firstLine="480" w:firstLineChars="200"/>
              <w:rPr>
                <w:color w:val="auto"/>
                <w:sz w:val="24"/>
              </w:rPr>
            </w:pPr>
            <w:r>
              <w:rPr>
                <w:color w:val="auto"/>
                <w:sz w:val="24"/>
              </w:rPr>
              <w:t>本项目总投资</w:t>
            </w:r>
            <w:r>
              <w:rPr>
                <w:rFonts w:hint="eastAsia"/>
                <w:color w:val="auto"/>
                <w:sz w:val="24"/>
                <w:lang w:val="en-US" w:eastAsia="zh-CN"/>
              </w:rPr>
              <w:t>20</w:t>
            </w:r>
            <w:r>
              <w:rPr>
                <w:color w:val="auto"/>
                <w:sz w:val="24"/>
              </w:rPr>
              <w:t>0万元，其中环保投资</w:t>
            </w:r>
            <w:r>
              <w:rPr>
                <w:rFonts w:hint="eastAsia"/>
                <w:color w:val="auto"/>
                <w:sz w:val="24"/>
                <w:lang w:val="en-US" w:eastAsia="zh-CN"/>
              </w:rPr>
              <w:t>60.2</w:t>
            </w:r>
            <w:r>
              <w:rPr>
                <w:color w:val="auto"/>
                <w:sz w:val="24"/>
              </w:rPr>
              <w:t>万元，占总投资的</w:t>
            </w:r>
            <w:r>
              <w:rPr>
                <w:rFonts w:hint="eastAsia"/>
                <w:color w:val="auto"/>
                <w:sz w:val="24"/>
                <w:lang w:val="en-US" w:eastAsia="zh-CN"/>
              </w:rPr>
              <w:t>30.1</w:t>
            </w:r>
            <w:r>
              <w:rPr>
                <w:color w:val="auto"/>
                <w:sz w:val="24"/>
              </w:rPr>
              <w:t>%。</w:t>
            </w:r>
          </w:p>
          <w:p w14:paraId="71778EC5">
            <w:pPr>
              <w:pStyle w:val="58"/>
              <w:ind w:firstLine="480"/>
              <w:rPr>
                <w:color w:val="auto"/>
              </w:rPr>
            </w:pPr>
            <w:r>
              <w:rPr>
                <w:color w:val="auto"/>
              </w:rPr>
              <w:t>表4-</w:t>
            </w:r>
            <w:r>
              <w:rPr>
                <w:rFonts w:hint="eastAsia"/>
                <w:color w:val="auto"/>
                <w:lang w:val="en-US" w:eastAsia="zh-CN"/>
              </w:rPr>
              <w:t>16</w:t>
            </w:r>
            <w:r>
              <w:rPr>
                <w:color w:val="auto"/>
              </w:rPr>
              <w:t xml:space="preserve">  环保总投资一览表</w:t>
            </w:r>
          </w:p>
          <w:tbl>
            <w:tblPr>
              <w:tblStyle w:val="24"/>
              <w:tblW w:w="823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1123"/>
              <w:gridCol w:w="1287"/>
              <w:gridCol w:w="3698"/>
              <w:gridCol w:w="1294"/>
            </w:tblGrid>
            <w:tr w14:paraId="4DD6E3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2" w:type="dxa"/>
                  <w:tcBorders>
                    <w:tl2br w:val="nil"/>
                    <w:tr2bl w:val="nil"/>
                  </w:tcBorders>
                  <w:vAlign w:val="center"/>
                </w:tcPr>
                <w:p w14:paraId="231ABB67">
                  <w:pPr>
                    <w:pStyle w:val="47"/>
                    <w:rPr>
                      <w:color w:val="auto"/>
                    </w:rPr>
                  </w:pPr>
                  <w:r>
                    <w:rPr>
                      <w:color w:val="auto"/>
                    </w:rPr>
                    <w:t>序号</w:t>
                  </w:r>
                </w:p>
              </w:tc>
              <w:tc>
                <w:tcPr>
                  <w:tcW w:w="1123" w:type="dxa"/>
                  <w:tcBorders>
                    <w:tl2br w:val="nil"/>
                    <w:tr2bl w:val="nil"/>
                  </w:tcBorders>
                  <w:vAlign w:val="center"/>
                </w:tcPr>
                <w:p w14:paraId="33D3F626">
                  <w:pPr>
                    <w:pStyle w:val="47"/>
                    <w:rPr>
                      <w:color w:val="auto"/>
                    </w:rPr>
                  </w:pPr>
                  <w:r>
                    <w:rPr>
                      <w:color w:val="auto"/>
                    </w:rPr>
                    <w:t>工程名称</w:t>
                  </w:r>
                </w:p>
              </w:tc>
              <w:tc>
                <w:tcPr>
                  <w:tcW w:w="4985" w:type="dxa"/>
                  <w:gridSpan w:val="2"/>
                  <w:tcBorders>
                    <w:tl2br w:val="nil"/>
                    <w:tr2bl w:val="nil"/>
                  </w:tcBorders>
                  <w:vAlign w:val="center"/>
                </w:tcPr>
                <w:p w14:paraId="402440C8">
                  <w:pPr>
                    <w:pStyle w:val="47"/>
                    <w:rPr>
                      <w:color w:val="auto"/>
                    </w:rPr>
                  </w:pPr>
                  <w:r>
                    <w:rPr>
                      <w:color w:val="auto"/>
                    </w:rPr>
                    <w:t>环保措施</w:t>
                  </w:r>
                </w:p>
              </w:tc>
              <w:tc>
                <w:tcPr>
                  <w:tcW w:w="1294" w:type="dxa"/>
                  <w:tcBorders>
                    <w:tl2br w:val="nil"/>
                    <w:tr2bl w:val="nil"/>
                  </w:tcBorders>
                  <w:vAlign w:val="center"/>
                </w:tcPr>
                <w:p w14:paraId="1E65378F">
                  <w:pPr>
                    <w:pStyle w:val="47"/>
                    <w:rPr>
                      <w:color w:val="auto"/>
                    </w:rPr>
                  </w:pPr>
                  <w:r>
                    <w:rPr>
                      <w:color w:val="auto"/>
                    </w:rPr>
                    <w:t>费用（万元）</w:t>
                  </w:r>
                </w:p>
              </w:tc>
            </w:tr>
            <w:tr w14:paraId="2ED0E6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32" w:type="dxa"/>
                  <w:tcBorders>
                    <w:tl2br w:val="nil"/>
                    <w:tr2bl w:val="nil"/>
                  </w:tcBorders>
                  <w:vAlign w:val="center"/>
                </w:tcPr>
                <w:p w14:paraId="549E1494">
                  <w:pPr>
                    <w:pStyle w:val="47"/>
                    <w:rPr>
                      <w:color w:val="auto"/>
                    </w:rPr>
                  </w:pPr>
                  <w:r>
                    <w:rPr>
                      <w:color w:val="auto"/>
                    </w:rPr>
                    <w:t>1</w:t>
                  </w:r>
                </w:p>
              </w:tc>
              <w:tc>
                <w:tcPr>
                  <w:tcW w:w="1123" w:type="dxa"/>
                  <w:vMerge w:val="restart"/>
                  <w:tcBorders>
                    <w:tl2br w:val="nil"/>
                    <w:tr2bl w:val="nil"/>
                  </w:tcBorders>
                  <w:vAlign w:val="center"/>
                </w:tcPr>
                <w:p w14:paraId="4CF365F6">
                  <w:pPr>
                    <w:pStyle w:val="47"/>
                    <w:rPr>
                      <w:color w:val="auto"/>
                    </w:rPr>
                  </w:pPr>
                  <w:r>
                    <w:rPr>
                      <w:color w:val="auto"/>
                    </w:rPr>
                    <w:t>废气</w:t>
                  </w:r>
                </w:p>
              </w:tc>
              <w:tc>
                <w:tcPr>
                  <w:tcW w:w="1287" w:type="dxa"/>
                  <w:tcBorders>
                    <w:tl2br w:val="nil"/>
                    <w:tr2bl w:val="nil"/>
                  </w:tcBorders>
                  <w:vAlign w:val="center"/>
                </w:tcPr>
                <w:p w14:paraId="209F586D">
                  <w:pPr>
                    <w:pStyle w:val="47"/>
                    <w:rPr>
                      <w:rFonts w:hint="default" w:eastAsia="宋体"/>
                      <w:color w:val="auto"/>
                      <w:lang w:val="en-US" w:eastAsia="zh-CN"/>
                    </w:rPr>
                  </w:pPr>
                  <w:r>
                    <w:rPr>
                      <w:rFonts w:hint="eastAsia"/>
                      <w:color w:val="auto"/>
                      <w:lang w:val="en-US" w:eastAsia="zh-CN"/>
                    </w:rPr>
                    <w:t>喷砂废气</w:t>
                  </w:r>
                </w:p>
              </w:tc>
              <w:tc>
                <w:tcPr>
                  <w:tcW w:w="3698" w:type="dxa"/>
                  <w:tcBorders>
                    <w:tl2br w:val="nil"/>
                    <w:tr2bl w:val="nil"/>
                  </w:tcBorders>
                  <w:vAlign w:val="center"/>
                </w:tcPr>
                <w:p w14:paraId="2BC0921C">
                  <w:pPr>
                    <w:pStyle w:val="47"/>
                    <w:rPr>
                      <w:rFonts w:hint="eastAsia"/>
                      <w:color w:val="auto"/>
                      <w:lang w:val="en-US" w:eastAsia="zh-CN"/>
                    </w:rPr>
                  </w:pPr>
                  <w:r>
                    <w:rPr>
                      <w:rFonts w:hint="eastAsia"/>
                      <w:color w:val="auto"/>
                      <w:lang w:val="en-US" w:eastAsia="zh-CN"/>
                    </w:rPr>
                    <w:t>管道收集</w:t>
                  </w:r>
                  <w:r>
                    <w:rPr>
                      <w:color w:val="auto"/>
                    </w:rPr>
                    <w:t>+</w:t>
                  </w:r>
                  <w:r>
                    <w:rPr>
                      <w:rFonts w:hint="eastAsia"/>
                      <w:color w:val="auto"/>
                      <w:lang w:val="en-US" w:eastAsia="zh-CN"/>
                    </w:rPr>
                    <w:t>袋式除尘器</w:t>
                  </w:r>
                  <w:r>
                    <w:rPr>
                      <w:color w:val="auto"/>
                    </w:rPr>
                    <w:t>，</w:t>
                  </w:r>
                  <w:r>
                    <w:rPr>
                      <w:rFonts w:hint="eastAsia"/>
                      <w:color w:val="auto"/>
                      <w:lang w:val="en-US" w:eastAsia="zh-CN"/>
                    </w:rPr>
                    <w:t>2</w:t>
                  </w:r>
                  <w:r>
                    <w:rPr>
                      <w:color w:val="auto"/>
                    </w:rPr>
                    <w:t>套</w:t>
                  </w:r>
                </w:p>
              </w:tc>
              <w:tc>
                <w:tcPr>
                  <w:tcW w:w="1294" w:type="dxa"/>
                  <w:tcBorders>
                    <w:tl2br w:val="nil"/>
                    <w:tr2bl w:val="nil"/>
                  </w:tcBorders>
                  <w:vAlign w:val="center"/>
                </w:tcPr>
                <w:p w14:paraId="423698CA">
                  <w:pPr>
                    <w:pStyle w:val="47"/>
                    <w:rPr>
                      <w:rFonts w:hint="default" w:eastAsia="宋体"/>
                      <w:color w:val="auto"/>
                      <w:lang w:val="en-US" w:eastAsia="zh-CN"/>
                    </w:rPr>
                  </w:pPr>
                  <w:r>
                    <w:rPr>
                      <w:rFonts w:hint="eastAsia"/>
                      <w:color w:val="auto"/>
                      <w:lang w:val="en-US" w:eastAsia="zh-CN"/>
                    </w:rPr>
                    <w:t>10</w:t>
                  </w:r>
                </w:p>
              </w:tc>
            </w:tr>
            <w:tr w14:paraId="6CFAF5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32" w:type="dxa"/>
                  <w:tcBorders>
                    <w:tl2br w:val="nil"/>
                    <w:tr2bl w:val="nil"/>
                  </w:tcBorders>
                  <w:vAlign w:val="center"/>
                </w:tcPr>
                <w:p w14:paraId="03B68511">
                  <w:pPr>
                    <w:pStyle w:val="47"/>
                    <w:rPr>
                      <w:rFonts w:hint="eastAsia" w:eastAsia="宋体"/>
                      <w:color w:val="auto"/>
                      <w:lang w:val="en-US" w:eastAsia="zh-CN"/>
                    </w:rPr>
                  </w:pPr>
                  <w:r>
                    <w:rPr>
                      <w:rFonts w:hint="eastAsia"/>
                      <w:color w:val="auto"/>
                      <w:lang w:val="en-US" w:eastAsia="zh-CN"/>
                    </w:rPr>
                    <w:t>2</w:t>
                  </w:r>
                </w:p>
              </w:tc>
              <w:tc>
                <w:tcPr>
                  <w:tcW w:w="1123" w:type="dxa"/>
                  <w:vMerge w:val="continue"/>
                  <w:tcBorders>
                    <w:tl2br w:val="nil"/>
                    <w:tr2bl w:val="nil"/>
                  </w:tcBorders>
                  <w:vAlign w:val="center"/>
                </w:tcPr>
                <w:p w14:paraId="15F7C0F4">
                  <w:pPr>
                    <w:pStyle w:val="47"/>
                    <w:rPr>
                      <w:color w:val="auto"/>
                    </w:rPr>
                  </w:pPr>
                </w:p>
              </w:tc>
              <w:tc>
                <w:tcPr>
                  <w:tcW w:w="1287" w:type="dxa"/>
                  <w:tcBorders>
                    <w:tl2br w:val="nil"/>
                    <w:tr2bl w:val="nil"/>
                  </w:tcBorders>
                  <w:vAlign w:val="center"/>
                </w:tcPr>
                <w:p w14:paraId="18E658F9">
                  <w:pPr>
                    <w:pStyle w:val="47"/>
                    <w:rPr>
                      <w:rFonts w:hint="default"/>
                      <w:color w:val="auto"/>
                      <w:lang w:val="en-US" w:eastAsia="zh-CN"/>
                    </w:rPr>
                  </w:pPr>
                  <w:r>
                    <w:rPr>
                      <w:rFonts w:hint="eastAsia"/>
                      <w:color w:val="auto"/>
                      <w:lang w:val="en-US" w:eastAsia="zh-CN"/>
                    </w:rPr>
                    <w:t>打磨粉尘</w:t>
                  </w:r>
                </w:p>
              </w:tc>
              <w:tc>
                <w:tcPr>
                  <w:tcW w:w="3698" w:type="dxa"/>
                  <w:tcBorders>
                    <w:tl2br w:val="nil"/>
                    <w:tr2bl w:val="nil"/>
                  </w:tcBorders>
                  <w:vAlign w:val="center"/>
                </w:tcPr>
                <w:p w14:paraId="61F3AB44">
                  <w:pPr>
                    <w:pStyle w:val="47"/>
                    <w:rPr>
                      <w:rFonts w:hint="eastAsia"/>
                      <w:color w:val="auto"/>
                      <w:lang w:val="en-US" w:eastAsia="zh-CN"/>
                    </w:rPr>
                  </w:pPr>
                  <w:r>
                    <w:rPr>
                      <w:rFonts w:hint="eastAsia"/>
                      <w:color w:val="auto"/>
                      <w:lang w:val="en-US" w:eastAsia="zh-CN"/>
                    </w:rPr>
                    <w:t>负压收集+管道+喷淋塔</w:t>
                  </w:r>
                  <w:r>
                    <w:rPr>
                      <w:color w:val="auto"/>
                    </w:rPr>
                    <w:t>+15m高排气筒</w:t>
                  </w:r>
                  <w:r>
                    <w:rPr>
                      <w:rFonts w:hint="eastAsia"/>
                      <w:color w:val="auto"/>
                      <w:lang w:val="en-US" w:eastAsia="zh-CN"/>
                    </w:rPr>
                    <w:t>（2</w:t>
                  </w:r>
                  <w:r>
                    <w:rPr>
                      <w:color w:val="auto"/>
                    </w:rPr>
                    <w:t>套</w:t>
                  </w:r>
                  <w:r>
                    <w:rPr>
                      <w:rFonts w:hint="eastAsia"/>
                      <w:color w:val="auto"/>
                      <w:lang w:val="en-US" w:eastAsia="zh-CN"/>
                    </w:rPr>
                    <w:t>）</w:t>
                  </w:r>
                </w:p>
              </w:tc>
              <w:tc>
                <w:tcPr>
                  <w:tcW w:w="1294" w:type="dxa"/>
                  <w:tcBorders>
                    <w:tl2br w:val="nil"/>
                    <w:tr2bl w:val="nil"/>
                  </w:tcBorders>
                  <w:vAlign w:val="center"/>
                </w:tcPr>
                <w:p w14:paraId="6673A5A9">
                  <w:pPr>
                    <w:pStyle w:val="47"/>
                    <w:rPr>
                      <w:rFonts w:hint="default"/>
                      <w:color w:val="auto"/>
                      <w:lang w:val="en-US" w:eastAsia="zh-CN"/>
                    </w:rPr>
                  </w:pPr>
                  <w:r>
                    <w:rPr>
                      <w:rFonts w:hint="eastAsia"/>
                      <w:color w:val="auto"/>
                      <w:lang w:val="en-US" w:eastAsia="zh-CN"/>
                    </w:rPr>
                    <w:t>40</w:t>
                  </w:r>
                </w:p>
              </w:tc>
            </w:tr>
            <w:tr w14:paraId="01DAD0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2" w:type="dxa"/>
                  <w:tcBorders>
                    <w:tl2br w:val="nil"/>
                    <w:tr2bl w:val="nil"/>
                  </w:tcBorders>
                  <w:vAlign w:val="center"/>
                </w:tcPr>
                <w:p w14:paraId="6F221606">
                  <w:pPr>
                    <w:pStyle w:val="47"/>
                    <w:rPr>
                      <w:rFonts w:hint="eastAsia" w:eastAsia="宋体"/>
                      <w:color w:val="auto"/>
                      <w:lang w:eastAsia="zh-CN"/>
                    </w:rPr>
                  </w:pPr>
                  <w:r>
                    <w:rPr>
                      <w:rFonts w:hint="eastAsia"/>
                      <w:color w:val="auto"/>
                      <w:lang w:val="en-US" w:eastAsia="zh-CN"/>
                    </w:rPr>
                    <w:t>3</w:t>
                  </w:r>
                </w:p>
              </w:tc>
              <w:tc>
                <w:tcPr>
                  <w:tcW w:w="1123" w:type="dxa"/>
                  <w:tcBorders>
                    <w:tl2br w:val="nil"/>
                    <w:tr2bl w:val="nil"/>
                  </w:tcBorders>
                  <w:vAlign w:val="center"/>
                </w:tcPr>
                <w:p w14:paraId="53D2A291">
                  <w:pPr>
                    <w:pStyle w:val="47"/>
                    <w:rPr>
                      <w:color w:val="auto"/>
                    </w:rPr>
                  </w:pPr>
                  <w:r>
                    <w:rPr>
                      <w:color w:val="auto"/>
                    </w:rPr>
                    <w:t>废水</w:t>
                  </w:r>
                </w:p>
              </w:tc>
              <w:tc>
                <w:tcPr>
                  <w:tcW w:w="4985" w:type="dxa"/>
                  <w:gridSpan w:val="2"/>
                  <w:tcBorders>
                    <w:tl2br w:val="nil"/>
                    <w:tr2bl w:val="nil"/>
                  </w:tcBorders>
                  <w:shd w:val="clear" w:color="auto" w:fill="auto"/>
                  <w:vAlign w:val="center"/>
                </w:tcPr>
                <w:p w14:paraId="38E6BDD8">
                  <w:pPr>
                    <w:pStyle w:val="47"/>
                    <w:rPr>
                      <w:rFonts w:hint="default" w:ascii="Times New Roman" w:hAnsi="Times New Roman" w:eastAsia="宋体" w:cs="Times New Roman"/>
                      <w:snapToGrid w:val="0"/>
                      <w:color w:val="auto"/>
                      <w:kern w:val="2"/>
                      <w:sz w:val="21"/>
                      <w:szCs w:val="21"/>
                      <w:lang w:val="en-US" w:eastAsia="zh-CN" w:bidi="ar-SA"/>
                    </w:rPr>
                  </w:pPr>
                  <w:r>
                    <w:rPr>
                      <w:rFonts w:hint="eastAsia"/>
                      <w:color w:val="auto"/>
                      <w:lang w:val="en-US" w:eastAsia="zh-CN"/>
                    </w:rPr>
                    <w:t>生活污水：依托现有化粪池1座（20</w:t>
                  </w:r>
                  <w:r>
                    <w:rPr>
                      <w:color w:val="auto"/>
                    </w:rPr>
                    <w:t>m</w:t>
                  </w:r>
                  <w:r>
                    <w:rPr>
                      <w:color w:val="auto"/>
                      <w:vertAlign w:val="superscript"/>
                    </w:rPr>
                    <w:t>3</w:t>
                  </w:r>
                  <w:r>
                    <w:rPr>
                      <w:rFonts w:hint="eastAsia"/>
                      <w:color w:val="auto"/>
                      <w:lang w:val="en-US" w:eastAsia="zh-CN"/>
                    </w:rPr>
                    <w:t>）</w:t>
                  </w:r>
                </w:p>
              </w:tc>
              <w:tc>
                <w:tcPr>
                  <w:tcW w:w="1294" w:type="dxa"/>
                  <w:tcBorders>
                    <w:tl2br w:val="nil"/>
                    <w:tr2bl w:val="nil"/>
                  </w:tcBorders>
                  <w:shd w:val="clear" w:color="auto" w:fill="auto"/>
                  <w:vAlign w:val="center"/>
                </w:tcPr>
                <w:p w14:paraId="561734D6">
                  <w:pPr>
                    <w:pStyle w:val="47"/>
                    <w:rPr>
                      <w:rFonts w:hint="default" w:ascii="Times New Roman" w:hAnsi="Times New Roman" w:eastAsia="宋体" w:cs="Times New Roman"/>
                      <w:snapToGrid w:val="0"/>
                      <w:color w:val="auto"/>
                      <w:kern w:val="2"/>
                      <w:sz w:val="21"/>
                      <w:szCs w:val="21"/>
                      <w:lang w:val="en-US" w:eastAsia="zh-CN" w:bidi="ar-SA"/>
                    </w:rPr>
                  </w:pPr>
                  <w:r>
                    <w:rPr>
                      <w:rFonts w:hint="eastAsia"/>
                      <w:color w:val="auto"/>
                      <w:lang w:val="en-US" w:eastAsia="zh-CN"/>
                    </w:rPr>
                    <w:t>/</w:t>
                  </w:r>
                </w:p>
              </w:tc>
            </w:tr>
            <w:tr w14:paraId="415AD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2" w:type="dxa"/>
                  <w:tcBorders>
                    <w:tl2br w:val="nil"/>
                    <w:tr2bl w:val="nil"/>
                  </w:tcBorders>
                  <w:shd w:val="clear" w:color="auto" w:fill="auto"/>
                  <w:vAlign w:val="center"/>
                </w:tcPr>
                <w:p w14:paraId="47373E99">
                  <w:pPr>
                    <w:pStyle w:val="47"/>
                    <w:rPr>
                      <w:rFonts w:hint="eastAsia" w:ascii="Times New Roman" w:hAnsi="Times New Roman" w:eastAsia="宋体" w:cs="Times New Roman"/>
                      <w:snapToGrid w:val="0"/>
                      <w:color w:val="auto"/>
                      <w:kern w:val="2"/>
                      <w:sz w:val="21"/>
                      <w:szCs w:val="21"/>
                      <w:lang w:val="en-US" w:eastAsia="zh-CN" w:bidi="ar-SA"/>
                    </w:rPr>
                  </w:pPr>
                  <w:r>
                    <w:rPr>
                      <w:rFonts w:hint="eastAsia"/>
                      <w:color w:val="auto"/>
                      <w:lang w:val="en-US" w:eastAsia="zh-CN"/>
                    </w:rPr>
                    <w:t>4</w:t>
                  </w:r>
                </w:p>
              </w:tc>
              <w:tc>
                <w:tcPr>
                  <w:tcW w:w="1123" w:type="dxa"/>
                  <w:tcBorders>
                    <w:tl2br w:val="nil"/>
                    <w:tr2bl w:val="nil"/>
                  </w:tcBorders>
                  <w:vAlign w:val="center"/>
                </w:tcPr>
                <w:p w14:paraId="3E9C8761">
                  <w:pPr>
                    <w:pStyle w:val="47"/>
                    <w:rPr>
                      <w:color w:val="auto"/>
                    </w:rPr>
                  </w:pPr>
                  <w:r>
                    <w:rPr>
                      <w:color w:val="auto"/>
                    </w:rPr>
                    <w:t>噪声</w:t>
                  </w:r>
                </w:p>
              </w:tc>
              <w:tc>
                <w:tcPr>
                  <w:tcW w:w="4985" w:type="dxa"/>
                  <w:gridSpan w:val="2"/>
                  <w:tcBorders>
                    <w:tl2br w:val="nil"/>
                    <w:tr2bl w:val="nil"/>
                  </w:tcBorders>
                  <w:vAlign w:val="center"/>
                </w:tcPr>
                <w:p w14:paraId="6C840C82">
                  <w:pPr>
                    <w:pStyle w:val="47"/>
                    <w:rPr>
                      <w:color w:val="auto"/>
                    </w:rPr>
                  </w:pPr>
                  <w:r>
                    <w:rPr>
                      <w:color w:val="auto"/>
                    </w:rPr>
                    <w:t>隔声+低噪声设备+减震</w:t>
                  </w:r>
                </w:p>
              </w:tc>
              <w:tc>
                <w:tcPr>
                  <w:tcW w:w="1294" w:type="dxa"/>
                  <w:tcBorders>
                    <w:tl2br w:val="nil"/>
                    <w:tr2bl w:val="nil"/>
                  </w:tcBorders>
                  <w:vAlign w:val="center"/>
                </w:tcPr>
                <w:p w14:paraId="0E9F19AF">
                  <w:pPr>
                    <w:pStyle w:val="47"/>
                    <w:rPr>
                      <w:rFonts w:hint="default" w:eastAsia="宋体"/>
                      <w:color w:val="auto"/>
                      <w:lang w:val="en-US" w:eastAsia="zh-CN"/>
                    </w:rPr>
                  </w:pPr>
                  <w:r>
                    <w:rPr>
                      <w:rFonts w:hint="eastAsia"/>
                      <w:color w:val="auto"/>
                      <w:lang w:val="en-US" w:eastAsia="zh-CN"/>
                    </w:rPr>
                    <w:t>5.0</w:t>
                  </w:r>
                </w:p>
              </w:tc>
            </w:tr>
            <w:tr w14:paraId="55BEA8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2" w:type="dxa"/>
                  <w:tcBorders>
                    <w:tl2br w:val="nil"/>
                    <w:tr2bl w:val="nil"/>
                  </w:tcBorders>
                  <w:shd w:val="clear" w:color="auto" w:fill="auto"/>
                  <w:vAlign w:val="center"/>
                </w:tcPr>
                <w:p w14:paraId="7773559E">
                  <w:pPr>
                    <w:pStyle w:val="47"/>
                    <w:rPr>
                      <w:rFonts w:hint="eastAsia" w:ascii="Times New Roman" w:hAnsi="Times New Roman" w:eastAsia="宋体" w:cs="Times New Roman"/>
                      <w:snapToGrid w:val="0"/>
                      <w:color w:val="auto"/>
                      <w:kern w:val="2"/>
                      <w:sz w:val="21"/>
                      <w:szCs w:val="21"/>
                      <w:lang w:val="en-US" w:eastAsia="zh-CN" w:bidi="ar-SA"/>
                    </w:rPr>
                  </w:pPr>
                  <w:r>
                    <w:rPr>
                      <w:rFonts w:hint="eastAsia"/>
                      <w:color w:val="auto"/>
                      <w:lang w:val="en-US" w:eastAsia="zh-CN"/>
                    </w:rPr>
                    <w:t>5</w:t>
                  </w:r>
                </w:p>
              </w:tc>
              <w:tc>
                <w:tcPr>
                  <w:tcW w:w="1123" w:type="dxa"/>
                  <w:vMerge w:val="restart"/>
                  <w:tcBorders>
                    <w:tl2br w:val="nil"/>
                    <w:tr2bl w:val="nil"/>
                  </w:tcBorders>
                  <w:vAlign w:val="center"/>
                </w:tcPr>
                <w:p w14:paraId="095FC729">
                  <w:pPr>
                    <w:pStyle w:val="47"/>
                    <w:rPr>
                      <w:color w:val="auto"/>
                    </w:rPr>
                  </w:pPr>
                  <w:r>
                    <w:rPr>
                      <w:color w:val="auto"/>
                    </w:rPr>
                    <w:t>固废</w:t>
                  </w:r>
                </w:p>
              </w:tc>
              <w:tc>
                <w:tcPr>
                  <w:tcW w:w="4985" w:type="dxa"/>
                  <w:gridSpan w:val="2"/>
                  <w:tcBorders>
                    <w:tl2br w:val="nil"/>
                    <w:tr2bl w:val="nil"/>
                  </w:tcBorders>
                  <w:vAlign w:val="center"/>
                </w:tcPr>
                <w:p w14:paraId="13645A39">
                  <w:pPr>
                    <w:pStyle w:val="47"/>
                    <w:rPr>
                      <w:color w:val="auto"/>
                    </w:rPr>
                  </w:pPr>
                  <w:r>
                    <w:rPr>
                      <w:color w:val="auto"/>
                    </w:rPr>
                    <w:t>生活垃圾：分类垃圾桶</w:t>
                  </w:r>
                </w:p>
              </w:tc>
              <w:tc>
                <w:tcPr>
                  <w:tcW w:w="1294" w:type="dxa"/>
                  <w:tcBorders>
                    <w:tl2br w:val="nil"/>
                    <w:tr2bl w:val="nil"/>
                  </w:tcBorders>
                  <w:vAlign w:val="center"/>
                </w:tcPr>
                <w:p w14:paraId="27BC74AA">
                  <w:pPr>
                    <w:pStyle w:val="47"/>
                    <w:rPr>
                      <w:rFonts w:hint="default" w:eastAsia="宋体"/>
                      <w:color w:val="auto"/>
                      <w:lang w:val="en-US" w:eastAsia="zh-CN"/>
                    </w:rPr>
                  </w:pPr>
                  <w:r>
                    <w:rPr>
                      <w:color w:val="auto"/>
                    </w:rPr>
                    <w:t>0.</w:t>
                  </w:r>
                  <w:r>
                    <w:rPr>
                      <w:rFonts w:hint="eastAsia"/>
                      <w:color w:val="auto"/>
                      <w:lang w:val="en-US" w:eastAsia="zh-CN"/>
                    </w:rPr>
                    <w:t>05</w:t>
                  </w:r>
                </w:p>
              </w:tc>
            </w:tr>
            <w:tr w14:paraId="4AD6A1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2" w:type="dxa"/>
                  <w:tcBorders>
                    <w:tl2br w:val="nil"/>
                    <w:tr2bl w:val="nil"/>
                  </w:tcBorders>
                  <w:shd w:val="clear" w:color="auto" w:fill="auto"/>
                  <w:vAlign w:val="center"/>
                </w:tcPr>
                <w:p w14:paraId="5155A23C">
                  <w:pPr>
                    <w:pStyle w:val="47"/>
                    <w:rPr>
                      <w:rFonts w:hint="default"/>
                      <w:color w:val="auto"/>
                      <w:lang w:val="en-US" w:eastAsia="zh-CN"/>
                    </w:rPr>
                  </w:pPr>
                  <w:r>
                    <w:rPr>
                      <w:rFonts w:hint="eastAsia"/>
                      <w:color w:val="auto"/>
                      <w:lang w:val="en-US" w:eastAsia="zh-CN"/>
                    </w:rPr>
                    <w:t>6</w:t>
                  </w:r>
                </w:p>
              </w:tc>
              <w:tc>
                <w:tcPr>
                  <w:tcW w:w="1123" w:type="dxa"/>
                  <w:vMerge w:val="continue"/>
                  <w:tcBorders>
                    <w:tl2br w:val="nil"/>
                    <w:tr2bl w:val="nil"/>
                  </w:tcBorders>
                  <w:vAlign w:val="center"/>
                </w:tcPr>
                <w:p w14:paraId="1F9FC35E">
                  <w:pPr>
                    <w:pStyle w:val="47"/>
                    <w:rPr>
                      <w:color w:val="auto"/>
                    </w:rPr>
                  </w:pPr>
                </w:p>
              </w:tc>
              <w:tc>
                <w:tcPr>
                  <w:tcW w:w="4985" w:type="dxa"/>
                  <w:gridSpan w:val="2"/>
                  <w:tcBorders>
                    <w:tl2br w:val="nil"/>
                    <w:tr2bl w:val="nil"/>
                  </w:tcBorders>
                  <w:vAlign w:val="center"/>
                </w:tcPr>
                <w:p w14:paraId="535C84E8">
                  <w:pPr>
                    <w:pStyle w:val="47"/>
                    <w:rPr>
                      <w:rFonts w:hint="default" w:eastAsia="宋体"/>
                      <w:color w:val="auto"/>
                      <w:lang w:val="en-US" w:eastAsia="zh-CN"/>
                    </w:rPr>
                  </w:pPr>
                  <w:r>
                    <w:rPr>
                      <w:rFonts w:hint="eastAsia"/>
                      <w:color w:val="auto"/>
                      <w:lang w:val="en-US" w:eastAsia="zh-CN"/>
                    </w:rPr>
                    <w:t>一般固废：一般固废暂存间</w:t>
                  </w:r>
                </w:p>
              </w:tc>
              <w:tc>
                <w:tcPr>
                  <w:tcW w:w="1294" w:type="dxa"/>
                  <w:tcBorders>
                    <w:tl2br w:val="nil"/>
                    <w:tr2bl w:val="nil"/>
                  </w:tcBorders>
                  <w:vAlign w:val="center"/>
                </w:tcPr>
                <w:p w14:paraId="7372962E">
                  <w:pPr>
                    <w:pStyle w:val="47"/>
                    <w:rPr>
                      <w:rFonts w:hint="default" w:eastAsia="宋体"/>
                      <w:color w:val="auto"/>
                      <w:lang w:val="en-US" w:eastAsia="zh-CN"/>
                    </w:rPr>
                  </w:pPr>
                  <w:r>
                    <w:rPr>
                      <w:rFonts w:hint="eastAsia"/>
                      <w:color w:val="auto"/>
                      <w:lang w:val="en-US" w:eastAsia="zh-CN"/>
                    </w:rPr>
                    <w:t>0.15</w:t>
                  </w:r>
                </w:p>
              </w:tc>
            </w:tr>
            <w:tr w14:paraId="6F06FA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2" w:type="dxa"/>
                  <w:tcBorders>
                    <w:tl2br w:val="nil"/>
                    <w:tr2bl w:val="nil"/>
                  </w:tcBorders>
                  <w:shd w:val="clear" w:color="auto" w:fill="auto"/>
                  <w:vAlign w:val="center"/>
                </w:tcPr>
                <w:p w14:paraId="55B85CF9">
                  <w:pPr>
                    <w:pStyle w:val="47"/>
                    <w:rPr>
                      <w:rFonts w:hint="default"/>
                      <w:color w:val="auto"/>
                      <w:lang w:val="en-US" w:eastAsia="zh-CN"/>
                    </w:rPr>
                  </w:pPr>
                  <w:r>
                    <w:rPr>
                      <w:rFonts w:hint="eastAsia"/>
                      <w:color w:val="auto"/>
                      <w:lang w:val="en-US" w:eastAsia="zh-CN"/>
                    </w:rPr>
                    <w:t>7</w:t>
                  </w:r>
                </w:p>
              </w:tc>
              <w:tc>
                <w:tcPr>
                  <w:tcW w:w="1123" w:type="dxa"/>
                  <w:vMerge w:val="continue"/>
                  <w:tcBorders>
                    <w:tl2br w:val="nil"/>
                    <w:tr2bl w:val="nil"/>
                  </w:tcBorders>
                  <w:vAlign w:val="center"/>
                </w:tcPr>
                <w:p w14:paraId="19232AA2">
                  <w:pPr>
                    <w:pStyle w:val="47"/>
                    <w:rPr>
                      <w:color w:val="auto"/>
                    </w:rPr>
                  </w:pPr>
                </w:p>
              </w:tc>
              <w:tc>
                <w:tcPr>
                  <w:tcW w:w="4985" w:type="dxa"/>
                  <w:gridSpan w:val="2"/>
                  <w:tcBorders>
                    <w:tl2br w:val="nil"/>
                    <w:tr2bl w:val="nil"/>
                  </w:tcBorders>
                  <w:vAlign w:val="center"/>
                </w:tcPr>
                <w:p w14:paraId="43326C61">
                  <w:pPr>
                    <w:pStyle w:val="47"/>
                    <w:rPr>
                      <w:rFonts w:hint="default"/>
                      <w:color w:val="auto"/>
                      <w:lang w:val="en-US" w:eastAsia="zh-CN"/>
                    </w:rPr>
                  </w:pPr>
                  <w:r>
                    <w:rPr>
                      <w:rFonts w:hint="eastAsia"/>
                      <w:color w:val="auto"/>
                      <w:lang w:val="en-US" w:eastAsia="zh-CN"/>
                    </w:rPr>
                    <w:t>危险废物：危废贮存库</w:t>
                  </w:r>
                </w:p>
              </w:tc>
              <w:tc>
                <w:tcPr>
                  <w:tcW w:w="1294" w:type="dxa"/>
                  <w:tcBorders>
                    <w:tl2br w:val="nil"/>
                    <w:tr2bl w:val="nil"/>
                  </w:tcBorders>
                  <w:vAlign w:val="center"/>
                </w:tcPr>
                <w:p w14:paraId="1717823E">
                  <w:pPr>
                    <w:pStyle w:val="47"/>
                    <w:rPr>
                      <w:rFonts w:hint="default"/>
                      <w:color w:val="auto"/>
                      <w:lang w:val="en-US" w:eastAsia="zh-CN"/>
                    </w:rPr>
                  </w:pPr>
                  <w:r>
                    <w:rPr>
                      <w:rFonts w:hint="eastAsia"/>
                      <w:color w:val="auto"/>
                      <w:lang w:val="en-US" w:eastAsia="zh-CN"/>
                    </w:rPr>
                    <w:t>5.0</w:t>
                  </w:r>
                </w:p>
              </w:tc>
            </w:tr>
            <w:tr w14:paraId="73BC68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55" w:type="dxa"/>
                  <w:gridSpan w:val="2"/>
                  <w:tcBorders>
                    <w:tl2br w:val="nil"/>
                    <w:tr2bl w:val="nil"/>
                  </w:tcBorders>
                  <w:vAlign w:val="center"/>
                </w:tcPr>
                <w:p w14:paraId="7EB703AE">
                  <w:pPr>
                    <w:pStyle w:val="47"/>
                    <w:rPr>
                      <w:color w:val="auto"/>
                    </w:rPr>
                  </w:pPr>
                  <w:r>
                    <w:rPr>
                      <w:color w:val="auto"/>
                    </w:rPr>
                    <w:t>合计</w:t>
                  </w:r>
                </w:p>
              </w:tc>
              <w:tc>
                <w:tcPr>
                  <w:tcW w:w="4985" w:type="dxa"/>
                  <w:gridSpan w:val="2"/>
                  <w:tcBorders>
                    <w:tl2br w:val="nil"/>
                    <w:tr2bl w:val="nil"/>
                  </w:tcBorders>
                  <w:vAlign w:val="center"/>
                </w:tcPr>
                <w:p w14:paraId="020E73E2">
                  <w:pPr>
                    <w:pStyle w:val="47"/>
                    <w:rPr>
                      <w:color w:val="auto"/>
                    </w:rPr>
                  </w:pPr>
                  <w:r>
                    <w:rPr>
                      <w:color w:val="auto"/>
                    </w:rPr>
                    <w:t>/</w:t>
                  </w:r>
                </w:p>
              </w:tc>
              <w:tc>
                <w:tcPr>
                  <w:tcW w:w="1294" w:type="dxa"/>
                  <w:tcBorders>
                    <w:tl2br w:val="nil"/>
                    <w:tr2bl w:val="nil"/>
                  </w:tcBorders>
                  <w:vAlign w:val="center"/>
                </w:tcPr>
                <w:p w14:paraId="692F0C1A">
                  <w:pPr>
                    <w:pStyle w:val="47"/>
                    <w:rPr>
                      <w:rFonts w:hint="default" w:eastAsia="宋体"/>
                      <w:color w:val="auto"/>
                      <w:lang w:val="en-US" w:eastAsia="zh-CN"/>
                    </w:rPr>
                  </w:pPr>
                  <w:r>
                    <w:rPr>
                      <w:rFonts w:hint="eastAsia"/>
                      <w:color w:val="auto"/>
                      <w:lang w:val="en-US" w:eastAsia="zh-CN"/>
                    </w:rPr>
                    <w:t>60.2</w:t>
                  </w:r>
                </w:p>
              </w:tc>
            </w:tr>
          </w:tbl>
          <w:p w14:paraId="4A55CE87">
            <w:pPr>
              <w:spacing w:line="360" w:lineRule="auto"/>
              <w:ind w:firstLine="420" w:firstLineChars="200"/>
              <w:rPr>
                <w:rFonts w:hint="default" w:eastAsia="宋体"/>
                <w:color w:val="0000FF"/>
                <w:lang w:val="en-US" w:eastAsia="zh-CN"/>
              </w:rPr>
            </w:pPr>
          </w:p>
        </w:tc>
      </w:tr>
    </w:tbl>
    <w:p w14:paraId="3DEAD946">
      <w:pPr>
        <w:pStyle w:val="23"/>
        <w:rPr>
          <w:color w:val="0000FF"/>
        </w:rPr>
        <w:sectPr>
          <w:pgSz w:w="11906" w:h="16838"/>
          <w:pgMar w:top="1553" w:right="1553" w:bottom="1553" w:left="1553"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7D18A8E5">
      <w:pPr>
        <w:rPr>
          <w:color w:val="0000FF"/>
        </w:rPr>
      </w:pPr>
    </w:p>
    <w:p w14:paraId="6DCF84BD">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0"/>
          <w:szCs w:val="30"/>
        </w:rPr>
        <w:t>五、</w:t>
      </w:r>
      <w:bookmarkStart w:id="8" w:name="_Hlk54167917"/>
      <w:r>
        <w:rPr>
          <w:rFonts w:eastAsia="黑体"/>
          <w:snapToGrid w:val="0"/>
          <w:color w:val="auto"/>
          <w:kern w:val="0"/>
          <w:sz w:val="30"/>
          <w:szCs w:val="30"/>
        </w:rPr>
        <w:t>环境保护措施监督检查清单</w:t>
      </w:r>
      <w:bookmarkEnd w:id="8"/>
    </w:p>
    <w:tbl>
      <w:tblPr>
        <w:tblStyle w:val="24"/>
        <w:tblW w:w="904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079"/>
        <w:gridCol w:w="1506"/>
        <w:gridCol w:w="1293"/>
        <w:gridCol w:w="2431"/>
        <w:gridCol w:w="2740"/>
      </w:tblGrid>
      <w:tr w14:paraId="65298D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079" w:type="dxa"/>
            <w:tcBorders>
              <w:tl2br w:val="single" w:color="auto" w:sz="4" w:space="0"/>
            </w:tcBorders>
          </w:tcPr>
          <w:p w14:paraId="00842B2A">
            <w:pPr>
              <w:jc w:val="right"/>
              <w:rPr>
                <w:color w:val="auto"/>
                <w:sz w:val="24"/>
                <w:szCs w:val="24"/>
              </w:rPr>
            </w:pPr>
            <w:r>
              <w:rPr>
                <w:color w:val="auto"/>
                <w:sz w:val="24"/>
                <w:szCs w:val="24"/>
              </w:rPr>
              <w:t>内容</w:t>
            </w:r>
          </w:p>
          <w:p w14:paraId="4DEB8243">
            <w:pPr>
              <w:rPr>
                <w:color w:val="auto"/>
                <w:sz w:val="24"/>
                <w:szCs w:val="24"/>
              </w:rPr>
            </w:pPr>
            <w:r>
              <w:rPr>
                <w:color w:val="auto"/>
                <w:sz w:val="24"/>
                <w:szCs w:val="24"/>
              </w:rPr>
              <w:t>要素</w:t>
            </w:r>
          </w:p>
        </w:tc>
        <w:tc>
          <w:tcPr>
            <w:tcW w:w="1506" w:type="dxa"/>
            <w:vAlign w:val="center"/>
          </w:tcPr>
          <w:p w14:paraId="668BCF5B">
            <w:pPr>
              <w:jc w:val="center"/>
              <w:rPr>
                <w:color w:val="auto"/>
                <w:sz w:val="24"/>
                <w:szCs w:val="24"/>
              </w:rPr>
            </w:pPr>
            <w:r>
              <w:rPr>
                <w:color w:val="auto"/>
                <w:sz w:val="24"/>
                <w:szCs w:val="24"/>
              </w:rPr>
              <w:t>排放口(编号、名称)/污染源</w:t>
            </w:r>
          </w:p>
        </w:tc>
        <w:tc>
          <w:tcPr>
            <w:tcW w:w="1293" w:type="dxa"/>
            <w:vAlign w:val="center"/>
          </w:tcPr>
          <w:p w14:paraId="5534F705">
            <w:pPr>
              <w:jc w:val="center"/>
              <w:rPr>
                <w:color w:val="auto"/>
                <w:sz w:val="24"/>
                <w:szCs w:val="24"/>
              </w:rPr>
            </w:pPr>
            <w:r>
              <w:rPr>
                <w:color w:val="auto"/>
                <w:sz w:val="24"/>
                <w:szCs w:val="24"/>
              </w:rPr>
              <w:t>污染物项目</w:t>
            </w:r>
          </w:p>
        </w:tc>
        <w:tc>
          <w:tcPr>
            <w:tcW w:w="2431" w:type="dxa"/>
            <w:vAlign w:val="center"/>
          </w:tcPr>
          <w:p w14:paraId="552456C7">
            <w:pPr>
              <w:jc w:val="center"/>
              <w:rPr>
                <w:color w:val="auto"/>
                <w:sz w:val="24"/>
                <w:szCs w:val="24"/>
              </w:rPr>
            </w:pPr>
            <w:r>
              <w:rPr>
                <w:color w:val="auto"/>
                <w:sz w:val="24"/>
                <w:szCs w:val="24"/>
              </w:rPr>
              <w:t>环境保护措施</w:t>
            </w:r>
          </w:p>
        </w:tc>
        <w:tc>
          <w:tcPr>
            <w:tcW w:w="2740" w:type="dxa"/>
            <w:vAlign w:val="center"/>
          </w:tcPr>
          <w:p w14:paraId="519E5C23">
            <w:pPr>
              <w:jc w:val="center"/>
              <w:rPr>
                <w:color w:val="auto"/>
                <w:sz w:val="24"/>
                <w:szCs w:val="24"/>
              </w:rPr>
            </w:pPr>
            <w:r>
              <w:rPr>
                <w:color w:val="auto"/>
                <w:sz w:val="24"/>
                <w:szCs w:val="24"/>
              </w:rPr>
              <w:t>执行标准</w:t>
            </w:r>
          </w:p>
        </w:tc>
      </w:tr>
      <w:tr w14:paraId="12884D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61" w:hRule="atLeast"/>
          <w:jc w:val="center"/>
        </w:trPr>
        <w:tc>
          <w:tcPr>
            <w:tcW w:w="1079" w:type="dxa"/>
            <w:vMerge w:val="restart"/>
            <w:vAlign w:val="center"/>
          </w:tcPr>
          <w:p w14:paraId="3B0C5166">
            <w:pPr>
              <w:jc w:val="center"/>
              <w:rPr>
                <w:color w:val="auto"/>
                <w:sz w:val="24"/>
                <w:szCs w:val="24"/>
              </w:rPr>
            </w:pPr>
            <w:r>
              <w:rPr>
                <w:color w:val="auto"/>
                <w:sz w:val="24"/>
                <w:szCs w:val="24"/>
              </w:rPr>
              <w:t>大气环境</w:t>
            </w:r>
          </w:p>
        </w:tc>
        <w:tc>
          <w:tcPr>
            <w:tcW w:w="1506" w:type="dxa"/>
            <w:vAlign w:val="center"/>
          </w:tcPr>
          <w:p w14:paraId="14F365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s="Times New Roman" w:eastAsiaTheme="minorEastAsia"/>
                <w:color w:val="auto"/>
                <w:sz w:val="24"/>
                <w:szCs w:val="24"/>
                <w:lang w:val="en-US" w:eastAsia="zh-CN"/>
              </w:rPr>
              <w:t>打磨粉尘DA001</w:t>
            </w:r>
          </w:p>
        </w:tc>
        <w:tc>
          <w:tcPr>
            <w:tcW w:w="1293" w:type="dxa"/>
            <w:vAlign w:val="center"/>
          </w:tcPr>
          <w:p w14:paraId="680223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4"/>
                <w:szCs w:val="24"/>
                <w:lang w:val="en-US" w:eastAsia="zh-CN"/>
              </w:rPr>
            </w:pPr>
            <w:r>
              <w:rPr>
                <w:rFonts w:hint="eastAsia" w:cs="Times New Roman" w:eastAsiaTheme="minorEastAsia"/>
                <w:color w:val="auto"/>
                <w:sz w:val="24"/>
                <w:szCs w:val="24"/>
                <w:lang w:val="en-US" w:eastAsia="zh-CN"/>
              </w:rPr>
              <w:t>颗粒物</w:t>
            </w:r>
          </w:p>
        </w:tc>
        <w:tc>
          <w:tcPr>
            <w:tcW w:w="2431" w:type="dxa"/>
            <w:vAlign w:val="center"/>
          </w:tcPr>
          <w:p w14:paraId="7C0B02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s="Times New Roman" w:eastAsiaTheme="minorEastAsia"/>
                <w:color w:val="auto"/>
                <w:sz w:val="24"/>
                <w:szCs w:val="24"/>
                <w:lang w:val="en-US" w:eastAsia="zh-CN"/>
              </w:rPr>
              <w:t>负压</w:t>
            </w:r>
            <w:r>
              <w:rPr>
                <w:rFonts w:hint="eastAsia" w:ascii="Times New Roman" w:hAnsi="Times New Roman" w:cs="Times New Roman" w:eastAsiaTheme="minorEastAsia"/>
                <w:color w:val="auto"/>
                <w:sz w:val="24"/>
                <w:szCs w:val="24"/>
                <w:lang w:val="en-US" w:eastAsia="zh-CN"/>
              </w:rPr>
              <w:t>收集+</w:t>
            </w:r>
            <w:r>
              <w:rPr>
                <w:rFonts w:hint="eastAsia" w:cs="Times New Roman" w:eastAsiaTheme="minorEastAsia"/>
                <w:color w:val="auto"/>
                <w:sz w:val="24"/>
                <w:szCs w:val="24"/>
                <w:lang w:val="en-US" w:eastAsia="zh-CN"/>
              </w:rPr>
              <w:t>水旋</w:t>
            </w:r>
            <w:r>
              <w:rPr>
                <w:rFonts w:hint="eastAsia" w:ascii="Times New Roman" w:hAnsi="Times New Roman" w:cs="Times New Roman" w:eastAsiaTheme="minorEastAsia"/>
                <w:color w:val="auto"/>
                <w:sz w:val="24"/>
                <w:szCs w:val="24"/>
                <w:lang w:val="en-US" w:eastAsia="zh-CN"/>
              </w:rPr>
              <w:t>喷淋塔除尘+15m高排气筒</w:t>
            </w:r>
          </w:p>
        </w:tc>
        <w:tc>
          <w:tcPr>
            <w:tcW w:w="2740" w:type="dxa"/>
            <w:vMerge w:val="restart"/>
            <w:vAlign w:val="center"/>
          </w:tcPr>
          <w:p w14:paraId="0448A03B">
            <w:pPr>
              <w:jc w:val="center"/>
              <w:rPr>
                <w:rFonts w:hint="eastAsia" w:eastAsia="宋体"/>
                <w:color w:val="auto"/>
                <w:sz w:val="24"/>
                <w:szCs w:val="24"/>
                <w:lang w:val="en-US" w:eastAsia="zh-CN"/>
              </w:rPr>
            </w:pPr>
            <w:r>
              <w:rPr>
                <w:rFonts w:hint="eastAsia"/>
                <w:color w:val="auto"/>
                <w:sz w:val="24"/>
                <w:szCs w:val="24"/>
              </w:rPr>
              <w:t>满足《大气污染物综合排放标准》（GB16297-1996）表2中排放标准</w:t>
            </w:r>
          </w:p>
        </w:tc>
      </w:tr>
      <w:tr w14:paraId="78445F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61" w:hRule="atLeast"/>
          <w:jc w:val="center"/>
        </w:trPr>
        <w:tc>
          <w:tcPr>
            <w:tcW w:w="1079" w:type="dxa"/>
            <w:vMerge w:val="continue"/>
            <w:vAlign w:val="center"/>
          </w:tcPr>
          <w:p w14:paraId="3B666DFF">
            <w:pPr>
              <w:jc w:val="center"/>
              <w:rPr>
                <w:color w:val="auto"/>
                <w:sz w:val="24"/>
                <w:szCs w:val="24"/>
              </w:rPr>
            </w:pPr>
          </w:p>
        </w:tc>
        <w:tc>
          <w:tcPr>
            <w:tcW w:w="1506" w:type="dxa"/>
            <w:shd w:val="clear" w:color="auto" w:fill="auto"/>
            <w:vAlign w:val="center"/>
          </w:tcPr>
          <w:p w14:paraId="1BF270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eastAsia" w:cs="Times New Roman" w:eastAsiaTheme="minorEastAsia"/>
                <w:color w:val="auto"/>
                <w:sz w:val="24"/>
                <w:szCs w:val="24"/>
                <w:lang w:val="en-US" w:eastAsia="zh-CN"/>
              </w:rPr>
              <w:t>打磨粉尘DA002</w:t>
            </w:r>
          </w:p>
        </w:tc>
        <w:tc>
          <w:tcPr>
            <w:tcW w:w="1293" w:type="dxa"/>
            <w:vAlign w:val="center"/>
          </w:tcPr>
          <w:p w14:paraId="3FB7B3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颗粒物</w:t>
            </w:r>
          </w:p>
        </w:tc>
        <w:tc>
          <w:tcPr>
            <w:tcW w:w="2431" w:type="dxa"/>
            <w:vAlign w:val="center"/>
          </w:tcPr>
          <w:p w14:paraId="3FB79D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负压</w:t>
            </w:r>
            <w:r>
              <w:rPr>
                <w:rFonts w:hint="eastAsia" w:ascii="Times New Roman" w:hAnsi="Times New Roman" w:cs="Times New Roman" w:eastAsiaTheme="minorEastAsia"/>
                <w:color w:val="auto"/>
                <w:sz w:val="24"/>
                <w:szCs w:val="24"/>
                <w:lang w:val="en-US" w:eastAsia="zh-CN"/>
              </w:rPr>
              <w:t>收集+</w:t>
            </w:r>
            <w:r>
              <w:rPr>
                <w:rFonts w:hint="eastAsia" w:cs="Times New Roman" w:eastAsiaTheme="minorEastAsia"/>
                <w:color w:val="auto"/>
                <w:sz w:val="24"/>
                <w:szCs w:val="24"/>
                <w:lang w:val="en-US" w:eastAsia="zh-CN"/>
              </w:rPr>
              <w:t>水旋</w:t>
            </w:r>
            <w:r>
              <w:rPr>
                <w:rFonts w:hint="eastAsia" w:ascii="Times New Roman" w:hAnsi="Times New Roman" w:cs="Times New Roman" w:eastAsiaTheme="minorEastAsia"/>
                <w:color w:val="auto"/>
                <w:sz w:val="24"/>
                <w:szCs w:val="24"/>
                <w:lang w:val="en-US" w:eastAsia="zh-CN"/>
              </w:rPr>
              <w:t>喷淋塔除尘+15m高排气筒</w:t>
            </w:r>
          </w:p>
        </w:tc>
        <w:tc>
          <w:tcPr>
            <w:tcW w:w="2740" w:type="dxa"/>
            <w:vMerge w:val="continue"/>
            <w:vAlign w:val="center"/>
          </w:tcPr>
          <w:p w14:paraId="03DEE433">
            <w:pPr>
              <w:jc w:val="center"/>
              <w:rPr>
                <w:rFonts w:hint="eastAsia"/>
                <w:color w:val="auto"/>
                <w:sz w:val="24"/>
                <w:szCs w:val="24"/>
              </w:rPr>
            </w:pPr>
          </w:p>
        </w:tc>
      </w:tr>
      <w:tr w14:paraId="1B76E9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61" w:hRule="atLeast"/>
          <w:jc w:val="center"/>
        </w:trPr>
        <w:tc>
          <w:tcPr>
            <w:tcW w:w="1079" w:type="dxa"/>
            <w:vMerge w:val="continue"/>
            <w:vAlign w:val="center"/>
          </w:tcPr>
          <w:p w14:paraId="3AEEDB39">
            <w:pPr>
              <w:jc w:val="center"/>
              <w:rPr>
                <w:color w:val="auto"/>
                <w:sz w:val="24"/>
                <w:szCs w:val="24"/>
              </w:rPr>
            </w:pPr>
          </w:p>
        </w:tc>
        <w:tc>
          <w:tcPr>
            <w:tcW w:w="1506" w:type="dxa"/>
            <w:vAlign w:val="center"/>
          </w:tcPr>
          <w:p w14:paraId="1A8B566F">
            <w:pPr>
              <w:jc w:val="center"/>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喷砂粉尘</w:t>
            </w:r>
          </w:p>
        </w:tc>
        <w:tc>
          <w:tcPr>
            <w:tcW w:w="1293" w:type="dxa"/>
            <w:vAlign w:val="center"/>
          </w:tcPr>
          <w:p w14:paraId="530881B9">
            <w:pPr>
              <w:jc w:val="center"/>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颗粒物</w:t>
            </w:r>
          </w:p>
        </w:tc>
        <w:tc>
          <w:tcPr>
            <w:tcW w:w="2431" w:type="dxa"/>
            <w:vAlign w:val="center"/>
          </w:tcPr>
          <w:p w14:paraId="21BE0329">
            <w:pPr>
              <w:jc w:val="center"/>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2套袋式除尘器</w:t>
            </w:r>
          </w:p>
        </w:tc>
        <w:tc>
          <w:tcPr>
            <w:tcW w:w="2740" w:type="dxa"/>
            <w:vMerge w:val="continue"/>
            <w:vAlign w:val="center"/>
          </w:tcPr>
          <w:p w14:paraId="209BEB0E">
            <w:pPr>
              <w:jc w:val="center"/>
              <w:rPr>
                <w:rFonts w:hint="eastAsia" w:cs="Times New Roman" w:eastAsiaTheme="minorEastAsia"/>
                <w:color w:val="auto"/>
                <w:sz w:val="24"/>
                <w:szCs w:val="24"/>
                <w:lang w:val="en-US" w:eastAsia="zh-CN"/>
              </w:rPr>
            </w:pPr>
          </w:p>
        </w:tc>
      </w:tr>
      <w:tr w14:paraId="7FC0E7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61" w:hRule="atLeast"/>
          <w:jc w:val="center"/>
        </w:trPr>
        <w:tc>
          <w:tcPr>
            <w:tcW w:w="1079" w:type="dxa"/>
            <w:vMerge w:val="continue"/>
            <w:vAlign w:val="center"/>
          </w:tcPr>
          <w:p w14:paraId="7BF4B883">
            <w:pPr>
              <w:jc w:val="center"/>
              <w:rPr>
                <w:color w:val="auto"/>
                <w:sz w:val="24"/>
                <w:szCs w:val="24"/>
              </w:rPr>
            </w:pPr>
          </w:p>
        </w:tc>
        <w:tc>
          <w:tcPr>
            <w:tcW w:w="1506" w:type="dxa"/>
            <w:vAlign w:val="center"/>
          </w:tcPr>
          <w:p w14:paraId="58FCBA94">
            <w:pPr>
              <w:jc w:val="center"/>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无组织</w:t>
            </w:r>
          </w:p>
        </w:tc>
        <w:tc>
          <w:tcPr>
            <w:tcW w:w="1293" w:type="dxa"/>
            <w:vAlign w:val="center"/>
          </w:tcPr>
          <w:p w14:paraId="360D9119">
            <w:pPr>
              <w:jc w:val="center"/>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颗粒物</w:t>
            </w:r>
          </w:p>
        </w:tc>
        <w:tc>
          <w:tcPr>
            <w:tcW w:w="2431" w:type="dxa"/>
            <w:vAlign w:val="center"/>
          </w:tcPr>
          <w:p w14:paraId="2626C693">
            <w:pPr>
              <w:jc w:val="center"/>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封闭厂房</w:t>
            </w:r>
          </w:p>
        </w:tc>
        <w:tc>
          <w:tcPr>
            <w:tcW w:w="2740" w:type="dxa"/>
            <w:vMerge w:val="continue"/>
            <w:vAlign w:val="center"/>
          </w:tcPr>
          <w:p w14:paraId="6058AE94">
            <w:pPr>
              <w:jc w:val="center"/>
              <w:rPr>
                <w:rFonts w:hint="eastAsia" w:cs="Times New Roman" w:eastAsiaTheme="minorEastAsia"/>
                <w:color w:val="auto"/>
                <w:sz w:val="24"/>
                <w:szCs w:val="24"/>
                <w:lang w:val="en-US" w:eastAsia="zh-CN"/>
              </w:rPr>
            </w:pPr>
          </w:p>
        </w:tc>
      </w:tr>
      <w:tr w14:paraId="76EFBA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1079" w:type="dxa"/>
            <w:vAlign w:val="center"/>
          </w:tcPr>
          <w:p w14:paraId="3C054333">
            <w:pPr>
              <w:jc w:val="center"/>
              <w:rPr>
                <w:color w:val="auto"/>
                <w:sz w:val="24"/>
                <w:szCs w:val="24"/>
              </w:rPr>
            </w:pPr>
            <w:r>
              <w:rPr>
                <w:color w:val="auto"/>
                <w:sz w:val="24"/>
                <w:szCs w:val="24"/>
              </w:rPr>
              <w:t>地表水环境</w:t>
            </w:r>
          </w:p>
        </w:tc>
        <w:tc>
          <w:tcPr>
            <w:tcW w:w="1506" w:type="dxa"/>
            <w:vAlign w:val="center"/>
          </w:tcPr>
          <w:p w14:paraId="511B1E61">
            <w:pPr>
              <w:jc w:val="center"/>
              <w:rPr>
                <w:rFonts w:hint="default" w:eastAsia="宋体"/>
                <w:color w:val="auto"/>
                <w:sz w:val="24"/>
                <w:szCs w:val="24"/>
                <w:lang w:val="en-US" w:eastAsia="zh-CN"/>
              </w:rPr>
            </w:pPr>
            <w:r>
              <w:rPr>
                <w:color w:val="auto"/>
                <w:sz w:val="24"/>
                <w:szCs w:val="24"/>
              </w:rPr>
              <w:t>生活污水</w:t>
            </w:r>
          </w:p>
        </w:tc>
        <w:tc>
          <w:tcPr>
            <w:tcW w:w="1293" w:type="dxa"/>
            <w:vAlign w:val="center"/>
          </w:tcPr>
          <w:p w14:paraId="60CF2AA4">
            <w:pPr>
              <w:jc w:val="center"/>
              <w:rPr>
                <w:rFonts w:hint="default" w:eastAsia="宋体"/>
                <w:color w:val="auto"/>
                <w:sz w:val="24"/>
                <w:szCs w:val="24"/>
                <w:lang w:val="en-US" w:eastAsia="zh-CN"/>
              </w:rPr>
            </w:pPr>
            <w:r>
              <w:rPr>
                <w:rFonts w:hint="eastAsia"/>
                <w:color w:val="auto"/>
                <w:sz w:val="24"/>
                <w:szCs w:val="24"/>
                <w:lang w:val="en-US" w:eastAsia="zh-CN"/>
              </w:rPr>
              <w:t>pH、</w:t>
            </w:r>
            <w:r>
              <w:rPr>
                <w:color w:val="auto"/>
                <w:sz w:val="24"/>
                <w:szCs w:val="24"/>
              </w:rPr>
              <w:t>COD、BOD</w:t>
            </w:r>
            <w:r>
              <w:rPr>
                <w:color w:val="auto"/>
                <w:sz w:val="24"/>
                <w:szCs w:val="24"/>
                <w:vertAlign w:val="subscript"/>
              </w:rPr>
              <w:t>5</w:t>
            </w:r>
            <w:r>
              <w:rPr>
                <w:rFonts w:hint="eastAsia"/>
                <w:color w:val="auto"/>
                <w:sz w:val="24"/>
                <w:szCs w:val="24"/>
                <w:vertAlign w:val="baseline"/>
                <w:lang w:eastAsia="zh-CN"/>
              </w:rPr>
              <w:t>、</w:t>
            </w:r>
            <w:r>
              <w:rPr>
                <w:color w:val="auto"/>
                <w:sz w:val="24"/>
                <w:szCs w:val="24"/>
              </w:rPr>
              <w:t>NH</w:t>
            </w:r>
            <w:r>
              <w:rPr>
                <w:color w:val="auto"/>
                <w:sz w:val="24"/>
                <w:szCs w:val="24"/>
                <w:vertAlign w:val="subscript"/>
              </w:rPr>
              <w:t>3</w:t>
            </w:r>
            <w:r>
              <w:rPr>
                <w:color w:val="auto"/>
                <w:sz w:val="24"/>
                <w:szCs w:val="24"/>
              </w:rPr>
              <w:t>-N、SS</w:t>
            </w:r>
            <w:r>
              <w:rPr>
                <w:rFonts w:hint="eastAsia"/>
                <w:color w:val="auto"/>
                <w:sz w:val="24"/>
                <w:szCs w:val="24"/>
                <w:lang w:eastAsia="zh-CN"/>
              </w:rPr>
              <w:t>、</w:t>
            </w:r>
            <w:r>
              <w:rPr>
                <w:rFonts w:hint="eastAsia"/>
                <w:color w:val="auto"/>
                <w:sz w:val="24"/>
                <w:szCs w:val="24"/>
                <w:lang w:val="en-US" w:eastAsia="zh-CN"/>
              </w:rPr>
              <w:t>TP、TN</w:t>
            </w:r>
          </w:p>
        </w:tc>
        <w:tc>
          <w:tcPr>
            <w:tcW w:w="2431" w:type="dxa"/>
            <w:vAlign w:val="center"/>
          </w:tcPr>
          <w:p w14:paraId="0F6A4C40">
            <w:pPr>
              <w:jc w:val="center"/>
              <w:rPr>
                <w:rFonts w:hint="default" w:eastAsia="宋体"/>
                <w:color w:val="auto"/>
                <w:sz w:val="24"/>
                <w:szCs w:val="24"/>
                <w:lang w:val="en-US" w:eastAsia="zh-CN"/>
              </w:rPr>
            </w:pPr>
            <w:r>
              <w:rPr>
                <w:rFonts w:hint="eastAsia"/>
                <w:color w:val="auto"/>
                <w:kern w:val="0"/>
                <w:sz w:val="24"/>
                <w:lang w:val="en-US" w:eastAsia="zh-CN"/>
              </w:rPr>
              <w:t>依托现有化粪池处理后经市政管网排入泾河新城第二污水处理厂进一步处理</w:t>
            </w:r>
          </w:p>
        </w:tc>
        <w:tc>
          <w:tcPr>
            <w:tcW w:w="2740" w:type="dxa"/>
            <w:vAlign w:val="center"/>
          </w:tcPr>
          <w:p w14:paraId="1EE13AC6">
            <w:pPr>
              <w:jc w:val="center"/>
              <w:rPr>
                <w:rFonts w:hint="default" w:eastAsia="宋体"/>
                <w:color w:val="auto"/>
                <w:sz w:val="24"/>
                <w:szCs w:val="24"/>
                <w:lang w:val="en-US" w:eastAsia="zh-CN"/>
              </w:rPr>
            </w:pPr>
            <w:r>
              <w:rPr>
                <w:color w:val="auto"/>
                <w:sz w:val="24"/>
                <w:szCs w:val="24"/>
              </w:rPr>
              <w:t>《污水综合排放标准》（GB8978-1996）三级标准及《污水排入城镇下水道水质标准》（GB/T31962-2015）</w:t>
            </w:r>
            <w:r>
              <w:rPr>
                <w:rFonts w:hint="eastAsia"/>
                <w:color w:val="auto"/>
                <w:sz w:val="24"/>
                <w:szCs w:val="24"/>
                <w:lang w:val="en-US" w:eastAsia="zh-CN"/>
              </w:rPr>
              <w:t>B类标准要求</w:t>
            </w:r>
          </w:p>
        </w:tc>
      </w:tr>
      <w:tr w14:paraId="3E8D41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13" w:hRule="atLeast"/>
          <w:jc w:val="center"/>
        </w:trPr>
        <w:tc>
          <w:tcPr>
            <w:tcW w:w="1079" w:type="dxa"/>
            <w:vAlign w:val="center"/>
          </w:tcPr>
          <w:p w14:paraId="480A2F3B">
            <w:pPr>
              <w:jc w:val="center"/>
              <w:rPr>
                <w:color w:val="auto"/>
                <w:sz w:val="24"/>
                <w:szCs w:val="24"/>
              </w:rPr>
            </w:pPr>
            <w:r>
              <w:rPr>
                <w:color w:val="auto"/>
                <w:sz w:val="24"/>
                <w:szCs w:val="24"/>
              </w:rPr>
              <w:t>声环境</w:t>
            </w:r>
          </w:p>
        </w:tc>
        <w:tc>
          <w:tcPr>
            <w:tcW w:w="1506" w:type="dxa"/>
            <w:vAlign w:val="center"/>
          </w:tcPr>
          <w:p w14:paraId="249DF7E3">
            <w:pPr>
              <w:adjustRightInd w:val="0"/>
              <w:snapToGrid w:val="0"/>
              <w:jc w:val="center"/>
              <w:rPr>
                <w:color w:val="auto"/>
                <w:sz w:val="24"/>
                <w:szCs w:val="24"/>
              </w:rPr>
            </w:pPr>
            <w:r>
              <w:rPr>
                <w:color w:val="auto"/>
                <w:sz w:val="24"/>
                <w:szCs w:val="24"/>
              </w:rPr>
              <w:t>生产设备</w:t>
            </w:r>
          </w:p>
        </w:tc>
        <w:tc>
          <w:tcPr>
            <w:tcW w:w="1293" w:type="dxa"/>
            <w:vAlign w:val="center"/>
          </w:tcPr>
          <w:p w14:paraId="6F3136A1">
            <w:pPr>
              <w:adjustRightInd w:val="0"/>
              <w:snapToGrid w:val="0"/>
              <w:jc w:val="center"/>
              <w:rPr>
                <w:color w:val="auto"/>
                <w:sz w:val="24"/>
                <w:szCs w:val="24"/>
              </w:rPr>
            </w:pPr>
            <w:r>
              <w:rPr>
                <w:color w:val="auto"/>
                <w:sz w:val="24"/>
                <w:szCs w:val="24"/>
              </w:rPr>
              <w:t>噪声</w:t>
            </w:r>
          </w:p>
        </w:tc>
        <w:tc>
          <w:tcPr>
            <w:tcW w:w="2431" w:type="dxa"/>
            <w:vAlign w:val="center"/>
          </w:tcPr>
          <w:p w14:paraId="7D3CC69F">
            <w:pPr>
              <w:jc w:val="center"/>
              <w:rPr>
                <w:color w:val="auto"/>
                <w:sz w:val="24"/>
                <w:szCs w:val="24"/>
              </w:rPr>
            </w:pPr>
            <w:r>
              <w:rPr>
                <w:color w:val="auto"/>
                <w:sz w:val="24"/>
                <w:szCs w:val="24"/>
              </w:rPr>
              <w:t>选择低噪</w:t>
            </w:r>
            <w:r>
              <w:rPr>
                <w:rFonts w:hint="eastAsia"/>
                <w:color w:val="auto"/>
                <w:sz w:val="24"/>
                <w:szCs w:val="24"/>
                <w:lang w:val="en-US" w:eastAsia="zh-CN"/>
              </w:rPr>
              <w:t>声</w:t>
            </w:r>
            <w:r>
              <w:rPr>
                <w:color w:val="auto"/>
                <w:sz w:val="24"/>
                <w:szCs w:val="24"/>
              </w:rPr>
              <w:t>设备，基础减振，厂房隔声</w:t>
            </w:r>
            <w:r>
              <w:rPr>
                <w:rFonts w:hint="eastAsia"/>
                <w:color w:val="auto"/>
                <w:sz w:val="24"/>
                <w:szCs w:val="24"/>
                <w:lang w:eastAsia="zh-CN"/>
              </w:rPr>
              <w:t>、</w:t>
            </w:r>
            <w:r>
              <w:rPr>
                <w:color w:val="auto"/>
                <w:sz w:val="24"/>
                <w:szCs w:val="24"/>
              </w:rPr>
              <w:t>距离衰减等</w:t>
            </w:r>
          </w:p>
        </w:tc>
        <w:tc>
          <w:tcPr>
            <w:tcW w:w="2740" w:type="dxa"/>
            <w:vAlign w:val="center"/>
          </w:tcPr>
          <w:p w14:paraId="537EE87F">
            <w:pPr>
              <w:jc w:val="center"/>
              <w:rPr>
                <w:color w:val="auto"/>
                <w:sz w:val="24"/>
                <w:szCs w:val="24"/>
              </w:rPr>
            </w:pPr>
            <w:r>
              <w:rPr>
                <w:color w:val="auto"/>
                <w:sz w:val="24"/>
                <w:szCs w:val="24"/>
              </w:rPr>
              <w:t>《工业企业厂界环境噪声排放标准》（GB12348-2008）</w:t>
            </w:r>
            <w:r>
              <w:rPr>
                <w:rFonts w:hint="eastAsia"/>
                <w:color w:val="auto"/>
                <w:sz w:val="24"/>
                <w:szCs w:val="24"/>
                <w:lang w:val="en-US" w:eastAsia="zh-CN"/>
              </w:rPr>
              <w:t>3</w:t>
            </w:r>
            <w:r>
              <w:rPr>
                <w:rFonts w:hint="eastAsia"/>
                <w:color w:val="auto"/>
                <w:sz w:val="24"/>
                <w:szCs w:val="24"/>
              </w:rPr>
              <w:t>类标准</w:t>
            </w:r>
          </w:p>
        </w:tc>
      </w:tr>
      <w:tr w14:paraId="1BFAFA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43" w:hRule="atLeast"/>
          <w:jc w:val="center"/>
        </w:trPr>
        <w:tc>
          <w:tcPr>
            <w:tcW w:w="1079" w:type="dxa"/>
            <w:vAlign w:val="center"/>
          </w:tcPr>
          <w:p w14:paraId="22BCB431">
            <w:pPr>
              <w:jc w:val="center"/>
              <w:rPr>
                <w:rFonts w:hint="default" w:eastAsia="宋体"/>
                <w:color w:val="auto"/>
                <w:sz w:val="24"/>
                <w:szCs w:val="24"/>
                <w:lang w:val="en-US" w:eastAsia="zh-CN"/>
              </w:rPr>
            </w:pPr>
            <w:r>
              <w:rPr>
                <w:rFonts w:hint="eastAsia"/>
                <w:color w:val="auto"/>
                <w:sz w:val="24"/>
                <w:szCs w:val="24"/>
                <w:lang w:val="en-US" w:eastAsia="zh-CN"/>
              </w:rPr>
              <w:t>电磁辐射</w:t>
            </w:r>
          </w:p>
        </w:tc>
        <w:tc>
          <w:tcPr>
            <w:tcW w:w="1506" w:type="dxa"/>
            <w:vAlign w:val="center"/>
          </w:tcPr>
          <w:p w14:paraId="7E7CF3F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sz w:val="24"/>
                <w:szCs w:val="24"/>
              </w:rPr>
            </w:pPr>
            <w:r>
              <w:rPr>
                <w:rFonts w:hint="eastAsia"/>
                <w:color w:val="auto"/>
                <w:sz w:val="24"/>
              </w:rPr>
              <w:t>/</w:t>
            </w:r>
          </w:p>
        </w:tc>
        <w:tc>
          <w:tcPr>
            <w:tcW w:w="1293" w:type="dxa"/>
            <w:vAlign w:val="center"/>
          </w:tcPr>
          <w:p w14:paraId="1E04755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sz w:val="24"/>
                <w:szCs w:val="24"/>
              </w:rPr>
            </w:pPr>
            <w:r>
              <w:rPr>
                <w:rFonts w:hint="eastAsia"/>
                <w:color w:val="auto"/>
                <w:sz w:val="24"/>
              </w:rPr>
              <w:t>/</w:t>
            </w:r>
          </w:p>
        </w:tc>
        <w:tc>
          <w:tcPr>
            <w:tcW w:w="2431" w:type="dxa"/>
            <w:vAlign w:val="center"/>
          </w:tcPr>
          <w:p w14:paraId="33FB788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sz w:val="24"/>
                <w:szCs w:val="24"/>
              </w:rPr>
            </w:pPr>
            <w:r>
              <w:rPr>
                <w:rFonts w:hint="eastAsia"/>
                <w:color w:val="auto"/>
                <w:sz w:val="24"/>
              </w:rPr>
              <w:t>/</w:t>
            </w:r>
          </w:p>
        </w:tc>
        <w:tc>
          <w:tcPr>
            <w:tcW w:w="2740" w:type="dxa"/>
            <w:vAlign w:val="center"/>
          </w:tcPr>
          <w:p w14:paraId="7EDE052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sz w:val="24"/>
                <w:szCs w:val="24"/>
              </w:rPr>
            </w:pPr>
            <w:r>
              <w:rPr>
                <w:rFonts w:hint="eastAsia"/>
                <w:color w:val="auto"/>
                <w:sz w:val="24"/>
              </w:rPr>
              <w:t>/</w:t>
            </w:r>
          </w:p>
        </w:tc>
      </w:tr>
      <w:tr w14:paraId="64F177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95" w:hRule="atLeast"/>
          <w:jc w:val="center"/>
        </w:trPr>
        <w:tc>
          <w:tcPr>
            <w:tcW w:w="1079" w:type="dxa"/>
            <w:vAlign w:val="center"/>
          </w:tcPr>
          <w:p w14:paraId="5DE55BA8">
            <w:pPr>
              <w:jc w:val="center"/>
              <w:rPr>
                <w:color w:val="0000FF"/>
                <w:sz w:val="24"/>
                <w:szCs w:val="24"/>
              </w:rPr>
            </w:pPr>
            <w:r>
              <w:rPr>
                <w:color w:val="auto"/>
                <w:sz w:val="24"/>
                <w:szCs w:val="24"/>
              </w:rPr>
              <w:t>固体废物</w:t>
            </w:r>
          </w:p>
        </w:tc>
        <w:tc>
          <w:tcPr>
            <w:tcW w:w="7970" w:type="dxa"/>
            <w:gridSpan w:val="4"/>
            <w:vAlign w:val="center"/>
          </w:tcPr>
          <w:p w14:paraId="2C082CC5">
            <w:pPr>
              <w:rPr>
                <w:color w:val="0000FF"/>
                <w:sz w:val="24"/>
                <w:szCs w:val="24"/>
              </w:rPr>
            </w:pPr>
            <w:r>
              <w:rPr>
                <w:rFonts w:hint="eastAsia" w:cs="Times New Roman"/>
                <w:color w:val="auto"/>
                <w:sz w:val="24"/>
                <w:szCs w:val="24"/>
                <w:lang w:val="en-US" w:eastAsia="zh-CN" w:bidi="ar-SA"/>
              </w:rPr>
              <w:t>废砂轮、废陶瓷壳</w:t>
            </w:r>
            <w:r>
              <w:rPr>
                <w:rFonts w:hint="eastAsia" w:ascii="Times New Roman" w:hAnsi="Times New Roman" w:cs="Times New Roman"/>
                <w:color w:val="auto"/>
                <w:sz w:val="24"/>
                <w:szCs w:val="24"/>
                <w:lang w:val="en-US" w:eastAsia="zh-CN" w:bidi="ar-SA"/>
              </w:rPr>
              <w:t>、除尘灰</w:t>
            </w:r>
            <w:r>
              <w:rPr>
                <w:rFonts w:hint="eastAsia" w:cs="Times New Roman"/>
                <w:color w:val="auto"/>
                <w:sz w:val="24"/>
                <w:szCs w:val="24"/>
                <w:lang w:val="en-US" w:eastAsia="zh-CN" w:bidi="ar-SA"/>
              </w:rPr>
              <w:t>、废沉渣、废布袋</w:t>
            </w:r>
            <w:r>
              <w:rPr>
                <w:bCs/>
                <w:color w:val="auto"/>
                <w:kern w:val="0"/>
                <w:sz w:val="24"/>
              </w:rPr>
              <w:t>等一般固体废物</w:t>
            </w:r>
            <w:r>
              <w:rPr>
                <w:rFonts w:hint="eastAsia"/>
                <w:bCs/>
                <w:color w:val="auto"/>
                <w:kern w:val="0"/>
                <w:sz w:val="24"/>
                <w:lang w:val="en-US" w:eastAsia="zh-CN"/>
              </w:rPr>
              <w:t>外售处置，贮存满足</w:t>
            </w:r>
            <w:r>
              <w:rPr>
                <w:color w:val="auto"/>
                <w:sz w:val="24"/>
                <w:szCs w:val="24"/>
              </w:rPr>
              <w:fldChar w:fldCharType="begin"/>
            </w:r>
            <w:r>
              <w:rPr>
                <w:color w:val="auto"/>
                <w:sz w:val="24"/>
                <w:szCs w:val="24"/>
              </w:rPr>
              <w:instrText xml:space="preserve"> HYPERLINK "http://www.mee.gov.cn/ywgz/fgbz/bz/bzwb/gthw/gtfwwrkzbz/202012/t20201218_813927.shtml" </w:instrText>
            </w:r>
            <w:r>
              <w:rPr>
                <w:color w:val="auto"/>
                <w:sz w:val="24"/>
                <w:szCs w:val="24"/>
              </w:rPr>
              <w:fldChar w:fldCharType="separate"/>
            </w:r>
            <w:r>
              <w:rPr>
                <w:color w:val="auto"/>
                <w:sz w:val="24"/>
                <w:szCs w:val="24"/>
              </w:rPr>
              <w:t>《一般工业固体废物贮存和填埋污染控制标准》（GB18599-2020）</w:t>
            </w:r>
            <w:r>
              <w:rPr>
                <w:color w:val="auto"/>
                <w:sz w:val="24"/>
                <w:szCs w:val="24"/>
              </w:rPr>
              <w:fldChar w:fldCharType="end"/>
            </w:r>
            <w:r>
              <w:rPr>
                <w:rFonts w:hint="eastAsia" w:cs="Times New Roman"/>
                <w:color w:val="auto"/>
                <w:sz w:val="24"/>
                <w:szCs w:val="24"/>
                <w:lang w:val="en-US" w:eastAsia="zh-CN"/>
              </w:rPr>
              <w:t>中有关规定；</w:t>
            </w:r>
            <w:r>
              <w:rPr>
                <w:bCs/>
                <w:color w:val="000000" w:themeColor="text1"/>
                <w:kern w:val="0"/>
                <w:sz w:val="24"/>
                <w14:textFill>
                  <w14:solidFill>
                    <w14:schemeClr w14:val="tx1"/>
                  </w14:solidFill>
                </w14:textFill>
              </w:rPr>
              <w:t>废油桶</w:t>
            </w:r>
            <w:r>
              <w:rPr>
                <w:rFonts w:hint="eastAsia"/>
                <w:bCs/>
                <w:color w:val="000000" w:themeColor="text1"/>
                <w:kern w:val="0"/>
                <w:sz w:val="24"/>
                <w:lang w:eastAsia="zh-CN"/>
                <w14:textFill>
                  <w14:solidFill>
                    <w14:schemeClr w14:val="tx1"/>
                  </w14:solidFill>
                </w14:textFill>
              </w:rPr>
              <w:t>、</w:t>
            </w:r>
            <w:r>
              <w:rPr>
                <w:rFonts w:hint="eastAsia"/>
                <w:bCs/>
                <w:color w:val="000000" w:themeColor="text1"/>
                <w:kern w:val="0"/>
                <w:sz w:val="24"/>
                <w:lang w:val="en-US" w:eastAsia="zh-CN"/>
                <w14:textFill>
                  <w14:solidFill>
                    <w14:schemeClr w14:val="tx1"/>
                  </w14:solidFill>
                </w14:textFill>
              </w:rPr>
              <w:t>废油类、废</w:t>
            </w:r>
            <w:r>
              <w:rPr>
                <w:bCs/>
                <w:color w:val="000000" w:themeColor="text1"/>
                <w:kern w:val="0"/>
                <w:sz w:val="24"/>
                <w14:textFill>
                  <w14:solidFill>
                    <w14:schemeClr w14:val="tx1"/>
                  </w14:solidFill>
                </w14:textFill>
              </w:rPr>
              <w:t>含油手套</w:t>
            </w:r>
            <w:r>
              <w:rPr>
                <w:rFonts w:hint="eastAsia"/>
                <w:bCs/>
                <w:color w:val="000000" w:themeColor="text1"/>
                <w:kern w:val="0"/>
                <w:sz w:val="24"/>
                <w:lang w:val="en-US" w:eastAsia="zh-CN"/>
                <w14:textFill>
                  <w14:solidFill>
                    <w14:schemeClr w14:val="tx1"/>
                  </w14:solidFill>
                </w14:textFill>
              </w:rPr>
              <w:t>抹布</w:t>
            </w:r>
            <w:r>
              <w:rPr>
                <w:bCs/>
                <w:color w:val="000000" w:themeColor="text1"/>
                <w:kern w:val="0"/>
                <w:sz w:val="24"/>
                <w14:textFill>
                  <w14:solidFill>
                    <w14:schemeClr w14:val="tx1"/>
                  </w14:solidFill>
                </w14:textFill>
              </w:rPr>
              <w:t>等危险废物</w:t>
            </w:r>
            <w:r>
              <w:rPr>
                <w:color w:val="000000" w:themeColor="text1"/>
                <w:sz w:val="24"/>
                <w:szCs w:val="24"/>
                <w14:textFill>
                  <w14:solidFill>
                    <w14:schemeClr w14:val="tx1"/>
                  </w14:solidFill>
                </w14:textFill>
              </w:rPr>
              <w:t>暂存危废</w:t>
            </w:r>
            <w:r>
              <w:rPr>
                <w:rFonts w:hint="eastAsia"/>
                <w:color w:val="000000" w:themeColor="text1"/>
                <w:sz w:val="24"/>
                <w:szCs w:val="24"/>
                <w14:textFill>
                  <w14:solidFill>
                    <w14:schemeClr w14:val="tx1"/>
                  </w14:solidFill>
                </w14:textFill>
              </w:rPr>
              <w:t>贮存库</w:t>
            </w:r>
            <w:r>
              <w:rPr>
                <w:color w:val="000000" w:themeColor="text1"/>
                <w:sz w:val="24"/>
                <w:szCs w:val="24"/>
                <w14:textFill>
                  <w14:solidFill>
                    <w14:schemeClr w14:val="tx1"/>
                  </w14:solidFill>
                </w14:textFill>
              </w:rPr>
              <w:t>，定期交有资质单位处置</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贮存满足</w:t>
            </w:r>
            <w:r>
              <w:rPr>
                <w:snapToGrid w:val="0"/>
                <w:color w:val="000000" w:themeColor="text1"/>
                <w:sz w:val="24"/>
                <w14:textFill>
                  <w14:solidFill>
                    <w14:schemeClr w14:val="tx1"/>
                  </w14:solidFill>
                </w14:textFill>
              </w:rPr>
              <w:t>《危险废物贮存污染控制标准》（GB18597-2023）中相关规定</w:t>
            </w:r>
            <w:r>
              <w:rPr>
                <w:rFonts w:hint="eastAsia"/>
                <w:color w:val="000000" w:themeColor="text1"/>
                <w:sz w:val="24"/>
                <w:szCs w:val="24"/>
                <w:lang w:eastAsia="zh-CN"/>
                <w14:textFill>
                  <w14:solidFill>
                    <w14:schemeClr w14:val="tx1"/>
                  </w14:solidFill>
                </w14:textFill>
              </w:rPr>
              <w:t>；</w:t>
            </w:r>
            <w:r>
              <w:rPr>
                <w:color w:val="auto"/>
                <w:sz w:val="24"/>
              </w:rPr>
              <w:t>生活垃圾定期交由当地环卫部门处置</w:t>
            </w:r>
            <w:r>
              <w:rPr>
                <w:rFonts w:hint="eastAsia"/>
                <w:color w:val="auto"/>
                <w:sz w:val="24"/>
              </w:rPr>
              <w:t>。</w:t>
            </w:r>
          </w:p>
        </w:tc>
      </w:tr>
      <w:tr w14:paraId="15DF06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95" w:hRule="atLeast"/>
          <w:jc w:val="center"/>
        </w:trPr>
        <w:tc>
          <w:tcPr>
            <w:tcW w:w="1079" w:type="dxa"/>
            <w:shd w:val="clear" w:color="auto" w:fill="auto"/>
            <w:vAlign w:val="center"/>
          </w:tcPr>
          <w:p w14:paraId="7012E59F">
            <w:pPr>
              <w:jc w:val="center"/>
              <w:rPr>
                <w:rFonts w:ascii="Times New Roman" w:hAnsi="Times New Roman" w:eastAsia="宋体" w:cs="Times New Roman"/>
                <w:color w:val="auto"/>
                <w:kern w:val="2"/>
                <w:sz w:val="24"/>
                <w:szCs w:val="24"/>
                <w:lang w:val="en-US" w:eastAsia="zh-CN" w:bidi="ar-SA"/>
              </w:rPr>
            </w:pPr>
            <w:r>
              <w:rPr>
                <w:color w:val="auto"/>
                <w:sz w:val="24"/>
                <w:szCs w:val="24"/>
              </w:rPr>
              <w:t>土壤及地下水污染防治措施</w:t>
            </w:r>
          </w:p>
        </w:tc>
        <w:tc>
          <w:tcPr>
            <w:tcW w:w="7970" w:type="dxa"/>
            <w:gridSpan w:val="4"/>
            <w:shd w:val="clear" w:color="auto" w:fill="auto"/>
            <w:vAlign w:val="center"/>
          </w:tcPr>
          <w:p w14:paraId="0AFFBAA4">
            <w:pPr>
              <w:rPr>
                <w:rFonts w:ascii="Times New Roman" w:hAnsi="Times New Roman" w:eastAsia="宋体" w:cs="Times New Roman"/>
                <w:color w:val="auto"/>
                <w:kern w:val="2"/>
                <w:sz w:val="24"/>
                <w:szCs w:val="24"/>
                <w:lang w:val="en-US" w:eastAsia="zh-CN" w:bidi="ar-SA"/>
              </w:rPr>
            </w:pPr>
            <w:r>
              <w:rPr>
                <w:snapToGrid w:val="0"/>
                <w:color w:val="000000" w:themeColor="text1"/>
                <w:sz w:val="24"/>
                <w14:textFill>
                  <w14:solidFill>
                    <w14:schemeClr w14:val="tx1"/>
                  </w14:solidFill>
                </w14:textFill>
              </w:rPr>
              <w:t>项目</w:t>
            </w:r>
            <w:r>
              <w:rPr>
                <w:rFonts w:hint="eastAsia"/>
                <w:snapToGrid w:val="0"/>
                <w:color w:val="000000" w:themeColor="text1"/>
                <w:sz w:val="24"/>
                <w14:textFill>
                  <w14:solidFill>
                    <w14:schemeClr w14:val="tx1"/>
                  </w14:solidFill>
                </w14:textFill>
              </w:rPr>
              <w:t>厂区</w:t>
            </w:r>
            <w:r>
              <w:rPr>
                <w:snapToGrid w:val="0"/>
                <w:color w:val="000000" w:themeColor="text1"/>
                <w:sz w:val="24"/>
                <w14:textFill>
                  <w14:solidFill>
                    <w14:schemeClr w14:val="tx1"/>
                  </w14:solidFill>
                </w14:textFill>
              </w:rPr>
              <w:t>厂房地面均已做硬化处理，</w:t>
            </w:r>
            <w:r>
              <w:rPr>
                <w:rFonts w:hint="eastAsia"/>
                <w:snapToGrid w:val="0"/>
                <w:color w:val="000000" w:themeColor="text1"/>
                <w:sz w:val="24"/>
                <w:lang w:val="en-US" w:eastAsia="zh-CN"/>
                <w14:textFill>
                  <w14:solidFill>
                    <w14:schemeClr w14:val="tx1"/>
                  </w14:solidFill>
                </w14:textFill>
              </w:rPr>
              <w:t>润滑油</w:t>
            </w:r>
            <w:r>
              <w:rPr>
                <w:snapToGrid w:val="0"/>
                <w:color w:val="000000" w:themeColor="text1"/>
                <w:sz w:val="24"/>
                <w14:textFill>
                  <w14:solidFill>
                    <w14:schemeClr w14:val="tx1"/>
                  </w14:solidFill>
                </w14:textFill>
              </w:rPr>
              <w:t>放置在耐腐蚀、耐压、密封性好的容器内，</w:t>
            </w:r>
            <w:r>
              <w:rPr>
                <w:rFonts w:hint="eastAsia"/>
                <w:snapToGrid w:val="0"/>
                <w:color w:val="000000" w:themeColor="text1"/>
                <w:sz w:val="24"/>
                <w14:textFill>
                  <w14:solidFill>
                    <w14:schemeClr w14:val="tx1"/>
                  </w14:solidFill>
                </w14:textFill>
              </w:rPr>
              <w:t>危废贮存库</w:t>
            </w:r>
            <w:r>
              <w:rPr>
                <w:snapToGrid w:val="0"/>
                <w:color w:val="000000" w:themeColor="text1"/>
                <w:sz w:val="24"/>
                <w14:textFill>
                  <w14:solidFill>
                    <w14:schemeClr w14:val="tx1"/>
                  </w14:solidFill>
                </w14:textFill>
              </w:rPr>
              <w:t>采取防渗措施，满足《危险废物贮存污染控制标准》（GB18597-2023）中相关规定。</w:t>
            </w:r>
          </w:p>
        </w:tc>
      </w:tr>
      <w:tr w14:paraId="71CDD1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62" w:hRule="atLeast"/>
          <w:jc w:val="center"/>
        </w:trPr>
        <w:tc>
          <w:tcPr>
            <w:tcW w:w="1079" w:type="dxa"/>
            <w:vAlign w:val="center"/>
          </w:tcPr>
          <w:p w14:paraId="7B6F9D18">
            <w:pPr>
              <w:jc w:val="center"/>
              <w:rPr>
                <w:color w:val="auto"/>
                <w:sz w:val="24"/>
                <w:szCs w:val="24"/>
              </w:rPr>
            </w:pPr>
            <w:r>
              <w:rPr>
                <w:color w:val="auto"/>
                <w:sz w:val="24"/>
                <w:szCs w:val="24"/>
              </w:rPr>
              <w:t>生态保护措施</w:t>
            </w:r>
          </w:p>
        </w:tc>
        <w:tc>
          <w:tcPr>
            <w:tcW w:w="7970" w:type="dxa"/>
            <w:gridSpan w:val="4"/>
            <w:vAlign w:val="center"/>
          </w:tcPr>
          <w:p w14:paraId="74FFD0EE">
            <w:pPr>
              <w:rPr>
                <w:rFonts w:hint="eastAsia" w:eastAsia="宋体"/>
                <w:color w:val="auto"/>
                <w:sz w:val="24"/>
                <w:szCs w:val="24"/>
                <w:lang w:eastAsia="zh-CN"/>
              </w:rPr>
            </w:pPr>
            <w:r>
              <w:rPr>
                <w:rFonts w:hint="eastAsia"/>
                <w:color w:val="auto"/>
                <w:kern w:val="0"/>
                <w:sz w:val="24"/>
                <w:szCs w:val="24"/>
                <w:lang w:val="en-US" w:eastAsia="zh-CN"/>
              </w:rPr>
              <w:t>/</w:t>
            </w:r>
          </w:p>
        </w:tc>
      </w:tr>
      <w:tr w14:paraId="0C33EF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1079" w:type="dxa"/>
            <w:vAlign w:val="center"/>
          </w:tcPr>
          <w:p w14:paraId="6CF64413">
            <w:pPr>
              <w:jc w:val="center"/>
              <w:rPr>
                <w:color w:val="auto"/>
                <w:spacing w:val="-8"/>
                <w:sz w:val="24"/>
                <w:szCs w:val="24"/>
              </w:rPr>
            </w:pPr>
            <w:r>
              <w:rPr>
                <w:color w:val="auto"/>
                <w:spacing w:val="-8"/>
                <w:sz w:val="24"/>
                <w:szCs w:val="24"/>
              </w:rPr>
              <w:t>环境风险防范措施</w:t>
            </w:r>
          </w:p>
        </w:tc>
        <w:tc>
          <w:tcPr>
            <w:tcW w:w="7970" w:type="dxa"/>
            <w:gridSpan w:val="4"/>
            <w:vAlign w:val="center"/>
          </w:tcPr>
          <w:p w14:paraId="174CEB55">
            <w:pPr>
              <w:jc w:val="center"/>
              <w:rPr>
                <w:color w:val="auto"/>
                <w:sz w:val="24"/>
                <w:szCs w:val="24"/>
              </w:rPr>
            </w:pPr>
            <w:r>
              <w:rPr>
                <w:color w:val="000000" w:themeColor="text1"/>
                <w:sz w:val="24"/>
                <w14:textFill>
                  <w14:solidFill>
                    <w14:schemeClr w14:val="tx1"/>
                  </w14:solidFill>
                </w14:textFill>
              </w:rPr>
              <w:t>各存放间采取相应的防渗措施，加强管理、维护等</w:t>
            </w:r>
          </w:p>
        </w:tc>
      </w:tr>
      <w:tr w14:paraId="47C31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519" w:hRule="atLeast"/>
          <w:jc w:val="center"/>
        </w:trPr>
        <w:tc>
          <w:tcPr>
            <w:tcW w:w="1079" w:type="dxa"/>
            <w:vAlign w:val="center"/>
          </w:tcPr>
          <w:p w14:paraId="3B3495F2">
            <w:pPr>
              <w:keepNext w:val="0"/>
              <w:keepLines w:val="0"/>
              <w:pageBreakBefore w:val="0"/>
              <w:widowControl w:val="0"/>
              <w:kinsoku/>
              <w:wordWrap/>
              <w:overflowPunct/>
              <w:topLinePunct w:val="0"/>
              <w:autoSpaceDE/>
              <w:autoSpaceDN/>
              <w:bidi w:val="0"/>
              <w:adjustRightInd/>
              <w:jc w:val="center"/>
              <w:textAlignment w:val="auto"/>
              <w:rPr>
                <w:color w:val="auto"/>
                <w:spacing w:val="-8"/>
                <w:sz w:val="24"/>
                <w:szCs w:val="24"/>
              </w:rPr>
            </w:pPr>
            <w:r>
              <w:rPr>
                <w:color w:val="auto"/>
                <w:spacing w:val="-8"/>
                <w:sz w:val="24"/>
                <w:szCs w:val="24"/>
              </w:rPr>
              <w:t>其他环境</w:t>
            </w:r>
          </w:p>
          <w:p w14:paraId="1BC76117">
            <w:pPr>
              <w:keepNext w:val="0"/>
              <w:keepLines w:val="0"/>
              <w:pageBreakBefore w:val="0"/>
              <w:widowControl w:val="0"/>
              <w:kinsoku/>
              <w:wordWrap/>
              <w:overflowPunct/>
              <w:topLinePunct w:val="0"/>
              <w:autoSpaceDE/>
              <w:autoSpaceDN/>
              <w:bidi w:val="0"/>
              <w:adjustRightInd/>
              <w:jc w:val="center"/>
              <w:textAlignment w:val="auto"/>
              <w:rPr>
                <w:color w:val="auto"/>
                <w:spacing w:val="-8"/>
                <w:sz w:val="24"/>
                <w:szCs w:val="24"/>
              </w:rPr>
            </w:pPr>
            <w:r>
              <w:rPr>
                <w:color w:val="auto"/>
                <w:spacing w:val="-8"/>
                <w:sz w:val="24"/>
                <w:szCs w:val="24"/>
              </w:rPr>
              <w:t>管理要求</w:t>
            </w:r>
          </w:p>
        </w:tc>
        <w:tc>
          <w:tcPr>
            <w:tcW w:w="7970" w:type="dxa"/>
            <w:gridSpan w:val="4"/>
            <w:vAlign w:val="center"/>
          </w:tcPr>
          <w:p w14:paraId="030BB47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1、“三同时”制度：</w:t>
            </w:r>
          </w:p>
          <w:p w14:paraId="2F62062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建设单位认真落实废气、废水、固废、噪声等防治措施的“三同时”制度。</w:t>
            </w:r>
          </w:p>
          <w:p w14:paraId="0929B6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2、环境管理制度：</w:t>
            </w:r>
          </w:p>
          <w:p w14:paraId="0F40524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（1）贯彻执行国家和地方各项环保方针、政策和法规，将环境指标纳入生产计划指标，建立企业内部的环境保护机构、制订与其相适应的管理规章制度及细则；</w:t>
            </w:r>
          </w:p>
          <w:p w14:paraId="0C3DEF9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（2）加强对加工人员的环保教育，包括业务能力、操作技术、环保管理知识的教育，以增强他们的环保意识，提高管理水平；</w:t>
            </w:r>
          </w:p>
          <w:p w14:paraId="53D7D2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（3）建立全厂设备维护、维修制度，定期检查各设备运行情况，杜绝事故发生；</w:t>
            </w:r>
          </w:p>
          <w:p w14:paraId="1376FDC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（4）应按规范进行台账记录，主要内容包括加工信息、原辅材料使用情况、污染防治设施运行记录、监测数据等；</w:t>
            </w:r>
          </w:p>
          <w:p w14:paraId="39FDB73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3、排污许可制度：</w:t>
            </w:r>
          </w:p>
          <w:p w14:paraId="1B6CB4B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根据《固定污染源排污许可分类管理名录》（2019年版）</w:t>
            </w:r>
            <w:r>
              <w:rPr>
                <w:rFonts w:hint="eastAsia"/>
                <w:snapToGrid w:val="0"/>
                <w:color w:val="auto"/>
                <w:sz w:val="24"/>
              </w:rPr>
              <w:t>，</w:t>
            </w:r>
            <w:r>
              <w:rPr>
                <w:snapToGrid w:val="0"/>
                <w:color w:val="auto"/>
                <w:sz w:val="24"/>
              </w:rPr>
              <w:t>本项目应实行排污许可登记管理，办理固定污染源排污登记管理。</w:t>
            </w:r>
          </w:p>
          <w:p w14:paraId="74F30A9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4</w:t>
            </w:r>
            <w:r>
              <w:rPr>
                <w:snapToGrid w:val="0"/>
                <w:color w:val="auto"/>
                <w:sz w:val="24"/>
              </w:rPr>
              <w:t>、竣工验收：</w:t>
            </w:r>
          </w:p>
          <w:p w14:paraId="69777C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snapToGrid w:val="0"/>
                <w:color w:val="auto"/>
                <w:sz w:val="24"/>
              </w:rPr>
              <w:t>根据《建设项目竣工环境保护验收暂行办法》（国环规环评</w:t>
            </w:r>
            <w:r>
              <w:rPr>
                <w:rFonts w:hint="eastAsia"/>
                <w:snapToGrid w:val="0"/>
                <w:color w:val="auto"/>
                <w:sz w:val="24"/>
                <w:lang w:eastAsia="zh-CN"/>
              </w:rPr>
              <w:t>〔2017〕4号</w:t>
            </w:r>
            <w:r>
              <w:rPr>
                <w:snapToGrid w:val="0"/>
                <w:color w:val="auto"/>
                <w:sz w:val="24"/>
              </w:rPr>
              <w:t>），建设单位自行验收。验收合格后，方可投入生产</w:t>
            </w:r>
            <w:r>
              <w:rPr>
                <w:rFonts w:hint="eastAsia"/>
                <w:snapToGrid w:val="0"/>
                <w:color w:val="auto"/>
                <w:sz w:val="24"/>
                <w:lang w:eastAsia="zh-CN"/>
              </w:rPr>
              <w:t>或</w:t>
            </w:r>
            <w:r>
              <w:rPr>
                <w:snapToGrid w:val="0"/>
                <w:color w:val="auto"/>
                <w:sz w:val="24"/>
              </w:rPr>
              <w:t>使用。</w:t>
            </w:r>
          </w:p>
          <w:p w14:paraId="73B072E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5、排污口规范化管理</w:t>
            </w:r>
          </w:p>
          <w:p w14:paraId="42DE7C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按照</w:t>
            </w:r>
            <w:r>
              <w:rPr>
                <w:rFonts w:hint="eastAsia"/>
                <w:snapToGrid w:val="0"/>
                <w:color w:val="auto"/>
                <w:sz w:val="24"/>
                <w:lang w:val="en-US" w:eastAsia="zh-CN"/>
              </w:rPr>
              <w:t>生态环境</w:t>
            </w:r>
            <w:r>
              <w:rPr>
                <w:rFonts w:hint="eastAsia"/>
                <w:snapToGrid w:val="0"/>
                <w:color w:val="auto"/>
                <w:sz w:val="24"/>
                <w:lang w:eastAsia="zh-CN"/>
              </w:rPr>
              <w:t>部</w:t>
            </w:r>
            <w:r>
              <w:rPr>
                <w:rFonts w:hint="eastAsia"/>
                <w:snapToGrid w:val="0"/>
                <w:color w:val="auto"/>
                <w:sz w:val="24"/>
              </w:rPr>
              <w:t>《排污口规范化整治技术要求》，企业必须按照规范化要求进行设置与管理排污口（废气排放口和固废临时堆放场所）；在排污口附近醒目处按规定设置环保标志牌，排污口的设置要合理，便于采集监测样品、便于监测计量、便于公众参与监督管理。</w:t>
            </w:r>
          </w:p>
          <w:p w14:paraId="3CF68EE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本项目设</w:t>
            </w:r>
            <w:r>
              <w:rPr>
                <w:rFonts w:hint="eastAsia"/>
                <w:snapToGrid w:val="0"/>
                <w:color w:val="auto"/>
                <w:sz w:val="24"/>
                <w:lang w:val="en-US" w:eastAsia="zh-CN"/>
              </w:rPr>
              <w:t>2</w:t>
            </w:r>
            <w:r>
              <w:rPr>
                <w:rFonts w:hint="eastAsia"/>
                <w:snapToGrid w:val="0"/>
                <w:color w:val="auto"/>
                <w:sz w:val="24"/>
              </w:rPr>
              <w:t>个废气排气口、</w:t>
            </w:r>
            <w:r>
              <w:rPr>
                <w:rFonts w:hint="eastAsia"/>
                <w:snapToGrid w:val="0"/>
                <w:color w:val="auto"/>
                <w:sz w:val="24"/>
                <w:lang w:val="en-US" w:eastAsia="zh-CN"/>
              </w:rPr>
              <w:t>1</w:t>
            </w:r>
            <w:r>
              <w:rPr>
                <w:rFonts w:hint="eastAsia"/>
                <w:snapToGrid w:val="0"/>
                <w:color w:val="auto"/>
                <w:sz w:val="24"/>
              </w:rPr>
              <w:t>个</w:t>
            </w:r>
            <w:r>
              <w:rPr>
                <w:rFonts w:hint="eastAsia"/>
                <w:snapToGrid w:val="0"/>
                <w:color w:val="auto"/>
                <w:sz w:val="24"/>
                <w:lang w:val="en-US" w:eastAsia="zh-CN"/>
              </w:rPr>
              <w:t>一般固废暂存区、1个危废贮存库</w:t>
            </w:r>
            <w:r>
              <w:rPr>
                <w:rFonts w:hint="eastAsia"/>
                <w:snapToGrid w:val="0"/>
                <w:color w:val="auto"/>
                <w:sz w:val="24"/>
              </w:rPr>
              <w:t>，排污口规范化管理应做到以下几点。</w:t>
            </w:r>
          </w:p>
          <w:p w14:paraId="1837CCD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①废气排放口规范化管理</w:t>
            </w:r>
          </w:p>
          <w:p w14:paraId="4272DB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排气筒设置便于采样监测的采样口和采样监测平台，采样孔点数目和位置按《固定污染源排气中颗粒物测定与气态污染物采样方法》（GB/T16157-1996）的规定设置。在距离废气排气筒和附近醒目处，设提示环境保护图形标志，能长久保留。</w:t>
            </w:r>
          </w:p>
          <w:p w14:paraId="216A547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②固废暂存场所规范化管理</w:t>
            </w:r>
          </w:p>
          <w:p w14:paraId="1A94192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本项目设</w:t>
            </w:r>
            <w:r>
              <w:rPr>
                <w:rFonts w:hint="eastAsia"/>
                <w:snapToGrid w:val="0"/>
                <w:color w:val="auto"/>
                <w:sz w:val="24"/>
                <w:lang w:val="en-US" w:eastAsia="zh-CN"/>
              </w:rPr>
              <w:t>1个一般固废暂存区、</w:t>
            </w:r>
            <w:r>
              <w:rPr>
                <w:rFonts w:hint="eastAsia"/>
                <w:snapToGrid w:val="0"/>
                <w:color w:val="000000" w:themeColor="text1"/>
                <w:sz w:val="24"/>
                <w:lang w:val="en-US" w:eastAsia="zh-CN"/>
                <w14:textFill>
                  <w14:solidFill>
                    <w14:schemeClr w14:val="tx1"/>
                  </w14:solidFill>
                </w14:textFill>
              </w:rPr>
              <w:t>1</w:t>
            </w:r>
            <w:r>
              <w:rPr>
                <w:rFonts w:hint="eastAsia"/>
                <w:snapToGrid w:val="0"/>
                <w:color w:val="000000" w:themeColor="text1"/>
                <w:sz w:val="24"/>
                <w14:textFill>
                  <w14:solidFill>
                    <w14:schemeClr w14:val="tx1"/>
                  </w14:solidFill>
                </w14:textFill>
              </w:rPr>
              <w:t>个危废贮存库</w:t>
            </w:r>
            <w:r>
              <w:rPr>
                <w:rFonts w:hint="eastAsia"/>
                <w:snapToGrid w:val="0"/>
                <w:color w:val="auto"/>
                <w:sz w:val="24"/>
                <w:lang w:eastAsia="zh-CN"/>
              </w:rPr>
              <w:t>，</w:t>
            </w:r>
            <w:r>
              <w:rPr>
                <w:rFonts w:hint="eastAsia"/>
                <w:snapToGrid w:val="0"/>
                <w:color w:val="auto"/>
                <w:sz w:val="24"/>
                <w:lang w:val="en-US" w:eastAsia="zh-CN"/>
              </w:rPr>
              <w:t>一般固废</w:t>
            </w:r>
            <w:r>
              <w:rPr>
                <w:rFonts w:hint="eastAsia"/>
                <w:snapToGrid w:val="0"/>
                <w:color w:val="auto"/>
                <w:sz w:val="24"/>
              </w:rPr>
              <w:t>暂存应满足</w:t>
            </w:r>
            <w:r>
              <w:rPr>
                <w:color w:val="auto"/>
                <w:sz w:val="24"/>
                <w:szCs w:val="24"/>
              </w:rPr>
              <w:fldChar w:fldCharType="begin"/>
            </w:r>
            <w:r>
              <w:rPr>
                <w:color w:val="auto"/>
                <w:sz w:val="24"/>
                <w:szCs w:val="24"/>
              </w:rPr>
              <w:instrText xml:space="preserve"> HYPERLINK "http://www.mee.gov.cn/ywgz/fgbz/bz/bzwb/gthw/gtfwwrkzbz/202012/t20201218_813927.shtml" </w:instrText>
            </w:r>
            <w:r>
              <w:rPr>
                <w:color w:val="auto"/>
                <w:sz w:val="24"/>
                <w:szCs w:val="24"/>
              </w:rPr>
              <w:fldChar w:fldCharType="separate"/>
            </w:r>
            <w:r>
              <w:rPr>
                <w:color w:val="auto"/>
                <w:sz w:val="24"/>
                <w:szCs w:val="24"/>
              </w:rPr>
              <w:t>《一般工业固体废物贮存和填埋污染控制标准》（GB18599-2020）</w:t>
            </w:r>
            <w:r>
              <w:rPr>
                <w:color w:val="auto"/>
                <w:sz w:val="24"/>
                <w:szCs w:val="24"/>
              </w:rPr>
              <w:fldChar w:fldCharType="end"/>
            </w:r>
            <w:r>
              <w:rPr>
                <w:rFonts w:hint="eastAsia" w:cs="Times New Roman"/>
                <w:color w:val="auto"/>
                <w:sz w:val="24"/>
                <w:szCs w:val="24"/>
                <w:lang w:val="en-US" w:eastAsia="zh-CN"/>
              </w:rPr>
              <w:t>中有关规定</w:t>
            </w:r>
            <w:r>
              <w:rPr>
                <w:rFonts w:hint="eastAsia"/>
                <w:snapToGrid w:val="0"/>
                <w:color w:val="auto"/>
                <w:sz w:val="24"/>
              </w:rPr>
              <w:t>，</w:t>
            </w:r>
            <w:r>
              <w:rPr>
                <w:rFonts w:hint="eastAsia"/>
                <w:snapToGrid w:val="0"/>
                <w:color w:val="000000" w:themeColor="text1"/>
                <w:sz w:val="24"/>
                <w14:textFill>
                  <w14:solidFill>
                    <w14:schemeClr w14:val="tx1"/>
                  </w14:solidFill>
                </w14:textFill>
              </w:rPr>
              <w:t>危险废物暂存应满足</w:t>
            </w:r>
            <w:r>
              <w:rPr>
                <w:snapToGrid w:val="0"/>
                <w:color w:val="000000" w:themeColor="text1"/>
                <w:sz w:val="24"/>
                <w14:textFill>
                  <w14:solidFill>
                    <w14:schemeClr w14:val="tx1"/>
                  </w14:solidFill>
                </w14:textFill>
              </w:rPr>
              <w:t>《危险废物贮存污染控制标准》（GB18597-20</w:t>
            </w:r>
            <w:r>
              <w:rPr>
                <w:rFonts w:hint="eastAsia"/>
                <w:snapToGrid w:val="0"/>
                <w:color w:val="000000" w:themeColor="text1"/>
                <w:sz w:val="24"/>
                <w14:textFill>
                  <w14:solidFill>
                    <w14:schemeClr w14:val="tx1"/>
                  </w14:solidFill>
                </w14:textFill>
              </w:rPr>
              <w:t>23</w:t>
            </w:r>
            <w:r>
              <w:rPr>
                <w:snapToGrid w:val="0"/>
                <w:color w:val="000000" w:themeColor="text1"/>
                <w:sz w:val="24"/>
                <w14:textFill>
                  <w14:solidFill>
                    <w14:schemeClr w14:val="tx1"/>
                  </w14:solidFill>
                </w14:textFill>
              </w:rPr>
              <w:t>）</w:t>
            </w:r>
            <w:r>
              <w:rPr>
                <w:rFonts w:hint="eastAsia"/>
                <w:snapToGrid w:val="0"/>
                <w:color w:val="000000" w:themeColor="text1"/>
                <w:sz w:val="24"/>
                <w14:textFill>
                  <w14:solidFill>
                    <w14:schemeClr w14:val="tx1"/>
                  </w14:solidFill>
                </w14:textFill>
              </w:rPr>
              <w:t>中有关规定</w:t>
            </w:r>
            <w:r>
              <w:rPr>
                <w:rFonts w:hint="eastAsia"/>
                <w:snapToGrid w:val="0"/>
                <w:color w:val="auto"/>
                <w:sz w:val="24"/>
              </w:rPr>
              <w:t>门口设提示环境保护图形标志，能长久保留。</w:t>
            </w:r>
          </w:p>
          <w:p w14:paraId="162F29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snapToGrid w:val="0"/>
                <w:color w:val="auto"/>
                <w:sz w:val="24"/>
              </w:rPr>
            </w:pPr>
            <w:r>
              <w:rPr>
                <w:rFonts w:hint="eastAsia"/>
                <w:snapToGrid w:val="0"/>
                <w:color w:val="auto"/>
                <w:sz w:val="24"/>
              </w:rPr>
              <w:t>根据《环境保护图形标志---排放口（源）》（GB15562.1-</w:t>
            </w:r>
            <w:r>
              <w:rPr>
                <w:rFonts w:hint="eastAsia"/>
                <w:snapToGrid w:val="0"/>
                <w:color w:val="auto"/>
                <w:sz w:val="24"/>
                <w:lang w:val="en-US" w:eastAsia="zh-CN"/>
              </w:rPr>
              <w:t>19</w:t>
            </w:r>
            <w:r>
              <w:rPr>
                <w:rFonts w:hint="eastAsia"/>
                <w:snapToGrid w:val="0"/>
                <w:color w:val="auto"/>
                <w:sz w:val="24"/>
              </w:rPr>
              <w:t>95、GB15562.2-</w:t>
            </w:r>
            <w:r>
              <w:rPr>
                <w:rFonts w:hint="eastAsia"/>
                <w:snapToGrid w:val="0"/>
                <w:color w:val="auto"/>
                <w:sz w:val="24"/>
                <w:lang w:val="en-US" w:eastAsia="zh-CN"/>
              </w:rPr>
              <w:t>19</w:t>
            </w:r>
            <w:r>
              <w:rPr>
                <w:rFonts w:hint="eastAsia"/>
                <w:snapToGrid w:val="0"/>
                <w:color w:val="auto"/>
                <w:sz w:val="24"/>
              </w:rPr>
              <w:t>95</w:t>
            </w:r>
            <w:r>
              <w:rPr>
                <w:rFonts w:hint="eastAsia"/>
                <w:snapToGrid w:val="0"/>
                <w:color w:val="auto"/>
                <w:sz w:val="24"/>
                <w:lang w:val="en-US" w:eastAsia="zh-CN"/>
              </w:rPr>
              <w:t>修改单</w:t>
            </w:r>
            <w:r>
              <w:rPr>
                <w:rFonts w:hint="eastAsia"/>
                <w:snapToGrid w:val="0"/>
                <w:color w:val="auto"/>
                <w:sz w:val="24"/>
              </w:rPr>
              <w:t>），环境保护图形符号见下表。</w:t>
            </w:r>
          </w:p>
          <w:p w14:paraId="4ED1AF31">
            <w:pPr>
              <w:pStyle w:val="58"/>
              <w:keepNext w:val="0"/>
              <w:keepLines w:val="0"/>
              <w:pageBreakBefore w:val="0"/>
              <w:widowControl w:val="0"/>
              <w:kinsoku/>
              <w:wordWrap/>
              <w:overflowPunct/>
              <w:topLinePunct w:val="0"/>
              <w:autoSpaceDE/>
              <w:autoSpaceDN/>
              <w:bidi w:val="0"/>
              <w:ind w:firstLine="0" w:firstLineChars="0"/>
              <w:jc w:val="center"/>
              <w:textAlignment w:val="auto"/>
              <w:rPr>
                <w:color w:val="auto"/>
              </w:rPr>
            </w:pPr>
            <w:r>
              <w:rPr>
                <w:color w:val="auto"/>
              </w:rPr>
              <w:t>表</w:t>
            </w:r>
            <w:r>
              <w:rPr>
                <w:rFonts w:hint="eastAsia"/>
                <w:color w:val="auto"/>
              </w:rPr>
              <w:t>5-1</w:t>
            </w:r>
            <w:r>
              <w:rPr>
                <w:color w:val="auto"/>
              </w:rPr>
              <w:t xml:space="preserve">  </w:t>
            </w:r>
            <w:r>
              <w:rPr>
                <w:rFonts w:hint="eastAsia"/>
                <w:color w:val="auto"/>
                <w:szCs w:val="24"/>
              </w:rPr>
              <w:t>环境保护图形符号</w:t>
            </w:r>
            <w:r>
              <w:rPr>
                <w:color w:val="auto"/>
              </w:rPr>
              <w:t>一览表</w:t>
            </w:r>
          </w:p>
          <w:tbl>
            <w:tblPr>
              <w:tblStyle w:val="24"/>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0"/>
              <w:gridCol w:w="3358"/>
              <w:gridCol w:w="3716"/>
            </w:tblGrid>
            <w:tr w14:paraId="03A76C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97" w:type="pct"/>
                  <w:tcBorders>
                    <w:tl2br w:val="nil"/>
                    <w:tr2bl w:val="nil"/>
                  </w:tcBorders>
                  <w:noWrap w:val="0"/>
                  <w:vAlign w:val="center"/>
                </w:tcPr>
                <w:p w14:paraId="63EF516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bookmarkStart w:id="9" w:name="10.2.4企业环境信息公开"/>
                  <w:bookmarkEnd w:id="9"/>
                  <w:r>
                    <w:rPr>
                      <w:rFonts w:hint="default" w:ascii="Times New Roman" w:hAnsi="Times New Roman" w:cs="Times New Roman"/>
                      <w:color w:val="auto"/>
                      <w:szCs w:val="21"/>
                    </w:rPr>
                    <w:t>名称</w:t>
                  </w:r>
                </w:p>
              </w:tc>
              <w:tc>
                <w:tcPr>
                  <w:tcW w:w="2137" w:type="pct"/>
                  <w:tcBorders>
                    <w:tl2br w:val="nil"/>
                    <w:tr2bl w:val="nil"/>
                  </w:tcBorders>
                  <w:noWrap w:val="0"/>
                  <w:vAlign w:val="center"/>
                </w:tcPr>
                <w:p w14:paraId="0790CEF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废气排放口</w:t>
                  </w:r>
                </w:p>
              </w:tc>
              <w:tc>
                <w:tcPr>
                  <w:tcW w:w="2365" w:type="pct"/>
                  <w:tcBorders>
                    <w:tl2br w:val="nil"/>
                    <w:tr2bl w:val="nil"/>
                  </w:tcBorders>
                  <w:noWrap w:val="0"/>
                  <w:vAlign w:val="center"/>
                </w:tcPr>
                <w:p w14:paraId="028F73F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eastAsia"/>
                      <w:color w:val="auto"/>
                      <w:szCs w:val="21"/>
                      <w:lang w:val="en-US" w:eastAsia="zh-CN"/>
                    </w:rPr>
                    <w:t>一般固体废物</w:t>
                  </w:r>
                </w:p>
              </w:tc>
            </w:tr>
            <w:tr w14:paraId="0CC196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60" w:hRule="atLeast"/>
                <w:jc w:val="center"/>
              </w:trPr>
              <w:tc>
                <w:tcPr>
                  <w:tcW w:w="497" w:type="pct"/>
                  <w:tcBorders>
                    <w:tl2br w:val="nil"/>
                    <w:tr2bl w:val="nil"/>
                  </w:tcBorders>
                  <w:noWrap w:val="0"/>
                  <w:vAlign w:val="center"/>
                </w:tcPr>
                <w:p w14:paraId="2B2D7B9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提示图形符号</w:t>
                  </w:r>
                </w:p>
              </w:tc>
              <w:tc>
                <w:tcPr>
                  <w:tcW w:w="2137" w:type="pct"/>
                  <w:tcBorders>
                    <w:tl2br w:val="nil"/>
                    <w:tr2bl w:val="nil"/>
                  </w:tcBorders>
                  <w:noWrap w:val="0"/>
                  <w:vAlign w:val="center"/>
                </w:tcPr>
                <w:p w14:paraId="4BD377F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drawing>
                      <wp:anchor distT="0" distB="0" distL="114300" distR="114300" simplePos="0" relativeHeight="251662336" behindDoc="0" locked="0" layoutInCell="1" allowOverlap="1">
                        <wp:simplePos x="0" y="0"/>
                        <wp:positionH relativeFrom="column">
                          <wp:posOffset>-29845</wp:posOffset>
                        </wp:positionH>
                        <wp:positionV relativeFrom="paragraph">
                          <wp:posOffset>33020</wp:posOffset>
                        </wp:positionV>
                        <wp:extent cx="1811020" cy="1403985"/>
                        <wp:effectExtent l="0" t="0" r="2540" b="13335"/>
                        <wp:wrapNone/>
                        <wp:docPr id="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
                                <pic:cNvPicPr>
                                  <a:picLocks noChangeAspect="1"/>
                                </pic:cNvPicPr>
                              </pic:nvPicPr>
                              <pic:blipFill>
                                <a:blip r:embed="rId29"/>
                                <a:stretch>
                                  <a:fillRect/>
                                </a:stretch>
                              </pic:blipFill>
                              <pic:spPr>
                                <a:xfrm>
                                  <a:off x="0" y="0"/>
                                  <a:ext cx="1811020" cy="1403985"/>
                                </a:xfrm>
                                <a:prstGeom prst="rect">
                                  <a:avLst/>
                                </a:prstGeom>
                                <a:noFill/>
                                <a:ln>
                                  <a:noFill/>
                                </a:ln>
                              </pic:spPr>
                            </pic:pic>
                          </a:graphicData>
                        </a:graphic>
                      </wp:anchor>
                    </w:drawing>
                  </w:r>
                </w:p>
                <w:p w14:paraId="296B411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p>
                <w:p w14:paraId="6629A17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p>
                <w:p w14:paraId="11A9FD3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p>
                <w:p w14:paraId="50069D1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p>
              </w:tc>
              <w:tc>
                <w:tcPr>
                  <w:tcW w:w="2365" w:type="pct"/>
                  <w:tcBorders>
                    <w:tl2br w:val="nil"/>
                    <w:tr2bl w:val="nil"/>
                  </w:tcBorders>
                  <w:noWrap w:val="0"/>
                  <w:vAlign w:val="center"/>
                </w:tcPr>
                <w:p w14:paraId="10C0FA8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eastAsia"/>
                      <w:color w:val="auto"/>
                      <w:szCs w:val="21"/>
                      <w:lang w:val="en-US" w:eastAsia="zh-CN"/>
                    </w:rPr>
                    <w:drawing>
                      <wp:inline distT="0" distB="0" distL="114300" distR="114300">
                        <wp:extent cx="1758950" cy="1402080"/>
                        <wp:effectExtent l="0" t="0" r="8890" b="0"/>
                        <wp:docPr id="7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3"/>
                                <pic:cNvPicPr>
                                  <a:picLocks noChangeAspect="1"/>
                                </pic:cNvPicPr>
                              </pic:nvPicPr>
                              <pic:blipFill>
                                <a:blip r:embed="rId30"/>
                                <a:stretch>
                                  <a:fillRect/>
                                </a:stretch>
                              </pic:blipFill>
                              <pic:spPr>
                                <a:xfrm>
                                  <a:off x="0" y="0"/>
                                  <a:ext cx="1758950" cy="1402080"/>
                                </a:xfrm>
                                <a:prstGeom prst="rect">
                                  <a:avLst/>
                                </a:prstGeom>
                                <a:noFill/>
                                <a:ln>
                                  <a:noFill/>
                                </a:ln>
                              </pic:spPr>
                            </pic:pic>
                          </a:graphicData>
                        </a:graphic>
                      </wp:inline>
                    </w:drawing>
                  </w:r>
                </w:p>
              </w:tc>
            </w:tr>
            <w:tr w14:paraId="1C0619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7" w:type="pct"/>
                  <w:tcBorders>
                    <w:tl2br w:val="nil"/>
                    <w:tr2bl w:val="nil"/>
                  </w:tcBorders>
                  <w:noWrap w:val="0"/>
                  <w:vAlign w:val="center"/>
                </w:tcPr>
                <w:p w14:paraId="4025B33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功能</w:t>
                  </w:r>
                </w:p>
              </w:tc>
              <w:tc>
                <w:tcPr>
                  <w:tcW w:w="2137" w:type="pct"/>
                  <w:tcBorders>
                    <w:tl2br w:val="nil"/>
                    <w:tr2bl w:val="nil"/>
                  </w:tcBorders>
                  <w:noWrap w:val="0"/>
                  <w:vAlign w:val="center"/>
                </w:tcPr>
                <w:p w14:paraId="6BFCB6A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表示废气向外环境排放</w:t>
                  </w:r>
                </w:p>
              </w:tc>
              <w:tc>
                <w:tcPr>
                  <w:tcW w:w="2365" w:type="pct"/>
                  <w:tcBorders>
                    <w:tl2br w:val="nil"/>
                    <w:tr2bl w:val="nil"/>
                  </w:tcBorders>
                  <w:noWrap w:val="0"/>
                  <w:vAlign w:val="center"/>
                </w:tcPr>
                <w:p w14:paraId="30627C0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eastAsia"/>
                      <w:color w:val="auto"/>
                      <w:szCs w:val="21"/>
                    </w:rPr>
                    <w:t>表示一般固体废物贮存、处置场</w:t>
                  </w:r>
                </w:p>
              </w:tc>
            </w:tr>
            <w:tr w14:paraId="575A16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0" w:type="dxa"/>
                  <w:tcBorders>
                    <w:tl2br w:val="nil"/>
                    <w:tr2bl w:val="nil"/>
                  </w:tcBorders>
                  <w:noWrap w:val="0"/>
                  <w:vAlign w:val="center"/>
                </w:tcPr>
                <w:p w14:paraId="02A4263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名称</w:t>
                  </w:r>
                </w:p>
              </w:tc>
              <w:tc>
                <w:tcPr>
                  <w:tcW w:w="3358" w:type="dxa"/>
                  <w:tcBorders>
                    <w:tl2br w:val="nil"/>
                    <w:tr2bl w:val="nil"/>
                  </w:tcBorders>
                  <w:noWrap w:val="0"/>
                  <w:vAlign w:val="center"/>
                </w:tcPr>
                <w:p w14:paraId="08012A0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危险废物</w:t>
                  </w:r>
                </w:p>
              </w:tc>
              <w:tc>
                <w:tcPr>
                  <w:tcW w:w="2365" w:type="pct"/>
                  <w:tcBorders>
                    <w:tl2br w:val="nil"/>
                    <w:tr2bl w:val="nil"/>
                  </w:tcBorders>
                  <w:noWrap w:val="0"/>
                  <w:vAlign w:val="center"/>
                </w:tcPr>
                <w:p w14:paraId="4EC1BE1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szCs w:val="21"/>
                    </w:rPr>
                  </w:pPr>
                </w:p>
              </w:tc>
            </w:tr>
            <w:tr w14:paraId="3CC5E3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780" w:type="dxa"/>
                  <w:tcBorders>
                    <w:tl2br w:val="nil"/>
                    <w:tr2bl w:val="nil"/>
                  </w:tcBorders>
                  <w:noWrap w:val="0"/>
                  <w:vAlign w:val="center"/>
                </w:tcPr>
                <w:p w14:paraId="256DA9B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提示图形符号</w:t>
                  </w:r>
                </w:p>
              </w:tc>
              <w:tc>
                <w:tcPr>
                  <w:tcW w:w="3358" w:type="dxa"/>
                  <w:tcBorders>
                    <w:tl2br w:val="nil"/>
                    <w:tr2bl w:val="nil"/>
                  </w:tcBorders>
                  <w:noWrap w:val="0"/>
                  <w:vAlign w:val="center"/>
                </w:tcPr>
                <w:p w14:paraId="608D42A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000000" w:themeColor="text1"/>
                      <w14:textFill>
                        <w14:solidFill>
                          <w14:schemeClr w14:val="tx1"/>
                        </w14:solidFill>
                      </w14:textFill>
                    </w:rPr>
                    <w:drawing>
                      <wp:inline distT="0" distB="0" distL="114300" distR="114300">
                        <wp:extent cx="2014220" cy="1473200"/>
                        <wp:effectExtent l="0" t="0" r="12700" b="5080"/>
                        <wp:docPr id="28"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descr="1"/>
                                <pic:cNvPicPr>
                                  <a:picLocks noChangeAspect="1"/>
                                </pic:cNvPicPr>
                              </pic:nvPicPr>
                              <pic:blipFill>
                                <a:blip r:embed="rId31"/>
                                <a:stretch>
                                  <a:fillRect/>
                                </a:stretch>
                              </pic:blipFill>
                              <pic:spPr>
                                <a:xfrm>
                                  <a:off x="0" y="0"/>
                                  <a:ext cx="2014220" cy="1473200"/>
                                </a:xfrm>
                                <a:prstGeom prst="rect">
                                  <a:avLst/>
                                </a:prstGeom>
                                <a:noFill/>
                                <a:ln>
                                  <a:noFill/>
                                </a:ln>
                              </pic:spPr>
                            </pic:pic>
                          </a:graphicData>
                        </a:graphic>
                      </wp:inline>
                    </w:drawing>
                  </w:r>
                </w:p>
              </w:tc>
              <w:tc>
                <w:tcPr>
                  <w:tcW w:w="2365" w:type="pct"/>
                  <w:tcBorders>
                    <w:tl2br w:val="nil"/>
                    <w:tr2bl w:val="nil"/>
                  </w:tcBorders>
                  <w:noWrap w:val="0"/>
                  <w:vAlign w:val="center"/>
                </w:tcPr>
                <w:p w14:paraId="3980E38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szCs w:val="21"/>
                    </w:rPr>
                  </w:pPr>
                </w:p>
              </w:tc>
            </w:tr>
            <w:tr w14:paraId="2A8F6B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0" w:type="dxa"/>
                  <w:tcBorders>
                    <w:tl2br w:val="nil"/>
                    <w:tr2bl w:val="nil"/>
                  </w:tcBorders>
                  <w:noWrap w:val="0"/>
                  <w:vAlign w:val="center"/>
                </w:tcPr>
                <w:p w14:paraId="4AC508F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功能</w:t>
                  </w:r>
                </w:p>
              </w:tc>
              <w:tc>
                <w:tcPr>
                  <w:tcW w:w="3358" w:type="dxa"/>
                  <w:tcBorders>
                    <w:tl2br w:val="nil"/>
                    <w:tr2bl w:val="nil"/>
                  </w:tcBorders>
                  <w:noWrap w:val="0"/>
                  <w:vAlign w:val="center"/>
                </w:tcPr>
                <w:p w14:paraId="59432BB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000000" w:themeColor="text1"/>
                      <w:szCs w:val="21"/>
                      <w14:textFill>
                        <w14:solidFill>
                          <w14:schemeClr w14:val="tx1"/>
                        </w14:solidFill>
                      </w14:textFill>
                    </w:rPr>
                    <w:t>表示</w:t>
                  </w:r>
                  <w:r>
                    <w:rPr>
                      <w:rFonts w:hint="default" w:ascii="Times New Roman" w:hAnsi="Times New Roman" w:cs="Times New Roman"/>
                      <w:color w:val="000000" w:themeColor="text1"/>
                      <w:szCs w:val="21"/>
                      <w:lang w:val="en-US" w:eastAsia="zh-CN"/>
                      <w14:textFill>
                        <w14:solidFill>
                          <w14:schemeClr w14:val="tx1"/>
                        </w14:solidFill>
                      </w14:textFill>
                    </w:rPr>
                    <w:t>危险</w:t>
                  </w:r>
                  <w:r>
                    <w:rPr>
                      <w:rFonts w:hint="default" w:ascii="Times New Roman" w:hAnsi="Times New Roman" w:cs="Times New Roman"/>
                      <w:color w:val="000000" w:themeColor="text1"/>
                      <w:szCs w:val="21"/>
                      <w14:textFill>
                        <w14:solidFill>
                          <w14:schemeClr w14:val="tx1"/>
                        </w14:solidFill>
                      </w14:textFill>
                    </w:rPr>
                    <w:t>废物贮存、处置场</w:t>
                  </w:r>
                </w:p>
              </w:tc>
              <w:tc>
                <w:tcPr>
                  <w:tcW w:w="2365" w:type="pct"/>
                  <w:tcBorders>
                    <w:tl2br w:val="nil"/>
                    <w:tr2bl w:val="nil"/>
                  </w:tcBorders>
                  <w:noWrap w:val="0"/>
                  <w:vAlign w:val="center"/>
                </w:tcPr>
                <w:p w14:paraId="568EA04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szCs w:val="21"/>
                    </w:rPr>
                  </w:pPr>
                </w:p>
              </w:tc>
            </w:tr>
          </w:tbl>
          <w:p w14:paraId="2755E5F0">
            <w:pPr>
              <w:keepNext w:val="0"/>
              <w:keepLines w:val="0"/>
              <w:pageBreakBefore w:val="0"/>
              <w:widowControl w:val="0"/>
              <w:kinsoku/>
              <w:wordWrap/>
              <w:overflowPunct/>
              <w:topLinePunct w:val="0"/>
              <w:autoSpaceDE/>
              <w:autoSpaceDN/>
              <w:bidi w:val="0"/>
              <w:ind w:firstLine="0" w:firstLineChars="0"/>
              <w:jc w:val="center"/>
              <w:textAlignment w:val="auto"/>
              <w:rPr>
                <w:color w:val="auto"/>
              </w:rPr>
            </w:pPr>
          </w:p>
          <w:p w14:paraId="3E633B9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szCs w:val="24"/>
              </w:rPr>
            </w:pPr>
          </w:p>
        </w:tc>
      </w:tr>
    </w:tbl>
    <w:p w14:paraId="0FF7BB95">
      <w:pPr>
        <w:widowControl/>
        <w:spacing w:before="100" w:beforeAutospacing="1" w:after="100" w:afterAutospacing="1"/>
        <w:jc w:val="center"/>
        <w:outlineLvl w:val="0"/>
        <w:rPr>
          <w:rFonts w:eastAsia="黑体"/>
          <w:snapToGrid w:val="0"/>
          <w:color w:val="0000FF"/>
          <w:kern w:val="0"/>
          <w:sz w:val="30"/>
          <w:szCs w:val="30"/>
        </w:rPr>
      </w:pPr>
      <w:r>
        <w:rPr>
          <w:snapToGrid w:val="0"/>
          <w:color w:val="0000FF"/>
          <w:kern w:val="0"/>
          <w:sz w:val="24"/>
          <w:szCs w:val="20"/>
        </w:rPr>
        <w:br w:type="page"/>
      </w:r>
      <w:r>
        <w:rPr>
          <w:rFonts w:eastAsia="黑体"/>
          <w:snapToGrid w:val="0"/>
          <w:color w:val="auto"/>
          <w:kern w:val="0"/>
          <w:sz w:val="30"/>
          <w:szCs w:val="30"/>
        </w:rPr>
        <w:t>六、结论</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079EB4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36" w:hRule="atLeast"/>
          <w:jc w:val="center"/>
        </w:trPr>
        <w:tc>
          <w:tcPr>
            <w:tcW w:w="8865" w:type="dxa"/>
            <w:vAlign w:val="top"/>
          </w:tcPr>
          <w:p w14:paraId="049BDA7F">
            <w:pPr>
              <w:spacing w:before="120" w:beforeLines="50" w:line="360" w:lineRule="auto"/>
              <w:ind w:firstLine="480" w:firstLineChars="200"/>
              <w:rPr>
                <w:rFonts w:ascii="宋体" w:cs="宋体"/>
                <w:color w:val="auto"/>
                <w:sz w:val="24"/>
              </w:rPr>
            </w:pPr>
            <w:r>
              <w:rPr>
                <w:color w:val="auto"/>
                <w:sz w:val="24"/>
              </w:rPr>
              <w:t>从环境保护角度分析，本项目建设环境影响可行。</w:t>
            </w:r>
          </w:p>
          <w:p w14:paraId="4AD9AB9A">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470" w:firstLineChars="196"/>
              <w:jc w:val="both"/>
              <w:textAlignment w:val="auto"/>
              <w:rPr>
                <w:color w:val="0000FF"/>
                <w:sz w:val="24"/>
              </w:rPr>
            </w:pPr>
          </w:p>
        </w:tc>
      </w:tr>
    </w:tbl>
    <w:p w14:paraId="4C6BDE6D">
      <w:pPr>
        <w:rPr>
          <w:color w:val="auto"/>
        </w:rPr>
        <w:sectPr>
          <w:pgSz w:w="11906" w:h="16838"/>
          <w:pgMar w:top="1553" w:right="1553" w:bottom="1553" w:left="1553"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54BF4D32">
      <w:pPr>
        <w:keepNext w:val="0"/>
        <w:keepLines w:val="0"/>
        <w:pageBreakBefore w:val="0"/>
        <w:widowControl/>
        <w:kinsoku/>
        <w:wordWrap/>
        <w:overflowPunct/>
        <w:topLinePunct w:val="0"/>
        <w:autoSpaceDE/>
        <w:autoSpaceDN/>
        <w:bidi w:val="0"/>
        <w:adjustRightInd w:val="0"/>
        <w:snapToGrid w:val="0"/>
        <w:spacing w:line="240" w:lineRule="auto"/>
        <w:jc w:val="left"/>
        <w:textAlignment w:val="auto"/>
        <w:outlineLvl w:val="0"/>
        <w:rPr>
          <w:rFonts w:eastAsia="黑体"/>
          <w:snapToGrid w:val="0"/>
          <w:color w:val="auto"/>
          <w:kern w:val="0"/>
          <w:sz w:val="32"/>
          <w:szCs w:val="32"/>
        </w:rPr>
      </w:pPr>
      <w:r>
        <w:rPr>
          <w:rFonts w:eastAsia="黑体"/>
          <w:snapToGrid w:val="0"/>
          <w:color w:val="auto"/>
          <w:kern w:val="0"/>
          <w:sz w:val="32"/>
          <w:szCs w:val="32"/>
        </w:rPr>
        <w:t>附表</w:t>
      </w:r>
    </w:p>
    <w:p w14:paraId="6C27BFB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eastAsia="方正小标宋_GBK"/>
          <w:snapToGrid w:val="0"/>
          <w:color w:val="auto"/>
          <w:kern w:val="0"/>
          <w:sz w:val="36"/>
          <w:szCs w:val="36"/>
        </w:rPr>
      </w:pPr>
      <w:r>
        <w:rPr>
          <w:rFonts w:eastAsia="方正小标宋_GBK"/>
          <w:snapToGrid w:val="0"/>
          <w:color w:val="auto"/>
          <w:kern w:val="0"/>
          <w:sz w:val="36"/>
          <w:szCs w:val="36"/>
        </w:rPr>
        <w:t>建设项目污染物排放量汇总表</w:t>
      </w:r>
    </w:p>
    <w:tbl>
      <w:tblPr>
        <w:tblStyle w:val="24"/>
        <w:tblW w:w="13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644"/>
        <w:gridCol w:w="2107"/>
        <w:gridCol w:w="1754"/>
        <w:gridCol w:w="1462"/>
        <w:gridCol w:w="1613"/>
        <w:gridCol w:w="1331"/>
        <w:gridCol w:w="1718"/>
        <w:gridCol w:w="1049"/>
      </w:tblGrid>
      <w:tr w14:paraId="47F9D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tcBorders>
              <w:tl2br w:val="single" w:color="auto" w:sz="4" w:space="0"/>
            </w:tcBorders>
            <w:tcMar>
              <w:left w:w="28" w:type="dxa"/>
              <w:right w:w="28" w:type="dxa"/>
            </w:tcMar>
            <w:vAlign w:val="center"/>
          </w:tcPr>
          <w:p w14:paraId="5D473555">
            <w:pPr>
              <w:keepNext w:val="0"/>
              <w:keepLines w:val="0"/>
              <w:pageBreakBefore w:val="0"/>
              <w:widowControl w:val="0"/>
              <w:wordWrap/>
              <w:topLinePunct w:val="0"/>
              <w:autoSpaceDE/>
              <w:autoSpaceDN/>
              <w:bidi w:val="0"/>
              <w:adjustRightInd w:val="0"/>
              <w:snapToGrid w:val="0"/>
              <w:jc w:val="right"/>
              <w:rPr>
                <w:rFonts w:eastAsia="黑体"/>
                <w:snapToGrid w:val="0"/>
                <w:color w:val="auto"/>
                <w:spacing w:val="-6"/>
                <w:kern w:val="21"/>
                <w:sz w:val="24"/>
                <w:szCs w:val="24"/>
              </w:rPr>
            </w:pPr>
            <w:r>
              <w:rPr>
                <w:rFonts w:eastAsia="黑体"/>
                <w:snapToGrid w:val="0"/>
                <w:color w:val="auto"/>
                <w:spacing w:val="-6"/>
                <w:kern w:val="21"/>
                <w:sz w:val="24"/>
                <w:szCs w:val="24"/>
              </w:rPr>
              <w:t>项目</w:t>
            </w:r>
          </w:p>
          <w:p w14:paraId="782D9BAA">
            <w:pPr>
              <w:keepNext w:val="0"/>
              <w:keepLines w:val="0"/>
              <w:pageBreakBefore w:val="0"/>
              <w:widowControl w:val="0"/>
              <w:wordWrap/>
              <w:topLinePunct w:val="0"/>
              <w:autoSpaceDE/>
              <w:autoSpaceDN/>
              <w:bidi w:val="0"/>
              <w:adjustRightInd w:val="0"/>
              <w:snapToGrid w:val="0"/>
              <w:jc w:val="left"/>
              <w:rPr>
                <w:rFonts w:eastAsia="黑体"/>
                <w:snapToGrid w:val="0"/>
                <w:color w:val="auto"/>
                <w:spacing w:val="-6"/>
                <w:kern w:val="21"/>
                <w:sz w:val="24"/>
                <w:szCs w:val="24"/>
              </w:rPr>
            </w:pPr>
            <w:r>
              <w:rPr>
                <w:rFonts w:eastAsia="黑体"/>
                <w:snapToGrid w:val="0"/>
                <w:color w:val="auto"/>
                <w:spacing w:val="-6"/>
                <w:kern w:val="21"/>
                <w:sz w:val="24"/>
                <w:szCs w:val="24"/>
              </w:rPr>
              <w:t>分类</w:t>
            </w:r>
          </w:p>
        </w:tc>
        <w:tc>
          <w:tcPr>
            <w:tcW w:w="1644" w:type="dxa"/>
            <w:tcMar>
              <w:left w:w="28" w:type="dxa"/>
              <w:right w:w="28" w:type="dxa"/>
            </w:tcMar>
            <w:vAlign w:val="center"/>
          </w:tcPr>
          <w:p w14:paraId="5F1DBC5C">
            <w:pPr>
              <w:keepNext w:val="0"/>
              <w:keepLines w:val="0"/>
              <w:pageBreakBefore w:val="0"/>
              <w:widowControl w:val="0"/>
              <w:wordWrap/>
              <w:topLinePunct w:val="0"/>
              <w:autoSpaceDE/>
              <w:autoSpaceDN/>
              <w:bidi w:val="0"/>
              <w:adjustRightInd w:val="0"/>
              <w:snapToGrid w:val="0"/>
              <w:jc w:val="center"/>
              <w:rPr>
                <w:rFonts w:eastAsia="黑体"/>
                <w:snapToGrid w:val="0"/>
                <w:color w:val="auto"/>
                <w:spacing w:val="-6"/>
                <w:kern w:val="21"/>
                <w:sz w:val="24"/>
                <w:szCs w:val="24"/>
              </w:rPr>
            </w:pPr>
            <w:r>
              <w:rPr>
                <w:rFonts w:eastAsia="黑体"/>
                <w:snapToGrid w:val="0"/>
                <w:color w:val="auto"/>
                <w:spacing w:val="-6"/>
                <w:kern w:val="21"/>
                <w:sz w:val="24"/>
                <w:szCs w:val="24"/>
              </w:rPr>
              <w:t>污染物名称</w:t>
            </w:r>
          </w:p>
        </w:tc>
        <w:tc>
          <w:tcPr>
            <w:tcW w:w="2107" w:type="dxa"/>
            <w:tcMar>
              <w:left w:w="28" w:type="dxa"/>
              <w:right w:w="28" w:type="dxa"/>
            </w:tcMar>
            <w:vAlign w:val="center"/>
          </w:tcPr>
          <w:p w14:paraId="16946F7D">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 w:val="24"/>
                <w:szCs w:val="24"/>
              </w:rPr>
            </w:pPr>
            <w:r>
              <w:rPr>
                <w:rFonts w:hint="default" w:ascii="Times New Roman" w:hAnsi="Times New Roman" w:eastAsia="黑体" w:cs="Times New Roman"/>
                <w:snapToGrid w:val="0"/>
                <w:color w:val="auto"/>
                <w:spacing w:val="-6"/>
                <w:kern w:val="21"/>
                <w:sz w:val="24"/>
                <w:szCs w:val="24"/>
              </w:rPr>
              <w:t>现有工程排放量（固体废物产生量）</w:t>
            </w:r>
            <w:r>
              <w:rPr>
                <w:rFonts w:hint="default" w:ascii="Times New Roman" w:hAnsi="Times New Roman" w:eastAsia="黑体" w:cs="Times New Roman"/>
                <w:snapToGrid w:val="0"/>
                <w:color w:val="auto"/>
                <w:spacing w:val="-6"/>
                <w:kern w:val="21"/>
                <w:sz w:val="24"/>
                <w:szCs w:val="24"/>
              </w:rPr>
              <w:fldChar w:fldCharType="begin"/>
            </w:r>
            <w:r>
              <w:rPr>
                <w:rFonts w:hint="default" w:ascii="Times New Roman" w:hAnsi="Times New Roman" w:eastAsia="黑体" w:cs="Times New Roman"/>
                <w:snapToGrid w:val="0"/>
                <w:color w:val="auto"/>
                <w:spacing w:val="-6"/>
                <w:kern w:val="21"/>
                <w:sz w:val="24"/>
                <w:szCs w:val="24"/>
              </w:rPr>
              <w:instrText xml:space="preserve"> = 1 \* GB3 \* MERGEFORMAT </w:instrText>
            </w:r>
            <w:r>
              <w:rPr>
                <w:rFonts w:hint="default" w:ascii="Times New Roman" w:hAnsi="Times New Roman" w:eastAsia="黑体" w:cs="Times New Roman"/>
                <w:snapToGrid w:val="0"/>
                <w:color w:val="auto"/>
                <w:spacing w:val="-6"/>
                <w:kern w:val="21"/>
                <w:sz w:val="24"/>
                <w:szCs w:val="24"/>
              </w:rPr>
              <w:fldChar w:fldCharType="separate"/>
            </w:r>
            <w:r>
              <w:rPr>
                <w:rFonts w:hint="default" w:ascii="Times New Roman" w:hAnsi="Times New Roman" w:eastAsia="黑体" w:cs="Times New Roman"/>
                <w:color w:val="auto"/>
                <w:sz w:val="24"/>
                <w:szCs w:val="24"/>
              </w:rPr>
              <w:t>①</w:t>
            </w:r>
            <w:r>
              <w:rPr>
                <w:rFonts w:hint="default" w:ascii="Times New Roman" w:hAnsi="Times New Roman" w:eastAsia="黑体" w:cs="Times New Roman"/>
                <w:snapToGrid w:val="0"/>
                <w:color w:val="auto"/>
                <w:spacing w:val="-6"/>
                <w:kern w:val="21"/>
                <w:sz w:val="24"/>
                <w:szCs w:val="24"/>
              </w:rPr>
              <w:fldChar w:fldCharType="end"/>
            </w:r>
          </w:p>
        </w:tc>
        <w:tc>
          <w:tcPr>
            <w:tcW w:w="1754" w:type="dxa"/>
            <w:tcMar>
              <w:left w:w="28" w:type="dxa"/>
              <w:right w:w="28" w:type="dxa"/>
            </w:tcMar>
            <w:vAlign w:val="center"/>
          </w:tcPr>
          <w:p w14:paraId="664BF867">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 w:val="24"/>
                <w:szCs w:val="24"/>
              </w:rPr>
            </w:pPr>
            <w:r>
              <w:rPr>
                <w:rFonts w:hint="default" w:ascii="Times New Roman" w:hAnsi="Times New Roman" w:eastAsia="黑体" w:cs="Times New Roman"/>
                <w:snapToGrid w:val="0"/>
                <w:color w:val="auto"/>
                <w:spacing w:val="-6"/>
                <w:kern w:val="21"/>
                <w:sz w:val="24"/>
                <w:szCs w:val="24"/>
              </w:rPr>
              <w:t>现有工程</w:t>
            </w:r>
          </w:p>
          <w:p w14:paraId="6425D658">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 w:val="24"/>
                <w:szCs w:val="24"/>
              </w:rPr>
            </w:pPr>
            <w:r>
              <w:rPr>
                <w:rFonts w:hint="default" w:ascii="Times New Roman" w:hAnsi="Times New Roman" w:eastAsia="黑体" w:cs="Times New Roman"/>
                <w:snapToGrid w:val="0"/>
                <w:color w:val="auto"/>
                <w:spacing w:val="-6"/>
                <w:kern w:val="21"/>
                <w:sz w:val="24"/>
                <w:szCs w:val="24"/>
              </w:rPr>
              <w:t>许可排放量</w:t>
            </w:r>
            <w:r>
              <w:rPr>
                <w:rFonts w:hint="default" w:ascii="Times New Roman" w:hAnsi="Times New Roman" w:eastAsia="黑体" w:cs="Times New Roman"/>
                <w:snapToGrid w:val="0"/>
                <w:color w:val="auto"/>
                <w:spacing w:val="-6"/>
                <w:kern w:val="21"/>
                <w:sz w:val="24"/>
                <w:szCs w:val="24"/>
              </w:rPr>
              <w:fldChar w:fldCharType="begin"/>
            </w:r>
            <w:r>
              <w:rPr>
                <w:rFonts w:hint="default" w:ascii="Times New Roman" w:hAnsi="Times New Roman" w:eastAsia="黑体" w:cs="Times New Roman"/>
                <w:snapToGrid w:val="0"/>
                <w:color w:val="auto"/>
                <w:spacing w:val="-6"/>
                <w:kern w:val="21"/>
                <w:sz w:val="24"/>
                <w:szCs w:val="24"/>
              </w:rPr>
              <w:instrText xml:space="preserve"> = 2 \* GB3 \* MERGEFORMAT </w:instrText>
            </w:r>
            <w:r>
              <w:rPr>
                <w:rFonts w:hint="default" w:ascii="Times New Roman" w:hAnsi="Times New Roman" w:eastAsia="黑体" w:cs="Times New Roman"/>
                <w:snapToGrid w:val="0"/>
                <w:color w:val="auto"/>
                <w:spacing w:val="-6"/>
                <w:kern w:val="21"/>
                <w:sz w:val="24"/>
                <w:szCs w:val="24"/>
              </w:rPr>
              <w:fldChar w:fldCharType="separate"/>
            </w:r>
            <w:r>
              <w:rPr>
                <w:rFonts w:hint="default" w:ascii="Times New Roman" w:hAnsi="Times New Roman" w:eastAsia="黑体" w:cs="Times New Roman"/>
                <w:snapToGrid w:val="0"/>
                <w:color w:val="auto"/>
                <w:spacing w:val="-6"/>
                <w:kern w:val="21"/>
                <w:sz w:val="24"/>
                <w:szCs w:val="24"/>
              </w:rPr>
              <w:t>②</w:t>
            </w:r>
            <w:r>
              <w:rPr>
                <w:rFonts w:hint="default" w:ascii="Times New Roman" w:hAnsi="Times New Roman" w:eastAsia="黑体" w:cs="Times New Roman"/>
                <w:snapToGrid w:val="0"/>
                <w:color w:val="auto"/>
                <w:spacing w:val="-6"/>
                <w:kern w:val="21"/>
                <w:sz w:val="24"/>
                <w:szCs w:val="24"/>
              </w:rPr>
              <w:fldChar w:fldCharType="end"/>
            </w:r>
          </w:p>
        </w:tc>
        <w:tc>
          <w:tcPr>
            <w:tcW w:w="1462" w:type="dxa"/>
            <w:tcMar>
              <w:left w:w="28" w:type="dxa"/>
              <w:right w:w="28" w:type="dxa"/>
            </w:tcMar>
            <w:vAlign w:val="center"/>
          </w:tcPr>
          <w:p w14:paraId="51551F71">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 w:val="24"/>
                <w:szCs w:val="24"/>
              </w:rPr>
            </w:pPr>
            <w:r>
              <w:rPr>
                <w:rFonts w:hint="default" w:ascii="Times New Roman" w:hAnsi="Times New Roman" w:eastAsia="黑体" w:cs="Times New Roman"/>
                <w:snapToGrid w:val="0"/>
                <w:color w:val="auto"/>
                <w:spacing w:val="-6"/>
                <w:kern w:val="21"/>
                <w:sz w:val="24"/>
                <w:szCs w:val="24"/>
              </w:rPr>
              <w:t>在建工程排放量（固体废物产生量）</w:t>
            </w:r>
            <w:r>
              <w:rPr>
                <w:rFonts w:hint="default" w:ascii="Times New Roman" w:hAnsi="Times New Roman" w:eastAsia="黑体" w:cs="Times New Roman"/>
                <w:snapToGrid w:val="0"/>
                <w:color w:val="auto"/>
                <w:spacing w:val="-6"/>
                <w:kern w:val="21"/>
                <w:sz w:val="24"/>
                <w:szCs w:val="24"/>
              </w:rPr>
              <w:fldChar w:fldCharType="begin"/>
            </w:r>
            <w:r>
              <w:rPr>
                <w:rFonts w:hint="default" w:ascii="Times New Roman" w:hAnsi="Times New Roman" w:eastAsia="黑体" w:cs="Times New Roman"/>
                <w:snapToGrid w:val="0"/>
                <w:color w:val="auto"/>
                <w:spacing w:val="-6"/>
                <w:kern w:val="21"/>
                <w:sz w:val="24"/>
                <w:szCs w:val="24"/>
              </w:rPr>
              <w:instrText xml:space="preserve"> = 3 \* GB3 \* MERGEFORMAT </w:instrText>
            </w:r>
            <w:r>
              <w:rPr>
                <w:rFonts w:hint="default" w:ascii="Times New Roman" w:hAnsi="Times New Roman" w:eastAsia="黑体" w:cs="Times New Roman"/>
                <w:snapToGrid w:val="0"/>
                <w:color w:val="auto"/>
                <w:spacing w:val="-6"/>
                <w:kern w:val="21"/>
                <w:sz w:val="24"/>
                <w:szCs w:val="24"/>
              </w:rPr>
              <w:fldChar w:fldCharType="separate"/>
            </w:r>
            <w:r>
              <w:rPr>
                <w:rFonts w:hint="default" w:ascii="Times New Roman" w:hAnsi="Times New Roman" w:eastAsia="黑体" w:cs="Times New Roman"/>
                <w:color w:val="auto"/>
                <w:sz w:val="24"/>
                <w:szCs w:val="24"/>
              </w:rPr>
              <w:t>③</w:t>
            </w:r>
            <w:r>
              <w:rPr>
                <w:rFonts w:hint="default" w:ascii="Times New Roman" w:hAnsi="Times New Roman" w:eastAsia="黑体" w:cs="Times New Roman"/>
                <w:snapToGrid w:val="0"/>
                <w:color w:val="auto"/>
                <w:spacing w:val="-6"/>
                <w:kern w:val="21"/>
                <w:sz w:val="24"/>
                <w:szCs w:val="24"/>
              </w:rPr>
              <w:fldChar w:fldCharType="end"/>
            </w:r>
          </w:p>
        </w:tc>
        <w:tc>
          <w:tcPr>
            <w:tcW w:w="1613" w:type="dxa"/>
            <w:tcMar>
              <w:left w:w="28" w:type="dxa"/>
              <w:right w:w="28" w:type="dxa"/>
            </w:tcMar>
            <w:vAlign w:val="center"/>
          </w:tcPr>
          <w:p w14:paraId="7CF206EA">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 w:val="24"/>
                <w:szCs w:val="24"/>
              </w:rPr>
            </w:pPr>
            <w:r>
              <w:rPr>
                <w:rFonts w:hint="default" w:ascii="Times New Roman" w:hAnsi="Times New Roman" w:eastAsia="黑体" w:cs="Times New Roman"/>
                <w:snapToGrid w:val="0"/>
                <w:color w:val="auto"/>
                <w:spacing w:val="-6"/>
                <w:kern w:val="21"/>
                <w:sz w:val="24"/>
                <w:szCs w:val="24"/>
              </w:rPr>
              <w:t>本项目</w:t>
            </w:r>
          </w:p>
          <w:p w14:paraId="1A7B265C">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 w:val="24"/>
                <w:szCs w:val="24"/>
              </w:rPr>
            </w:pPr>
            <w:r>
              <w:rPr>
                <w:rFonts w:hint="default" w:ascii="Times New Roman" w:hAnsi="Times New Roman" w:eastAsia="黑体" w:cs="Times New Roman"/>
                <w:snapToGrid w:val="0"/>
                <w:color w:val="auto"/>
                <w:spacing w:val="-6"/>
                <w:kern w:val="21"/>
                <w:sz w:val="24"/>
                <w:szCs w:val="24"/>
              </w:rPr>
              <w:t>排放量（固体废物产生量）</w:t>
            </w:r>
            <w:r>
              <w:rPr>
                <w:rFonts w:hint="default" w:ascii="Times New Roman" w:hAnsi="Times New Roman" w:eastAsia="黑体" w:cs="Times New Roman"/>
                <w:snapToGrid w:val="0"/>
                <w:color w:val="auto"/>
                <w:spacing w:val="-6"/>
                <w:kern w:val="21"/>
                <w:sz w:val="24"/>
                <w:szCs w:val="24"/>
              </w:rPr>
              <w:fldChar w:fldCharType="begin"/>
            </w:r>
            <w:r>
              <w:rPr>
                <w:rFonts w:hint="default" w:ascii="Times New Roman" w:hAnsi="Times New Roman" w:eastAsia="黑体" w:cs="Times New Roman"/>
                <w:snapToGrid w:val="0"/>
                <w:color w:val="auto"/>
                <w:spacing w:val="-6"/>
                <w:kern w:val="21"/>
                <w:sz w:val="24"/>
                <w:szCs w:val="24"/>
              </w:rPr>
              <w:instrText xml:space="preserve"> = 4 \* GB3 \* MERGEFORMAT </w:instrText>
            </w:r>
            <w:r>
              <w:rPr>
                <w:rFonts w:hint="default" w:ascii="Times New Roman" w:hAnsi="Times New Roman" w:eastAsia="黑体" w:cs="Times New Roman"/>
                <w:snapToGrid w:val="0"/>
                <w:color w:val="auto"/>
                <w:spacing w:val="-6"/>
                <w:kern w:val="21"/>
                <w:sz w:val="24"/>
                <w:szCs w:val="24"/>
              </w:rPr>
              <w:fldChar w:fldCharType="separate"/>
            </w:r>
            <w:r>
              <w:rPr>
                <w:rFonts w:hint="default" w:ascii="Times New Roman" w:hAnsi="Times New Roman" w:eastAsia="黑体" w:cs="Times New Roman"/>
                <w:color w:val="auto"/>
                <w:sz w:val="24"/>
                <w:szCs w:val="24"/>
              </w:rPr>
              <w:t>④</w:t>
            </w:r>
            <w:r>
              <w:rPr>
                <w:rFonts w:hint="default" w:ascii="Times New Roman" w:hAnsi="Times New Roman" w:eastAsia="黑体" w:cs="Times New Roman"/>
                <w:snapToGrid w:val="0"/>
                <w:color w:val="auto"/>
                <w:spacing w:val="-6"/>
                <w:kern w:val="21"/>
                <w:sz w:val="24"/>
                <w:szCs w:val="24"/>
              </w:rPr>
              <w:fldChar w:fldCharType="end"/>
            </w:r>
          </w:p>
        </w:tc>
        <w:tc>
          <w:tcPr>
            <w:tcW w:w="1331" w:type="dxa"/>
            <w:tcMar>
              <w:left w:w="28" w:type="dxa"/>
              <w:right w:w="28" w:type="dxa"/>
            </w:tcMar>
            <w:vAlign w:val="center"/>
          </w:tcPr>
          <w:p w14:paraId="092FDFD5">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16"/>
                <w:kern w:val="21"/>
                <w:sz w:val="24"/>
                <w:szCs w:val="24"/>
              </w:rPr>
            </w:pPr>
            <w:r>
              <w:rPr>
                <w:rFonts w:hint="default" w:ascii="Times New Roman" w:hAnsi="Times New Roman" w:eastAsia="黑体" w:cs="Times New Roman"/>
                <w:snapToGrid w:val="0"/>
                <w:color w:val="auto"/>
                <w:spacing w:val="-16"/>
                <w:kern w:val="21"/>
                <w:sz w:val="24"/>
                <w:szCs w:val="24"/>
              </w:rPr>
              <w:t>以新带老削减量（新建项目不填）</w:t>
            </w:r>
            <w:r>
              <w:rPr>
                <w:rFonts w:hint="default" w:ascii="Times New Roman" w:hAnsi="Times New Roman" w:eastAsia="黑体" w:cs="Times New Roman"/>
                <w:snapToGrid w:val="0"/>
                <w:color w:val="auto"/>
                <w:spacing w:val="-16"/>
                <w:kern w:val="21"/>
                <w:sz w:val="24"/>
                <w:szCs w:val="24"/>
              </w:rPr>
              <w:fldChar w:fldCharType="begin"/>
            </w:r>
            <w:r>
              <w:rPr>
                <w:rFonts w:hint="default" w:ascii="Times New Roman" w:hAnsi="Times New Roman" w:eastAsia="黑体" w:cs="Times New Roman"/>
                <w:snapToGrid w:val="0"/>
                <w:color w:val="auto"/>
                <w:spacing w:val="-16"/>
                <w:kern w:val="21"/>
                <w:sz w:val="24"/>
                <w:szCs w:val="24"/>
              </w:rPr>
              <w:instrText xml:space="preserve"> = 5 \* GB3 \* MERGEFORMAT </w:instrText>
            </w:r>
            <w:r>
              <w:rPr>
                <w:rFonts w:hint="default" w:ascii="Times New Roman" w:hAnsi="Times New Roman" w:eastAsia="黑体" w:cs="Times New Roman"/>
                <w:snapToGrid w:val="0"/>
                <w:color w:val="auto"/>
                <w:spacing w:val="-16"/>
                <w:kern w:val="21"/>
                <w:sz w:val="24"/>
                <w:szCs w:val="24"/>
              </w:rPr>
              <w:fldChar w:fldCharType="separate"/>
            </w:r>
            <w:r>
              <w:rPr>
                <w:rFonts w:hint="default" w:ascii="Times New Roman" w:hAnsi="Times New Roman" w:eastAsia="黑体" w:cs="Times New Roman"/>
                <w:color w:val="auto"/>
                <w:sz w:val="24"/>
                <w:szCs w:val="24"/>
              </w:rPr>
              <w:t>⑤</w:t>
            </w:r>
            <w:r>
              <w:rPr>
                <w:rFonts w:hint="default" w:ascii="Times New Roman" w:hAnsi="Times New Roman" w:eastAsia="黑体" w:cs="Times New Roman"/>
                <w:snapToGrid w:val="0"/>
                <w:color w:val="auto"/>
                <w:spacing w:val="-16"/>
                <w:kern w:val="21"/>
                <w:sz w:val="24"/>
                <w:szCs w:val="24"/>
              </w:rPr>
              <w:fldChar w:fldCharType="end"/>
            </w:r>
          </w:p>
        </w:tc>
        <w:tc>
          <w:tcPr>
            <w:tcW w:w="1718" w:type="dxa"/>
            <w:tcMar>
              <w:left w:w="28" w:type="dxa"/>
              <w:right w:w="28" w:type="dxa"/>
            </w:tcMar>
            <w:vAlign w:val="center"/>
          </w:tcPr>
          <w:p w14:paraId="56DB87D3">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16"/>
                <w:kern w:val="21"/>
                <w:sz w:val="24"/>
                <w:szCs w:val="24"/>
              </w:rPr>
            </w:pPr>
            <w:r>
              <w:rPr>
                <w:rFonts w:hint="default" w:ascii="Times New Roman" w:hAnsi="Times New Roman" w:eastAsia="黑体" w:cs="Times New Roman"/>
                <w:snapToGrid w:val="0"/>
                <w:color w:val="auto"/>
                <w:spacing w:val="-16"/>
                <w:kern w:val="21"/>
                <w:sz w:val="24"/>
                <w:szCs w:val="24"/>
              </w:rPr>
              <w:t>本项目建成后</w:t>
            </w:r>
          </w:p>
          <w:p w14:paraId="7FDDF305">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16"/>
                <w:kern w:val="21"/>
                <w:sz w:val="24"/>
                <w:szCs w:val="24"/>
              </w:rPr>
            </w:pPr>
            <w:r>
              <w:rPr>
                <w:rFonts w:hint="default" w:ascii="Times New Roman" w:hAnsi="Times New Roman" w:eastAsia="黑体" w:cs="Times New Roman"/>
                <w:snapToGrid w:val="0"/>
                <w:color w:val="auto"/>
                <w:spacing w:val="-16"/>
                <w:kern w:val="21"/>
                <w:sz w:val="24"/>
                <w:szCs w:val="24"/>
              </w:rPr>
              <w:t>全厂排放量（固体废物产生量）</w:t>
            </w:r>
            <w:r>
              <w:rPr>
                <w:rFonts w:hint="default" w:ascii="Times New Roman" w:hAnsi="Times New Roman" w:eastAsia="黑体" w:cs="Times New Roman"/>
                <w:snapToGrid w:val="0"/>
                <w:color w:val="auto"/>
                <w:spacing w:val="-16"/>
                <w:kern w:val="21"/>
                <w:sz w:val="24"/>
                <w:szCs w:val="24"/>
              </w:rPr>
              <w:fldChar w:fldCharType="begin"/>
            </w:r>
            <w:r>
              <w:rPr>
                <w:rFonts w:hint="default" w:ascii="Times New Roman" w:hAnsi="Times New Roman" w:eastAsia="黑体" w:cs="Times New Roman"/>
                <w:snapToGrid w:val="0"/>
                <w:color w:val="auto"/>
                <w:spacing w:val="-16"/>
                <w:kern w:val="21"/>
                <w:sz w:val="24"/>
                <w:szCs w:val="24"/>
              </w:rPr>
              <w:instrText xml:space="preserve"> = 6 \* GB3 \* MERGEFORMAT </w:instrText>
            </w:r>
            <w:r>
              <w:rPr>
                <w:rFonts w:hint="default" w:ascii="Times New Roman" w:hAnsi="Times New Roman" w:eastAsia="黑体" w:cs="Times New Roman"/>
                <w:snapToGrid w:val="0"/>
                <w:color w:val="auto"/>
                <w:spacing w:val="-16"/>
                <w:kern w:val="21"/>
                <w:sz w:val="24"/>
                <w:szCs w:val="24"/>
              </w:rPr>
              <w:fldChar w:fldCharType="separate"/>
            </w:r>
            <w:r>
              <w:rPr>
                <w:rFonts w:hint="default" w:ascii="Times New Roman" w:hAnsi="Times New Roman" w:eastAsia="黑体" w:cs="Times New Roman"/>
                <w:color w:val="auto"/>
                <w:sz w:val="24"/>
                <w:szCs w:val="24"/>
              </w:rPr>
              <w:t>⑥</w:t>
            </w:r>
            <w:r>
              <w:rPr>
                <w:rFonts w:hint="default" w:ascii="Times New Roman" w:hAnsi="Times New Roman" w:eastAsia="黑体" w:cs="Times New Roman"/>
                <w:snapToGrid w:val="0"/>
                <w:color w:val="auto"/>
                <w:spacing w:val="-16"/>
                <w:kern w:val="21"/>
                <w:sz w:val="24"/>
                <w:szCs w:val="24"/>
              </w:rPr>
              <w:fldChar w:fldCharType="end"/>
            </w:r>
          </w:p>
        </w:tc>
        <w:tc>
          <w:tcPr>
            <w:tcW w:w="1049" w:type="dxa"/>
            <w:tcMar>
              <w:left w:w="28" w:type="dxa"/>
              <w:right w:w="28" w:type="dxa"/>
            </w:tcMar>
            <w:vAlign w:val="center"/>
          </w:tcPr>
          <w:p w14:paraId="6FC3AD96">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 w:val="24"/>
                <w:szCs w:val="24"/>
              </w:rPr>
            </w:pPr>
            <w:r>
              <w:rPr>
                <w:rFonts w:hint="default" w:ascii="Times New Roman" w:hAnsi="Times New Roman" w:eastAsia="黑体" w:cs="Times New Roman"/>
                <w:snapToGrid w:val="0"/>
                <w:color w:val="auto"/>
                <w:spacing w:val="-6"/>
                <w:kern w:val="21"/>
                <w:sz w:val="24"/>
                <w:szCs w:val="24"/>
              </w:rPr>
              <w:t>变化量</w:t>
            </w:r>
          </w:p>
          <w:p w14:paraId="240AC0B9">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 w:val="24"/>
                <w:szCs w:val="24"/>
              </w:rPr>
            </w:pPr>
            <w:r>
              <w:rPr>
                <w:rFonts w:hint="default" w:ascii="Times New Roman" w:hAnsi="Times New Roman" w:eastAsia="黑体" w:cs="Times New Roman"/>
                <w:snapToGrid w:val="0"/>
                <w:color w:val="auto"/>
                <w:spacing w:val="-6"/>
                <w:kern w:val="21"/>
                <w:sz w:val="24"/>
                <w:szCs w:val="24"/>
              </w:rPr>
              <w:fldChar w:fldCharType="begin"/>
            </w:r>
            <w:r>
              <w:rPr>
                <w:rFonts w:hint="default" w:ascii="Times New Roman" w:hAnsi="Times New Roman" w:eastAsia="黑体" w:cs="Times New Roman"/>
                <w:snapToGrid w:val="0"/>
                <w:color w:val="auto"/>
                <w:spacing w:val="-6"/>
                <w:kern w:val="21"/>
                <w:sz w:val="24"/>
                <w:szCs w:val="24"/>
              </w:rPr>
              <w:instrText xml:space="preserve"> = 7 \* GB3 \* MERGEFORMAT </w:instrText>
            </w:r>
            <w:r>
              <w:rPr>
                <w:rFonts w:hint="default" w:ascii="Times New Roman" w:hAnsi="Times New Roman" w:eastAsia="黑体" w:cs="Times New Roman"/>
                <w:snapToGrid w:val="0"/>
                <w:color w:val="auto"/>
                <w:spacing w:val="-6"/>
                <w:kern w:val="21"/>
                <w:sz w:val="24"/>
                <w:szCs w:val="24"/>
              </w:rPr>
              <w:fldChar w:fldCharType="separate"/>
            </w:r>
            <w:r>
              <w:rPr>
                <w:rFonts w:hint="default" w:ascii="Times New Roman" w:hAnsi="Times New Roman" w:eastAsia="黑体" w:cs="Times New Roman"/>
                <w:color w:val="auto"/>
                <w:sz w:val="24"/>
                <w:szCs w:val="24"/>
              </w:rPr>
              <w:t>⑦</w:t>
            </w:r>
            <w:r>
              <w:rPr>
                <w:rFonts w:hint="default" w:ascii="Times New Roman" w:hAnsi="Times New Roman" w:eastAsia="黑体" w:cs="Times New Roman"/>
                <w:snapToGrid w:val="0"/>
                <w:color w:val="auto"/>
                <w:spacing w:val="-6"/>
                <w:kern w:val="21"/>
                <w:sz w:val="24"/>
                <w:szCs w:val="24"/>
              </w:rPr>
              <w:fldChar w:fldCharType="end"/>
            </w:r>
          </w:p>
        </w:tc>
      </w:tr>
      <w:tr w14:paraId="1BB2DA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Align w:val="center"/>
          </w:tcPr>
          <w:p w14:paraId="7FCD467B">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废气</w:t>
            </w:r>
          </w:p>
        </w:tc>
        <w:tc>
          <w:tcPr>
            <w:tcW w:w="1644" w:type="dxa"/>
            <w:vAlign w:val="center"/>
          </w:tcPr>
          <w:p w14:paraId="1F1D5D57">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 w:val="24"/>
                <w:szCs w:val="24"/>
                <w:lang w:eastAsia="zh-CN"/>
              </w:rPr>
            </w:pPr>
            <w:r>
              <w:rPr>
                <w:rFonts w:hint="eastAsia"/>
                <w:snapToGrid w:val="0"/>
                <w:color w:val="auto"/>
                <w:kern w:val="21"/>
                <w:sz w:val="24"/>
                <w:szCs w:val="24"/>
                <w:lang w:val="en-US" w:eastAsia="zh-CN"/>
              </w:rPr>
              <w:t>颗粒物</w:t>
            </w:r>
          </w:p>
        </w:tc>
        <w:tc>
          <w:tcPr>
            <w:tcW w:w="2107" w:type="dxa"/>
            <w:vAlign w:val="center"/>
          </w:tcPr>
          <w:p w14:paraId="0F0E5B13">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644FF3D6">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462" w:type="dxa"/>
            <w:vAlign w:val="center"/>
          </w:tcPr>
          <w:p w14:paraId="3C182779">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613" w:type="dxa"/>
            <w:vAlign w:val="center"/>
          </w:tcPr>
          <w:p w14:paraId="56D4C07C">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 w:val="24"/>
                <w:szCs w:val="24"/>
                <w:lang w:val="en-US" w:eastAsia="zh-CN"/>
              </w:rPr>
            </w:pPr>
            <w:r>
              <w:rPr>
                <w:rFonts w:hint="eastAsia"/>
                <w:snapToGrid w:val="0"/>
                <w:color w:val="auto"/>
                <w:kern w:val="21"/>
                <w:sz w:val="24"/>
                <w:szCs w:val="24"/>
                <w:lang w:val="en-US" w:eastAsia="zh-CN"/>
              </w:rPr>
              <w:t>2.952</w:t>
            </w:r>
          </w:p>
        </w:tc>
        <w:tc>
          <w:tcPr>
            <w:tcW w:w="1331" w:type="dxa"/>
            <w:vAlign w:val="center"/>
          </w:tcPr>
          <w:p w14:paraId="60B8B240">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718" w:type="dxa"/>
            <w:vAlign w:val="center"/>
          </w:tcPr>
          <w:p w14:paraId="6FA606B8">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 w:val="24"/>
                <w:szCs w:val="24"/>
                <w:lang w:val="en-US" w:eastAsia="zh-CN"/>
              </w:rPr>
            </w:pPr>
            <w:r>
              <w:rPr>
                <w:rFonts w:hint="eastAsia"/>
                <w:snapToGrid w:val="0"/>
                <w:color w:val="auto"/>
                <w:kern w:val="21"/>
                <w:sz w:val="24"/>
                <w:szCs w:val="24"/>
                <w:lang w:val="en-US" w:eastAsia="zh-CN"/>
              </w:rPr>
              <w:t>2.952</w:t>
            </w:r>
          </w:p>
        </w:tc>
        <w:tc>
          <w:tcPr>
            <w:tcW w:w="1049" w:type="dxa"/>
            <w:vAlign w:val="center"/>
          </w:tcPr>
          <w:p w14:paraId="29238082">
            <w:pPr>
              <w:keepNext w:val="0"/>
              <w:keepLines w:val="0"/>
              <w:pageBreakBefore w:val="0"/>
              <w:widowControl w:val="0"/>
              <w:wordWrap/>
              <w:topLinePunct w:val="0"/>
              <w:autoSpaceDE/>
              <w:autoSpaceDN/>
              <w:bidi w:val="0"/>
              <w:adjustRightInd w:val="0"/>
              <w:snapToGrid w:val="0"/>
              <w:jc w:val="center"/>
              <w:rPr>
                <w:color w:val="auto"/>
                <w:sz w:val="24"/>
                <w:szCs w:val="24"/>
              </w:rPr>
            </w:pPr>
            <w:r>
              <w:rPr>
                <w:rFonts w:hint="eastAsia"/>
                <w:snapToGrid w:val="0"/>
                <w:color w:val="auto"/>
                <w:kern w:val="21"/>
                <w:sz w:val="24"/>
                <w:szCs w:val="24"/>
                <w:lang w:val="en-US" w:eastAsia="zh-CN"/>
              </w:rPr>
              <w:t>/</w:t>
            </w:r>
          </w:p>
        </w:tc>
      </w:tr>
      <w:tr w14:paraId="7EF657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restart"/>
            <w:vAlign w:val="center"/>
          </w:tcPr>
          <w:p w14:paraId="278C9E64">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废水</w:t>
            </w:r>
          </w:p>
        </w:tc>
        <w:tc>
          <w:tcPr>
            <w:tcW w:w="1644" w:type="dxa"/>
            <w:vAlign w:val="center"/>
          </w:tcPr>
          <w:p w14:paraId="113E3088">
            <w:pPr>
              <w:keepNext w:val="0"/>
              <w:keepLines w:val="0"/>
              <w:pageBreakBefore w:val="0"/>
              <w:widowControl w:val="0"/>
              <w:wordWrap/>
              <w:topLinePunct w:val="0"/>
              <w:autoSpaceDE/>
              <w:autoSpaceDN/>
              <w:bidi w:val="0"/>
              <w:adjustRightInd w:val="0"/>
              <w:snapToGrid w:val="0"/>
              <w:jc w:val="center"/>
              <w:rPr>
                <w:rFonts w:hint="default"/>
                <w:snapToGrid w:val="0"/>
                <w:color w:val="auto"/>
                <w:kern w:val="21"/>
                <w:sz w:val="24"/>
                <w:szCs w:val="24"/>
                <w:lang w:val="en-US"/>
              </w:rPr>
            </w:pPr>
            <w:r>
              <w:rPr>
                <w:rFonts w:hint="eastAsia"/>
                <w:color w:val="auto"/>
                <w:kern w:val="0"/>
                <w:sz w:val="24"/>
                <w:szCs w:val="24"/>
                <w:lang w:val="en-US" w:eastAsia="zh-CN"/>
              </w:rPr>
              <w:t>生活污水</w:t>
            </w:r>
          </w:p>
        </w:tc>
        <w:tc>
          <w:tcPr>
            <w:tcW w:w="2107" w:type="dxa"/>
            <w:vAlign w:val="center"/>
          </w:tcPr>
          <w:p w14:paraId="1381FCAB">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470EF871">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462" w:type="dxa"/>
            <w:vAlign w:val="center"/>
          </w:tcPr>
          <w:p w14:paraId="5DAEB661">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613" w:type="dxa"/>
            <w:vAlign w:val="center"/>
          </w:tcPr>
          <w:p w14:paraId="1B69AAB3">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 w:val="24"/>
                <w:szCs w:val="24"/>
                <w:lang w:val="en-US" w:eastAsia="zh-CN"/>
              </w:rPr>
            </w:pPr>
            <w:r>
              <w:rPr>
                <w:rFonts w:hint="eastAsia"/>
                <w:snapToGrid w:val="0"/>
                <w:color w:val="auto"/>
                <w:kern w:val="21"/>
                <w:sz w:val="24"/>
                <w:szCs w:val="24"/>
                <w:lang w:val="en-US" w:eastAsia="zh-CN"/>
              </w:rPr>
              <w:t>720</w:t>
            </w:r>
          </w:p>
        </w:tc>
        <w:tc>
          <w:tcPr>
            <w:tcW w:w="1331" w:type="dxa"/>
            <w:vAlign w:val="center"/>
          </w:tcPr>
          <w:p w14:paraId="4242C5D8">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 w:val="24"/>
                <w:szCs w:val="24"/>
                <w:lang w:val="en-US" w:eastAsia="zh-CN"/>
              </w:rPr>
            </w:pPr>
            <w:r>
              <w:rPr>
                <w:snapToGrid w:val="0"/>
                <w:color w:val="auto"/>
                <w:kern w:val="21"/>
                <w:sz w:val="24"/>
                <w:szCs w:val="24"/>
              </w:rPr>
              <w:t>/</w:t>
            </w:r>
          </w:p>
        </w:tc>
        <w:tc>
          <w:tcPr>
            <w:tcW w:w="1718" w:type="dxa"/>
            <w:vAlign w:val="center"/>
          </w:tcPr>
          <w:p w14:paraId="2D56ECF1">
            <w:pPr>
              <w:keepNext w:val="0"/>
              <w:keepLines w:val="0"/>
              <w:pageBreakBefore w:val="0"/>
              <w:widowControl w:val="0"/>
              <w:wordWrap/>
              <w:topLinePunct w:val="0"/>
              <w:autoSpaceDE/>
              <w:autoSpaceDN/>
              <w:bidi w:val="0"/>
              <w:adjustRightInd w:val="0"/>
              <w:snapToGrid w:val="0"/>
              <w:jc w:val="center"/>
              <w:rPr>
                <w:rFonts w:hint="default"/>
                <w:snapToGrid w:val="0"/>
                <w:color w:val="auto"/>
                <w:kern w:val="21"/>
                <w:sz w:val="24"/>
                <w:szCs w:val="24"/>
                <w:lang w:val="en-US"/>
              </w:rPr>
            </w:pPr>
            <w:r>
              <w:rPr>
                <w:rFonts w:hint="eastAsia"/>
                <w:snapToGrid w:val="0"/>
                <w:color w:val="auto"/>
                <w:kern w:val="21"/>
                <w:sz w:val="24"/>
                <w:szCs w:val="24"/>
                <w:lang w:val="en-US" w:eastAsia="zh-CN"/>
              </w:rPr>
              <w:t>720</w:t>
            </w:r>
          </w:p>
        </w:tc>
        <w:tc>
          <w:tcPr>
            <w:tcW w:w="1049" w:type="dxa"/>
            <w:vAlign w:val="center"/>
          </w:tcPr>
          <w:p w14:paraId="1B60A12B">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 w:val="24"/>
                <w:szCs w:val="24"/>
                <w:lang w:val="en-US" w:eastAsia="zh-CN"/>
              </w:rPr>
            </w:pPr>
            <w:r>
              <w:rPr>
                <w:rFonts w:hint="eastAsia"/>
                <w:snapToGrid w:val="0"/>
                <w:color w:val="auto"/>
                <w:kern w:val="21"/>
                <w:sz w:val="24"/>
                <w:szCs w:val="24"/>
                <w:lang w:val="en-US" w:eastAsia="zh-CN"/>
              </w:rPr>
              <w:t>/</w:t>
            </w:r>
          </w:p>
        </w:tc>
      </w:tr>
      <w:tr w14:paraId="02D2C0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4141D66F">
            <w:pPr>
              <w:keepNext w:val="0"/>
              <w:keepLines w:val="0"/>
              <w:pageBreakBefore w:val="0"/>
              <w:widowControl w:val="0"/>
              <w:wordWrap/>
              <w:topLinePunct w:val="0"/>
              <w:autoSpaceDE/>
              <w:autoSpaceDN/>
              <w:bidi w:val="0"/>
              <w:adjustRightInd w:val="0"/>
              <w:snapToGrid w:val="0"/>
              <w:jc w:val="center"/>
              <w:rPr>
                <w:color w:val="auto"/>
                <w:sz w:val="24"/>
                <w:szCs w:val="24"/>
              </w:rPr>
            </w:pPr>
          </w:p>
        </w:tc>
        <w:tc>
          <w:tcPr>
            <w:tcW w:w="1644" w:type="dxa"/>
            <w:vAlign w:val="center"/>
          </w:tcPr>
          <w:p w14:paraId="3CDD75F3">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color w:val="auto"/>
                <w:kern w:val="0"/>
                <w:sz w:val="24"/>
                <w:szCs w:val="24"/>
              </w:rPr>
              <w:t>COD</w:t>
            </w:r>
          </w:p>
        </w:tc>
        <w:tc>
          <w:tcPr>
            <w:tcW w:w="2107" w:type="dxa"/>
            <w:vAlign w:val="center"/>
          </w:tcPr>
          <w:p w14:paraId="42F8C453">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6F9AB9A1">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462" w:type="dxa"/>
            <w:vAlign w:val="center"/>
          </w:tcPr>
          <w:p w14:paraId="26FF44B9">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613" w:type="dxa"/>
            <w:vAlign w:val="center"/>
          </w:tcPr>
          <w:p w14:paraId="47394DCB">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0.213</w:t>
            </w:r>
          </w:p>
        </w:tc>
        <w:tc>
          <w:tcPr>
            <w:tcW w:w="1331" w:type="dxa"/>
            <w:vAlign w:val="center"/>
          </w:tcPr>
          <w:p w14:paraId="3634DD64">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718" w:type="dxa"/>
            <w:vAlign w:val="center"/>
          </w:tcPr>
          <w:p w14:paraId="6491313D">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0.213</w:t>
            </w:r>
          </w:p>
        </w:tc>
        <w:tc>
          <w:tcPr>
            <w:tcW w:w="1049" w:type="dxa"/>
            <w:vAlign w:val="center"/>
          </w:tcPr>
          <w:p w14:paraId="1258AA9F">
            <w:pPr>
              <w:keepNext w:val="0"/>
              <w:keepLines w:val="0"/>
              <w:widowControl/>
              <w:suppressLineNumbers w:val="0"/>
              <w:jc w:val="center"/>
              <w:textAlignment w:val="center"/>
              <w:rPr>
                <w:rFonts w:hint="eastAsia"/>
                <w:color w:val="auto"/>
                <w:kern w:val="0"/>
                <w:sz w:val="24"/>
                <w:szCs w:val="24"/>
                <w:lang w:val="en-US" w:eastAsia="zh-CN"/>
              </w:rPr>
            </w:pPr>
            <w:r>
              <w:rPr>
                <w:rFonts w:hint="eastAsia"/>
                <w:snapToGrid w:val="0"/>
                <w:color w:val="auto"/>
                <w:kern w:val="21"/>
                <w:sz w:val="24"/>
                <w:szCs w:val="24"/>
                <w:lang w:val="en-US" w:eastAsia="zh-CN"/>
              </w:rPr>
              <w:t>/</w:t>
            </w:r>
          </w:p>
        </w:tc>
      </w:tr>
      <w:tr w14:paraId="5F7E6B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1BEB8171">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p>
        </w:tc>
        <w:tc>
          <w:tcPr>
            <w:tcW w:w="1644" w:type="dxa"/>
            <w:vAlign w:val="center"/>
          </w:tcPr>
          <w:p w14:paraId="5E35CB67">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color w:val="auto"/>
                <w:kern w:val="0"/>
                <w:sz w:val="24"/>
                <w:szCs w:val="24"/>
              </w:rPr>
              <w:t>BOD</w:t>
            </w:r>
            <w:r>
              <w:rPr>
                <w:color w:val="auto"/>
                <w:kern w:val="0"/>
                <w:sz w:val="24"/>
                <w:szCs w:val="24"/>
                <w:vertAlign w:val="subscript"/>
              </w:rPr>
              <w:t>5</w:t>
            </w:r>
          </w:p>
        </w:tc>
        <w:tc>
          <w:tcPr>
            <w:tcW w:w="2107" w:type="dxa"/>
            <w:vAlign w:val="center"/>
          </w:tcPr>
          <w:p w14:paraId="2EB7BA81">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55C62502">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462" w:type="dxa"/>
            <w:vAlign w:val="center"/>
          </w:tcPr>
          <w:p w14:paraId="3B9FB65A">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613" w:type="dxa"/>
            <w:vAlign w:val="center"/>
          </w:tcPr>
          <w:p w14:paraId="0EFE87D7">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0.131</w:t>
            </w:r>
          </w:p>
        </w:tc>
        <w:tc>
          <w:tcPr>
            <w:tcW w:w="1331" w:type="dxa"/>
            <w:vAlign w:val="center"/>
          </w:tcPr>
          <w:p w14:paraId="7B358E33">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718" w:type="dxa"/>
            <w:vAlign w:val="center"/>
          </w:tcPr>
          <w:p w14:paraId="039024F2">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0.131</w:t>
            </w:r>
          </w:p>
        </w:tc>
        <w:tc>
          <w:tcPr>
            <w:tcW w:w="1049" w:type="dxa"/>
            <w:vAlign w:val="center"/>
          </w:tcPr>
          <w:p w14:paraId="19EF4E5D">
            <w:pPr>
              <w:keepNext w:val="0"/>
              <w:keepLines w:val="0"/>
              <w:widowControl/>
              <w:suppressLineNumbers w:val="0"/>
              <w:jc w:val="center"/>
              <w:textAlignment w:val="center"/>
              <w:rPr>
                <w:rFonts w:hint="eastAsia"/>
                <w:color w:val="auto"/>
                <w:kern w:val="0"/>
                <w:sz w:val="24"/>
                <w:szCs w:val="24"/>
                <w:lang w:val="en-US" w:eastAsia="zh-CN"/>
              </w:rPr>
            </w:pPr>
            <w:r>
              <w:rPr>
                <w:rFonts w:hint="eastAsia"/>
                <w:snapToGrid w:val="0"/>
                <w:color w:val="auto"/>
                <w:kern w:val="21"/>
                <w:sz w:val="24"/>
                <w:szCs w:val="24"/>
                <w:lang w:val="en-US" w:eastAsia="zh-CN"/>
              </w:rPr>
              <w:t>/</w:t>
            </w:r>
          </w:p>
        </w:tc>
      </w:tr>
      <w:tr w14:paraId="2A8C9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4DEBEF7A">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p>
        </w:tc>
        <w:tc>
          <w:tcPr>
            <w:tcW w:w="1644" w:type="dxa"/>
            <w:vAlign w:val="center"/>
          </w:tcPr>
          <w:p w14:paraId="0EB65D28">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color w:val="auto"/>
                <w:kern w:val="0"/>
                <w:sz w:val="24"/>
                <w:szCs w:val="24"/>
              </w:rPr>
              <w:t>NH</w:t>
            </w:r>
            <w:r>
              <w:rPr>
                <w:color w:val="auto"/>
                <w:kern w:val="0"/>
                <w:sz w:val="24"/>
                <w:szCs w:val="24"/>
                <w:vertAlign w:val="subscript"/>
              </w:rPr>
              <w:t>3</w:t>
            </w:r>
            <w:r>
              <w:rPr>
                <w:color w:val="auto"/>
                <w:kern w:val="0"/>
                <w:sz w:val="24"/>
                <w:szCs w:val="24"/>
              </w:rPr>
              <w:t>-N</w:t>
            </w:r>
          </w:p>
        </w:tc>
        <w:tc>
          <w:tcPr>
            <w:tcW w:w="2107" w:type="dxa"/>
            <w:vAlign w:val="center"/>
          </w:tcPr>
          <w:p w14:paraId="7B9B6571">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4F64AA25">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462" w:type="dxa"/>
            <w:vAlign w:val="center"/>
          </w:tcPr>
          <w:p w14:paraId="2A37A906">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613" w:type="dxa"/>
            <w:vAlign w:val="center"/>
          </w:tcPr>
          <w:p w14:paraId="74B5BC16">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0.018</w:t>
            </w:r>
          </w:p>
        </w:tc>
        <w:tc>
          <w:tcPr>
            <w:tcW w:w="1331" w:type="dxa"/>
            <w:vAlign w:val="center"/>
          </w:tcPr>
          <w:p w14:paraId="31FEB71A">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718" w:type="dxa"/>
            <w:vAlign w:val="center"/>
          </w:tcPr>
          <w:p w14:paraId="32392050">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0.018</w:t>
            </w:r>
          </w:p>
        </w:tc>
        <w:tc>
          <w:tcPr>
            <w:tcW w:w="1049" w:type="dxa"/>
            <w:vAlign w:val="center"/>
          </w:tcPr>
          <w:p w14:paraId="7AEDBB6E">
            <w:pPr>
              <w:keepNext w:val="0"/>
              <w:keepLines w:val="0"/>
              <w:widowControl/>
              <w:suppressLineNumbers w:val="0"/>
              <w:jc w:val="center"/>
              <w:textAlignment w:val="center"/>
              <w:rPr>
                <w:rFonts w:hint="eastAsia"/>
                <w:color w:val="auto"/>
                <w:kern w:val="0"/>
                <w:sz w:val="24"/>
                <w:szCs w:val="24"/>
                <w:lang w:val="en-US" w:eastAsia="zh-CN"/>
              </w:rPr>
            </w:pPr>
            <w:r>
              <w:rPr>
                <w:rFonts w:hint="eastAsia"/>
                <w:snapToGrid w:val="0"/>
                <w:color w:val="auto"/>
                <w:kern w:val="21"/>
                <w:sz w:val="24"/>
                <w:szCs w:val="24"/>
                <w:lang w:val="en-US" w:eastAsia="zh-CN"/>
              </w:rPr>
              <w:t>/</w:t>
            </w:r>
          </w:p>
        </w:tc>
      </w:tr>
      <w:tr w14:paraId="50547A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28654DAE">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p>
        </w:tc>
        <w:tc>
          <w:tcPr>
            <w:tcW w:w="1644" w:type="dxa"/>
            <w:vAlign w:val="center"/>
          </w:tcPr>
          <w:p w14:paraId="30ED0E6D">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color w:val="auto"/>
                <w:kern w:val="0"/>
                <w:sz w:val="24"/>
                <w:szCs w:val="24"/>
              </w:rPr>
              <w:t>SS</w:t>
            </w:r>
          </w:p>
        </w:tc>
        <w:tc>
          <w:tcPr>
            <w:tcW w:w="2107" w:type="dxa"/>
            <w:vAlign w:val="center"/>
          </w:tcPr>
          <w:p w14:paraId="121768A0">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3E077E3A">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462" w:type="dxa"/>
            <w:vAlign w:val="center"/>
          </w:tcPr>
          <w:p w14:paraId="6B42A9F1">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613" w:type="dxa"/>
            <w:vAlign w:val="center"/>
          </w:tcPr>
          <w:p w14:paraId="6C6F7382">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0.072</w:t>
            </w:r>
          </w:p>
        </w:tc>
        <w:tc>
          <w:tcPr>
            <w:tcW w:w="1331" w:type="dxa"/>
            <w:vAlign w:val="center"/>
          </w:tcPr>
          <w:p w14:paraId="36E61538">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718" w:type="dxa"/>
            <w:vAlign w:val="center"/>
          </w:tcPr>
          <w:p w14:paraId="0C1E47F5">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0.072</w:t>
            </w:r>
          </w:p>
        </w:tc>
        <w:tc>
          <w:tcPr>
            <w:tcW w:w="1049" w:type="dxa"/>
            <w:vAlign w:val="center"/>
          </w:tcPr>
          <w:p w14:paraId="22FBAF00">
            <w:pPr>
              <w:keepNext w:val="0"/>
              <w:keepLines w:val="0"/>
              <w:widowControl/>
              <w:suppressLineNumbers w:val="0"/>
              <w:jc w:val="center"/>
              <w:textAlignment w:val="center"/>
              <w:rPr>
                <w:rFonts w:hint="eastAsia"/>
                <w:color w:val="auto"/>
                <w:kern w:val="0"/>
                <w:sz w:val="24"/>
                <w:szCs w:val="24"/>
                <w:lang w:val="en-US" w:eastAsia="zh-CN"/>
              </w:rPr>
            </w:pPr>
            <w:r>
              <w:rPr>
                <w:rFonts w:hint="eastAsia"/>
                <w:snapToGrid w:val="0"/>
                <w:color w:val="auto"/>
                <w:kern w:val="21"/>
                <w:sz w:val="24"/>
                <w:szCs w:val="24"/>
                <w:lang w:val="en-US" w:eastAsia="zh-CN"/>
              </w:rPr>
              <w:t>/</w:t>
            </w:r>
          </w:p>
        </w:tc>
      </w:tr>
      <w:tr w14:paraId="551D2E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317D9090">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p>
        </w:tc>
        <w:tc>
          <w:tcPr>
            <w:tcW w:w="1644" w:type="dxa"/>
            <w:vAlign w:val="center"/>
          </w:tcPr>
          <w:p w14:paraId="70DFE28F">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rFonts w:hint="eastAsia"/>
                <w:color w:val="auto"/>
                <w:kern w:val="0"/>
                <w:sz w:val="24"/>
                <w:szCs w:val="24"/>
                <w:lang w:val="en-US" w:eastAsia="zh-CN"/>
              </w:rPr>
              <w:t>TP</w:t>
            </w:r>
          </w:p>
        </w:tc>
        <w:tc>
          <w:tcPr>
            <w:tcW w:w="2107" w:type="dxa"/>
            <w:vAlign w:val="center"/>
          </w:tcPr>
          <w:p w14:paraId="6C4EA985">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582D19CB">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462" w:type="dxa"/>
            <w:vAlign w:val="center"/>
          </w:tcPr>
          <w:p w14:paraId="5603E3F8">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613" w:type="dxa"/>
            <w:vAlign w:val="center"/>
          </w:tcPr>
          <w:p w14:paraId="2EE3AA65">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0.003</w:t>
            </w:r>
          </w:p>
        </w:tc>
        <w:tc>
          <w:tcPr>
            <w:tcW w:w="1331" w:type="dxa"/>
            <w:vAlign w:val="center"/>
          </w:tcPr>
          <w:p w14:paraId="3DAB4673">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718" w:type="dxa"/>
            <w:vAlign w:val="center"/>
          </w:tcPr>
          <w:p w14:paraId="734E9A2F">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0.003</w:t>
            </w:r>
          </w:p>
        </w:tc>
        <w:tc>
          <w:tcPr>
            <w:tcW w:w="1049" w:type="dxa"/>
            <w:vAlign w:val="center"/>
          </w:tcPr>
          <w:p w14:paraId="710A0932">
            <w:pPr>
              <w:keepNext w:val="0"/>
              <w:keepLines w:val="0"/>
              <w:widowControl/>
              <w:suppressLineNumbers w:val="0"/>
              <w:jc w:val="center"/>
              <w:textAlignment w:val="center"/>
              <w:rPr>
                <w:rFonts w:hint="eastAsia"/>
                <w:color w:val="auto"/>
                <w:kern w:val="0"/>
                <w:sz w:val="24"/>
                <w:szCs w:val="24"/>
                <w:lang w:val="en-US" w:eastAsia="zh-CN"/>
              </w:rPr>
            </w:pPr>
            <w:r>
              <w:rPr>
                <w:rFonts w:hint="eastAsia"/>
                <w:snapToGrid w:val="0"/>
                <w:color w:val="auto"/>
                <w:kern w:val="21"/>
                <w:sz w:val="24"/>
                <w:szCs w:val="24"/>
                <w:lang w:val="en-US" w:eastAsia="zh-CN"/>
              </w:rPr>
              <w:t>/</w:t>
            </w:r>
          </w:p>
        </w:tc>
      </w:tr>
      <w:tr w14:paraId="22843C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7C5D494E">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p>
        </w:tc>
        <w:tc>
          <w:tcPr>
            <w:tcW w:w="1644" w:type="dxa"/>
            <w:vAlign w:val="center"/>
          </w:tcPr>
          <w:p w14:paraId="67307AA3">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rFonts w:hint="eastAsia"/>
                <w:color w:val="auto"/>
                <w:kern w:val="0"/>
                <w:sz w:val="24"/>
                <w:szCs w:val="24"/>
                <w:lang w:val="en-US" w:eastAsia="zh-CN"/>
              </w:rPr>
              <w:t>TN</w:t>
            </w:r>
          </w:p>
        </w:tc>
        <w:tc>
          <w:tcPr>
            <w:tcW w:w="2107" w:type="dxa"/>
            <w:vAlign w:val="center"/>
          </w:tcPr>
          <w:p w14:paraId="4A49614E">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5497DBE5">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462" w:type="dxa"/>
            <w:vAlign w:val="center"/>
          </w:tcPr>
          <w:p w14:paraId="122999F6">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613" w:type="dxa"/>
            <w:vAlign w:val="center"/>
          </w:tcPr>
          <w:p w14:paraId="0726BCD8">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0.035</w:t>
            </w:r>
          </w:p>
        </w:tc>
        <w:tc>
          <w:tcPr>
            <w:tcW w:w="1331" w:type="dxa"/>
            <w:vAlign w:val="center"/>
          </w:tcPr>
          <w:p w14:paraId="26DDD579">
            <w:pPr>
              <w:keepNext w:val="0"/>
              <w:keepLines w:val="0"/>
              <w:pageBreakBefore w:val="0"/>
              <w:widowControl w:val="0"/>
              <w:wordWrap/>
              <w:topLinePunct w:val="0"/>
              <w:autoSpaceDE/>
              <w:autoSpaceDN/>
              <w:bidi w:val="0"/>
              <w:adjustRightInd w:val="0"/>
              <w:snapToGrid w:val="0"/>
              <w:jc w:val="center"/>
              <w:rPr>
                <w:rFonts w:hint="eastAsia"/>
                <w:color w:val="auto"/>
                <w:kern w:val="0"/>
                <w:sz w:val="24"/>
                <w:szCs w:val="24"/>
                <w:lang w:val="en-US" w:eastAsia="zh-CN"/>
              </w:rPr>
            </w:pPr>
            <w:r>
              <w:rPr>
                <w:snapToGrid w:val="0"/>
                <w:color w:val="auto"/>
                <w:kern w:val="21"/>
                <w:sz w:val="24"/>
                <w:szCs w:val="24"/>
              </w:rPr>
              <w:t>/</w:t>
            </w:r>
          </w:p>
        </w:tc>
        <w:tc>
          <w:tcPr>
            <w:tcW w:w="1718" w:type="dxa"/>
            <w:vAlign w:val="center"/>
          </w:tcPr>
          <w:p w14:paraId="64FDA77D">
            <w:pPr>
              <w:keepNext w:val="0"/>
              <w:keepLines w:val="0"/>
              <w:widowControl/>
              <w:suppressLineNumbers w:val="0"/>
              <w:jc w:val="center"/>
              <w:textAlignment w:val="center"/>
              <w:rPr>
                <w:rFonts w:hint="default" w:ascii="Times New Roman" w:hAnsi="Times New Roman" w:cs="Times New Roman"/>
                <w:color w:val="auto"/>
                <w:kern w:val="0"/>
                <w:sz w:val="24"/>
                <w:szCs w:val="24"/>
                <w:lang w:val="en-US" w:eastAsia="zh-CN"/>
              </w:rPr>
            </w:pPr>
            <w:r>
              <w:rPr>
                <w:rFonts w:hint="eastAsia" w:cs="Times New Roman"/>
                <w:color w:val="auto"/>
                <w:kern w:val="0"/>
                <w:sz w:val="24"/>
                <w:szCs w:val="24"/>
                <w:lang w:val="en-US" w:eastAsia="zh-CN"/>
              </w:rPr>
              <w:t>0.035</w:t>
            </w:r>
          </w:p>
        </w:tc>
        <w:tc>
          <w:tcPr>
            <w:tcW w:w="1049" w:type="dxa"/>
            <w:vAlign w:val="center"/>
          </w:tcPr>
          <w:p w14:paraId="16C5006C">
            <w:pPr>
              <w:keepNext w:val="0"/>
              <w:keepLines w:val="0"/>
              <w:widowControl/>
              <w:suppressLineNumbers w:val="0"/>
              <w:jc w:val="center"/>
              <w:textAlignment w:val="center"/>
              <w:rPr>
                <w:rFonts w:hint="eastAsia"/>
                <w:color w:val="auto"/>
                <w:kern w:val="0"/>
                <w:sz w:val="24"/>
                <w:szCs w:val="24"/>
                <w:lang w:val="en-US" w:eastAsia="zh-CN"/>
              </w:rPr>
            </w:pPr>
            <w:r>
              <w:rPr>
                <w:rFonts w:hint="eastAsia"/>
                <w:snapToGrid w:val="0"/>
                <w:color w:val="auto"/>
                <w:kern w:val="21"/>
                <w:sz w:val="24"/>
                <w:szCs w:val="24"/>
                <w:lang w:val="en-US" w:eastAsia="zh-CN"/>
              </w:rPr>
              <w:t>/</w:t>
            </w:r>
          </w:p>
        </w:tc>
      </w:tr>
      <w:tr w14:paraId="374732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restart"/>
            <w:vAlign w:val="center"/>
          </w:tcPr>
          <w:p w14:paraId="54F9DD05">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一般工业固体废物</w:t>
            </w:r>
          </w:p>
        </w:tc>
        <w:tc>
          <w:tcPr>
            <w:tcW w:w="1644" w:type="dxa"/>
            <w:vAlign w:val="center"/>
          </w:tcPr>
          <w:p w14:paraId="4236BAF7">
            <w:pPr>
              <w:pStyle w:val="31"/>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ascii="Times New Roman" w:hAnsi="Times New Roman" w:cs="Times New Roman"/>
                <w:color w:val="auto"/>
                <w:kern w:val="0"/>
                <w:sz w:val="24"/>
                <w:szCs w:val="24"/>
              </w:rPr>
            </w:pPr>
            <w:r>
              <w:rPr>
                <w:rFonts w:hint="default" w:ascii="Times New Roman" w:hAnsi="Times New Roman" w:cs="Times New Roman"/>
                <w:color w:val="auto"/>
                <w:spacing w:val="-1"/>
                <w:sz w:val="24"/>
                <w:szCs w:val="24"/>
              </w:rPr>
              <w:t>废</w:t>
            </w:r>
            <w:r>
              <w:rPr>
                <w:rFonts w:hint="eastAsia" w:ascii="Times New Roman" w:hAnsi="Times New Roman" w:cs="Times New Roman"/>
                <w:color w:val="auto"/>
                <w:spacing w:val="-1"/>
                <w:sz w:val="24"/>
                <w:szCs w:val="24"/>
                <w:lang w:val="en-US" w:eastAsia="zh-CN"/>
              </w:rPr>
              <w:t>砂轮</w:t>
            </w:r>
          </w:p>
        </w:tc>
        <w:tc>
          <w:tcPr>
            <w:tcW w:w="2107" w:type="dxa"/>
            <w:vAlign w:val="center"/>
          </w:tcPr>
          <w:p w14:paraId="0EC49AA1">
            <w:pPr>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eastAsia="宋体"/>
                <w:snapToGrid w:val="0"/>
                <w:color w:val="auto"/>
                <w:kern w:val="21"/>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5C4C05AC">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462" w:type="dxa"/>
            <w:vAlign w:val="center"/>
          </w:tcPr>
          <w:p w14:paraId="725DC8C4">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613" w:type="dxa"/>
            <w:vAlign w:val="center"/>
          </w:tcPr>
          <w:p w14:paraId="56D04753">
            <w:pPr>
              <w:jc w:val="center"/>
              <w:rPr>
                <w:rFonts w:hint="default"/>
                <w:snapToGrid w:val="0"/>
                <w:color w:val="auto"/>
                <w:kern w:val="21"/>
                <w:sz w:val="24"/>
                <w:szCs w:val="24"/>
                <w:lang w:val="en-US"/>
              </w:rPr>
            </w:pPr>
            <w:r>
              <w:rPr>
                <w:rFonts w:hint="eastAsia"/>
                <w:color w:val="auto"/>
                <w:kern w:val="0"/>
                <w:sz w:val="24"/>
                <w:szCs w:val="24"/>
                <w:lang w:val="en-US" w:eastAsia="zh-CN"/>
              </w:rPr>
              <w:t>7.5</w:t>
            </w:r>
          </w:p>
        </w:tc>
        <w:tc>
          <w:tcPr>
            <w:tcW w:w="1331" w:type="dxa"/>
            <w:vAlign w:val="center"/>
          </w:tcPr>
          <w:p w14:paraId="4CDB0727">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718" w:type="dxa"/>
            <w:vAlign w:val="center"/>
          </w:tcPr>
          <w:p w14:paraId="0897A790">
            <w:pPr>
              <w:jc w:val="center"/>
              <w:rPr>
                <w:rFonts w:hint="default" w:eastAsia="宋体"/>
                <w:snapToGrid w:val="0"/>
                <w:color w:val="auto"/>
                <w:kern w:val="21"/>
                <w:sz w:val="24"/>
                <w:szCs w:val="24"/>
                <w:lang w:val="en-US" w:eastAsia="zh-CN"/>
              </w:rPr>
            </w:pPr>
            <w:r>
              <w:rPr>
                <w:rFonts w:hint="eastAsia"/>
                <w:color w:val="auto"/>
                <w:kern w:val="0"/>
                <w:sz w:val="24"/>
                <w:szCs w:val="24"/>
                <w:lang w:val="en-US" w:eastAsia="zh-CN"/>
              </w:rPr>
              <w:t>7.5</w:t>
            </w:r>
          </w:p>
        </w:tc>
        <w:tc>
          <w:tcPr>
            <w:tcW w:w="1049" w:type="dxa"/>
            <w:vAlign w:val="center"/>
          </w:tcPr>
          <w:p w14:paraId="65C76968">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rFonts w:hint="eastAsia"/>
                <w:snapToGrid w:val="0"/>
                <w:color w:val="auto"/>
                <w:kern w:val="21"/>
                <w:sz w:val="24"/>
                <w:szCs w:val="24"/>
                <w:lang w:val="en-US" w:eastAsia="zh-CN"/>
              </w:rPr>
              <w:t>/</w:t>
            </w:r>
          </w:p>
        </w:tc>
      </w:tr>
      <w:tr w14:paraId="500AFC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33A393A9">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p>
        </w:tc>
        <w:tc>
          <w:tcPr>
            <w:tcW w:w="1644" w:type="dxa"/>
            <w:vAlign w:val="center"/>
          </w:tcPr>
          <w:p w14:paraId="2C1C45A9">
            <w:pPr>
              <w:pStyle w:val="31"/>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ascii="Times New Roman" w:hAnsi="Times New Roman" w:cs="Times New Roman"/>
                <w:color w:val="auto"/>
                <w:spacing w:val="-1"/>
                <w:sz w:val="24"/>
                <w:szCs w:val="24"/>
              </w:rPr>
            </w:pPr>
            <w:r>
              <w:rPr>
                <w:rFonts w:hint="eastAsia" w:ascii="Times New Roman" w:hAnsi="Times New Roman" w:cs="Times New Roman"/>
                <w:color w:val="auto"/>
                <w:spacing w:val="-1"/>
                <w:sz w:val="24"/>
                <w:szCs w:val="24"/>
                <w:lang w:val="en-US" w:eastAsia="zh-CN"/>
              </w:rPr>
              <w:t>废陶瓷壳</w:t>
            </w:r>
          </w:p>
        </w:tc>
        <w:tc>
          <w:tcPr>
            <w:tcW w:w="2107" w:type="dxa"/>
            <w:vAlign w:val="center"/>
          </w:tcPr>
          <w:p w14:paraId="57F8B768">
            <w:pPr>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ascii="Times New Roman" w:hAnsi="Times New Roman" w:cs="Times New Roman"/>
                <w:color w:val="auto"/>
                <w:spacing w:val="-1"/>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220D7ABD">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 w:val="24"/>
                <w:szCs w:val="24"/>
                <w:lang w:val="en-US" w:eastAsia="zh-CN"/>
              </w:rPr>
            </w:pPr>
            <w:r>
              <w:rPr>
                <w:rFonts w:hint="eastAsia"/>
                <w:snapToGrid w:val="0"/>
                <w:color w:val="auto"/>
                <w:kern w:val="21"/>
                <w:sz w:val="24"/>
                <w:szCs w:val="24"/>
                <w:lang w:val="en-US" w:eastAsia="zh-CN"/>
              </w:rPr>
              <w:t>/</w:t>
            </w:r>
          </w:p>
        </w:tc>
        <w:tc>
          <w:tcPr>
            <w:tcW w:w="1462" w:type="dxa"/>
            <w:vAlign w:val="center"/>
          </w:tcPr>
          <w:p w14:paraId="6401A703">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 w:val="24"/>
                <w:szCs w:val="24"/>
                <w:lang w:val="en-US" w:eastAsia="zh-CN"/>
              </w:rPr>
            </w:pPr>
            <w:r>
              <w:rPr>
                <w:rFonts w:hint="eastAsia"/>
                <w:snapToGrid w:val="0"/>
                <w:color w:val="auto"/>
                <w:kern w:val="21"/>
                <w:sz w:val="24"/>
                <w:szCs w:val="24"/>
                <w:lang w:val="en-US" w:eastAsia="zh-CN"/>
              </w:rPr>
              <w:t>/</w:t>
            </w:r>
          </w:p>
        </w:tc>
        <w:tc>
          <w:tcPr>
            <w:tcW w:w="1613" w:type="dxa"/>
            <w:vAlign w:val="center"/>
          </w:tcPr>
          <w:p w14:paraId="7F24D97C">
            <w:pPr>
              <w:jc w:val="center"/>
              <w:rPr>
                <w:rFonts w:hint="default"/>
                <w:color w:val="auto"/>
                <w:kern w:val="0"/>
                <w:sz w:val="24"/>
                <w:szCs w:val="24"/>
                <w:lang w:val="en-US" w:eastAsia="zh-CN"/>
              </w:rPr>
            </w:pPr>
            <w:r>
              <w:rPr>
                <w:rFonts w:hint="eastAsia"/>
                <w:color w:val="auto"/>
                <w:kern w:val="0"/>
                <w:sz w:val="24"/>
                <w:szCs w:val="24"/>
                <w:lang w:val="en-US" w:eastAsia="zh-CN"/>
              </w:rPr>
              <w:t>7.0</w:t>
            </w:r>
          </w:p>
        </w:tc>
        <w:tc>
          <w:tcPr>
            <w:tcW w:w="1331" w:type="dxa"/>
            <w:vAlign w:val="center"/>
          </w:tcPr>
          <w:p w14:paraId="2AC723C4">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 w:val="24"/>
                <w:szCs w:val="24"/>
                <w:lang w:val="en-US" w:eastAsia="zh-CN"/>
              </w:rPr>
            </w:pPr>
            <w:r>
              <w:rPr>
                <w:rFonts w:hint="eastAsia"/>
                <w:snapToGrid w:val="0"/>
                <w:color w:val="auto"/>
                <w:kern w:val="21"/>
                <w:sz w:val="24"/>
                <w:szCs w:val="24"/>
                <w:lang w:val="en-US" w:eastAsia="zh-CN"/>
              </w:rPr>
              <w:t>/</w:t>
            </w:r>
          </w:p>
        </w:tc>
        <w:tc>
          <w:tcPr>
            <w:tcW w:w="1718" w:type="dxa"/>
            <w:vAlign w:val="center"/>
          </w:tcPr>
          <w:p w14:paraId="07F4CA69">
            <w:pPr>
              <w:jc w:val="center"/>
              <w:rPr>
                <w:rFonts w:hint="default"/>
                <w:snapToGrid w:val="0"/>
                <w:color w:val="auto"/>
                <w:kern w:val="21"/>
                <w:sz w:val="24"/>
                <w:szCs w:val="24"/>
                <w:lang w:val="en-US" w:eastAsia="zh-CN"/>
              </w:rPr>
            </w:pPr>
            <w:r>
              <w:rPr>
                <w:rFonts w:hint="eastAsia"/>
                <w:color w:val="auto"/>
                <w:kern w:val="0"/>
                <w:sz w:val="24"/>
                <w:szCs w:val="24"/>
                <w:lang w:val="en-US" w:eastAsia="zh-CN"/>
              </w:rPr>
              <w:t>7.0</w:t>
            </w:r>
          </w:p>
        </w:tc>
        <w:tc>
          <w:tcPr>
            <w:tcW w:w="1049" w:type="dxa"/>
            <w:vAlign w:val="center"/>
          </w:tcPr>
          <w:p w14:paraId="1FB23118">
            <w:pPr>
              <w:keepNext w:val="0"/>
              <w:keepLines w:val="0"/>
              <w:pageBreakBefore w:val="0"/>
              <w:widowControl w:val="0"/>
              <w:wordWrap/>
              <w:topLinePunct w:val="0"/>
              <w:autoSpaceDE/>
              <w:autoSpaceDN/>
              <w:bidi w:val="0"/>
              <w:adjustRightInd w:val="0"/>
              <w:snapToGrid w:val="0"/>
              <w:jc w:val="center"/>
              <w:rPr>
                <w:rFonts w:hint="default"/>
                <w:color w:val="auto"/>
                <w:kern w:val="0"/>
                <w:sz w:val="24"/>
                <w:szCs w:val="24"/>
                <w:lang w:val="en-US" w:eastAsia="zh-CN"/>
              </w:rPr>
            </w:pPr>
            <w:r>
              <w:rPr>
                <w:rFonts w:hint="eastAsia"/>
                <w:snapToGrid w:val="0"/>
                <w:color w:val="auto"/>
                <w:kern w:val="21"/>
                <w:sz w:val="24"/>
                <w:szCs w:val="24"/>
                <w:lang w:val="en-US" w:eastAsia="zh-CN"/>
              </w:rPr>
              <w:t>/</w:t>
            </w:r>
          </w:p>
        </w:tc>
      </w:tr>
      <w:tr w14:paraId="05D05C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1A0789E0">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p>
        </w:tc>
        <w:tc>
          <w:tcPr>
            <w:tcW w:w="1644" w:type="dxa"/>
            <w:vAlign w:val="center"/>
          </w:tcPr>
          <w:p w14:paraId="45A32826">
            <w:pPr>
              <w:pStyle w:val="31"/>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ascii="Times New Roman" w:hAnsi="Times New Roman" w:cs="Times New Roman"/>
                <w:color w:val="auto"/>
                <w:kern w:val="0"/>
                <w:sz w:val="24"/>
                <w:szCs w:val="24"/>
              </w:rPr>
            </w:pPr>
            <w:r>
              <w:rPr>
                <w:rFonts w:hint="eastAsia" w:ascii="Times New Roman" w:hAnsi="Times New Roman" w:cs="Times New Roman"/>
                <w:color w:val="auto"/>
                <w:spacing w:val="-1"/>
                <w:sz w:val="24"/>
                <w:szCs w:val="24"/>
                <w:lang w:val="en-US" w:eastAsia="zh-CN"/>
              </w:rPr>
              <w:t>除尘灰</w:t>
            </w:r>
          </w:p>
        </w:tc>
        <w:tc>
          <w:tcPr>
            <w:tcW w:w="2107" w:type="dxa"/>
            <w:vAlign w:val="center"/>
          </w:tcPr>
          <w:p w14:paraId="23F765B1">
            <w:pPr>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snapToGrid w:val="0"/>
                <w:color w:val="auto"/>
                <w:kern w:val="21"/>
                <w:sz w:val="24"/>
                <w:szCs w:val="24"/>
              </w:rPr>
            </w:pPr>
            <w:r>
              <w:rPr>
                <w:rFonts w:hint="eastAsia"/>
                <w:snapToGrid w:val="0"/>
                <w:color w:val="auto"/>
                <w:kern w:val="21"/>
                <w:sz w:val="24"/>
                <w:szCs w:val="24"/>
                <w:lang w:val="en-US" w:eastAsia="zh-CN"/>
              </w:rPr>
              <w:t>/</w:t>
            </w:r>
          </w:p>
        </w:tc>
        <w:tc>
          <w:tcPr>
            <w:tcW w:w="1754" w:type="dxa"/>
            <w:vAlign w:val="center"/>
          </w:tcPr>
          <w:p w14:paraId="264F8D51">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462" w:type="dxa"/>
            <w:vAlign w:val="center"/>
          </w:tcPr>
          <w:p w14:paraId="4725C781">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613" w:type="dxa"/>
            <w:vAlign w:val="center"/>
          </w:tcPr>
          <w:p w14:paraId="69C83FC0">
            <w:pPr>
              <w:jc w:val="center"/>
              <w:rPr>
                <w:rFonts w:hint="default"/>
                <w:color w:val="auto"/>
                <w:kern w:val="0"/>
                <w:sz w:val="24"/>
                <w:szCs w:val="24"/>
                <w:lang w:val="en-US" w:eastAsia="zh-CN"/>
              </w:rPr>
            </w:pPr>
            <w:r>
              <w:rPr>
                <w:rFonts w:hint="eastAsia" w:cs="Times New Roman"/>
                <w:color w:val="auto"/>
                <w:kern w:val="0"/>
                <w:sz w:val="24"/>
                <w:szCs w:val="24"/>
                <w:lang w:val="en-US" w:eastAsia="zh-CN" w:bidi="ar-SA"/>
              </w:rPr>
              <w:t>0.658</w:t>
            </w:r>
          </w:p>
        </w:tc>
        <w:tc>
          <w:tcPr>
            <w:tcW w:w="1331" w:type="dxa"/>
            <w:vAlign w:val="center"/>
          </w:tcPr>
          <w:p w14:paraId="4C54FD60">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718" w:type="dxa"/>
            <w:vAlign w:val="center"/>
          </w:tcPr>
          <w:p w14:paraId="6715B15D">
            <w:pPr>
              <w:jc w:val="center"/>
              <w:rPr>
                <w:rFonts w:hint="default"/>
                <w:color w:val="auto"/>
                <w:kern w:val="0"/>
                <w:sz w:val="24"/>
                <w:szCs w:val="24"/>
                <w:lang w:val="en-US" w:eastAsia="zh-CN"/>
              </w:rPr>
            </w:pPr>
            <w:r>
              <w:rPr>
                <w:rFonts w:hint="eastAsia" w:cs="Times New Roman"/>
                <w:color w:val="auto"/>
                <w:kern w:val="0"/>
                <w:sz w:val="24"/>
                <w:szCs w:val="24"/>
                <w:lang w:val="en-US" w:eastAsia="zh-CN" w:bidi="ar-SA"/>
              </w:rPr>
              <w:t>0.658</w:t>
            </w:r>
          </w:p>
        </w:tc>
        <w:tc>
          <w:tcPr>
            <w:tcW w:w="1049" w:type="dxa"/>
            <w:vAlign w:val="center"/>
          </w:tcPr>
          <w:p w14:paraId="62E356FA">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rFonts w:hint="eastAsia"/>
                <w:snapToGrid w:val="0"/>
                <w:color w:val="auto"/>
                <w:kern w:val="21"/>
                <w:sz w:val="24"/>
                <w:szCs w:val="24"/>
                <w:lang w:val="en-US" w:eastAsia="zh-CN"/>
              </w:rPr>
              <w:t>/</w:t>
            </w:r>
          </w:p>
        </w:tc>
      </w:tr>
      <w:tr w14:paraId="64FAA7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63A335F0">
            <w:pPr>
              <w:keepNext w:val="0"/>
              <w:keepLines w:val="0"/>
              <w:pageBreakBefore w:val="0"/>
              <w:widowControl w:val="0"/>
              <w:wordWrap/>
              <w:topLinePunct w:val="0"/>
              <w:autoSpaceDE/>
              <w:autoSpaceDN/>
              <w:bidi w:val="0"/>
              <w:adjustRightInd w:val="0"/>
              <w:snapToGrid w:val="0"/>
              <w:jc w:val="center"/>
              <w:rPr>
                <w:sz w:val="24"/>
                <w:szCs w:val="24"/>
              </w:rPr>
            </w:pPr>
          </w:p>
        </w:tc>
        <w:tc>
          <w:tcPr>
            <w:tcW w:w="1644" w:type="dxa"/>
            <w:vAlign w:val="center"/>
          </w:tcPr>
          <w:p w14:paraId="1F8665CF">
            <w:pPr>
              <w:keepNext w:val="0"/>
              <w:keepLines w:val="0"/>
              <w:pageBreakBefore w:val="0"/>
              <w:widowControl w:val="0"/>
              <w:wordWrap/>
              <w:topLinePunct w:val="0"/>
              <w:autoSpaceDE/>
              <w:autoSpaceDN/>
              <w:bidi w:val="0"/>
              <w:adjustRightInd w:val="0"/>
              <w:snapToGrid w:val="0"/>
              <w:jc w:val="center"/>
              <w:rPr>
                <w:rFonts w:hint="eastAsia" w:ascii="Times New Roman" w:hAnsi="Times New Roman" w:eastAsia="宋体" w:cs="Times New Roman"/>
                <w:color w:val="auto"/>
                <w:spacing w:val="-1"/>
                <w:sz w:val="24"/>
                <w:szCs w:val="24"/>
                <w:lang w:val="en-US" w:eastAsia="zh-CN"/>
              </w:rPr>
            </w:pPr>
            <w:r>
              <w:rPr>
                <w:rFonts w:hint="eastAsia" w:cs="Times New Roman"/>
                <w:color w:val="auto"/>
                <w:spacing w:val="-1"/>
                <w:sz w:val="24"/>
                <w:szCs w:val="24"/>
                <w:lang w:val="en-US" w:eastAsia="zh-CN"/>
              </w:rPr>
              <w:t>废沉渣</w:t>
            </w:r>
          </w:p>
        </w:tc>
        <w:tc>
          <w:tcPr>
            <w:tcW w:w="2107" w:type="dxa"/>
            <w:vAlign w:val="center"/>
          </w:tcPr>
          <w:p w14:paraId="4C05F176">
            <w:pPr>
              <w:keepNext w:val="0"/>
              <w:keepLines w:val="0"/>
              <w:pageBreakBefore w:val="0"/>
              <w:widowControl w:val="0"/>
              <w:wordWrap/>
              <w:topLinePunct w:val="0"/>
              <w:autoSpaceDE/>
              <w:autoSpaceDN/>
              <w:bidi w:val="0"/>
              <w:adjustRightInd w:val="0"/>
              <w:snapToGrid w:val="0"/>
              <w:jc w:val="center"/>
              <w:rPr>
                <w:rFonts w:hint="default" w:ascii="Times New Roman" w:hAnsi="Times New Roman" w:cs="Times New Roman"/>
                <w:color w:val="auto"/>
                <w:spacing w:val="-1"/>
                <w:sz w:val="24"/>
                <w:szCs w:val="24"/>
              </w:rPr>
            </w:pPr>
            <w:r>
              <w:rPr>
                <w:rFonts w:hint="eastAsia"/>
                <w:snapToGrid w:val="0"/>
                <w:color w:val="auto"/>
                <w:kern w:val="21"/>
                <w:sz w:val="24"/>
                <w:szCs w:val="24"/>
                <w:lang w:val="en-US" w:eastAsia="zh-CN"/>
              </w:rPr>
              <w:t>/</w:t>
            </w:r>
          </w:p>
        </w:tc>
        <w:tc>
          <w:tcPr>
            <w:tcW w:w="1754" w:type="dxa"/>
            <w:vAlign w:val="center"/>
          </w:tcPr>
          <w:p w14:paraId="614E9E1D">
            <w:pPr>
              <w:keepNext w:val="0"/>
              <w:keepLines w:val="0"/>
              <w:pageBreakBefore w:val="0"/>
              <w:widowControl w:val="0"/>
              <w:wordWrap/>
              <w:topLinePunct w:val="0"/>
              <w:autoSpaceDE/>
              <w:autoSpaceDN/>
              <w:bidi w:val="0"/>
              <w:adjustRightInd w:val="0"/>
              <w:snapToGrid w:val="0"/>
              <w:jc w:val="center"/>
              <w:rPr>
                <w:rFonts w:hint="eastAsia" w:ascii="Times New Roman" w:hAnsi="Times New Roman" w:eastAsia="宋体" w:cs="Times New Roman"/>
                <w:color w:val="auto"/>
                <w:spacing w:val="-1"/>
                <w:sz w:val="24"/>
                <w:szCs w:val="24"/>
                <w:lang w:val="en-US" w:eastAsia="zh-CN"/>
              </w:rPr>
            </w:pPr>
            <w:r>
              <w:rPr>
                <w:rFonts w:hint="eastAsia" w:cs="Times New Roman"/>
                <w:color w:val="auto"/>
                <w:spacing w:val="-1"/>
                <w:sz w:val="24"/>
                <w:szCs w:val="24"/>
                <w:lang w:val="en-US" w:eastAsia="zh-CN"/>
              </w:rPr>
              <w:t>/</w:t>
            </w:r>
          </w:p>
        </w:tc>
        <w:tc>
          <w:tcPr>
            <w:tcW w:w="1462" w:type="dxa"/>
            <w:vAlign w:val="center"/>
          </w:tcPr>
          <w:p w14:paraId="6FF707F0">
            <w:pPr>
              <w:keepNext w:val="0"/>
              <w:keepLines w:val="0"/>
              <w:pageBreakBefore w:val="0"/>
              <w:widowControl w:val="0"/>
              <w:wordWrap/>
              <w:topLinePunct w:val="0"/>
              <w:autoSpaceDE/>
              <w:autoSpaceDN/>
              <w:bidi w:val="0"/>
              <w:adjustRightInd w:val="0"/>
              <w:snapToGrid w:val="0"/>
              <w:jc w:val="center"/>
              <w:rPr>
                <w:rFonts w:hint="eastAsia" w:ascii="Times New Roman" w:hAnsi="Times New Roman" w:eastAsia="宋体" w:cs="Times New Roman"/>
                <w:color w:val="auto"/>
                <w:spacing w:val="-1"/>
                <w:sz w:val="24"/>
                <w:szCs w:val="24"/>
                <w:lang w:val="en-US" w:eastAsia="zh-CN"/>
              </w:rPr>
            </w:pPr>
            <w:r>
              <w:rPr>
                <w:rFonts w:hint="eastAsia" w:cs="Times New Roman"/>
                <w:color w:val="auto"/>
                <w:spacing w:val="-1"/>
                <w:sz w:val="24"/>
                <w:szCs w:val="24"/>
                <w:lang w:val="en-US" w:eastAsia="zh-CN"/>
              </w:rPr>
              <w:t>/</w:t>
            </w:r>
          </w:p>
        </w:tc>
        <w:tc>
          <w:tcPr>
            <w:tcW w:w="1613" w:type="dxa"/>
            <w:vAlign w:val="center"/>
          </w:tcPr>
          <w:p w14:paraId="13768EDD">
            <w:pPr>
              <w:jc w:val="center"/>
              <w:rPr>
                <w:rFonts w:hint="default" w:ascii="Times New Roman" w:hAnsi="Times New Roman" w:cs="Times New Roman"/>
                <w:color w:val="auto"/>
                <w:spacing w:val="-1"/>
                <w:sz w:val="24"/>
                <w:szCs w:val="24"/>
              </w:rPr>
            </w:pPr>
            <w:r>
              <w:rPr>
                <w:rFonts w:hint="eastAsia" w:cs="Times New Roman"/>
                <w:color w:val="auto"/>
                <w:kern w:val="0"/>
                <w:sz w:val="24"/>
                <w:szCs w:val="24"/>
                <w:lang w:val="en-US" w:eastAsia="zh-CN" w:bidi="ar-SA"/>
              </w:rPr>
              <w:t>7.5</w:t>
            </w:r>
          </w:p>
        </w:tc>
        <w:tc>
          <w:tcPr>
            <w:tcW w:w="1331" w:type="dxa"/>
            <w:vAlign w:val="center"/>
          </w:tcPr>
          <w:p w14:paraId="375E5247">
            <w:pPr>
              <w:keepNext w:val="0"/>
              <w:keepLines w:val="0"/>
              <w:pageBreakBefore w:val="0"/>
              <w:widowControl w:val="0"/>
              <w:wordWrap/>
              <w:topLinePunct w:val="0"/>
              <w:autoSpaceDE/>
              <w:autoSpaceDN/>
              <w:bidi w:val="0"/>
              <w:adjustRightInd w:val="0"/>
              <w:snapToGrid w:val="0"/>
              <w:jc w:val="center"/>
              <w:rPr>
                <w:rFonts w:hint="eastAsia" w:ascii="Times New Roman" w:hAnsi="Times New Roman" w:eastAsia="宋体" w:cs="Times New Roman"/>
                <w:color w:val="auto"/>
                <w:spacing w:val="-1"/>
                <w:sz w:val="24"/>
                <w:szCs w:val="24"/>
                <w:lang w:val="en-US" w:eastAsia="zh-CN"/>
              </w:rPr>
            </w:pPr>
            <w:r>
              <w:rPr>
                <w:rFonts w:hint="eastAsia" w:cs="Times New Roman"/>
                <w:color w:val="auto"/>
                <w:spacing w:val="-1"/>
                <w:sz w:val="24"/>
                <w:szCs w:val="24"/>
                <w:lang w:val="en-US" w:eastAsia="zh-CN"/>
              </w:rPr>
              <w:t>/</w:t>
            </w:r>
          </w:p>
        </w:tc>
        <w:tc>
          <w:tcPr>
            <w:tcW w:w="1718" w:type="dxa"/>
            <w:vAlign w:val="center"/>
          </w:tcPr>
          <w:p w14:paraId="3701884D">
            <w:pPr>
              <w:jc w:val="center"/>
              <w:rPr>
                <w:rFonts w:hint="default" w:ascii="Times New Roman" w:hAnsi="Times New Roman" w:cs="Times New Roman"/>
                <w:color w:val="auto"/>
                <w:spacing w:val="-1"/>
                <w:sz w:val="24"/>
                <w:szCs w:val="24"/>
              </w:rPr>
            </w:pPr>
            <w:r>
              <w:rPr>
                <w:rFonts w:hint="eastAsia" w:cs="Times New Roman"/>
                <w:color w:val="auto"/>
                <w:kern w:val="0"/>
                <w:sz w:val="24"/>
                <w:szCs w:val="24"/>
                <w:lang w:val="en-US" w:eastAsia="zh-CN" w:bidi="ar-SA"/>
              </w:rPr>
              <w:t>7.5</w:t>
            </w:r>
          </w:p>
        </w:tc>
        <w:tc>
          <w:tcPr>
            <w:tcW w:w="1049" w:type="dxa"/>
            <w:vAlign w:val="center"/>
          </w:tcPr>
          <w:p w14:paraId="629FC3CE">
            <w:pPr>
              <w:keepNext w:val="0"/>
              <w:keepLines w:val="0"/>
              <w:pageBreakBefore w:val="0"/>
              <w:widowControl w:val="0"/>
              <w:wordWrap/>
              <w:topLinePunct w:val="0"/>
              <w:autoSpaceDE/>
              <w:autoSpaceDN/>
              <w:bidi w:val="0"/>
              <w:adjustRightInd w:val="0"/>
              <w:snapToGrid w:val="0"/>
              <w:jc w:val="center"/>
              <w:rPr>
                <w:rFonts w:hint="default" w:ascii="Times New Roman" w:hAnsi="Times New Roman" w:cs="Times New Roman"/>
                <w:color w:val="auto"/>
                <w:spacing w:val="-1"/>
                <w:sz w:val="24"/>
                <w:szCs w:val="24"/>
              </w:rPr>
            </w:pPr>
            <w:r>
              <w:rPr>
                <w:rFonts w:hint="eastAsia"/>
                <w:snapToGrid w:val="0"/>
                <w:color w:val="auto"/>
                <w:kern w:val="21"/>
                <w:sz w:val="24"/>
                <w:szCs w:val="24"/>
                <w:lang w:val="en-US" w:eastAsia="zh-CN"/>
              </w:rPr>
              <w:t>/</w:t>
            </w:r>
          </w:p>
        </w:tc>
      </w:tr>
      <w:tr w14:paraId="7B9893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162C43CB">
            <w:pPr>
              <w:keepNext w:val="0"/>
              <w:keepLines w:val="0"/>
              <w:pageBreakBefore w:val="0"/>
              <w:widowControl w:val="0"/>
              <w:wordWrap/>
              <w:topLinePunct w:val="0"/>
              <w:autoSpaceDE/>
              <w:autoSpaceDN/>
              <w:bidi w:val="0"/>
              <w:adjustRightInd w:val="0"/>
              <w:snapToGrid w:val="0"/>
              <w:jc w:val="center"/>
              <w:rPr>
                <w:sz w:val="24"/>
                <w:szCs w:val="24"/>
              </w:rPr>
            </w:pPr>
          </w:p>
        </w:tc>
        <w:tc>
          <w:tcPr>
            <w:tcW w:w="1644" w:type="dxa"/>
            <w:vAlign w:val="center"/>
          </w:tcPr>
          <w:p w14:paraId="05F70613">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 w:val="24"/>
                <w:szCs w:val="24"/>
                <w:lang w:val="en-US" w:eastAsia="zh-CN"/>
              </w:rPr>
            </w:pPr>
            <w:r>
              <w:rPr>
                <w:rFonts w:hint="eastAsia" w:cs="Times New Roman"/>
                <w:color w:val="auto"/>
                <w:spacing w:val="-1"/>
                <w:sz w:val="24"/>
                <w:szCs w:val="24"/>
                <w:lang w:val="en-US" w:eastAsia="zh-CN"/>
              </w:rPr>
              <w:t>废布袋</w:t>
            </w:r>
          </w:p>
        </w:tc>
        <w:tc>
          <w:tcPr>
            <w:tcW w:w="2107" w:type="dxa"/>
            <w:vAlign w:val="center"/>
          </w:tcPr>
          <w:p w14:paraId="306DFC4E">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 w:val="24"/>
                <w:szCs w:val="24"/>
                <w:lang w:val="en-US" w:eastAsia="zh-CN"/>
              </w:rPr>
            </w:pPr>
            <w:r>
              <w:rPr>
                <w:rFonts w:hint="eastAsia" w:cs="Times New Roman"/>
                <w:color w:val="auto"/>
                <w:spacing w:val="-1"/>
                <w:sz w:val="24"/>
                <w:szCs w:val="24"/>
                <w:lang w:val="en-US" w:eastAsia="zh-CN"/>
              </w:rPr>
              <w:t>/</w:t>
            </w:r>
          </w:p>
        </w:tc>
        <w:tc>
          <w:tcPr>
            <w:tcW w:w="1754" w:type="dxa"/>
            <w:vAlign w:val="center"/>
          </w:tcPr>
          <w:p w14:paraId="64167868">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 w:val="24"/>
                <w:szCs w:val="24"/>
                <w:lang w:val="en-US" w:eastAsia="zh-CN"/>
              </w:rPr>
            </w:pPr>
            <w:r>
              <w:rPr>
                <w:rFonts w:hint="eastAsia" w:cs="Times New Roman"/>
                <w:color w:val="auto"/>
                <w:spacing w:val="-1"/>
                <w:sz w:val="24"/>
                <w:szCs w:val="24"/>
                <w:lang w:val="en-US" w:eastAsia="zh-CN"/>
              </w:rPr>
              <w:t>/</w:t>
            </w:r>
          </w:p>
        </w:tc>
        <w:tc>
          <w:tcPr>
            <w:tcW w:w="1462" w:type="dxa"/>
            <w:vAlign w:val="center"/>
          </w:tcPr>
          <w:p w14:paraId="220468EA">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 w:val="24"/>
                <w:szCs w:val="24"/>
                <w:lang w:val="en-US" w:eastAsia="zh-CN"/>
              </w:rPr>
            </w:pPr>
            <w:r>
              <w:rPr>
                <w:rFonts w:hint="eastAsia" w:cs="Times New Roman"/>
                <w:color w:val="auto"/>
                <w:spacing w:val="-1"/>
                <w:sz w:val="24"/>
                <w:szCs w:val="24"/>
                <w:lang w:val="en-US" w:eastAsia="zh-CN"/>
              </w:rPr>
              <w:t>/</w:t>
            </w:r>
          </w:p>
        </w:tc>
        <w:tc>
          <w:tcPr>
            <w:tcW w:w="1613" w:type="dxa"/>
            <w:vAlign w:val="center"/>
          </w:tcPr>
          <w:p w14:paraId="171D1A93">
            <w:pPr>
              <w:jc w:val="center"/>
              <w:rPr>
                <w:rFonts w:hint="default" w:cs="Times New Roman"/>
                <w:color w:val="auto"/>
                <w:spacing w:val="-1"/>
                <w:sz w:val="24"/>
                <w:szCs w:val="24"/>
                <w:lang w:val="en-US" w:eastAsia="zh-CN"/>
              </w:rPr>
            </w:pPr>
            <w:r>
              <w:rPr>
                <w:rFonts w:hint="eastAsia" w:cs="Times New Roman"/>
                <w:color w:val="auto"/>
                <w:kern w:val="0"/>
                <w:sz w:val="24"/>
                <w:szCs w:val="24"/>
                <w:lang w:val="en-US" w:eastAsia="zh-CN" w:bidi="ar-SA"/>
              </w:rPr>
              <w:t>0.1</w:t>
            </w:r>
          </w:p>
        </w:tc>
        <w:tc>
          <w:tcPr>
            <w:tcW w:w="1331" w:type="dxa"/>
            <w:vAlign w:val="center"/>
          </w:tcPr>
          <w:p w14:paraId="2FA61A9A">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 w:val="24"/>
                <w:szCs w:val="24"/>
                <w:lang w:val="en-US" w:eastAsia="zh-CN"/>
              </w:rPr>
            </w:pPr>
            <w:r>
              <w:rPr>
                <w:rFonts w:hint="eastAsia" w:cs="Times New Roman"/>
                <w:color w:val="auto"/>
                <w:spacing w:val="-1"/>
                <w:sz w:val="24"/>
                <w:szCs w:val="24"/>
                <w:lang w:val="en-US" w:eastAsia="zh-CN"/>
              </w:rPr>
              <w:t>/</w:t>
            </w:r>
          </w:p>
        </w:tc>
        <w:tc>
          <w:tcPr>
            <w:tcW w:w="1718" w:type="dxa"/>
            <w:vAlign w:val="center"/>
          </w:tcPr>
          <w:p w14:paraId="1EA41D27">
            <w:pPr>
              <w:jc w:val="center"/>
              <w:rPr>
                <w:rFonts w:hint="default" w:cs="Times New Roman"/>
                <w:color w:val="auto"/>
                <w:spacing w:val="-1"/>
                <w:sz w:val="24"/>
                <w:szCs w:val="24"/>
                <w:lang w:val="en-US" w:eastAsia="zh-CN"/>
              </w:rPr>
            </w:pPr>
            <w:r>
              <w:rPr>
                <w:rFonts w:hint="eastAsia" w:cs="Times New Roman"/>
                <w:color w:val="auto"/>
                <w:kern w:val="0"/>
                <w:sz w:val="24"/>
                <w:szCs w:val="24"/>
                <w:lang w:val="en-US" w:eastAsia="zh-CN" w:bidi="ar-SA"/>
              </w:rPr>
              <w:t>0.1</w:t>
            </w:r>
          </w:p>
        </w:tc>
        <w:tc>
          <w:tcPr>
            <w:tcW w:w="1049" w:type="dxa"/>
            <w:vAlign w:val="center"/>
          </w:tcPr>
          <w:p w14:paraId="15C394ED">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 w:val="24"/>
                <w:szCs w:val="24"/>
                <w:lang w:val="en-US" w:eastAsia="zh-CN"/>
              </w:rPr>
            </w:pPr>
            <w:r>
              <w:rPr>
                <w:rFonts w:hint="eastAsia" w:cs="Times New Roman"/>
                <w:color w:val="auto"/>
                <w:spacing w:val="-1"/>
                <w:sz w:val="24"/>
                <w:szCs w:val="24"/>
                <w:lang w:val="en-US" w:eastAsia="zh-CN"/>
              </w:rPr>
              <w:t>/</w:t>
            </w:r>
          </w:p>
        </w:tc>
      </w:tr>
      <w:tr w14:paraId="2A4948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restart"/>
            <w:vAlign w:val="center"/>
          </w:tcPr>
          <w:p w14:paraId="57D4A741">
            <w:pPr>
              <w:keepNext w:val="0"/>
              <w:keepLines w:val="0"/>
              <w:pageBreakBefore w:val="0"/>
              <w:widowControl w:val="0"/>
              <w:wordWrap/>
              <w:topLinePunct w:val="0"/>
              <w:autoSpaceDE/>
              <w:autoSpaceDN/>
              <w:bidi w:val="0"/>
              <w:adjustRightInd w:val="0"/>
              <w:snapToGrid w:val="0"/>
              <w:jc w:val="center"/>
              <w:rPr>
                <w:rFonts w:hint="eastAsia" w:eastAsia="宋体"/>
                <w:sz w:val="24"/>
                <w:szCs w:val="24"/>
                <w:lang w:val="en-US" w:eastAsia="zh-CN"/>
              </w:rPr>
            </w:pPr>
            <w:r>
              <w:rPr>
                <w:rFonts w:hint="eastAsia"/>
                <w:sz w:val="24"/>
                <w:szCs w:val="24"/>
                <w:lang w:val="en-US" w:eastAsia="zh-CN"/>
              </w:rPr>
              <w:t>危险废物</w:t>
            </w:r>
          </w:p>
        </w:tc>
        <w:tc>
          <w:tcPr>
            <w:tcW w:w="1644" w:type="dxa"/>
            <w:vAlign w:val="center"/>
          </w:tcPr>
          <w:p w14:paraId="12036A86">
            <w:pPr>
              <w:pStyle w:val="47"/>
              <w:ind w:firstLine="0" w:firstLineChars="0"/>
              <w:rPr>
                <w:rFonts w:hint="eastAsia" w:cs="Times New Roman"/>
                <w:color w:val="auto"/>
                <w:spacing w:val="-1"/>
                <w:sz w:val="24"/>
                <w:szCs w:val="24"/>
                <w:lang w:val="en-US" w:eastAsia="zh-CN"/>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废油类</w:t>
            </w:r>
          </w:p>
        </w:tc>
        <w:tc>
          <w:tcPr>
            <w:tcW w:w="2107" w:type="dxa"/>
            <w:vAlign w:val="center"/>
          </w:tcPr>
          <w:p w14:paraId="5C3CD4F5">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754" w:type="dxa"/>
            <w:vAlign w:val="center"/>
          </w:tcPr>
          <w:p w14:paraId="38ADDBEB">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462" w:type="dxa"/>
            <w:vAlign w:val="center"/>
          </w:tcPr>
          <w:p w14:paraId="3767D061">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613" w:type="dxa"/>
            <w:vAlign w:val="center"/>
          </w:tcPr>
          <w:p w14:paraId="16DEB845">
            <w:pPr>
              <w:pStyle w:val="47"/>
              <w:ind w:firstLine="0" w:firstLineChars="0"/>
              <w:rPr>
                <w:rFonts w:hint="eastAsia" w:cs="Times New Roman"/>
                <w:color w:val="auto"/>
                <w:kern w:val="0"/>
                <w:sz w:val="24"/>
                <w:szCs w:val="24"/>
                <w:lang w:val="en-US" w:eastAsia="zh-CN" w:bidi="ar-SA"/>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0.01</w:t>
            </w:r>
          </w:p>
        </w:tc>
        <w:tc>
          <w:tcPr>
            <w:tcW w:w="1331" w:type="dxa"/>
            <w:vAlign w:val="center"/>
          </w:tcPr>
          <w:p w14:paraId="6A66227F">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718" w:type="dxa"/>
            <w:vAlign w:val="center"/>
          </w:tcPr>
          <w:p w14:paraId="565660C5">
            <w:pPr>
              <w:pStyle w:val="47"/>
              <w:ind w:firstLine="0" w:firstLineChars="0"/>
              <w:rPr>
                <w:rFonts w:hint="eastAsia" w:cs="Times New Roman"/>
                <w:color w:val="auto"/>
                <w:kern w:val="0"/>
                <w:sz w:val="24"/>
                <w:szCs w:val="24"/>
                <w:lang w:val="en-US" w:eastAsia="zh-CN" w:bidi="ar-SA"/>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0.01</w:t>
            </w:r>
          </w:p>
        </w:tc>
        <w:tc>
          <w:tcPr>
            <w:tcW w:w="1049" w:type="dxa"/>
            <w:vAlign w:val="center"/>
          </w:tcPr>
          <w:p w14:paraId="01E8146D">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r>
      <w:tr w14:paraId="0FB456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12E301E9">
            <w:pPr>
              <w:keepNext w:val="0"/>
              <w:keepLines w:val="0"/>
              <w:pageBreakBefore w:val="0"/>
              <w:widowControl w:val="0"/>
              <w:wordWrap/>
              <w:topLinePunct w:val="0"/>
              <w:autoSpaceDE/>
              <w:autoSpaceDN/>
              <w:bidi w:val="0"/>
              <w:adjustRightInd w:val="0"/>
              <w:snapToGrid w:val="0"/>
              <w:jc w:val="center"/>
              <w:rPr>
                <w:sz w:val="24"/>
                <w:szCs w:val="24"/>
              </w:rPr>
            </w:pPr>
          </w:p>
        </w:tc>
        <w:tc>
          <w:tcPr>
            <w:tcW w:w="1644" w:type="dxa"/>
            <w:vAlign w:val="center"/>
          </w:tcPr>
          <w:p w14:paraId="59FA9A18">
            <w:pPr>
              <w:pStyle w:val="47"/>
              <w:ind w:firstLine="0" w:firstLineChars="0"/>
              <w:rPr>
                <w:rFonts w:hint="eastAsia" w:cs="Times New Roman"/>
                <w:color w:val="auto"/>
                <w:spacing w:val="-1"/>
                <w:sz w:val="24"/>
                <w:szCs w:val="24"/>
                <w:lang w:val="en-US" w:eastAsia="zh-CN"/>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废油桶</w:t>
            </w:r>
          </w:p>
        </w:tc>
        <w:tc>
          <w:tcPr>
            <w:tcW w:w="2107" w:type="dxa"/>
            <w:vAlign w:val="center"/>
          </w:tcPr>
          <w:p w14:paraId="522844A9">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754" w:type="dxa"/>
            <w:vAlign w:val="center"/>
          </w:tcPr>
          <w:p w14:paraId="654DC593">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462" w:type="dxa"/>
            <w:vAlign w:val="center"/>
          </w:tcPr>
          <w:p w14:paraId="257F63C3">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613" w:type="dxa"/>
            <w:vAlign w:val="center"/>
          </w:tcPr>
          <w:p w14:paraId="7E1889E4">
            <w:pPr>
              <w:pStyle w:val="47"/>
              <w:ind w:firstLine="0" w:firstLineChars="0"/>
              <w:rPr>
                <w:rFonts w:hint="default" w:cs="Times New Roman"/>
                <w:color w:val="auto"/>
                <w:kern w:val="0"/>
                <w:sz w:val="24"/>
                <w:szCs w:val="24"/>
                <w:lang w:val="en-US" w:eastAsia="zh-CN" w:bidi="ar-SA"/>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w:t>
            </w:r>
            <w:r>
              <w:rPr>
                <w:rFonts w:hint="eastAsia" w:cs="Times New Roman"/>
                <w:color w:val="000000" w:themeColor="text1"/>
                <w:sz w:val="24"/>
                <w:szCs w:val="24"/>
                <w:lang w:val="en-US" w:eastAsia="zh-CN"/>
                <w14:textFill>
                  <w14:solidFill>
                    <w14:schemeClr w14:val="tx1"/>
                  </w14:solidFill>
                </w14:textFill>
              </w:rPr>
              <w:t>04</w:t>
            </w:r>
          </w:p>
        </w:tc>
        <w:tc>
          <w:tcPr>
            <w:tcW w:w="1331" w:type="dxa"/>
            <w:vAlign w:val="center"/>
          </w:tcPr>
          <w:p w14:paraId="4F0B6633">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718" w:type="dxa"/>
            <w:vAlign w:val="center"/>
          </w:tcPr>
          <w:p w14:paraId="2E4F0A74">
            <w:pPr>
              <w:pStyle w:val="47"/>
              <w:ind w:firstLine="0" w:firstLineChars="0"/>
              <w:rPr>
                <w:rFonts w:hint="eastAsia" w:cs="Times New Roman"/>
                <w:color w:val="auto"/>
                <w:kern w:val="0"/>
                <w:sz w:val="24"/>
                <w:szCs w:val="24"/>
                <w:lang w:val="en-US" w:eastAsia="zh-CN" w:bidi="ar-SA"/>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w:t>
            </w:r>
            <w:r>
              <w:rPr>
                <w:rFonts w:hint="eastAsia" w:cs="Times New Roman"/>
                <w:color w:val="000000" w:themeColor="text1"/>
                <w:sz w:val="24"/>
                <w:szCs w:val="24"/>
                <w:lang w:val="en-US" w:eastAsia="zh-CN"/>
                <w14:textFill>
                  <w14:solidFill>
                    <w14:schemeClr w14:val="tx1"/>
                  </w14:solidFill>
                </w14:textFill>
              </w:rPr>
              <w:t>04</w:t>
            </w:r>
          </w:p>
        </w:tc>
        <w:tc>
          <w:tcPr>
            <w:tcW w:w="1049" w:type="dxa"/>
            <w:vAlign w:val="center"/>
          </w:tcPr>
          <w:p w14:paraId="2E7BA5EA">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r>
      <w:tr w14:paraId="6B4E07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10" w:type="dxa"/>
            <w:vMerge w:val="continue"/>
            <w:vAlign w:val="center"/>
          </w:tcPr>
          <w:p w14:paraId="23749663">
            <w:pPr>
              <w:keepNext w:val="0"/>
              <w:keepLines w:val="0"/>
              <w:pageBreakBefore w:val="0"/>
              <w:widowControl w:val="0"/>
              <w:wordWrap/>
              <w:topLinePunct w:val="0"/>
              <w:autoSpaceDE/>
              <w:autoSpaceDN/>
              <w:bidi w:val="0"/>
              <w:adjustRightInd w:val="0"/>
              <w:snapToGrid w:val="0"/>
              <w:jc w:val="center"/>
              <w:rPr>
                <w:sz w:val="24"/>
                <w:szCs w:val="24"/>
              </w:rPr>
            </w:pPr>
          </w:p>
        </w:tc>
        <w:tc>
          <w:tcPr>
            <w:tcW w:w="1644" w:type="dxa"/>
            <w:vAlign w:val="center"/>
          </w:tcPr>
          <w:p w14:paraId="373D018A">
            <w:pPr>
              <w:pStyle w:val="4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废油手套</w:t>
            </w:r>
          </w:p>
          <w:p w14:paraId="590013DD">
            <w:pPr>
              <w:pStyle w:val="47"/>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cs="Times New Roman"/>
                <w:color w:val="auto"/>
                <w:spacing w:val="-1"/>
                <w:sz w:val="24"/>
                <w:szCs w:val="24"/>
                <w:lang w:val="en-US" w:eastAsia="zh-CN"/>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含油抹布</w:t>
            </w:r>
          </w:p>
        </w:tc>
        <w:tc>
          <w:tcPr>
            <w:tcW w:w="2107" w:type="dxa"/>
            <w:vAlign w:val="center"/>
          </w:tcPr>
          <w:p w14:paraId="7EF17B49">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754" w:type="dxa"/>
            <w:vAlign w:val="center"/>
          </w:tcPr>
          <w:p w14:paraId="7E257405">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462" w:type="dxa"/>
            <w:vAlign w:val="center"/>
          </w:tcPr>
          <w:p w14:paraId="704E9965">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613" w:type="dxa"/>
            <w:vAlign w:val="center"/>
          </w:tcPr>
          <w:p w14:paraId="31E7F635">
            <w:pPr>
              <w:pStyle w:val="47"/>
              <w:ind w:firstLine="0" w:firstLineChars="0"/>
              <w:rPr>
                <w:rFonts w:hint="eastAsia" w:cs="Times New Roman"/>
                <w:color w:val="auto"/>
                <w:kern w:val="0"/>
                <w:sz w:val="24"/>
                <w:szCs w:val="24"/>
                <w:lang w:val="en-US" w:eastAsia="zh-CN" w:bidi="ar-SA"/>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p>
        </w:tc>
        <w:tc>
          <w:tcPr>
            <w:tcW w:w="1331" w:type="dxa"/>
            <w:vAlign w:val="center"/>
          </w:tcPr>
          <w:p w14:paraId="0FCD991D">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c>
          <w:tcPr>
            <w:tcW w:w="1718" w:type="dxa"/>
            <w:vAlign w:val="center"/>
          </w:tcPr>
          <w:p w14:paraId="4638390D">
            <w:pPr>
              <w:pStyle w:val="47"/>
              <w:ind w:firstLine="0" w:firstLineChars="0"/>
              <w:rPr>
                <w:rFonts w:hint="eastAsia" w:cs="Times New Roman"/>
                <w:color w:val="auto"/>
                <w:kern w:val="0"/>
                <w:sz w:val="24"/>
                <w:szCs w:val="24"/>
                <w:lang w:val="en-US" w:eastAsia="zh-CN" w:bidi="ar-SA"/>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p>
        </w:tc>
        <w:tc>
          <w:tcPr>
            <w:tcW w:w="1049" w:type="dxa"/>
            <w:vAlign w:val="center"/>
          </w:tcPr>
          <w:p w14:paraId="60BEBD57">
            <w:pPr>
              <w:spacing w:beforeLines="0" w:afterLines="0" w:line="240" w:lineRule="auto"/>
              <w:jc w:val="center"/>
              <w:rPr>
                <w:rFonts w:hint="eastAsia" w:cs="Times New Roman"/>
                <w:color w:val="auto"/>
                <w:spacing w:val="-1"/>
                <w:sz w:val="24"/>
                <w:szCs w:val="24"/>
                <w:lang w:val="en-US" w:eastAsia="zh-CN"/>
              </w:rPr>
            </w:pPr>
            <w:r>
              <w:rPr>
                <w:rFonts w:hint="eastAsia" w:ascii="Times New Roman" w:cs="Times New Roman"/>
                <w:snapToGrid w:val="0"/>
                <w:color w:val="000000" w:themeColor="text1"/>
                <w:kern w:val="21"/>
                <w:sz w:val="24"/>
                <w:szCs w:val="24"/>
                <w:lang w:val="en-US" w:eastAsia="zh-CN"/>
                <w14:textFill>
                  <w14:solidFill>
                    <w14:schemeClr w14:val="tx1"/>
                  </w14:solidFill>
                </w14:textFill>
              </w:rPr>
              <w:t>/</w:t>
            </w:r>
          </w:p>
        </w:tc>
      </w:tr>
      <w:tr w14:paraId="316D3B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54" w:type="dxa"/>
            <w:gridSpan w:val="2"/>
            <w:vAlign w:val="center"/>
          </w:tcPr>
          <w:p w14:paraId="5F3265B8">
            <w:pPr>
              <w:keepNext w:val="0"/>
              <w:keepLines w:val="0"/>
              <w:pageBreakBefore w:val="0"/>
              <w:widowControl w:val="0"/>
              <w:wordWrap/>
              <w:topLinePunct w:val="0"/>
              <w:autoSpaceDE/>
              <w:autoSpaceDN/>
              <w:bidi w:val="0"/>
              <w:adjustRightInd w:val="0"/>
              <w:snapToGrid w:val="0"/>
              <w:jc w:val="center"/>
              <w:rPr>
                <w:color w:val="auto"/>
                <w:kern w:val="0"/>
                <w:sz w:val="24"/>
                <w:szCs w:val="24"/>
              </w:rPr>
            </w:pPr>
            <w:r>
              <w:rPr>
                <w:snapToGrid w:val="0"/>
                <w:color w:val="auto"/>
                <w:kern w:val="21"/>
                <w:sz w:val="24"/>
                <w:szCs w:val="24"/>
              </w:rPr>
              <w:t>生活垃圾</w:t>
            </w:r>
          </w:p>
        </w:tc>
        <w:tc>
          <w:tcPr>
            <w:tcW w:w="2107" w:type="dxa"/>
            <w:vAlign w:val="center"/>
          </w:tcPr>
          <w:p w14:paraId="639293D2">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 w:val="24"/>
                <w:szCs w:val="24"/>
                <w:lang w:val="en-US" w:eastAsia="zh-CN"/>
              </w:rPr>
            </w:pPr>
            <w:r>
              <w:rPr>
                <w:rFonts w:hint="eastAsia"/>
                <w:snapToGrid w:val="0"/>
                <w:color w:val="auto"/>
                <w:kern w:val="21"/>
                <w:sz w:val="24"/>
                <w:szCs w:val="24"/>
                <w:lang w:val="en-US" w:eastAsia="zh-CN"/>
              </w:rPr>
              <w:t>/</w:t>
            </w:r>
          </w:p>
        </w:tc>
        <w:tc>
          <w:tcPr>
            <w:tcW w:w="1754" w:type="dxa"/>
            <w:vAlign w:val="center"/>
          </w:tcPr>
          <w:p w14:paraId="1478F468">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rFonts w:hint="eastAsia"/>
                <w:snapToGrid w:val="0"/>
                <w:color w:val="auto"/>
                <w:kern w:val="21"/>
                <w:sz w:val="24"/>
                <w:szCs w:val="24"/>
                <w:lang w:val="en-US" w:eastAsia="zh-CN"/>
              </w:rPr>
              <w:t>/</w:t>
            </w:r>
          </w:p>
        </w:tc>
        <w:tc>
          <w:tcPr>
            <w:tcW w:w="1462" w:type="dxa"/>
            <w:vAlign w:val="center"/>
          </w:tcPr>
          <w:p w14:paraId="4985FA07">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 w:val="24"/>
                <w:szCs w:val="24"/>
                <w:lang w:val="en-US" w:eastAsia="zh-CN"/>
              </w:rPr>
            </w:pPr>
            <w:r>
              <w:rPr>
                <w:snapToGrid w:val="0"/>
                <w:color w:val="auto"/>
                <w:kern w:val="21"/>
                <w:sz w:val="24"/>
                <w:szCs w:val="24"/>
              </w:rPr>
              <w:t>/</w:t>
            </w:r>
          </w:p>
        </w:tc>
        <w:tc>
          <w:tcPr>
            <w:tcW w:w="1613" w:type="dxa"/>
            <w:vAlign w:val="center"/>
          </w:tcPr>
          <w:p w14:paraId="6C5BD23D">
            <w:pPr>
              <w:keepNext w:val="0"/>
              <w:keepLines w:val="0"/>
              <w:widowControl/>
              <w:suppressLineNumbers w:val="0"/>
              <w:jc w:val="center"/>
              <w:textAlignment w:val="center"/>
              <w:rPr>
                <w:rFonts w:hint="default" w:eastAsia="宋体"/>
                <w:snapToGrid w:val="0"/>
                <w:color w:val="auto"/>
                <w:kern w:val="21"/>
                <w:sz w:val="24"/>
                <w:szCs w:val="24"/>
                <w:lang w:val="en-US" w:eastAsia="zh-CN"/>
              </w:rPr>
            </w:pPr>
            <w:r>
              <w:rPr>
                <w:rFonts w:hint="eastAsia"/>
                <w:snapToGrid w:val="0"/>
                <w:color w:val="auto"/>
                <w:kern w:val="21"/>
                <w:sz w:val="24"/>
                <w:szCs w:val="24"/>
                <w:lang w:val="en-US" w:eastAsia="zh-CN"/>
              </w:rPr>
              <w:t>4.5</w:t>
            </w:r>
          </w:p>
        </w:tc>
        <w:tc>
          <w:tcPr>
            <w:tcW w:w="1331" w:type="dxa"/>
            <w:vAlign w:val="center"/>
          </w:tcPr>
          <w:p w14:paraId="75280D29">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snapToGrid w:val="0"/>
                <w:color w:val="auto"/>
                <w:kern w:val="21"/>
                <w:sz w:val="24"/>
                <w:szCs w:val="24"/>
              </w:rPr>
              <w:t>/</w:t>
            </w:r>
          </w:p>
        </w:tc>
        <w:tc>
          <w:tcPr>
            <w:tcW w:w="1718" w:type="dxa"/>
            <w:vAlign w:val="center"/>
          </w:tcPr>
          <w:p w14:paraId="47AF2056">
            <w:pPr>
              <w:keepNext w:val="0"/>
              <w:keepLines w:val="0"/>
              <w:widowControl/>
              <w:suppressLineNumbers w:val="0"/>
              <w:jc w:val="center"/>
              <w:textAlignment w:val="center"/>
              <w:rPr>
                <w:rFonts w:hint="default" w:eastAsia="宋体"/>
                <w:snapToGrid w:val="0"/>
                <w:color w:val="auto"/>
                <w:kern w:val="21"/>
                <w:sz w:val="24"/>
                <w:szCs w:val="24"/>
                <w:lang w:val="en-US" w:eastAsia="zh-CN"/>
              </w:rPr>
            </w:pPr>
            <w:r>
              <w:rPr>
                <w:rFonts w:hint="eastAsia"/>
                <w:snapToGrid w:val="0"/>
                <w:color w:val="auto"/>
                <w:kern w:val="21"/>
                <w:sz w:val="24"/>
                <w:szCs w:val="24"/>
                <w:lang w:val="en-US" w:eastAsia="zh-CN"/>
              </w:rPr>
              <w:t>4.5</w:t>
            </w:r>
          </w:p>
        </w:tc>
        <w:tc>
          <w:tcPr>
            <w:tcW w:w="1049" w:type="dxa"/>
            <w:vAlign w:val="center"/>
          </w:tcPr>
          <w:p w14:paraId="5DA1668E">
            <w:pPr>
              <w:keepNext w:val="0"/>
              <w:keepLines w:val="0"/>
              <w:pageBreakBefore w:val="0"/>
              <w:widowControl w:val="0"/>
              <w:wordWrap/>
              <w:topLinePunct w:val="0"/>
              <w:autoSpaceDE/>
              <w:autoSpaceDN/>
              <w:bidi w:val="0"/>
              <w:adjustRightInd w:val="0"/>
              <w:snapToGrid w:val="0"/>
              <w:jc w:val="center"/>
              <w:rPr>
                <w:snapToGrid w:val="0"/>
                <w:color w:val="auto"/>
                <w:kern w:val="21"/>
                <w:sz w:val="24"/>
                <w:szCs w:val="24"/>
              </w:rPr>
            </w:pPr>
            <w:r>
              <w:rPr>
                <w:rFonts w:hint="eastAsia"/>
                <w:snapToGrid w:val="0"/>
                <w:color w:val="auto"/>
                <w:kern w:val="21"/>
                <w:sz w:val="24"/>
                <w:szCs w:val="24"/>
                <w:lang w:val="en-US" w:eastAsia="zh-CN"/>
              </w:rPr>
              <w:t>/</w:t>
            </w:r>
          </w:p>
        </w:tc>
      </w:tr>
    </w:tbl>
    <w:p w14:paraId="0840A374">
      <w:pPr>
        <w:rPr>
          <w:rFonts w:hint="default" w:eastAsia="宋体"/>
          <w:color w:val="auto"/>
          <w:lang w:val="en-US" w:eastAsia="zh-CN"/>
        </w:rPr>
      </w:pPr>
      <w:r>
        <w:rPr>
          <w:snapToGrid w:val="0"/>
          <w:color w:val="auto"/>
          <w:kern w:val="21"/>
          <w:szCs w:val="21"/>
        </w:rPr>
        <w:t>注：</w:t>
      </w:r>
      <w:r>
        <w:rPr>
          <w:snapToGrid w:val="0"/>
          <w:color w:val="auto"/>
          <w:spacing w:val="-16"/>
          <w:kern w:val="21"/>
          <w:szCs w:val="21"/>
        </w:rPr>
        <w:fldChar w:fldCharType="begin"/>
      </w:r>
      <w:r>
        <w:rPr>
          <w:snapToGrid w:val="0"/>
          <w:color w:val="auto"/>
          <w:spacing w:val="-16"/>
          <w:kern w:val="21"/>
          <w:szCs w:val="21"/>
        </w:rPr>
        <w:instrText xml:space="preserve"> = 6 \* GB3 \* MERGEFORMAT </w:instrText>
      </w:r>
      <w:r>
        <w:rPr>
          <w:snapToGrid w:val="0"/>
          <w:color w:val="auto"/>
          <w:spacing w:val="-16"/>
          <w:kern w:val="21"/>
          <w:szCs w:val="21"/>
        </w:rPr>
        <w:fldChar w:fldCharType="separate"/>
      </w:r>
      <w:r>
        <w:rPr>
          <w:color w:val="auto"/>
          <w:szCs w:val="21"/>
        </w:rPr>
        <w:t>⑥</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1 \* GB3 \* MERGEFORMAT </w:instrText>
      </w:r>
      <w:r>
        <w:rPr>
          <w:snapToGrid w:val="0"/>
          <w:color w:val="auto"/>
          <w:spacing w:val="-6"/>
          <w:kern w:val="21"/>
          <w:szCs w:val="21"/>
        </w:rPr>
        <w:fldChar w:fldCharType="separate"/>
      </w:r>
      <w:r>
        <w:rPr>
          <w:color w:val="auto"/>
          <w:szCs w:val="21"/>
        </w:rPr>
        <w:t>①</w:t>
      </w:r>
      <w:r>
        <w:rPr>
          <w:snapToGrid w:val="0"/>
          <w:color w:val="auto"/>
          <w:spacing w:val="-6"/>
          <w:kern w:val="21"/>
          <w:szCs w:val="21"/>
        </w:rPr>
        <w:fldChar w:fldCharType="end"/>
      </w:r>
      <w:r>
        <w:rPr>
          <w:snapToGrid w:val="0"/>
          <w:color w:val="auto"/>
          <w:spacing w:val="-6"/>
          <w:kern w:val="21"/>
          <w:szCs w:val="21"/>
        </w:rPr>
        <w:t>+</w:t>
      </w:r>
      <w:r>
        <w:rPr>
          <w:snapToGrid w:val="0"/>
          <w:color w:val="auto"/>
          <w:spacing w:val="-6"/>
          <w:kern w:val="21"/>
          <w:szCs w:val="21"/>
        </w:rPr>
        <w:fldChar w:fldCharType="begin"/>
      </w:r>
      <w:r>
        <w:rPr>
          <w:snapToGrid w:val="0"/>
          <w:color w:val="auto"/>
          <w:spacing w:val="-6"/>
          <w:kern w:val="21"/>
          <w:szCs w:val="21"/>
        </w:rPr>
        <w:instrText xml:space="preserve"> = 3 \* GB3 \* MERGEFORMAT </w:instrText>
      </w:r>
      <w:r>
        <w:rPr>
          <w:snapToGrid w:val="0"/>
          <w:color w:val="auto"/>
          <w:spacing w:val="-6"/>
          <w:kern w:val="21"/>
          <w:szCs w:val="21"/>
        </w:rPr>
        <w:fldChar w:fldCharType="separate"/>
      </w:r>
      <w:r>
        <w:rPr>
          <w:color w:val="auto"/>
          <w:szCs w:val="21"/>
        </w:rPr>
        <w:t>③</w:t>
      </w:r>
      <w:r>
        <w:rPr>
          <w:snapToGrid w:val="0"/>
          <w:color w:val="auto"/>
          <w:spacing w:val="-6"/>
          <w:kern w:val="21"/>
          <w:szCs w:val="21"/>
        </w:rPr>
        <w:fldChar w:fldCharType="end"/>
      </w:r>
      <w:r>
        <w:rPr>
          <w:snapToGrid w:val="0"/>
          <w:color w:val="auto"/>
          <w:spacing w:val="-6"/>
          <w:kern w:val="21"/>
          <w:szCs w:val="21"/>
        </w:rPr>
        <w:t>+</w:t>
      </w:r>
      <w:r>
        <w:rPr>
          <w:snapToGrid w:val="0"/>
          <w:color w:val="auto"/>
          <w:spacing w:val="-6"/>
          <w:kern w:val="21"/>
          <w:szCs w:val="21"/>
        </w:rPr>
        <w:fldChar w:fldCharType="begin"/>
      </w:r>
      <w:r>
        <w:rPr>
          <w:snapToGrid w:val="0"/>
          <w:color w:val="auto"/>
          <w:spacing w:val="-6"/>
          <w:kern w:val="21"/>
          <w:szCs w:val="21"/>
        </w:rPr>
        <w:instrText xml:space="preserve"> = 4 \* GB3 \* MERGEFORMAT </w:instrText>
      </w:r>
      <w:r>
        <w:rPr>
          <w:snapToGrid w:val="0"/>
          <w:color w:val="auto"/>
          <w:spacing w:val="-6"/>
          <w:kern w:val="21"/>
          <w:szCs w:val="21"/>
        </w:rPr>
        <w:fldChar w:fldCharType="separate"/>
      </w:r>
      <w:r>
        <w:rPr>
          <w:color w:val="auto"/>
          <w:szCs w:val="21"/>
        </w:rPr>
        <w:t>④</w:t>
      </w:r>
      <w:r>
        <w:rPr>
          <w:snapToGrid w:val="0"/>
          <w:color w:val="auto"/>
          <w:spacing w:val="-6"/>
          <w:kern w:val="21"/>
          <w:szCs w:val="21"/>
        </w:rPr>
        <w:fldChar w:fldCharType="end"/>
      </w:r>
      <w:r>
        <w:rPr>
          <w:snapToGrid w:val="0"/>
          <w:color w:val="auto"/>
          <w:spacing w:val="-6"/>
          <w:kern w:val="21"/>
          <w:szCs w:val="21"/>
        </w:rPr>
        <w:t>-</w:t>
      </w:r>
      <w:r>
        <w:rPr>
          <w:snapToGrid w:val="0"/>
          <w:color w:val="auto"/>
          <w:spacing w:val="-16"/>
          <w:kern w:val="21"/>
          <w:szCs w:val="21"/>
        </w:rPr>
        <w:fldChar w:fldCharType="begin"/>
      </w:r>
      <w:r>
        <w:rPr>
          <w:snapToGrid w:val="0"/>
          <w:color w:val="auto"/>
          <w:spacing w:val="-16"/>
          <w:kern w:val="21"/>
          <w:szCs w:val="21"/>
        </w:rPr>
        <w:instrText xml:space="preserve"> = 5 \* GB3 \* MERGEFORMAT </w:instrText>
      </w:r>
      <w:r>
        <w:rPr>
          <w:snapToGrid w:val="0"/>
          <w:color w:val="auto"/>
          <w:spacing w:val="-16"/>
          <w:kern w:val="21"/>
          <w:szCs w:val="21"/>
        </w:rPr>
        <w:fldChar w:fldCharType="separate"/>
      </w:r>
      <w:r>
        <w:rPr>
          <w:color w:val="auto"/>
          <w:szCs w:val="21"/>
        </w:rPr>
        <w:t>⑤</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7 \* GB3 \* MERGEFORMAT </w:instrText>
      </w:r>
      <w:r>
        <w:rPr>
          <w:snapToGrid w:val="0"/>
          <w:color w:val="auto"/>
          <w:spacing w:val="-6"/>
          <w:kern w:val="21"/>
          <w:szCs w:val="21"/>
        </w:rPr>
        <w:fldChar w:fldCharType="separate"/>
      </w:r>
      <w:r>
        <w:rPr>
          <w:color w:val="auto"/>
          <w:szCs w:val="21"/>
        </w:rPr>
        <w:t>⑦</w:t>
      </w:r>
      <w:r>
        <w:rPr>
          <w:snapToGrid w:val="0"/>
          <w:color w:val="auto"/>
          <w:spacing w:val="-6"/>
          <w:kern w:val="21"/>
          <w:szCs w:val="21"/>
        </w:rPr>
        <w:fldChar w:fldCharType="end"/>
      </w:r>
      <w:r>
        <w:rPr>
          <w:snapToGrid w:val="0"/>
          <w:color w:val="auto"/>
          <w:spacing w:val="-6"/>
          <w:kern w:val="21"/>
          <w:szCs w:val="21"/>
        </w:rPr>
        <w:t>=</w:t>
      </w:r>
      <w:r>
        <w:rPr>
          <w:snapToGrid w:val="0"/>
          <w:color w:val="auto"/>
          <w:spacing w:val="-16"/>
          <w:kern w:val="21"/>
          <w:szCs w:val="21"/>
        </w:rPr>
        <w:fldChar w:fldCharType="begin"/>
      </w:r>
      <w:r>
        <w:rPr>
          <w:snapToGrid w:val="0"/>
          <w:color w:val="auto"/>
          <w:spacing w:val="-16"/>
          <w:kern w:val="21"/>
          <w:szCs w:val="21"/>
        </w:rPr>
        <w:instrText xml:space="preserve"> = 6 \* GB3 \* MERGEFORMAT </w:instrText>
      </w:r>
      <w:r>
        <w:rPr>
          <w:snapToGrid w:val="0"/>
          <w:color w:val="auto"/>
          <w:spacing w:val="-16"/>
          <w:kern w:val="21"/>
          <w:szCs w:val="21"/>
        </w:rPr>
        <w:fldChar w:fldCharType="separate"/>
      </w:r>
      <w:r>
        <w:rPr>
          <w:color w:val="auto"/>
          <w:szCs w:val="21"/>
        </w:rPr>
        <w:t>⑥</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1 \* GB3 \* MERGEFORMAT </w:instrText>
      </w:r>
      <w:r>
        <w:rPr>
          <w:snapToGrid w:val="0"/>
          <w:color w:val="auto"/>
          <w:spacing w:val="-6"/>
          <w:kern w:val="21"/>
          <w:szCs w:val="21"/>
        </w:rPr>
        <w:fldChar w:fldCharType="separate"/>
      </w:r>
      <w:r>
        <w:rPr>
          <w:color w:val="auto"/>
          <w:szCs w:val="21"/>
        </w:rPr>
        <w:t>①</w:t>
      </w:r>
      <w:r>
        <w:rPr>
          <w:snapToGrid w:val="0"/>
          <w:color w:val="auto"/>
          <w:spacing w:val="-6"/>
          <w:kern w:val="21"/>
          <w:szCs w:val="21"/>
        </w:rPr>
        <w:fldChar w:fldCharType="end"/>
      </w:r>
      <w:r>
        <w:rPr>
          <w:rFonts w:hint="eastAsia"/>
          <w:snapToGrid w:val="0"/>
          <w:color w:val="auto"/>
          <w:spacing w:val="-6"/>
          <w:kern w:val="21"/>
          <w:szCs w:val="21"/>
          <w:lang w:eastAsia="zh-CN"/>
        </w:rPr>
        <w:t>，</w:t>
      </w:r>
      <w:r>
        <w:rPr>
          <w:rFonts w:hint="eastAsia"/>
          <w:snapToGrid w:val="0"/>
          <w:color w:val="auto"/>
          <w:spacing w:val="-6"/>
          <w:kern w:val="21"/>
          <w:szCs w:val="21"/>
          <w:lang w:val="en-US" w:eastAsia="zh-CN"/>
        </w:rPr>
        <w:t>单位：t/a</w:t>
      </w:r>
    </w:p>
    <w:sectPr>
      <w:headerReference r:id="rId6" w:type="default"/>
      <w:pgSz w:w="16838" w:h="11906" w:orient="landscape"/>
      <w:pgMar w:top="1800" w:right="1440" w:bottom="1800" w:left="1440" w:header="851" w:footer="850"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8065D7-EC21-41E1-8253-69FFA2D4AA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8027DA01-B6B4-467A-B9C1-3966D48352FE}"/>
  </w:font>
  <w:font w:name="微软雅黑">
    <w:panose1 w:val="020B0503020204020204"/>
    <w:charset w:val="86"/>
    <w:family w:val="swiss"/>
    <w:pitch w:val="default"/>
    <w:sig w:usb0="80000287" w:usb1="2ACF3C50" w:usb2="00000016" w:usb3="00000000" w:csb0="0004001F" w:csb1="00000000"/>
    <w:embedRegular r:id="rId3" w:fontKey="{A3B4DC72-4B0B-40F6-9519-50369F74D687}"/>
  </w:font>
  <w:font w:name="TimesNewRomanPSMT">
    <w:altName w:val="Times New Roman"/>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embedRegular r:id="rId4" w:fontKey="{3782BA80-4402-45A9-8C39-404E3024EEAA}"/>
  </w:font>
  <w:font w:name="方正小标宋_GBK">
    <w:panose1 w:val="02000000000000000000"/>
    <w:charset w:val="86"/>
    <w:family w:val="script"/>
    <w:pitch w:val="default"/>
    <w:sig w:usb0="A00002BF" w:usb1="38CF7CFA" w:usb2="00082016" w:usb3="00000000" w:csb0="00040001" w:csb1="00000000"/>
    <w:embedRegular r:id="rId5" w:fontKey="{A24A2508-B620-4FFE-8D2B-D1DC557F97E3}"/>
  </w:font>
  <w:font w:name="华文仿宋">
    <w:panose1 w:val="02010600040101010101"/>
    <w:charset w:val="86"/>
    <w:family w:val="auto"/>
    <w:pitch w:val="default"/>
    <w:sig w:usb0="00000287" w:usb1="080F0000" w:usb2="00000000" w:usb3="00000000" w:csb0="0004009F" w:csb1="DFD70000"/>
    <w:embedRegular r:id="rId6" w:fontKey="{EC696611-D8E5-4C09-9143-11FBBE136FB3}"/>
  </w:font>
  <w:font w:name="仿宋">
    <w:panose1 w:val="02010609060101010101"/>
    <w:charset w:val="86"/>
    <w:family w:val="auto"/>
    <w:pitch w:val="default"/>
    <w:sig w:usb0="800002BF" w:usb1="38CF7CFA" w:usb2="00000016" w:usb3="00000000" w:csb0="00040001" w:csb1="00000000"/>
    <w:embedRegular r:id="rId7" w:fontKey="{0AF42205-6946-4EF4-8989-826D76D93417}"/>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D2027">
    <w:pPr>
      <w:widowControl w:val="0"/>
      <w:tabs>
        <w:tab w:val="center" w:pos="4153"/>
        <w:tab w:val="center" w:pos="4422"/>
        <w:tab w:val="left" w:pos="4995"/>
        <w:tab w:val="right" w:pos="8306"/>
      </w:tabs>
      <w:snapToGrid w:val="0"/>
      <w:jc w:val="left"/>
      <w:rPr>
        <w:rFonts w:ascii="Times New Roman" w:hAnsi="Times New Roman" w:eastAsia="宋体" w:cs="Times New Roman"/>
        <w:kern w:val="0"/>
        <w:sz w:val="18"/>
        <w:szCs w:val="20"/>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A203C">
    <w:pPr>
      <w:keepNext w:val="0"/>
      <w:keepLines w:val="0"/>
      <w:pageBreakBefore w:val="0"/>
      <w:widowControl w:val="0"/>
      <w:kinsoku/>
      <w:wordWrap/>
      <w:overflowPunct/>
      <w:topLinePunct w:val="0"/>
      <w:bidi w:val="0"/>
      <w:adjustRightInd/>
      <w:snapToGrid w:val="0"/>
      <w:ind w:right="0" w:firstLine="363"/>
      <w:jc w:val="left"/>
      <w:textAlignment w:val="auto"/>
      <w:rPr>
        <w:kern w:val="0"/>
        <w:sz w:val="18"/>
        <w:szCs w:val="20"/>
      </w:rPr>
    </w:pPr>
    <w:r>
      <w:rPr>
        <w:kern w:val="0"/>
        <w:sz w:val="18"/>
        <w:szCs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159642">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Pr>
                              <w:kern w:val="0"/>
                              <w:sz w:val="24"/>
                              <w:szCs w:val="28"/>
                            </w:rPr>
                            <w:t>- 30 -</w:t>
                          </w:r>
                          <w:r>
                            <w:rPr>
                              <w:kern w:val="0"/>
                              <w:sz w:val="24"/>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KSPh1TCAQAAjwMAAA4AAAAAAAAAAQAgAAAAHgEAAGRycy9lMm9Eb2MueG1sUEsF&#10;BgAAAAAGAAYAWQEAAFIFAAAAAA==&#10;">
              <v:fill on="f" focussize="0,0"/>
              <v:stroke on="f"/>
              <v:imagedata o:title=""/>
              <o:lock v:ext="edit" aspectratio="f"/>
              <v:textbox inset="0mm,0mm,0mm,0mm" style="mso-fit-shape-to-text:t;">
                <w:txbxContent>
                  <w:p w14:paraId="08159642">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Pr>
                        <w:kern w:val="0"/>
                        <w:sz w:val="24"/>
                        <w:szCs w:val="28"/>
                      </w:rPr>
                      <w:t>- 30 -</w:t>
                    </w:r>
                    <w:r>
                      <w:rPr>
                        <w:kern w:val="0"/>
                        <w:sz w:val="24"/>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BEED9">
    <w:pPr>
      <w:pStyle w:val="18"/>
      <w:ind w:right="360" w:firstLine="36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597EF6">
                          <w:pPr>
                            <w:pStyle w:val="18"/>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- 30 -</w:t>
                          </w:r>
                          <w:r>
                            <w:rPr>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14:paraId="6F597EF6">
                    <w:pPr>
                      <w:pStyle w:val="18"/>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- 30 -</w:t>
                    </w:r>
                    <w:r>
                      <w:rPr>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8693B">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3598F"/>
    <w:multiLevelType w:val="singleLevel"/>
    <w:tmpl w:val="8683598F"/>
    <w:lvl w:ilvl="0" w:tentative="0">
      <w:start w:val="1"/>
      <w:numFmt w:val="decimal"/>
      <w:suff w:val="nothing"/>
      <w:lvlText w:val="%1、"/>
      <w:lvlJc w:val="left"/>
    </w:lvl>
  </w:abstractNum>
  <w:abstractNum w:abstractNumId="1">
    <w:nsid w:val="939499CD"/>
    <w:multiLevelType w:val="singleLevel"/>
    <w:tmpl w:val="939499CD"/>
    <w:lvl w:ilvl="0" w:tentative="0">
      <w:start w:val="1"/>
      <w:numFmt w:val="decimal"/>
      <w:suff w:val="nothing"/>
      <w:lvlText w:val="%1、"/>
      <w:lvlJc w:val="left"/>
    </w:lvl>
  </w:abstractNum>
  <w:abstractNum w:abstractNumId="2">
    <w:nsid w:val="01C06DA2"/>
    <w:multiLevelType w:val="singleLevel"/>
    <w:tmpl w:val="01C06DA2"/>
    <w:lvl w:ilvl="0" w:tentative="0">
      <w:start w:val="1"/>
      <w:numFmt w:val="decimal"/>
      <w:lvlText w:val="%1."/>
      <w:lvlJc w:val="left"/>
      <w:pPr>
        <w:tabs>
          <w:tab w:val="left" w:pos="312"/>
        </w:tabs>
      </w:pPr>
    </w:lvl>
  </w:abstractNum>
  <w:abstractNum w:abstractNumId="3">
    <w:nsid w:val="08B40BBF"/>
    <w:multiLevelType w:val="singleLevel"/>
    <w:tmpl w:val="08B40BBF"/>
    <w:lvl w:ilvl="0" w:tentative="0">
      <w:start w:val="2"/>
      <w:numFmt w:val="decimal"/>
      <w:suff w:val="nothing"/>
      <w:lvlText w:val="（%1）"/>
      <w:lvlJc w:val="left"/>
    </w:lvl>
  </w:abstractNum>
  <w:abstractNum w:abstractNumId="4">
    <w:nsid w:val="3295B1D3"/>
    <w:multiLevelType w:val="singleLevel"/>
    <w:tmpl w:val="3295B1D3"/>
    <w:lvl w:ilvl="0" w:tentative="0">
      <w:start w:val="1"/>
      <w:numFmt w:val="decimal"/>
      <w:suff w:val="nothing"/>
      <w:lvlText w:val="%1、"/>
      <w:lvlJc w:val="left"/>
    </w:lvl>
  </w:abstractNum>
  <w:abstractNum w:abstractNumId="5">
    <w:nsid w:val="4BD5AF15"/>
    <w:multiLevelType w:val="singleLevel"/>
    <w:tmpl w:val="4BD5AF15"/>
    <w:lvl w:ilvl="0" w:tentative="0">
      <w:start w:val="1"/>
      <w:numFmt w:val="decimal"/>
      <w:suff w:val="nothing"/>
      <w:lvlText w:val="%1、"/>
      <w:lvlJc w:val="left"/>
    </w:lvl>
  </w:abstractNum>
  <w:abstractNum w:abstractNumId="6">
    <w:nsid w:val="781FB689"/>
    <w:multiLevelType w:val="singleLevel"/>
    <w:tmpl w:val="781FB689"/>
    <w:lvl w:ilvl="0" w:tentative="0">
      <w:start w:val="1"/>
      <w:numFmt w:val="decimal"/>
      <w:lvlText w:val="%1."/>
      <w:lvlJc w:val="left"/>
      <w:pPr>
        <w:tabs>
          <w:tab w:val="left" w:pos="312"/>
        </w:tabs>
      </w:pPr>
    </w:lvl>
  </w:abstractNum>
  <w:num w:numId="1">
    <w:abstractNumId w:val="3"/>
  </w:num>
  <w:num w:numId="2">
    <w:abstractNumId w:val="1"/>
  </w:num>
  <w:num w:numId="3">
    <w:abstractNumId w:val="2"/>
  </w:num>
  <w:num w:numId="4">
    <w:abstractNumId w:val="6"/>
  </w:num>
  <w:num w:numId="5">
    <w:abstractNumId w:val="4"/>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ZGVlZDhlMTk4OWE5ZDRlNWZmYzJhZTU1NWFlZWUifQ=="/>
  </w:docVars>
  <w:rsids>
    <w:rsidRoot w:val="459D7124"/>
    <w:rsid w:val="000100BD"/>
    <w:rsid w:val="008533D5"/>
    <w:rsid w:val="009F7F8A"/>
    <w:rsid w:val="00C37EEC"/>
    <w:rsid w:val="00C87D1B"/>
    <w:rsid w:val="00DD65A4"/>
    <w:rsid w:val="01245FE0"/>
    <w:rsid w:val="01823744"/>
    <w:rsid w:val="02200000"/>
    <w:rsid w:val="02F94AB6"/>
    <w:rsid w:val="033C22CF"/>
    <w:rsid w:val="041D47D5"/>
    <w:rsid w:val="043266F7"/>
    <w:rsid w:val="04656365"/>
    <w:rsid w:val="04C86784"/>
    <w:rsid w:val="06CA028C"/>
    <w:rsid w:val="08801C5B"/>
    <w:rsid w:val="088F6AD2"/>
    <w:rsid w:val="0A3B02D0"/>
    <w:rsid w:val="0AD516EE"/>
    <w:rsid w:val="0AE95CFC"/>
    <w:rsid w:val="0DB8731C"/>
    <w:rsid w:val="0ED80288"/>
    <w:rsid w:val="0EF7152D"/>
    <w:rsid w:val="0FE33D08"/>
    <w:rsid w:val="104B66D4"/>
    <w:rsid w:val="10702395"/>
    <w:rsid w:val="1077037C"/>
    <w:rsid w:val="11EE731D"/>
    <w:rsid w:val="12E32572"/>
    <w:rsid w:val="13750EDD"/>
    <w:rsid w:val="14CD7BE0"/>
    <w:rsid w:val="156149C2"/>
    <w:rsid w:val="169D6697"/>
    <w:rsid w:val="17942BA8"/>
    <w:rsid w:val="1A0B4856"/>
    <w:rsid w:val="1A661F1A"/>
    <w:rsid w:val="1B143032"/>
    <w:rsid w:val="1B2D759B"/>
    <w:rsid w:val="1BA6350C"/>
    <w:rsid w:val="1E200B1D"/>
    <w:rsid w:val="1EC2372A"/>
    <w:rsid w:val="1ED72A10"/>
    <w:rsid w:val="1EE269E2"/>
    <w:rsid w:val="1F103499"/>
    <w:rsid w:val="1FD42A07"/>
    <w:rsid w:val="202B4C8F"/>
    <w:rsid w:val="202E218F"/>
    <w:rsid w:val="20785A58"/>
    <w:rsid w:val="212F501D"/>
    <w:rsid w:val="21F7620D"/>
    <w:rsid w:val="22342FBD"/>
    <w:rsid w:val="228D15E2"/>
    <w:rsid w:val="22922AF3"/>
    <w:rsid w:val="229C052C"/>
    <w:rsid w:val="22F87E51"/>
    <w:rsid w:val="232C638A"/>
    <w:rsid w:val="235E4E24"/>
    <w:rsid w:val="24D30C6B"/>
    <w:rsid w:val="26871955"/>
    <w:rsid w:val="27497244"/>
    <w:rsid w:val="27C10C73"/>
    <w:rsid w:val="27ED7E11"/>
    <w:rsid w:val="289D1D2D"/>
    <w:rsid w:val="28FB2A0A"/>
    <w:rsid w:val="298E0665"/>
    <w:rsid w:val="2A4E308A"/>
    <w:rsid w:val="2A7F0C3A"/>
    <w:rsid w:val="2AD90BA6"/>
    <w:rsid w:val="2C234784"/>
    <w:rsid w:val="2CFD4900"/>
    <w:rsid w:val="2D55028C"/>
    <w:rsid w:val="2D846881"/>
    <w:rsid w:val="2DBA0995"/>
    <w:rsid w:val="2E4E563C"/>
    <w:rsid w:val="2E526EF3"/>
    <w:rsid w:val="2F0078E8"/>
    <w:rsid w:val="303763DB"/>
    <w:rsid w:val="30524B42"/>
    <w:rsid w:val="30A65249"/>
    <w:rsid w:val="31D11D75"/>
    <w:rsid w:val="32E70C34"/>
    <w:rsid w:val="33B74885"/>
    <w:rsid w:val="34A023AB"/>
    <w:rsid w:val="34AA2520"/>
    <w:rsid w:val="35174172"/>
    <w:rsid w:val="352A5A97"/>
    <w:rsid w:val="353A3F83"/>
    <w:rsid w:val="35B777DD"/>
    <w:rsid w:val="35C93C32"/>
    <w:rsid w:val="373133CE"/>
    <w:rsid w:val="376932B2"/>
    <w:rsid w:val="384F7F5D"/>
    <w:rsid w:val="387A6162"/>
    <w:rsid w:val="391F703D"/>
    <w:rsid w:val="396B1BBD"/>
    <w:rsid w:val="397720D5"/>
    <w:rsid w:val="398750F2"/>
    <w:rsid w:val="399208C8"/>
    <w:rsid w:val="39A90146"/>
    <w:rsid w:val="3A141A9A"/>
    <w:rsid w:val="3A9A0C47"/>
    <w:rsid w:val="3B15767C"/>
    <w:rsid w:val="3B606CB9"/>
    <w:rsid w:val="3BD1667E"/>
    <w:rsid w:val="3C38119C"/>
    <w:rsid w:val="3C7334B5"/>
    <w:rsid w:val="3CB24960"/>
    <w:rsid w:val="3DE74F30"/>
    <w:rsid w:val="3F0253DB"/>
    <w:rsid w:val="3F08664C"/>
    <w:rsid w:val="3F514C69"/>
    <w:rsid w:val="3FA640EA"/>
    <w:rsid w:val="3FE37F2D"/>
    <w:rsid w:val="40363195"/>
    <w:rsid w:val="40AA087F"/>
    <w:rsid w:val="438328CB"/>
    <w:rsid w:val="44DC49FF"/>
    <w:rsid w:val="459B16BA"/>
    <w:rsid w:val="459D7124"/>
    <w:rsid w:val="46E20922"/>
    <w:rsid w:val="474078CC"/>
    <w:rsid w:val="48893F43"/>
    <w:rsid w:val="49216C81"/>
    <w:rsid w:val="49E71F35"/>
    <w:rsid w:val="4A5705E5"/>
    <w:rsid w:val="4A8F0C82"/>
    <w:rsid w:val="4AB82E60"/>
    <w:rsid w:val="4BED0167"/>
    <w:rsid w:val="4CFE285F"/>
    <w:rsid w:val="4E077263"/>
    <w:rsid w:val="4E682371"/>
    <w:rsid w:val="50033E4B"/>
    <w:rsid w:val="50160A05"/>
    <w:rsid w:val="50C7350F"/>
    <w:rsid w:val="51047306"/>
    <w:rsid w:val="518A083B"/>
    <w:rsid w:val="51D53C6F"/>
    <w:rsid w:val="51F05D8D"/>
    <w:rsid w:val="5282675F"/>
    <w:rsid w:val="52C018A1"/>
    <w:rsid w:val="53E31ACD"/>
    <w:rsid w:val="53E959C3"/>
    <w:rsid w:val="54207762"/>
    <w:rsid w:val="54617C92"/>
    <w:rsid w:val="54C33A87"/>
    <w:rsid w:val="54E61022"/>
    <w:rsid w:val="55C43251"/>
    <w:rsid w:val="55FA4674"/>
    <w:rsid w:val="56957271"/>
    <w:rsid w:val="56B7504A"/>
    <w:rsid w:val="57535884"/>
    <w:rsid w:val="58847722"/>
    <w:rsid w:val="59622AC8"/>
    <w:rsid w:val="59E14631"/>
    <w:rsid w:val="5A072562"/>
    <w:rsid w:val="5A0C3FFB"/>
    <w:rsid w:val="5AB814D9"/>
    <w:rsid w:val="5ACD3DB7"/>
    <w:rsid w:val="5B0F7D33"/>
    <w:rsid w:val="5B30005F"/>
    <w:rsid w:val="5B7D3ED0"/>
    <w:rsid w:val="5E573A6A"/>
    <w:rsid w:val="5FB36E1F"/>
    <w:rsid w:val="5FDA2824"/>
    <w:rsid w:val="60047D8D"/>
    <w:rsid w:val="601E6EE1"/>
    <w:rsid w:val="607B4A8E"/>
    <w:rsid w:val="60AC2446"/>
    <w:rsid w:val="62495B5A"/>
    <w:rsid w:val="63A66B70"/>
    <w:rsid w:val="644A4D95"/>
    <w:rsid w:val="64697CC6"/>
    <w:rsid w:val="64726E03"/>
    <w:rsid w:val="647844A1"/>
    <w:rsid w:val="64A32CEC"/>
    <w:rsid w:val="64B75F8E"/>
    <w:rsid w:val="65033C2E"/>
    <w:rsid w:val="65BB1C97"/>
    <w:rsid w:val="65CD0D2C"/>
    <w:rsid w:val="65ED57BC"/>
    <w:rsid w:val="66234D4E"/>
    <w:rsid w:val="663C36F8"/>
    <w:rsid w:val="67800AFA"/>
    <w:rsid w:val="68CD0392"/>
    <w:rsid w:val="6968417C"/>
    <w:rsid w:val="696B29E7"/>
    <w:rsid w:val="6A00654F"/>
    <w:rsid w:val="6AE97B6D"/>
    <w:rsid w:val="6AEC62DC"/>
    <w:rsid w:val="6AF70C8D"/>
    <w:rsid w:val="6B8275CC"/>
    <w:rsid w:val="6BBC300C"/>
    <w:rsid w:val="6CDB63BF"/>
    <w:rsid w:val="6E0E7BD2"/>
    <w:rsid w:val="6E103CE5"/>
    <w:rsid w:val="6E5739AF"/>
    <w:rsid w:val="6EC90A21"/>
    <w:rsid w:val="6F5C1E1E"/>
    <w:rsid w:val="6FD3454E"/>
    <w:rsid w:val="708A18AA"/>
    <w:rsid w:val="71E82A49"/>
    <w:rsid w:val="72873EDD"/>
    <w:rsid w:val="728A28D7"/>
    <w:rsid w:val="734971BC"/>
    <w:rsid w:val="7375390B"/>
    <w:rsid w:val="73AB78F6"/>
    <w:rsid w:val="73DE2937"/>
    <w:rsid w:val="73F82E7E"/>
    <w:rsid w:val="7462619E"/>
    <w:rsid w:val="747A4BDC"/>
    <w:rsid w:val="74A44256"/>
    <w:rsid w:val="74A939E7"/>
    <w:rsid w:val="752A1D4C"/>
    <w:rsid w:val="75BE55E8"/>
    <w:rsid w:val="776D0E74"/>
    <w:rsid w:val="777119B4"/>
    <w:rsid w:val="782D1567"/>
    <w:rsid w:val="7830502B"/>
    <w:rsid w:val="78777193"/>
    <w:rsid w:val="7A873B55"/>
    <w:rsid w:val="7AFE38B3"/>
    <w:rsid w:val="7B046283"/>
    <w:rsid w:val="7B0A3A31"/>
    <w:rsid w:val="7B512E8E"/>
    <w:rsid w:val="7C2E7D91"/>
    <w:rsid w:val="7C4247F7"/>
    <w:rsid w:val="7C846239"/>
    <w:rsid w:val="7D7D7305"/>
    <w:rsid w:val="7DA8705E"/>
    <w:rsid w:val="7DC30455"/>
    <w:rsid w:val="7E0530C1"/>
    <w:rsid w:val="7E517B85"/>
    <w:rsid w:val="7EF276D3"/>
    <w:rsid w:val="7FED0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iPriority="1"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36"/>
      <w:sz w:val="48"/>
      <w:szCs w:val="48"/>
      <w:lang w:val="en-US" w:eastAsia="zh-CN" w:bidi="ar"/>
    </w:rPr>
  </w:style>
  <w:style w:type="paragraph" w:styleId="3">
    <w:name w:val="heading 2"/>
    <w:basedOn w:val="1"/>
    <w:next w:val="1"/>
    <w:qFormat/>
    <w:uiPriority w:val="0"/>
    <w:pPr>
      <w:keepNext/>
      <w:snapToGrid w:val="0"/>
      <w:outlineLvl w:val="1"/>
    </w:pPr>
    <w:rPr>
      <w:sz w:val="28"/>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rPr>
      <w:sz w:val="28"/>
      <w:szCs w:val="20"/>
    </w:rPr>
  </w:style>
  <w:style w:type="paragraph" w:styleId="6">
    <w:name w:val="caption"/>
    <w:basedOn w:val="1"/>
    <w:next w:val="1"/>
    <w:qFormat/>
    <w:uiPriority w:val="35"/>
    <w:rPr>
      <w:rFonts w:ascii="Arial" w:hAnsi="Arial" w:eastAsia="黑体"/>
      <w:sz w:val="20"/>
    </w:rPr>
  </w:style>
  <w:style w:type="paragraph" w:styleId="7">
    <w:name w:val="annotation text"/>
    <w:basedOn w:val="1"/>
    <w:qFormat/>
    <w:uiPriority w:val="0"/>
    <w:pPr>
      <w:jc w:val="left"/>
    </w:pPr>
    <w:rPr>
      <w:kern w:val="0"/>
      <w:sz w:val="24"/>
      <w:szCs w:val="20"/>
    </w:rPr>
  </w:style>
  <w:style w:type="paragraph" w:styleId="8">
    <w:name w:val="Body Text 3"/>
    <w:basedOn w:val="1"/>
    <w:unhideWhenUsed/>
    <w:qFormat/>
    <w:uiPriority w:val="1"/>
    <w:pPr>
      <w:spacing w:after="120"/>
    </w:pPr>
    <w:rPr>
      <w:sz w:val="16"/>
      <w:szCs w:val="16"/>
    </w:rPr>
  </w:style>
  <w:style w:type="paragraph" w:styleId="9">
    <w:name w:val="Body Text"/>
    <w:basedOn w:val="1"/>
    <w:qFormat/>
    <w:uiPriority w:val="99"/>
    <w:pPr>
      <w:spacing w:after="120"/>
    </w:pPr>
  </w:style>
  <w:style w:type="paragraph" w:styleId="10">
    <w:name w:val="Body Text Indent"/>
    <w:basedOn w:val="1"/>
    <w:next w:val="11"/>
    <w:qFormat/>
    <w:uiPriority w:val="0"/>
    <w:pPr>
      <w:spacing w:after="120"/>
      <w:ind w:left="420" w:leftChars="200"/>
    </w:pPr>
    <w:rPr>
      <w:kern w:val="0"/>
      <w:sz w:val="24"/>
      <w:szCs w:val="20"/>
    </w:rPr>
  </w:style>
  <w:style w:type="paragraph" w:styleId="11">
    <w:name w:val="header"/>
    <w:basedOn w:val="1"/>
    <w:next w:val="1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样式5"/>
    <w:basedOn w:val="13"/>
    <w:qFormat/>
    <w:uiPriority w:val="0"/>
    <w:rPr>
      <w:rFonts w:ascii="黑体" w:hAnsi="Times New Roman"/>
    </w:rPr>
  </w:style>
  <w:style w:type="paragraph" w:customStyle="1" w:styleId="13">
    <w:name w:val="样式3"/>
    <w:basedOn w:val="14"/>
    <w:qFormat/>
    <w:uiPriority w:val="0"/>
    <w:pPr>
      <w:snapToGrid w:val="0"/>
      <w:jc w:val="center"/>
    </w:pPr>
    <w:rPr>
      <w:rFonts w:hAnsi="黑体" w:eastAsia="黑体"/>
      <w:color w:val="000000"/>
    </w:rPr>
  </w:style>
  <w:style w:type="paragraph" w:styleId="14">
    <w:name w:val="List"/>
    <w:basedOn w:val="1"/>
    <w:qFormat/>
    <w:uiPriority w:val="0"/>
    <w:pPr>
      <w:widowControl/>
      <w:spacing w:line="440" w:lineRule="exact"/>
      <w:ind w:left="200" w:hanging="200"/>
      <w:jc w:val="left"/>
    </w:pPr>
    <w:rPr>
      <w:kern w:val="0"/>
      <w:sz w:val="24"/>
      <w:szCs w:val="20"/>
    </w:rPr>
  </w:style>
  <w:style w:type="paragraph" w:styleId="15">
    <w:name w:val="Block Text"/>
    <w:basedOn w:val="1"/>
    <w:next w:val="1"/>
    <w:qFormat/>
    <w:uiPriority w:val="0"/>
    <w:pPr>
      <w:spacing w:line="320" w:lineRule="exact"/>
      <w:ind w:left="113" w:right="113"/>
      <w:jc w:val="center"/>
    </w:pPr>
    <w:rPr>
      <w:b/>
      <w:sz w:val="13"/>
      <w:szCs w:val="15"/>
    </w:rPr>
  </w:style>
  <w:style w:type="paragraph" w:styleId="16">
    <w:name w:val="Plain Text"/>
    <w:basedOn w:val="1"/>
    <w:next w:val="1"/>
    <w:qFormat/>
    <w:uiPriority w:val="0"/>
    <w:rPr>
      <w:rFonts w:ascii="宋体" w:hAnsi="Courier New"/>
    </w:rPr>
  </w:style>
  <w:style w:type="paragraph" w:styleId="17">
    <w:name w:val="Body Text Indent 2"/>
    <w:basedOn w:val="1"/>
    <w:qFormat/>
    <w:uiPriority w:val="0"/>
    <w:pPr>
      <w:framePr w:hSpace="180" w:wrap="around" w:vAnchor="page" w:hAnchor="margin" w:x="216" w:y="2221"/>
      <w:spacing w:line="520" w:lineRule="exact"/>
      <w:ind w:firstLine="555"/>
    </w:pPr>
    <w:rPr>
      <w:rFonts w:eastAsia="仿宋_GB2312"/>
      <w:sz w:val="28"/>
    </w:rPr>
  </w:style>
  <w:style w:type="paragraph" w:styleId="18">
    <w:name w:val="footer"/>
    <w:basedOn w:val="1"/>
    <w:qFormat/>
    <w:uiPriority w:val="99"/>
    <w:pPr>
      <w:tabs>
        <w:tab w:val="center" w:pos="4153"/>
        <w:tab w:val="right" w:pos="8306"/>
      </w:tabs>
      <w:snapToGrid w:val="0"/>
      <w:jc w:val="left"/>
    </w:pPr>
    <w:rPr>
      <w:kern w:val="0"/>
      <w:sz w:val="18"/>
      <w:szCs w:val="20"/>
    </w:rPr>
  </w:style>
  <w:style w:type="paragraph" w:styleId="19">
    <w:name w:val="Body Text 2"/>
    <w:basedOn w:val="1"/>
    <w:qFormat/>
    <w:uiPriority w:val="0"/>
    <w:pPr>
      <w:spacing w:after="120" w:line="480" w:lineRule="auto"/>
    </w:pPr>
  </w:style>
  <w:style w:type="paragraph" w:styleId="20">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1">
    <w:name w:val="annotation subject"/>
    <w:basedOn w:val="7"/>
    <w:next w:val="1"/>
    <w:semiHidden/>
    <w:qFormat/>
    <w:uiPriority w:val="0"/>
    <w:rPr>
      <w:b/>
    </w:rPr>
  </w:style>
  <w:style w:type="paragraph" w:styleId="22">
    <w:name w:val="Body Text First Indent"/>
    <w:basedOn w:val="9"/>
    <w:qFormat/>
    <w:uiPriority w:val="99"/>
    <w:pPr>
      <w:spacing w:line="440" w:lineRule="exact"/>
      <w:ind w:firstLine="504"/>
    </w:pPr>
    <w:rPr>
      <w:spacing w:val="6"/>
    </w:rPr>
  </w:style>
  <w:style w:type="paragraph" w:styleId="23">
    <w:name w:val="Body Text First Indent 2"/>
    <w:basedOn w:val="10"/>
    <w:next w:val="1"/>
    <w:qFormat/>
    <w:uiPriority w:val="99"/>
    <w:pPr>
      <w:ind w:firstLine="420" w:firstLineChars="200"/>
    </w:p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rFonts w:ascii="Times New Roman" w:hAnsi="Times New Roman" w:eastAsia="宋体"/>
      <w:bCs/>
      <w:sz w:val="24"/>
    </w:rPr>
  </w:style>
  <w:style w:type="character" w:styleId="28">
    <w:name w:val="Emphasis"/>
    <w:basedOn w:val="26"/>
    <w:qFormat/>
    <w:uiPriority w:val="0"/>
    <w:rPr>
      <w:i/>
    </w:rPr>
  </w:style>
  <w:style w:type="character" w:styleId="29">
    <w:name w:val="Hyperlink"/>
    <w:basedOn w:val="26"/>
    <w:qFormat/>
    <w:uiPriority w:val="0"/>
    <w:rPr>
      <w:color w:val="0000FF"/>
      <w:u w:val="single"/>
    </w:rPr>
  </w:style>
  <w:style w:type="character" w:styleId="30">
    <w:name w:val="annotation reference"/>
    <w:basedOn w:val="26"/>
    <w:semiHidden/>
    <w:qFormat/>
    <w:uiPriority w:val="0"/>
    <w:rPr>
      <w:sz w:val="21"/>
    </w:rPr>
  </w:style>
  <w:style w:type="paragraph" w:customStyle="1" w:styleId="31">
    <w:name w:val="Table Paragraph"/>
    <w:basedOn w:val="1"/>
    <w:qFormat/>
    <w:uiPriority w:val="1"/>
    <w:rPr>
      <w:rFonts w:ascii="宋体" w:hAnsi="宋体" w:cs="宋体"/>
      <w:lang w:val="zh-CN" w:bidi="zh-CN"/>
    </w:rPr>
  </w:style>
  <w:style w:type="paragraph" w:customStyle="1" w:styleId="32">
    <w:name w:val="Default1"/>
    <w:qFormat/>
    <w:uiPriority w:val="99"/>
    <w:pPr>
      <w:widowControl w:val="0"/>
      <w:autoSpaceDE w:val="0"/>
      <w:autoSpaceDN w:val="0"/>
      <w:adjustRightInd w:val="0"/>
    </w:pPr>
    <w:rPr>
      <w:rFonts w:ascii="宋体" w:hAnsi="Times New Roman" w:eastAsia="微软雅黑" w:cs="宋体"/>
      <w:color w:val="000000"/>
      <w:sz w:val="24"/>
      <w:szCs w:val="24"/>
      <w:lang w:val="en-US" w:eastAsia="zh-CN" w:bidi="ar-SA"/>
    </w:rPr>
  </w:style>
  <w:style w:type="character" w:customStyle="1" w:styleId="33">
    <w:name w:val="fontstyle01"/>
    <w:basedOn w:val="26"/>
    <w:qFormat/>
    <w:uiPriority w:val="0"/>
    <w:rPr>
      <w:rFonts w:hint="eastAsia" w:ascii="宋体" w:hAnsi="宋体" w:eastAsia="宋体"/>
      <w:color w:val="000000"/>
      <w:sz w:val="22"/>
      <w:szCs w:val="22"/>
    </w:rPr>
  </w:style>
  <w:style w:type="character" w:customStyle="1" w:styleId="34">
    <w:name w:val="fontstyle21"/>
    <w:basedOn w:val="26"/>
    <w:qFormat/>
    <w:uiPriority w:val="0"/>
    <w:rPr>
      <w:rFonts w:hint="default" w:ascii="TimesNewRomanPSMT" w:hAnsi="TimesNewRomanPSMT"/>
      <w:color w:val="000000"/>
      <w:sz w:val="22"/>
      <w:szCs w:val="22"/>
    </w:rPr>
  </w:style>
  <w:style w:type="character" w:customStyle="1" w:styleId="35">
    <w:name w:val="fontstyle11"/>
    <w:basedOn w:val="26"/>
    <w:qFormat/>
    <w:uiPriority w:val="0"/>
    <w:rPr>
      <w:rFonts w:hint="default" w:ascii="TimesNewRomanPSMT" w:hAnsi="TimesNewRomanPSMT"/>
      <w:color w:val="000000"/>
      <w:sz w:val="22"/>
      <w:szCs w:val="22"/>
    </w:rPr>
  </w:style>
  <w:style w:type="paragraph" w:customStyle="1" w:styleId="36">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37">
    <w:name w:val="表格2"/>
    <w:basedOn w:val="1"/>
    <w:qFormat/>
    <w:uiPriority w:val="0"/>
    <w:pPr>
      <w:adjustRightInd w:val="0"/>
      <w:spacing w:line="320" w:lineRule="exact"/>
      <w:jc w:val="center"/>
      <w:textAlignment w:val="baseline"/>
    </w:pPr>
    <w:rPr>
      <w:sz w:val="24"/>
      <w:szCs w:val="20"/>
    </w:rPr>
  </w:style>
  <w:style w:type="paragraph" w:customStyle="1" w:styleId="38">
    <w:name w:val="样式1"/>
    <w:basedOn w:val="1"/>
    <w:next w:val="21"/>
    <w:qFormat/>
    <w:uiPriority w:val="0"/>
    <w:pPr>
      <w:ind w:firstLine="462"/>
    </w:pPr>
    <w:rPr>
      <w:rFonts w:ascii="宋体"/>
      <w:color w:val="000000"/>
      <w:sz w:val="24"/>
    </w:rPr>
  </w:style>
  <w:style w:type="character" w:customStyle="1" w:styleId="39">
    <w:name w:val="font21"/>
    <w:basedOn w:val="26"/>
    <w:qFormat/>
    <w:uiPriority w:val="0"/>
    <w:rPr>
      <w:rFonts w:hint="eastAsia" w:ascii="宋体" w:hAnsi="宋体" w:eastAsia="宋体" w:cs="宋体"/>
      <w:color w:val="000000"/>
      <w:sz w:val="21"/>
      <w:szCs w:val="21"/>
      <w:u w:val="none"/>
    </w:rPr>
  </w:style>
  <w:style w:type="character" w:customStyle="1" w:styleId="40">
    <w:name w:val="font01"/>
    <w:basedOn w:val="26"/>
    <w:qFormat/>
    <w:uiPriority w:val="0"/>
    <w:rPr>
      <w:rFonts w:hint="default" w:ascii="Times New Roman" w:hAnsi="Times New Roman" w:cs="Times New Roman"/>
      <w:color w:val="000000"/>
      <w:sz w:val="21"/>
      <w:szCs w:val="21"/>
      <w:u w:val="none"/>
    </w:rPr>
  </w:style>
  <w:style w:type="paragraph" w:customStyle="1" w:styleId="41">
    <w:name w:val="图表标题"/>
    <w:basedOn w:val="1"/>
    <w:next w:val="1"/>
    <w:qFormat/>
    <w:uiPriority w:val="0"/>
    <w:pPr>
      <w:spacing w:line="240" w:lineRule="auto"/>
      <w:ind w:firstLine="0" w:firstLineChars="0"/>
      <w:jc w:val="center"/>
    </w:pPr>
    <w:rPr>
      <w:b/>
      <w:szCs w:val="22"/>
    </w:rPr>
  </w:style>
  <w:style w:type="paragraph" w:customStyle="1" w:styleId="42">
    <w:name w:val="图表文字"/>
    <w:qFormat/>
    <w:uiPriority w:val="0"/>
    <w:pPr>
      <w:widowControl w:val="0"/>
      <w:jc w:val="center"/>
    </w:pPr>
    <w:rPr>
      <w:rFonts w:ascii="Times New Roman" w:hAnsi="Times New Roman" w:eastAsia="宋体" w:cs="Times New Roman"/>
      <w:snapToGrid w:val="0"/>
      <w:kern w:val="2"/>
      <w:sz w:val="21"/>
      <w:szCs w:val="24"/>
      <w:lang w:val="en-US" w:eastAsia="zh-CN" w:bidi="ar-SA"/>
    </w:rPr>
  </w:style>
  <w:style w:type="paragraph" w:customStyle="1" w:styleId="43">
    <w:name w:val="1【表头】"/>
    <w:basedOn w:val="1"/>
    <w:qFormat/>
    <w:uiPriority w:val="0"/>
    <w:pPr>
      <w:keepNext/>
      <w:tabs>
        <w:tab w:val="left" w:pos="720"/>
        <w:tab w:val="left" w:pos="1080"/>
        <w:tab w:val="left" w:pos="4167"/>
      </w:tabs>
      <w:wordWrap w:val="0"/>
      <w:spacing w:line="360" w:lineRule="auto"/>
      <w:jc w:val="center"/>
    </w:pPr>
    <w:rPr>
      <w:b/>
      <w:kern w:val="0"/>
      <w:sz w:val="24"/>
      <w:szCs w:val="20"/>
    </w:rPr>
  </w:style>
  <w:style w:type="paragraph" w:customStyle="1" w:styleId="44">
    <w:name w:val="1报告表格"/>
    <w:basedOn w:val="1"/>
    <w:qFormat/>
    <w:uiPriority w:val="0"/>
    <w:pPr>
      <w:autoSpaceDE w:val="0"/>
      <w:autoSpaceDN w:val="0"/>
      <w:adjustRightInd w:val="0"/>
      <w:snapToGrid w:val="0"/>
      <w:jc w:val="center"/>
      <w:textAlignment w:val="bottom"/>
    </w:pPr>
    <w:rPr>
      <w:kern w:val="0"/>
      <w:szCs w:val="20"/>
    </w:rPr>
  </w:style>
  <w:style w:type="paragraph" w:customStyle="1" w:styleId="45">
    <w:name w:val="正文11"/>
    <w:basedOn w:val="1"/>
    <w:qFormat/>
    <w:uiPriority w:val="0"/>
    <w:pPr>
      <w:adjustRightInd w:val="0"/>
      <w:ind w:firstLine="0"/>
    </w:pPr>
    <w:rPr>
      <w:rFonts w:eastAsia="楷体_GB2312"/>
    </w:rPr>
  </w:style>
  <w:style w:type="paragraph" w:customStyle="1" w:styleId="46">
    <w:name w:val="环评表格内容"/>
    <w:qFormat/>
    <w:uiPriority w:val="0"/>
    <w:pPr>
      <w:adjustRightInd w:val="0"/>
      <w:jc w:val="center"/>
    </w:pPr>
    <w:rPr>
      <w:rFonts w:ascii="Times New Roman" w:hAnsi="Times New Roman" w:eastAsia="宋体" w:cs="Times New Roman"/>
      <w:sz w:val="21"/>
      <w:lang w:val="en-US" w:eastAsia="zh-CN" w:bidi="ar-SA"/>
    </w:rPr>
  </w:style>
  <w:style w:type="paragraph" w:customStyle="1" w:styleId="47">
    <w:name w:val="表格文字（内）"/>
    <w:basedOn w:val="1"/>
    <w:qFormat/>
    <w:uiPriority w:val="0"/>
    <w:pPr>
      <w:adjustRightInd w:val="0"/>
      <w:snapToGrid w:val="0"/>
      <w:spacing w:line="240" w:lineRule="auto"/>
      <w:ind w:firstLine="0" w:firstLineChars="0"/>
      <w:jc w:val="center"/>
    </w:pPr>
    <w:rPr>
      <w:snapToGrid w:val="0"/>
      <w:sz w:val="21"/>
      <w:szCs w:val="21"/>
    </w:rPr>
  </w:style>
  <w:style w:type="paragraph" w:customStyle="1" w:styleId="48">
    <w:name w:val="环评表格标题"/>
    <w:basedOn w:val="22"/>
    <w:qFormat/>
    <w:uiPriority w:val="0"/>
    <w:pPr>
      <w:adjustRightInd w:val="0"/>
      <w:snapToGrid w:val="0"/>
      <w:spacing w:line="240" w:lineRule="auto"/>
      <w:ind w:firstLine="0" w:firstLineChars="0"/>
      <w:jc w:val="center"/>
    </w:pPr>
    <w:rPr>
      <w:b/>
      <w:kern w:val="2"/>
      <w:sz w:val="21"/>
      <w:szCs w:val="21"/>
    </w:rPr>
  </w:style>
  <w:style w:type="paragraph" w:customStyle="1" w:styleId="49">
    <w:name w:val="22222"/>
    <w:basedOn w:val="1"/>
    <w:qFormat/>
    <w:uiPriority w:val="0"/>
    <w:pPr>
      <w:spacing w:line="480" w:lineRule="exact"/>
      <w:ind w:firstLine="480" w:firstLineChars="200"/>
    </w:pPr>
    <w:rPr>
      <w:rFonts w:hAnsi="宋体"/>
      <w:sz w:val="24"/>
    </w:rPr>
  </w:style>
  <w:style w:type="paragraph" w:customStyle="1" w:styleId="50">
    <w:name w:val="环评报告表表格文字（内）"/>
    <w:basedOn w:val="1"/>
    <w:qFormat/>
    <w:uiPriority w:val="0"/>
    <w:pPr>
      <w:adjustRightInd w:val="0"/>
      <w:snapToGrid w:val="0"/>
      <w:spacing w:line="240" w:lineRule="auto"/>
      <w:ind w:firstLine="0" w:firstLineChars="0"/>
      <w:jc w:val="center"/>
    </w:pPr>
    <w:rPr>
      <w:snapToGrid w:val="0"/>
      <w:sz w:val="21"/>
      <w:szCs w:val="21"/>
    </w:rPr>
  </w:style>
  <w:style w:type="paragraph" w:customStyle="1" w:styleId="51">
    <w:name w:val="表格文字"/>
    <w:basedOn w:val="16"/>
    <w:next w:val="1"/>
    <w:qFormat/>
    <w:uiPriority w:val="0"/>
    <w:pPr>
      <w:widowControl w:val="0"/>
      <w:tabs>
        <w:tab w:val="center" w:pos="1053"/>
      </w:tabs>
      <w:spacing w:before="0" w:after="120" w:line="360" w:lineRule="exact"/>
      <w:ind w:right="0"/>
      <w:jc w:val="center"/>
    </w:pPr>
    <w:rPr>
      <w:rFonts w:ascii="宋体" w:hAnsi="宋体"/>
      <w:kern w:val="21"/>
      <w:sz w:val="21"/>
      <w:szCs w:val="21"/>
    </w:rPr>
  </w:style>
  <w:style w:type="paragraph" w:customStyle="1" w:styleId="52">
    <w:name w:val="表头"/>
    <w:basedOn w:val="5"/>
    <w:qFormat/>
    <w:uiPriority w:val="0"/>
    <w:pPr>
      <w:widowControl w:val="0"/>
      <w:jc w:val="center"/>
    </w:pPr>
    <w:rPr>
      <w:rFonts w:ascii="Times New Roman" w:hAnsi="Times New Roman" w:eastAsia="宋体" w:cs="Times New Roman"/>
      <w:b/>
      <w:kern w:val="2"/>
      <w:sz w:val="21"/>
      <w:szCs w:val="21"/>
      <w:lang w:val="en-US" w:eastAsia="zh-CN" w:bidi="ar-SA"/>
    </w:rPr>
  </w:style>
  <w:style w:type="character" w:customStyle="1" w:styleId="53">
    <w:name w:val="font31"/>
    <w:basedOn w:val="26"/>
    <w:qFormat/>
    <w:uiPriority w:val="0"/>
    <w:rPr>
      <w:rFonts w:hint="default" w:ascii="Times New Roman" w:hAnsi="Times New Roman" w:cs="Times New Roman"/>
      <w:color w:val="000000"/>
      <w:sz w:val="21"/>
      <w:szCs w:val="21"/>
      <w:u w:val="none"/>
      <w:vertAlign w:val="subscript"/>
    </w:rPr>
  </w:style>
  <w:style w:type="paragraph" w:customStyle="1" w:styleId="54">
    <w:name w:val="报告表格"/>
    <w:basedOn w:val="1"/>
    <w:qFormat/>
    <w:uiPriority w:val="0"/>
    <w:pPr>
      <w:autoSpaceDE w:val="0"/>
      <w:autoSpaceDN w:val="0"/>
      <w:adjustRightInd w:val="0"/>
      <w:spacing w:before="40" w:after="40"/>
      <w:ind w:firstLine="200" w:firstLineChars="200"/>
      <w:jc w:val="center"/>
      <w:textAlignment w:val="bottom"/>
    </w:pPr>
    <w:rPr>
      <w:kern w:val="0"/>
      <w:szCs w:val="20"/>
      <w:lang w:val="en-GB" w:eastAsia="zh-TW"/>
    </w:rPr>
  </w:style>
  <w:style w:type="paragraph" w:customStyle="1" w:styleId="55">
    <w:name w:val="中等深浅网格 21"/>
    <w:basedOn w:val="1"/>
    <w:next w:val="1"/>
    <w:qFormat/>
    <w:uiPriority w:val="0"/>
    <w:pPr>
      <w:jc w:val="center"/>
    </w:pPr>
    <w:rPr>
      <w:szCs w:val="22"/>
    </w:rPr>
  </w:style>
  <w:style w:type="paragraph" w:customStyle="1" w:styleId="56">
    <w:name w:val="列出段落"/>
    <w:basedOn w:val="1"/>
    <w:qFormat/>
    <w:uiPriority w:val="0"/>
    <w:pPr>
      <w:ind w:firstLine="420" w:firstLineChars="200"/>
    </w:pPr>
    <w:rPr>
      <w:rFonts w:ascii="Calibri" w:hAnsi="Calibri"/>
      <w:szCs w:val="22"/>
    </w:rPr>
  </w:style>
  <w:style w:type="paragraph" w:customStyle="1" w:styleId="57">
    <w:name w:val="正文1"/>
    <w:basedOn w:val="1"/>
    <w:qFormat/>
    <w:uiPriority w:val="0"/>
    <w:pPr>
      <w:autoSpaceDE w:val="0"/>
      <w:autoSpaceDN w:val="0"/>
      <w:adjustRightInd w:val="0"/>
      <w:snapToGrid w:val="0"/>
      <w:spacing w:line="360" w:lineRule="auto"/>
      <w:ind w:firstLine="480" w:firstLineChars="200"/>
    </w:pPr>
    <w:rPr>
      <w:kern w:val="0"/>
      <w:sz w:val="24"/>
    </w:rPr>
  </w:style>
  <w:style w:type="paragraph" w:customStyle="1" w:styleId="58">
    <w:name w:val="图标标题"/>
    <w:basedOn w:val="1"/>
    <w:qFormat/>
    <w:uiPriority w:val="0"/>
    <w:pPr>
      <w:jc w:val="center"/>
    </w:pPr>
    <w:rPr>
      <w:b/>
      <w:szCs w:val="21"/>
    </w:rPr>
  </w:style>
  <w:style w:type="paragraph" w:customStyle="1" w:styleId="59">
    <w:name w:val="环评表格文字（内）"/>
    <w:basedOn w:val="60"/>
    <w:qFormat/>
    <w:uiPriority w:val="0"/>
    <w:rPr>
      <w:snapToGrid w:val="0"/>
      <w:sz w:val="21"/>
    </w:rPr>
  </w:style>
  <w:style w:type="paragraph" w:customStyle="1" w:styleId="60">
    <w:name w:val="环评表格文字（外）"/>
    <w:basedOn w:val="1"/>
    <w:qFormat/>
    <w:uiPriority w:val="0"/>
    <w:pPr>
      <w:adjustRightInd w:val="0"/>
      <w:snapToGrid w:val="0"/>
      <w:spacing w:line="240" w:lineRule="auto"/>
      <w:ind w:firstLine="0" w:firstLineChars="0"/>
      <w:jc w:val="center"/>
    </w:pPr>
    <w:rPr>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er" Target="footer1.xml"/><Relationship Id="rId29" Type="http://schemas.openxmlformats.org/officeDocument/2006/relationships/image" Target="media/image22.jpeg"/><Relationship Id="rId28" Type="http://schemas.openxmlformats.org/officeDocument/2006/relationships/image" Target="media/image21.png"/><Relationship Id="rId27" Type="http://schemas.openxmlformats.org/officeDocument/2006/relationships/image" Target="media/image20.wmf"/><Relationship Id="rId26" Type="http://schemas.openxmlformats.org/officeDocument/2006/relationships/image" Target="media/image19.wmf"/><Relationship Id="rId25" Type="http://schemas.openxmlformats.org/officeDocument/2006/relationships/image" Target="media/image18.wmf"/><Relationship Id="rId24" Type="http://schemas.openxmlformats.org/officeDocument/2006/relationships/image" Target="media/image17.wmf"/><Relationship Id="rId23" Type="http://schemas.openxmlformats.org/officeDocument/2006/relationships/image" Target="media/image16.wmf"/><Relationship Id="rId22" Type="http://schemas.openxmlformats.org/officeDocument/2006/relationships/image" Target="media/image15.wmf"/><Relationship Id="rId21" Type="http://schemas.openxmlformats.org/officeDocument/2006/relationships/image" Target="media/image14.wmf"/><Relationship Id="rId20" Type="http://schemas.openxmlformats.org/officeDocument/2006/relationships/image" Target="media/image13.wmf"/><Relationship Id="rId2" Type="http://schemas.openxmlformats.org/officeDocument/2006/relationships/settings" Target="settings.xml"/><Relationship Id="rId19" Type="http://schemas.openxmlformats.org/officeDocument/2006/relationships/image" Target="media/image12.wmf"/><Relationship Id="rId18" Type="http://schemas.openxmlformats.org/officeDocument/2006/relationships/image" Target="media/image11.wmf"/><Relationship Id="rId17" Type="http://schemas.openxmlformats.org/officeDocument/2006/relationships/image" Target="media/image10.wmf"/><Relationship Id="rId16" Type="http://schemas.openxmlformats.org/officeDocument/2006/relationships/image" Target="media/image9.wmf"/><Relationship Id="rId15" Type="http://schemas.openxmlformats.org/officeDocument/2006/relationships/image" Target="media/image8.wmf"/><Relationship Id="rId14" Type="http://schemas.openxmlformats.org/officeDocument/2006/relationships/image" Target="media/image7.wmf"/><Relationship Id="rId13" Type="http://schemas.openxmlformats.org/officeDocument/2006/relationships/image" Target="media/image6.wmf"/><Relationship Id="rId12" Type="http://schemas.openxmlformats.org/officeDocument/2006/relationships/image" Target="media/image5.wmf"/><Relationship Id="rId11" Type="http://schemas.openxmlformats.org/officeDocument/2006/relationships/image" Target="media/image4.wmf"/><Relationship Id="rId10" Type="http://schemas.openxmlformats.org/officeDocument/2006/relationships/image" Target="media/image3.w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6269</Words>
  <Characters>6574</Characters>
  <Lines>230</Lines>
  <Paragraphs>64</Paragraphs>
  <TotalTime>2</TotalTime>
  <ScaleCrop>false</ScaleCrop>
  <LinksUpToDate>false</LinksUpToDate>
  <CharactersWithSpaces>6609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2023-02-17T01:52:00Z</dcterms:created>
  <dc:creator>大大的脑袋</dc:creator>
  <cp:lastModifiedBy>韦绒</cp:lastModifiedBy>
  <dcterms:modified xsi:type="dcterms:W3CDTF">2025-07-17T08:47:01Z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D31DA96B6EE74F09861D69F94B3731DE_13</vt:lpwstr>
  </property>
  <property fmtid="{D5CDD505-2E9C-101B-9397-08002B2CF9AE}" pid="4" name="KSOTemplateDocerSaveRecord">
    <vt:lpwstr>eyJoZGlkIjoiODg3YjIxOTdhYWVhMDk0ODU4NWJlNjI2YzE4ZDEwN2QiLCJ1c2VySWQiOiI0MzE5MDM1OTMifQ==</vt:lpwstr>
  </property>
</Properties>
</file>