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16984">
      <w:pPr>
        <w:rPr>
          <w:rFonts w:ascii="仿宋_GB2312" w:hAnsi="仿宋_GB2312" w:eastAsia="仿宋_GB2312" w:cs="仿宋_GB2312"/>
          <w:color w:val="auto"/>
          <w:sz w:val="36"/>
          <w:szCs w:val="36"/>
        </w:rPr>
      </w:pPr>
    </w:p>
    <w:p w14:paraId="2612EED6">
      <w:pPr>
        <w:rPr>
          <w:rFonts w:ascii="仿宋_GB2312" w:hAnsi="仿宋_GB2312" w:eastAsia="仿宋_GB2312" w:cs="仿宋_GB2312"/>
          <w:color w:val="auto"/>
          <w:sz w:val="36"/>
          <w:szCs w:val="36"/>
        </w:rPr>
      </w:pPr>
    </w:p>
    <w:p w14:paraId="2F1B04D6">
      <w:pPr>
        <w:rPr>
          <w:rFonts w:ascii="仿宋_GB2312" w:hAnsi="仿宋_GB2312" w:eastAsia="仿宋_GB2312" w:cs="仿宋_GB2312"/>
          <w:color w:val="auto"/>
          <w:sz w:val="36"/>
          <w:szCs w:val="36"/>
        </w:rPr>
      </w:pPr>
    </w:p>
    <w:p w14:paraId="2758B717">
      <w:pPr>
        <w:rPr>
          <w:rFonts w:ascii="仿宋_GB2312" w:hAnsi="仿宋_GB2312" w:eastAsia="仿宋_GB2312" w:cs="仿宋_GB2312"/>
          <w:b w:val="0"/>
          <w:bCs w:val="0"/>
          <w:color w:val="auto"/>
          <w:sz w:val="36"/>
          <w:szCs w:val="36"/>
        </w:rPr>
      </w:pPr>
    </w:p>
    <w:p w14:paraId="7A01100D">
      <w:pPr>
        <w:rPr>
          <w:rFonts w:hint="eastAsia" w:ascii="仿宋_GB2312" w:hAnsi="仿宋_GB2312" w:eastAsia="仿宋_GB2312" w:cs="仿宋_GB2312"/>
          <w:b w:val="0"/>
          <w:bCs w:val="0"/>
          <w:color w:val="auto"/>
          <w:sz w:val="36"/>
          <w:szCs w:val="36"/>
        </w:rPr>
      </w:pPr>
    </w:p>
    <w:p w14:paraId="5C73ADAF">
      <w:pPr>
        <w:adjustRightInd w:val="0"/>
        <w:snapToGrid w:val="0"/>
        <w:jc w:val="center"/>
        <w:outlineLvl w:val="0"/>
        <w:rPr>
          <w:rFonts w:hint="default" w:ascii="宋体" w:hAnsi="宋体" w:eastAsia="宋体" w:cs="宋体"/>
          <w:b/>
          <w:bCs w:val="0"/>
          <w:color w:val="auto"/>
          <w:sz w:val="72"/>
          <w:szCs w:val="72"/>
          <w:highlight w:val="none"/>
        </w:rPr>
      </w:pPr>
      <w:bookmarkStart w:id="0" w:name="_Toc1592"/>
      <w:r>
        <w:rPr>
          <w:rFonts w:hint="default" w:ascii="宋体" w:hAnsi="宋体" w:eastAsia="宋体" w:cs="宋体"/>
          <w:b/>
          <w:bCs w:val="0"/>
          <w:color w:val="auto"/>
          <w:sz w:val="72"/>
          <w:szCs w:val="72"/>
          <w:highlight w:val="none"/>
        </w:rPr>
        <w:t>建设项目环境影响报告表</w:t>
      </w:r>
      <w:bookmarkEnd w:id="0"/>
    </w:p>
    <w:p w14:paraId="1A689073">
      <w:pPr>
        <w:adjustRightInd w:val="0"/>
        <w:snapToGrid w:val="0"/>
        <w:spacing w:before="192" w:beforeLines="80"/>
        <w:jc w:val="center"/>
        <w:rPr>
          <w:rFonts w:hint="default" w:ascii="Times New Roman" w:hAnsi="Times New Roman" w:eastAsia="楷体_GB2312" w:cs="Times New Roman"/>
          <w:bCs/>
          <w:color w:val="000000"/>
          <w:sz w:val="48"/>
          <w:szCs w:val="48"/>
        </w:rPr>
      </w:pPr>
      <w:r>
        <w:rPr>
          <w:rFonts w:hint="default" w:ascii="Times New Roman" w:hAnsi="Times New Roman" w:eastAsia="楷体_GB2312" w:cs="Times New Roman"/>
          <w:bCs/>
          <w:color w:val="000000"/>
          <w:sz w:val="48"/>
          <w:szCs w:val="48"/>
        </w:rPr>
        <w:t>（污染影响类）</w:t>
      </w:r>
    </w:p>
    <w:p w14:paraId="55D1E814">
      <w:pPr>
        <w:adjustRightInd w:val="0"/>
        <w:snapToGrid w:val="0"/>
        <w:spacing w:before="192" w:beforeLines="80"/>
        <w:jc w:val="center"/>
        <w:rPr>
          <w:rFonts w:hint="default" w:ascii="Times New Roman" w:hAnsi="Times New Roman" w:eastAsia="楷体_GB2312" w:cs="Times New Roman"/>
          <w:bCs/>
          <w:color w:val="000000"/>
          <w:sz w:val="48"/>
          <w:szCs w:val="48"/>
        </w:rPr>
      </w:pPr>
    </w:p>
    <w:p w14:paraId="5DC0C957">
      <w:pPr>
        <w:jc w:val="center"/>
        <w:rPr>
          <w:rFonts w:hint="default" w:ascii="Times New Roman" w:hAnsi="Times New Roman" w:eastAsia="仿宋" w:cs="Times New Roman"/>
          <w:color w:val="000000"/>
          <w:sz w:val="52"/>
          <w:szCs w:val="52"/>
        </w:rPr>
      </w:pPr>
    </w:p>
    <w:p w14:paraId="581DBB72">
      <w:pPr>
        <w:ind w:firstLine="1040"/>
        <w:rPr>
          <w:rFonts w:hint="default" w:ascii="Times New Roman" w:hAnsi="Times New Roman" w:eastAsia="仿宋" w:cs="Times New Roman"/>
          <w:color w:val="000000"/>
          <w:sz w:val="44"/>
          <w:szCs w:val="44"/>
        </w:rPr>
      </w:pPr>
    </w:p>
    <w:p w14:paraId="503875B7">
      <w:pPr>
        <w:ind w:firstLine="1040"/>
        <w:rPr>
          <w:rFonts w:hint="default" w:ascii="Times New Roman" w:hAnsi="Times New Roman" w:eastAsia="仿宋" w:cs="Times New Roman"/>
          <w:color w:val="000000"/>
          <w:sz w:val="44"/>
          <w:szCs w:val="44"/>
        </w:rPr>
      </w:pPr>
    </w:p>
    <w:p w14:paraId="54C83493">
      <w:pPr>
        <w:ind w:firstLine="1040"/>
        <w:rPr>
          <w:rFonts w:hint="default" w:ascii="Times New Roman" w:hAnsi="Times New Roman" w:eastAsia="仿宋" w:cs="Times New Roman"/>
          <w:color w:val="000000"/>
          <w:sz w:val="44"/>
          <w:szCs w:val="44"/>
        </w:rPr>
      </w:pPr>
    </w:p>
    <w:p w14:paraId="4C26C2A3">
      <w:pPr>
        <w:ind w:firstLine="1040"/>
        <w:rPr>
          <w:rFonts w:hint="default" w:ascii="Times New Roman" w:hAnsi="Times New Roman" w:eastAsia="仿宋" w:cs="Times New Roman"/>
          <w:color w:val="000000"/>
          <w:sz w:val="44"/>
          <w:szCs w:val="44"/>
        </w:rPr>
      </w:pPr>
    </w:p>
    <w:p w14:paraId="67B8335D">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u w:val="single"/>
          <w:lang w:val="en-US" w:eastAsia="zh-CN"/>
        </w:rPr>
      </w:pPr>
      <w:r>
        <w:rPr>
          <w:rFonts w:hint="default" w:ascii="Times New Roman" w:hAnsi="Times New Roman" w:eastAsia="仿宋_GB2312" w:cs="Times New Roman"/>
          <w:color w:val="000000"/>
          <w:sz w:val="36"/>
          <w:szCs w:val="36"/>
        </w:rPr>
        <w:t>项目名称：</w:t>
      </w:r>
      <w:r>
        <w:rPr>
          <w:rFonts w:hint="default" w:ascii="Times New Roman" w:hAnsi="Times New Roman" w:eastAsia="仿宋_GB2312" w:cs="Times New Roman"/>
          <w:color w:val="000000"/>
          <w:sz w:val="36"/>
          <w:szCs w:val="36"/>
          <w:u w:val="single"/>
          <w:lang w:val="en-US" w:eastAsia="zh-CN"/>
        </w:rPr>
        <w:t xml:space="preserve">       </w:t>
      </w:r>
      <w:r>
        <w:rPr>
          <w:rFonts w:hint="eastAsia"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val="en-US" w:eastAsia="zh-CN"/>
        </w:rPr>
        <w:t xml:space="preserve">   </w:t>
      </w:r>
      <w:r>
        <w:rPr>
          <w:rFonts w:hint="eastAsia" w:eastAsia="仿宋_GB2312" w:cs="Times New Roman"/>
          <w:color w:val="000000"/>
          <w:sz w:val="36"/>
          <w:szCs w:val="36"/>
          <w:u w:val="single"/>
          <w:lang w:val="en-US" w:eastAsia="zh-CN"/>
        </w:rPr>
        <w:t>电力护套管建设</w:t>
      </w:r>
      <w:r>
        <w:rPr>
          <w:rFonts w:hint="default" w:ascii="Times New Roman" w:hAnsi="Times New Roman" w:eastAsia="仿宋_GB2312" w:cs="Times New Roman"/>
          <w:color w:val="000000"/>
          <w:sz w:val="36"/>
          <w:szCs w:val="36"/>
          <w:u w:val="single"/>
          <w:lang w:val="en-US" w:eastAsia="zh-CN"/>
        </w:rPr>
        <w:t xml:space="preserve">项目    </w:t>
      </w:r>
      <w:r>
        <w:rPr>
          <w:rFonts w:hint="eastAsia"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lang w:val="en-US" w:eastAsia="zh-CN"/>
        </w:rPr>
        <w:t xml:space="preserve">  </w:t>
      </w:r>
    </w:p>
    <w:p w14:paraId="263B967E">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u w:val="single"/>
          <w:lang w:val="en-US"/>
        </w:rPr>
      </w:pPr>
      <w:r>
        <w:rPr>
          <w:rFonts w:hint="default" w:ascii="Times New Roman" w:hAnsi="Times New Roman" w:eastAsia="仿宋_GB2312" w:cs="Times New Roman"/>
          <w:color w:val="000000"/>
          <w:sz w:val="36"/>
          <w:szCs w:val="36"/>
        </w:rPr>
        <w:t>建设单位（盖章）：</w:t>
      </w:r>
      <w:r>
        <w:rPr>
          <w:rFonts w:hint="default" w:ascii="Times New Roman" w:hAnsi="Times New Roman"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val="en-US" w:eastAsia="zh-CN"/>
        </w:rPr>
        <w:t xml:space="preserve">  </w:t>
      </w:r>
      <w:r>
        <w:rPr>
          <w:rFonts w:hint="eastAsia"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lang w:val="en-US" w:eastAsia="zh-CN"/>
        </w:rPr>
        <w:t>陕西</w:t>
      </w:r>
      <w:r>
        <w:rPr>
          <w:rFonts w:hint="eastAsia" w:eastAsia="仿宋_GB2312" w:cs="Times New Roman"/>
          <w:color w:val="000000"/>
          <w:sz w:val="36"/>
          <w:szCs w:val="36"/>
          <w:u w:val="single"/>
          <w:lang w:val="en-US" w:eastAsia="zh-CN"/>
        </w:rPr>
        <w:t>聚鑫弘科技</w:t>
      </w:r>
      <w:r>
        <w:rPr>
          <w:rFonts w:hint="default" w:ascii="Times New Roman" w:hAnsi="Times New Roman" w:eastAsia="仿宋_GB2312" w:cs="Times New Roman"/>
          <w:color w:val="000000"/>
          <w:sz w:val="36"/>
          <w:szCs w:val="36"/>
          <w:u w:val="single"/>
          <w:lang w:val="en-US" w:eastAsia="zh-CN"/>
        </w:rPr>
        <w:t xml:space="preserve">有限公司 </w:t>
      </w:r>
      <w:r>
        <w:rPr>
          <w:rFonts w:hint="eastAsia"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lang w:val="en-US" w:eastAsia="zh-CN"/>
        </w:rPr>
        <w:t xml:space="preserve"> </w:t>
      </w:r>
    </w:p>
    <w:p w14:paraId="4B103312">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u w:val="single"/>
        </w:rPr>
      </w:pPr>
      <w:r>
        <w:rPr>
          <w:rFonts w:hint="default" w:ascii="Times New Roman" w:hAnsi="Times New Roman" w:eastAsia="仿宋_GB2312" w:cs="Times New Roman"/>
          <w:color w:val="000000"/>
          <w:sz w:val="36"/>
          <w:szCs w:val="36"/>
        </w:rPr>
        <w:t>编制日期：</w:t>
      </w:r>
      <w:r>
        <w:rPr>
          <w:rFonts w:hint="default" w:ascii="Times New Roman" w:hAnsi="Times New Roman" w:eastAsia="仿宋_GB2312" w:cs="Times New Roman"/>
          <w:color w:val="000000"/>
          <w:sz w:val="36"/>
          <w:szCs w:val="36"/>
          <w:u w:val="single"/>
        </w:rPr>
        <w:t xml:space="preserve">    </w:t>
      </w:r>
      <w:r>
        <w:rPr>
          <w:rFonts w:hint="default" w:ascii="Times New Roman" w:hAnsi="Times New Roman"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rPr>
        <w:t xml:space="preserve"> </w:t>
      </w:r>
      <w:r>
        <w:rPr>
          <w:rFonts w:hint="default" w:ascii="Times New Roman" w:hAnsi="Times New Roman" w:eastAsia="仿宋_GB2312" w:cs="Times New Roman"/>
          <w:color w:val="000000"/>
          <w:sz w:val="36"/>
          <w:szCs w:val="36"/>
          <w:u w:val="single"/>
          <w:lang w:val="en-US" w:eastAsia="zh-CN"/>
        </w:rPr>
        <w:t>二〇二五年</w:t>
      </w:r>
      <w:r>
        <w:rPr>
          <w:rFonts w:hint="eastAsia" w:eastAsia="仿宋_GB2312" w:cs="Times New Roman"/>
          <w:color w:val="000000"/>
          <w:sz w:val="36"/>
          <w:szCs w:val="36"/>
          <w:u w:val="single"/>
          <w:lang w:val="en-US" w:eastAsia="zh-CN"/>
        </w:rPr>
        <w:t>六</w:t>
      </w:r>
      <w:r>
        <w:rPr>
          <w:rFonts w:hint="default" w:ascii="Times New Roman" w:hAnsi="Times New Roman" w:eastAsia="仿宋_GB2312" w:cs="Times New Roman"/>
          <w:color w:val="000000"/>
          <w:sz w:val="36"/>
          <w:szCs w:val="36"/>
          <w:u w:val="single"/>
          <w:lang w:val="en-US" w:eastAsia="zh-CN"/>
        </w:rPr>
        <w:t>月</w:t>
      </w:r>
      <w:r>
        <w:rPr>
          <w:rFonts w:hint="default" w:ascii="Times New Roman" w:hAnsi="Times New Roman" w:eastAsia="仿宋_GB2312" w:cs="Times New Roman"/>
          <w:color w:val="000000"/>
          <w:sz w:val="36"/>
          <w:szCs w:val="36"/>
          <w:u w:val="single"/>
        </w:rPr>
        <w:t xml:space="preserve">    </w:t>
      </w:r>
      <w:r>
        <w:rPr>
          <w:rFonts w:hint="default" w:ascii="Times New Roman" w:hAnsi="Times New Roman"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rPr>
        <w:t xml:space="preserve"> </w:t>
      </w:r>
    </w:p>
    <w:p w14:paraId="059AB033">
      <w:pPr>
        <w:adjustRightInd w:val="0"/>
        <w:snapToGrid w:val="0"/>
        <w:spacing w:line="288" w:lineRule="auto"/>
        <w:ind w:firstLine="1040"/>
        <w:rPr>
          <w:rFonts w:hint="default" w:ascii="Times New Roman" w:hAnsi="Times New Roman" w:eastAsia="仿宋_GB2312" w:cs="Times New Roman"/>
          <w:color w:val="000000"/>
          <w:sz w:val="36"/>
          <w:szCs w:val="36"/>
          <w:u w:val="single"/>
        </w:rPr>
      </w:pPr>
      <w:bookmarkStart w:id="1" w:name="_Hlk57884087"/>
    </w:p>
    <w:p w14:paraId="050E88E1">
      <w:pPr>
        <w:adjustRightInd w:val="0"/>
        <w:snapToGrid w:val="0"/>
        <w:spacing w:line="288" w:lineRule="auto"/>
        <w:ind w:firstLine="1040"/>
        <w:rPr>
          <w:rFonts w:hint="default" w:ascii="Times New Roman" w:hAnsi="Times New Roman" w:eastAsia="仿宋_GB2312" w:cs="Times New Roman"/>
          <w:color w:val="000000"/>
          <w:sz w:val="36"/>
          <w:szCs w:val="36"/>
        </w:rPr>
      </w:pPr>
    </w:p>
    <w:p w14:paraId="2866B651">
      <w:pPr>
        <w:adjustRightInd w:val="0"/>
        <w:snapToGrid w:val="0"/>
        <w:spacing w:line="288" w:lineRule="auto"/>
        <w:ind w:firstLine="1040"/>
        <w:rPr>
          <w:rFonts w:hint="default" w:ascii="Times New Roman" w:hAnsi="Times New Roman" w:eastAsia="仿宋_GB2312" w:cs="Times New Roman"/>
          <w:color w:val="000000"/>
          <w:sz w:val="36"/>
          <w:szCs w:val="36"/>
        </w:rPr>
      </w:pPr>
    </w:p>
    <w:p w14:paraId="284527CD">
      <w:pPr>
        <w:adjustRightInd w:val="0"/>
        <w:snapToGrid w:val="0"/>
        <w:spacing w:line="288" w:lineRule="auto"/>
        <w:ind w:firstLine="1040"/>
        <w:rPr>
          <w:rFonts w:hint="default" w:ascii="Times New Roman" w:hAnsi="Times New Roman" w:eastAsia="仿宋_GB2312" w:cs="Times New Roman"/>
          <w:color w:val="000000"/>
          <w:sz w:val="36"/>
          <w:szCs w:val="36"/>
        </w:rPr>
      </w:pPr>
    </w:p>
    <w:p w14:paraId="4D57250E">
      <w:pPr>
        <w:adjustRightInd w:val="0"/>
        <w:snapToGrid w:val="0"/>
        <w:spacing w:line="288" w:lineRule="auto"/>
        <w:ind w:firstLine="1040"/>
        <w:rPr>
          <w:rFonts w:hint="default" w:ascii="Times New Roman" w:hAnsi="Times New Roman" w:eastAsia="仿宋_GB2312" w:cs="Times New Roman"/>
          <w:color w:val="000000"/>
          <w:sz w:val="36"/>
          <w:szCs w:val="36"/>
        </w:rPr>
      </w:pPr>
    </w:p>
    <w:bookmarkEnd w:id="1"/>
    <w:p w14:paraId="1F437055">
      <w:pPr>
        <w:adjustRightInd w:val="0"/>
        <w:snapToGrid w:val="0"/>
        <w:spacing w:line="288" w:lineRule="auto"/>
        <w:jc w:val="center"/>
        <w:rPr>
          <w:rFonts w:hint="eastAsia" w:ascii="黑体" w:hAnsi="黑体" w:eastAsia="黑体"/>
          <w:snapToGrid w:val="0"/>
          <w:color w:val="auto"/>
          <w:sz w:val="30"/>
          <w:szCs w:val="30"/>
        </w:rPr>
      </w:pPr>
      <w:r>
        <w:rPr>
          <w:rFonts w:hint="default" w:ascii="Times New Roman" w:hAnsi="Times New Roman" w:eastAsia="楷体_GB2312" w:cs="Times New Roman"/>
          <w:color w:val="000000"/>
          <w:sz w:val="36"/>
          <w:szCs w:val="36"/>
        </w:rPr>
        <w:t>中华人民共和国生态环境部制</w:t>
      </w:r>
    </w:p>
    <w:p w14:paraId="78B51879">
      <w:pPr>
        <w:rPr>
          <w:rFonts w:hint="eastAsia" w:ascii="黑体" w:hAnsi="黑体" w:eastAsia="黑体"/>
          <w:snapToGrid w:val="0"/>
          <w:color w:val="auto"/>
          <w:sz w:val="30"/>
          <w:szCs w:val="30"/>
        </w:rPr>
      </w:pPr>
      <w:r>
        <w:rPr>
          <w:rFonts w:hint="eastAsia" w:ascii="黑体" w:hAnsi="黑体" w:eastAsia="黑体"/>
          <w:snapToGrid w:val="0"/>
          <w:color w:val="auto"/>
          <w:sz w:val="30"/>
          <w:szCs w:val="30"/>
        </w:rPr>
        <w:br w:type="page"/>
      </w:r>
    </w:p>
    <w:p w14:paraId="6BFB0270">
      <w:pPr>
        <w:pStyle w:val="21"/>
        <w:numPr>
          <w:ilvl w:val="0"/>
          <w:numId w:val="0"/>
        </w:numPr>
        <w:jc w:val="center"/>
        <w:outlineLvl w:val="0"/>
        <w:rPr>
          <w:rFonts w:hint="eastAsia" w:ascii="黑体" w:hAnsi="黑体" w:eastAsia="黑体"/>
          <w:snapToGrid w:val="0"/>
          <w:color w:val="auto"/>
          <w:sz w:val="30"/>
          <w:szCs w:val="30"/>
          <w:lang w:eastAsia="zh-CN"/>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4473DBAF">
      <w:pPr>
        <w:pStyle w:val="21"/>
        <w:numPr>
          <w:ilvl w:val="0"/>
          <w:numId w:val="0"/>
        </w:numPr>
        <w:jc w:val="center"/>
        <w:outlineLvl w:val="0"/>
        <w:rPr>
          <w:rFonts w:hint="eastAsia" w:ascii="黑体" w:hAnsi="黑体" w:eastAsia="黑体"/>
          <w:snapToGrid w:val="0"/>
          <w:color w:val="auto"/>
          <w:sz w:val="30"/>
          <w:szCs w:val="30"/>
          <w:lang w:eastAsia="zh-CN"/>
        </w:rPr>
        <w:sectPr>
          <w:footerReference r:id="rId4"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7F467E58">
      <w:pPr>
        <w:pStyle w:val="21"/>
        <w:numPr>
          <w:ilvl w:val="0"/>
          <w:numId w:val="0"/>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lang w:eastAsia="zh-CN"/>
        </w:rPr>
        <w:t>一、</w:t>
      </w:r>
      <w:r>
        <w:rPr>
          <w:rFonts w:hint="eastAsia" w:ascii="黑体" w:hAnsi="黑体" w:eastAsia="黑体"/>
          <w:snapToGrid w:val="0"/>
          <w:color w:val="auto"/>
          <w:sz w:val="30"/>
          <w:szCs w:val="30"/>
        </w:rPr>
        <w:t>建设项目基本情况</w:t>
      </w:r>
    </w:p>
    <w:tbl>
      <w:tblPr>
        <w:tblStyle w:val="24"/>
        <w:tblW w:w="514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29"/>
        <w:gridCol w:w="2493"/>
        <w:gridCol w:w="1675"/>
        <w:gridCol w:w="3237"/>
      </w:tblGrid>
      <w:tr w14:paraId="7401A3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946" w:type="pct"/>
            <w:noWrap w:val="0"/>
            <w:tcMar>
              <w:top w:w="16" w:type="dxa"/>
              <w:left w:w="16" w:type="dxa"/>
              <w:right w:w="16" w:type="dxa"/>
            </w:tcMar>
            <w:vAlign w:val="center"/>
          </w:tcPr>
          <w:p w14:paraId="1D099F23">
            <w:pPr>
              <w:adjustRightInd w:val="0"/>
              <w:snapToGrid w:val="0"/>
              <w:jc w:val="center"/>
              <w:rPr>
                <w:color w:val="auto"/>
                <w:sz w:val="24"/>
              </w:rPr>
            </w:pPr>
            <w:r>
              <w:rPr>
                <w:color w:val="auto"/>
                <w:sz w:val="24"/>
              </w:rPr>
              <w:t>建设项目名称</w:t>
            </w:r>
          </w:p>
        </w:tc>
        <w:tc>
          <w:tcPr>
            <w:tcW w:w="4053" w:type="pct"/>
            <w:gridSpan w:val="3"/>
            <w:noWrap w:val="0"/>
            <w:vAlign w:val="center"/>
          </w:tcPr>
          <w:p w14:paraId="71226DDE">
            <w:pPr>
              <w:adjustRightInd w:val="0"/>
              <w:snapToGrid w:val="0"/>
              <w:jc w:val="center"/>
              <w:rPr>
                <w:rFonts w:hint="eastAsia" w:eastAsia="宋体"/>
                <w:color w:val="auto"/>
                <w:sz w:val="24"/>
                <w:highlight w:val="none"/>
                <w:lang w:eastAsia="zh-CN"/>
              </w:rPr>
            </w:pPr>
            <w:r>
              <w:rPr>
                <w:rFonts w:hint="eastAsia"/>
                <w:color w:val="auto"/>
                <w:sz w:val="24"/>
                <w:highlight w:val="none"/>
                <w:lang w:eastAsia="zh-CN"/>
              </w:rPr>
              <w:t>电力护套管建设</w:t>
            </w:r>
            <w:r>
              <w:rPr>
                <w:rFonts w:hint="eastAsia" w:eastAsia="宋体"/>
                <w:color w:val="auto"/>
                <w:sz w:val="24"/>
                <w:highlight w:val="none"/>
                <w:lang w:eastAsia="zh-CN"/>
              </w:rPr>
              <w:t>项目</w:t>
            </w:r>
          </w:p>
        </w:tc>
      </w:tr>
      <w:tr w14:paraId="505AC8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946" w:type="pct"/>
            <w:noWrap w:val="0"/>
            <w:tcMar>
              <w:top w:w="16" w:type="dxa"/>
              <w:left w:w="16" w:type="dxa"/>
              <w:right w:w="16" w:type="dxa"/>
            </w:tcMar>
            <w:vAlign w:val="center"/>
          </w:tcPr>
          <w:p w14:paraId="3A04DD02">
            <w:pPr>
              <w:adjustRightInd w:val="0"/>
              <w:snapToGrid w:val="0"/>
              <w:jc w:val="center"/>
              <w:rPr>
                <w:color w:val="auto"/>
                <w:sz w:val="24"/>
              </w:rPr>
            </w:pPr>
            <w:r>
              <w:rPr>
                <w:color w:val="auto"/>
                <w:sz w:val="24"/>
              </w:rPr>
              <w:t>项目代码</w:t>
            </w:r>
          </w:p>
        </w:tc>
        <w:tc>
          <w:tcPr>
            <w:tcW w:w="4053" w:type="pct"/>
            <w:gridSpan w:val="3"/>
            <w:noWrap w:val="0"/>
            <w:vAlign w:val="center"/>
          </w:tcPr>
          <w:p w14:paraId="479067D1">
            <w:pPr>
              <w:keepNext w:val="0"/>
              <w:keepLines w:val="0"/>
              <w:widowControl/>
              <w:suppressLineNumbers w:val="0"/>
              <w:jc w:val="center"/>
              <w:rPr>
                <w:rFonts w:hint="default" w:eastAsia="宋体"/>
                <w:color w:val="auto"/>
                <w:sz w:val="24"/>
                <w:highlight w:val="none"/>
                <w:lang w:val="en-US" w:eastAsia="zh-CN"/>
              </w:rPr>
            </w:pPr>
            <w:r>
              <w:rPr>
                <w:rFonts w:hint="default" w:ascii="Times New Roman" w:hAnsi="Times New Roman" w:eastAsia="宋体" w:cs="Times New Roman"/>
                <w:color w:val="auto"/>
                <w:sz w:val="24"/>
                <w:highlight w:val="none"/>
                <w:lang w:val="en-US" w:eastAsia="zh-CN"/>
              </w:rPr>
              <w:t>2505-611206-04-01-167150</w:t>
            </w:r>
          </w:p>
        </w:tc>
      </w:tr>
      <w:tr w14:paraId="16FCCE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946" w:type="pct"/>
            <w:noWrap w:val="0"/>
            <w:tcMar>
              <w:top w:w="16" w:type="dxa"/>
              <w:left w:w="16" w:type="dxa"/>
              <w:right w:w="16" w:type="dxa"/>
            </w:tcMar>
            <w:vAlign w:val="center"/>
          </w:tcPr>
          <w:p w14:paraId="7EF9A581">
            <w:pPr>
              <w:adjustRightInd w:val="0"/>
              <w:snapToGrid w:val="0"/>
              <w:jc w:val="center"/>
              <w:rPr>
                <w:color w:val="auto"/>
                <w:sz w:val="24"/>
              </w:rPr>
            </w:pPr>
            <w:r>
              <w:rPr>
                <w:color w:val="auto"/>
                <w:sz w:val="24"/>
              </w:rPr>
              <w:t>建设单位联系人</w:t>
            </w:r>
          </w:p>
        </w:tc>
        <w:tc>
          <w:tcPr>
            <w:tcW w:w="1364" w:type="pct"/>
            <w:noWrap w:val="0"/>
            <w:vAlign w:val="center"/>
          </w:tcPr>
          <w:p w14:paraId="25698D68">
            <w:pPr>
              <w:adjustRightInd w:val="0"/>
              <w:snapToGrid w:val="0"/>
              <w:jc w:val="center"/>
              <w:rPr>
                <w:rFonts w:hint="eastAsia" w:eastAsia="宋体"/>
                <w:color w:val="auto"/>
                <w:sz w:val="24"/>
                <w:highlight w:val="none"/>
                <w:lang w:eastAsia="zh-CN"/>
              </w:rPr>
            </w:pPr>
            <w:r>
              <w:rPr>
                <w:rFonts w:hint="eastAsia"/>
                <w:color w:val="auto"/>
                <w:sz w:val="24"/>
                <w:highlight w:val="none"/>
                <w:lang w:eastAsia="zh-CN"/>
              </w:rPr>
              <w:t>傅红芳</w:t>
            </w:r>
          </w:p>
        </w:tc>
        <w:tc>
          <w:tcPr>
            <w:tcW w:w="916" w:type="pct"/>
            <w:noWrap w:val="0"/>
            <w:vAlign w:val="center"/>
          </w:tcPr>
          <w:p w14:paraId="418CC8D2">
            <w:pPr>
              <w:adjustRightInd w:val="0"/>
              <w:snapToGrid w:val="0"/>
              <w:jc w:val="center"/>
              <w:rPr>
                <w:color w:val="auto"/>
                <w:sz w:val="24"/>
                <w:highlight w:val="none"/>
              </w:rPr>
            </w:pPr>
            <w:r>
              <w:rPr>
                <w:color w:val="auto"/>
                <w:sz w:val="24"/>
                <w:highlight w:val="none"/>
              </w:rPr>
              <w:t>联系方式</w:t>
            </w:r>
          </w:p>
        </w:tc>
        <w:tc>
          <w:tcPr>
            <w:tcW w:w="1772" w:type="pct"/>
            <w:noWrap w:val="0"/>
            <w:vAlign w:val="center"/>
          </w:tcPr>
          <w:p w14:paraId="05E85111">
            <w:pPr>
              <w:adjustRightInd w:val="0"/>
              <w:snapToGrid w:val="0"/>
              <w:jc w:val="center"/>
              <w:rPr>
                <w:rFonts w:hint="default" w:eastAsia="宋体"/>
                <w:color w:val="auto"/>
                <w:sz w:val="24"/>
                <w:highlight w:val="none"/>
                <w:lang w:val="en-US" w:eastAsia="zh-CN"/>
              </w:rPr>
            </w:pPr>
            <w:r>
              <w:rPr>
                <w:rFonts w:hint="eastAsia"/>
                <w:color w:val="auto"/>
                <w:sz w:val="24"/>
                <w:highlight w:val="none"/>
              </w:rPr>
              <w:t>1</w:t>
            </w:r>
            <w:r>
              <w:rPr>
                <w:rFonts w:hint="eastAsia"/>
                <w:color w:val="auto"/>
                <w:sz w:val="24"/>
                <w:highlight w:val="none"/>
                <w:lang w:val="en-US" w:eastAsia="zh-CN"/>
              </w:rPr>
              <w:t>5067528738</w:t>
            </w:r>
          </w:p>
        </w:tc>
      </w:tr>
      <w:tr w14:paraId="2089A8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946" w:type="pct"/>
            <w:noWrap w:val="0"/>
            <w:tcMar>
              <w:top w:w="16" w:type="dxa"/>
              <w:left w:w="16" w:type="dxa"/>
              <w:right w:w="16" w:type="dxa"/>
            </w:tcMar>
            <w:vAlign w:val="center"/>
          </w:tcPr>
          <w:p w14:paraId="3DC75E48">
            <w:pPr>
              <w:adjustRightInd w:val="0"/>
              <w:snapToGrid w:val="0"/>
              <w:jc w:val="center"/>
              <w:rPr>
                <w:color w:val="auto"/>
                <w:sz w:val="24"/>
              </w:rPr>
            </w:pPr>
            <w:r>
              <w:rPr>
                <w:color w:val="auto"/>
                <w:sz w:val="24"/>
              </w:rPr>
              <w:t>建设地点</w:t>
            </w:r>
          </w:p>
        </w:tc>
        <w:tc>
          <w:tcPr>
            <w:tcW w:w="4053" w:type="pct"/>
            <w:gridSpan w:val="3"/>
            <w:noWrap w:val="0"/>
            <w:vAlign w:val="center"/>
          </w:tcPr>
          <w:p w14:paraId="2592176A">
            <w:pPr>
              <w:keepNext w:val="0"/>
              <w:keepLines w:val="0"/>
              <w:widowControl/>
              <w:suppressLineNumbers w:val="0"/>
              <w:jc w:val="center"/>
              <w:rPr>
                <w:rFonts w:hint="eastAsia" w:eastAsia="宋体"/>
                <w:color w:val="auto"/>
                <w:sz w:val="24"/>
                <w:highlight w:val="yellow"/>
                <w:lang w:eastAsia="zh-CN"/>
              </w:rPr>
            </w:pPr>
            <w:r>
              <w:rPr>
                <w:rFonts w:hint="eastAsia" w:ascii="Times New Roman" w:hAnsi="Times New Roman" w:eastAsia="宋体" w:cs="Times New Roman"/>
                <w:color w:val="auto"/>
                <w:sz w:val="24"/>
                <w:highlight w:val="none"/>
                <w:lang w:val="en-US" w:eastAsia="zh-CN"/>
              </w:rPr>
              <w:t>陕西省西咸新区泾河新城工业密集区永乐园区南北大道23号</w:t>
            </w:r>
          </w:p>
        </w:tc>
      </w:tr>
      <w:tr w14:paraId="39614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46" w:type="pct"/>
            <w:noWrap w:val="0"/>
            <w:tcMar>
              <w:top w:w="16" w:type="dxa"/>
              <w:left w:w="16" w:type="dxa"/>
              <w:right w:w="16" w:type="dxa"/>
            </w:tcMar>
            <w:vAlign w:val="center"/>
          </w:tcPr>
          <w:p w14:paraId="2EB0E559">
            <w:pPr>
              <w:adjustRightInd w:val="0"/>
              <w:snapToGrid w:val="0"/>
              <w:jc w:val="center"/>
              <w:rPr>
                <w:color w:val="auto"/>
                <w:sz w:val="24"/>
              </w:rPr>
            </w:pPr>
            <w:r>
              <w:rPr>
                <w:color w:val="auto"/>
                <w:sz w:val="24"/>
              </w:rPr>
              <w:t>地理坐标</w:t>
            </w:r>
          </w:p>
        </w:tc>
        <w:tc>
          <w:tcPr>
            <w:tcW w:w="4053" w:type="pct"/>
            <w:gridSpan w:val="3"/>
            <w:noWrap w:val="0"/>
            <w:vAlign w:val="center"/>
          </w:tcPr>
          <w:p w14:paraId="19E92DF4">
            <w:pPr>
              <w:ind w:firstLine="420"/>
              <w:jc w:val="center"/>
              <w:rPr>
                <w:color w:val="auto"/>
                <w:sz w:val="24"/>
                <w:highlight w:val="yellow"/>
              </w:rPr>
            </w:pPr>
            <w:r>
              <w:rPr>
                <w:color w:val="auto"/>
                <w:sz w:val="24"/>
                <w:highlight w:val="none"/>
              </w:rPr>
              <w:t>（</w:t>
            </w:r>
            <w:r>
              <w:rPr>
                <w:color w:val="auto"/>
                <w:sz w:val="24"/>
                <w:highlight w:val="none"/>
                <w:u w:val="single"/>
              </w:rPr>
              <w:t xml:space="preserve"> 10</w:t>
            </w:r>
            <w:r>
              <w:rPr>
                <w:rFonts w:hint="eastAsia"/>
                <w:color w:val="auto"/>
                <w:sz w:val="24"/>
                <w:highlight w:val="none"/>
                <w:u w:val="single"/>
                <w:lang w:val="en-US" w:eastAsia="zh-CN"/>
              </w:rPr>
              <w:t>8</w:t>
            </w:r>
            <w:r>
              <w:rPr>
                <w:color w:val="auto"/>
                <w:sz w:val="24"/>
                <w:highlight w:val="none"/>
              </w:rPr>
              <w:t>度</w:t>
            </w:r>
            <w:r>
              <w:rPr>
                <w:color w:val="auto"/>
                <w:sz w:val="24"/>
                <w:highlight w:val="none"/>
                <w:u w:val="single"/>
              </w:rPr>
              <w:t xml:space="preserve"> </w:t>
            </w:r>
            <w:r>
              <w:rPr>
                <w:rFonts w:hint="eastAsia"/>
                <w:color w:val="auto"/>
                <w:sz w:val="24"/>
                <w:highlight w:val="none"/>
                <w:u w:val="single"/>
                <w:lang w:val="en-US" w:eastAsia="zh-CN"/>
              </w:rPr>
              <w:t>56</w:t>
            </w:r>
            <w:r>
              <w:rPr>
                <w:color w:val="auto"/>
                <w:sz w:val="24"/>
                <w:highlight w:val="none"/>
              </w:rPr>
              <w:t>分</w:t>
            </w:r>
            <w:r>
              <w:rPr>
                <w:color w:val="auto"/>
                <w:sz w:val="24"/>
                <w:highlight w:val="none"/>
                <w:u w:val="single"/>
              </w:rPr>
              <w:t xml:space="preserve"> </w:t>
            </w:r>
            <w:r>
              <w:rPr>
                <w:rFonts w:hint="eastAsia"/>
                <w:color w:val="auto"/>
                <w:sz w:val="24"/>
                <w:highlight w:val="none"/>
                <w:u w:val="single"/>
                <w:lang w:val="en-US" w:eastAsia="zh-CN"/>
              </w:rPr>
              <w:t>40.1</w:t>
            </w:r>
            <w:bookmarkStart w:id="19" w:name="_GoBack"/>
            <w:bookmarkEnd w:id="19"/>
            <w:r>
              <w:rPr>
                <w:rFonts w:hint="eastAsia"/>
                <w:color w:val="auto"/>
                <w:sz w:val="24"/>
                <w:highlight w:val="none"/>
                <w:u w:val="single"/>
                <w:lang w:val="en-US" w:eastAsia="zh-CN"/>
              </w:rPr>
              <w:t>0</w:t>
            </w:r>
            <w:r>
              <w:rPr>
                <w:color w:val="auto"/>
                <w:sz w:val="24"/>
                <w:highlight w:val="none"/>
                <w:u w:val="single"/>
              </w:rPr>
              <w:t xml:space="preserve"> </w:t>
            </w:r>
            <w:r>
              <w:rPr>
                <w:color w:val="auto"/>
                <w:sz w:val="24"/>
                <w:highlight w:val="none"/>
              </w:rPr>
              <w:t>秒，</w:t>
            </w:r>
            <w:r>
              <w:rPr>
                <w:color w:val="auto"/>
                <w:sz w:val="24"/>
                <w:highlight w:val="none"/>
                <w:u w:val="single"/>
              </w:rPr>
              <w:t xml:space="preserve"> 34 </w:t>
            </w:r>
            <w:r>
              <w:rPr>
                <w:color w:val="auto"/>
                <w:sz w:val="24"/>
                <w:highlight w:val="none"/>
              </w:rPr>
              <w:t>度</w:t>
            </w:r>
            <w:r>
              <w:rPr>
                <w:color w:val="auto"/>
                <w:sz w:val="24"/>
                <w:highlight w:val="none"/>
                <w:u w:val="single"/>
              </w:rPr>
              <w:t xml:space="preserve"> </w:t>
            </w:r>
            <w:r>
              <w:rPr>
                <w:rFonts w:hint="eastAsia"/>
                <w:color w:val="auto"/>
                <w:sz w:val="24"/>
                <w:highlight w:val="none"/>
                <w:u w:val="single"/>
                <w:lang w:val="en-US" w:eastAsia="zh-CN"/>
              </w:rPr>
              <w:t>32</w:t>
            </w:r>
            <w:r>
              <w:rPr>
                <w:color w:val="auto"/>
                <w:sz w:val="24"/>
                <w:highlight w:val="none"/>
                <w:u w:val="single"/>
              </w:rPr>
              <w:t xml:space="preserve"> </w:t>
            </w:r>
            <w:r>
              <w:rPr>
                <w:color w:val="auto"/>
                <w:sz w:val="24"/>
                <w:highlight w:val="none"/>
              </w:rPr>
              <w:t>分</w:t>
            </w:r>
            <w:r>
              <w:rPr>
                <w:color w:val="auto"/>
                <w:sz w:val="24"/>
                <w:highlight w:val="none"/>
                <w:u w:val="single"/>
              </w:rPr>
              <w:t xml:space="preserve"> </w:t>
            </w:r>
            <w:r>
              <w:rPr>
                <w:rFonts w:hint="eastAsia"/>
                <w:color w:val="auto"/>
                <w:sz w:val="24"/>
                <w:highlight w:val="none"/>
                <w:u w:val="single"/>
                <w:lang w:val="en-US" w:eastAsia="zh-CN"/>
              </w:rPr>
              <w:t>4.60</w:t>
            </w:r>
            <w:r>
              <w:rPr>
                <w:color w:val="auto"/>
                <w:sz w:val="24"/>
                <w:highlight w:val="none"/>
                <w:u w:val="single"/>
              </w:rPr>
              <w:t xml:space="preserve"> </w:t>
            </w:r>
            <w:r>
              <w:rPr>
                <w:color w:val="auto"/>
                <w:sz w:val="24"/>
                <w:highlight w:val="none"/>
              </w:rPr>
              <w:t>秒）</w:t>
            </w:r>
          </w:p>
        </w:tc>
      </w:tr>
      <w:tr w14:paraId="49AA69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13" w:hRule="atLeast"/>
          <w:jc w:val="center"/>
        </w:trPr>
        <w:tc>
          <w:tcPr>
            <w:tcW w:w="946" w:type="pct"/>
            <w:noWrap w:val="0"/>
            <w:tcMar>
              <w:top w:w="16" w:type="dxa"/>
              <w:left w:w="16" w:type="dxa"/>
              <w:right w:w="16" w:type="dxa"/>
            </w:tcMar>
            <w:vAlign w:val="center"/>
          </w:tcPr>
          <w:p w14:paraId="0A89BAB6">
            <w:pPr>
              <w:adjustRightInd w:val="0"/>
              <w:snapToGrid w:val="0"/>
              <w:jc w:val="center"/>
              <w:rPr>
                <w:color w:val="auto"/>
                <w:sz w:val="24"/>
              </w:rPr>
            </w:pPr>
            <w:r>
              <w:rPr>
                <w:color w:val="auto"/>
                <w:sz w:val="24"/>
              </w:rPr>
              <w:t>国民经济</w:t>
            </w:r>
          </w:p>
          <w:p w14:paraId="48C9B70D">
            <w:pPr>
              <w:adjustRightInd w:val="0"/>
              <w:snapToGrid w:val="0"/>
              <w:jc w:val="center"/>
              <w:rPr>
                <w:color w:val="auto"/>
                <w:sz w:val="24"/>
              </w:rPr>
            </w:pPr>
            <w:r>
              <w:rPr>
                <w:color w:val="auto"/>
                <w:sz w:val="24"/>
              </w:rPr>
              <w:t>行业类别</w:t>
            </w:r>
          </w:p>
        </w:tc>
        <w:tc>
          <w:tcPr>
            <w:tcW w:w="1364" w:type="pct"/>
            <w:noWrap w:val="0"/>
            <w:vAlign w:val="center"/>
          </w:tcPr>
          <w:p w14:paraId="33E3639F">
            <w:pPr>
              <w:jc w:val="center"/>
              <w:rPr>
                <w:rFonts w:hint="default" w:eastAsia="宋体"/>
                <w:color w:val="auto"/>
                <w:sz w:val="24"/>
                <w:highlight w:val="yellow"/>
                <w:lang w:val="en-US" w:eastAsia="zh-CN"/>
              </w:rPr>
            </w:pPr>
            <w:r>
              <w:rPr>
                <w:rFonts w:hint="eastAsia"/>
                <w:color w:val="auto"/>
                <w:sz w:val="24"/>
              </w:rPr>
              <w:t>C</w:t>
            </w:r>
            <w:r>
              <w:rPr>
                <w:rFonts w:hint="eastAsia" w:ascii="Times New Roman" w:hAnsi="Times New Roman" w:eastAsia="宋体" w:cs="Times New Roman"/>
                <w:color w:val="auto"/>
                <w:sz w:val="24"/>
                <w:highlight w:val="none"/>
                <w:lang w:val="en-US" w:eastAsia="zh-CN"/>
              </w:rPr>
              <w:t>2922塑料板、管、型材制</w:t>
            </w:r>
            <w:r>
              <w:rPr>
                <w:rFonts w:hint="eastAsia"/>
                <w:color w:val="auto"/>
                <w:sz w:val="24"/>
              </w:rPr>
              <w:t>造</w:t>
            </w:r>
          </w:p>
        </w:tc>
        <w:tc>
          <w:tcPr>
            <w:tcW w:w="916" w:type="pct"/>
            <w:noWrap w:val="0"/>
            <w:vAlign w:val="center"/>
          </w:tcPr>
          <w:p w14:paraId="22C898C2">
            <w:pPr>
              <w:adjustRightInd w:val="0"/>
              <w:snapToGrid w:val="0"/>
              <w:jc w:val="center"/>
              <w:rPr>
                <w:color w:val="auto"/>
                <w:sz w:val="24"/>
                <w:highlight w:val="none"/>
              </w:rPr>
            </w:pPr>
            <w:r>
              <w:rPr>
                <w:color w:val="auto"/>
                <w:sz w:val="24"/>
                <w:highlight w:val="none"/>
              </w:rPr>
              <w:t>建设项目</w:t>
            </w:r>
          </w:p>
          <w:p w14:paraId="747B25C4">
            <w:pPr>
              <w:adjustRightInd w:val="0"/>
              <w:snapToGrid w:val="0"/>
              <w:jc w:val="center"/>
              <w:rPr>
                <w:color w:val="auto"/>
                <w:sz w:val="24"/>
                <w:highlight w:val="yellow"/>
              </w:rPr>
            </w:pPr>
            <w:r>
              <w:rPr>
                <w:color w:val="auto"/>
                <w:sz w:val="24"/>
                <w:highlight w:val="none"/>
              </w:rPr>
              <w:t>行业类别</w:t>
            </w:r>
          </w:p>
        </w:tc>
        <w:tc>
          <w:tcPr>
            <w:tcW w:w="1772" w:type="pct"/>
            <w:noWrap w:val="0"/>
            <w:vAlign w:val="center"/>
          </w:tcPr>
          <w:p w14:paraId="4484F7DA">
            <w:pPr>
              <w:adjustRightInd w:val="0"/>
              <w:snapToGrid w:val="0"/>
              <w:jc w:val="left"/>
              <w:rPr>
                <w:rFonts w:hint="eastAsia" w:eastAsia="宋体"/>
                <w:color w:val="auto"/>
                <w:sz w:val="24"/>
                <w:highlight w:val="yellow"/>
                <w:lang w:eastAsia="zh-CN"/>
              </w:rPr>
            </w:pPr>
            <w:r>
              <w:rPr>
                <w:rFonts w:hint="eastAsia"/>
                <w:color w:val="auto"/>
                <w:sz w:val="24"/>
              </w:rPr>
              <w:t>二十六、橡胶和塑料制品业29（53塑料制品业-其他（年用非溶剂型低VOCs含量涂料10吨涂料以下的除外）</w:t>
            </w:r>
          </w:p>
        </w:tc>
      </w:tr>
      <w:tr w14:paraId="4AB983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46" w:type="pct"/>
            <w:noWrap w:val="0"/>
            <w:tcMar>
              <w:top w:w="16" w:type="dxa"/>
              <w:left w:w="16" w:type="dxa"/>
              <w:right w:w="16" w:type="dxa"/>
            </w:tcMar>
            <w:vAlign w:val="center"/>
          </w:tcPr>
          <w:p w14:paraId="556CBFB4">
            <w:pPr>
              <w:adjustRightInd w:val="0"/>
              <w:snapToGrid w:val="0"/>
              <w:jc w:val="center"/>
              <w:rPr>
                <w:color w:val="auto"/>
                <w:sz w:val="24"/>
              </w:rPr>
            </w:pPr>
            <w:r>
              <w:rPr>
                <w:color w:val="auto"/>
                <w:sz w:val="24"/>
              </w:rPr>
              <w:t>建设性质</w:t>
            </w:r>
          </w:p>
        </w:tc>
        <w:tc>
          <w:tcPr>
            <w:tcW w:w="1364" w:type="pct"/>
            <w:noWrap w:val="0"/>
            <w:vAlign w:val="center"/>
          </w:tcPr>
          <w:p w14:paraId="55F1DDF3">
            <w:pPr>
              <w:jc w:val="left"/>
              <w:rPr>
                <w:color w:val="auto"/>
                <w:sz w:val="24"/>
                <w:highlight w:val="none"/>
              </w:rPr>
            </w:pPr>
            <w:r>
              <w:rPr>
                <w:color w:val="auto"/>
                <w:sz w:val="24"/>
                <w:highlight w:val="none"/>
              </w:rPr>
              <w:sym w:font="Wingdings 2" w:char="0052"/>
            </w:r>
            <w:r>
              <w:rPr>
                <w:color w:val="auto"/>
                <w:sz w:val="24"/>
                <w:highlight w:val="none"/>
              </w:rPr>
              <w:t>新建（迁建）</w:t>
            </w:r>
          </w:p>
          <w:p w14:paraId="0E05ADCA">
            <w:pPr>
              <w:jc w:val="left"/>
              <w:rPr>
                <w:color w:val="auto"/>
                <w:sz w:val="24"/>
                <w:highlight w:val="none"/>
              </w:rPr>
            </w:pPr>
            <w:r>
              <w:rPr>
                <w:color w:val="auto"/>
                <w:sz w:val="24"/>
                <w:highlight w:val="none"/>
              </w:rPr>
              <w:sym w:font="Wingdings 2" w:char="00A3"/>
            </w:r>
            <w:r>
              <w:rPr>
                <w:color w:val="auto"/>
                <w:sz w:val="24"/>
                <w:highlight w:val="none"/>
              </w:rPr>
              <w:t>改建</w:t>
            </w:r>
          </w:p>
          <w:p w14:paraId="3BED59F5">
            <w:pPr>
              <w:jc w:val="left"/>
              <w:rPr>
                <w:color w:val="auto"/>
                <w:sz w:val="24"/>
                <w:highlight w:val="none"/>
              </w:rPr>
            </w:pPr>
            <w:r>
              <w:rPr>
                <w:color w:val="auto"/>
                <w:sz w:val="24"/>
                <w:highlight w:val="none"/>
              </w:rPr>
              <w:sym w:font="Wingdings 2" w:char="00A3"/>
            </w:r>
            <w:r>
              <w:rPr>
                <w:color w:val="auto"/>
                <w:sz w:val="24"/>
                <w:highlight w:val="none"/>
              </w:rPr>
              <w:t>扩建</w:t>
            </w:r>
          </w:p>
          <w:p w14:paraId="38F0E39A">
            <w:pPr>
              <w:jc w:val="left"/>
              <w:rPr>
                <w:color w:val="auto"/>
                <w:sz w:val="24"/>
                <w:highlight w:val="yellow"/>
              </w:rPr>
            </w:pPr>
            <w:r>
              <w:rPr>
                <w:color w:val="auto"/>
                <w:sz w:val="24"/>
                <w:highlight w:val="none"/>
              </w:rPr>
              <w:sym w:font="Wingdings 2" w:char="00A3"/>
            </w:r>
            <w:r>
              <w:rPr>
                <w:color w:val="auto"/>
                <w:sz w:val="24"/>
                <w:highlight w:val="none"/>
              </w:rPr>
              <w:t>技术改造</w:t>
            </w:r>
          </w:p>
        </w:tc>
        <w:tc>
          <w:tcPr>
            <w:tcW w:w="916" w:type="pct"/>
            <w:noWrap w:val="0"/>
            <w:vAlign w:val="center"/>
          </w:tcPr>
          <w:p w14:paraId="4FC339EB">
            <w:pPr>
              <w:adjustRightInd w:val="0"/>
              <w:snapToGrid w:val="0"/>
              <w:jc w:val="center"/>
              <w:rPr>
                <w:color w:val="auto"/>
                <w:sz w:val="24"/>
                <w:highlight w:val="none"/>
              </w:rPr>
            </w:pPr>
            <w:r>
              <w:rPr>
                <w:color w:val="auto"/>
                <w:sz w:val="24"/>
                <w:highlight w:val="none"/>
              </w:rPr>
              <w:t>建设项目</w:t>
            </w:r>
          </w:p>
          <w:p w14:paraId="6A121005">
            <w:pPr>
              <w:adjustRightInd w:val="0"/>
              <w:snapToGrid w:val="0"/>
              <w:jc w:val="center"/>
              <w:rPr>
                <w:color w:val="auto"/>
                <w:sz w:val="24"/>
                <w:highlight w:val="none"/>
              </w:rPr>
            </w:pPr>
            <w:r>
              <w:rPr>
                <w:color w:val="auto"/>
                <w:sz w:val="24"/>
                <w:highlight w:val="none"/>
              </w:rPr>
              <w:t>申报情形</w:t>
            </w:r>
          </w:p>
        </w:tc>
        <w:tc>
          <w:tcPr>
            <w:tcW w:w="1772" w:type="pct"/>
            <w:noWrap w:val="0"/>
            <w:vAlign w:val="center"/>
          </w:tcPr>
          <w:p w14:paraId="44B6B172">
            <w:pPr>
              <w:jc w:val="left"/>
              <w:rPr>
                <w:color w:val="auto"/>
                <w:sz w:val="24"/>
                <w:highlight w:val="none"/>
              </w:rPr>
            </w:pPr>
            <w:r>
              <w:rPr>
                <w:color w:val="auto"/>
                <w:sz w:val="24"/>
                <w:highlight w:val="none"/>
              </w:rPr>
              <w:sym w:font="Wingdings 2" w:char="0052"/>
            </w:r>
            <w:r>
              <w:rPr>
                <w:color w:val="auto"/>
                <w:sz w:val="24"/>
                <w:highlight w:val="none"/>
              </w:rPr>
              <w:t xml:space="preserve">首次申报项目             </w:t>
            </w:r>
          </w:p>
          <w:p w14:paraId="1F71A9B6">
            <w:pPr>
              <w:jc w:val="left"/>
              <w:rPr>
                <w:color w:val="auto"/>
                <w:sz w:val="24"/>
                <w:highlight w:val="none"/>
              </w:rPr>
            </w:pPr>
            <w:r>
              <w:rPr>
                <w:color w:val="auto"/>
                <w:sz w:val="24"/>
                <w:highlight w:val="none"/>
              </w:rPr>
              <w:sym w:font="Wingdings 2" w:char="00A3"/>
            </w:r>
            <w:r>
              <w:rPr>
                <w:color w:val="auto"/>
                <w:sz w:val="24"/>
                <w:highlight w:val="none"/>
              </w:rPr>
              <w:t>不予批准后再次申报项目</w:t>
            </w:r>
          </w:p>
          <w:p w14:paraId="1AC0D2FA">
            <w:pPr>
              <w:jc w:val="left"/>
              <w:rPr>
                <w:color w:val="auto"/>
                <w:sz w:val="24"/>
                <w:highlight w:val="none"/>
              </w:rPr>
            </w:pPr>
            <w:r>
              <w:rPr>
                <w:color w:val="auto"/>
                <w:sz w:val="24"/>
                <w:highlight w:val="none"/>
              </w:rPr>
              <w:sym w:font="Wingdings 2" w:char="00A3"/>
            </w:r>
            <w:r>
              <w:rPr>
                <w:color w:val="auto"/>
                <w:sz w:val="24"/>
                <w:highlight w:val="none"/>
              </w:rPr>
              <w:t xml:space="preserve">超五年重新审核项目     </w:t>
            </w:r>
          </w:p>
          <w:p w14:paraId="4ED39C9E">
            <w:pPr>
              <w:jc w:val="left"/>
              <w:rPr>
                <w:color w:val="auto"/>
                <w:sz w:val="24"/>
                <w:highlight w:val="none"/>
              </w:rPr>
            </w:pPr>
            <w:r>
              <w:rPr>
                <w:color w:val="auto"/>
                <w:sz w:val="24"/>
                <w:highlight w:val="none"/>
              </w:rPr>
              <w:sym w:font="Wingdings 2" w:char="00A3"/>
            </w:r>
            <w:r>
              <w:rPr>
                <w:color w:val="auto"/>
                <w:sz w:val="24"/>
                <w:highlight w:val="none"/>
              </w:rPr>
              <w:t>重大变动重新报批项目</w:t>
            </w:r>
          </w:p>
        </w:tc>
      </w:tr>
      <w:tr w14:paraId="4244F2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28" w:hRule="atLeast"/>
          <w:jc w:val="center"/>
        </w:trPr>
        <w:tc>
          <w:tcPr>
            <w:tcW w:w="946" w:type="pct"/>
            <w:noWrap w:val="0"/>
            <w:tcMar>
              <w:top w:w="16" w:type="dxa"/>
              <w:left w:w="16" w:type="dxa"/>
              <w:right w:w="16" w:type="dxa"/>
            </w:tcMar>
            <w:vAlign w:val="center"/>
          </w:tcPr>
          <w:p w14:paraId="5DBB85F1">
            <w:pPr>
              <w:adjustRightInd w:val="0"/>
              <w:snapToGrid w:val="0"/>
              <w:jc w:val="center"/>
              <w:rPr>
                <w:color w:val="auto"/>
                <w:sz w:val="24"/>
              </w:rPr>
            </w:pPr>
            <w:r>
              <w:rPr>
                <w:color w:val="auto"/>
                <w:sz w:val="24"/>
              </w:rPr>
              <w:t>项目</w:t>
            </w:r>
            <w:r>
              <w:rPr>
                <w:rFonts w:hint="eastAsia"/>
                <w:color w:val="auto"/>
                <w:sz w:val="24"/>
              </w:rPr>
              <w:t>备案</w:t>
            </w:r>
            <w:r>
              <w:rPr>
                <w:color w:val="auto"/>
                <w:sz w:val="24"/>
              </w:rPr>
              <w:t>部门</w:t>
            </w:r>
          </w:p>
        </w:tc>
        <w:tc>
          <w:tcPr>
            <w:tcW w:w="1364" w:type="pct"/>
            <w:noWrap w:val="0"/>
            <w:vAlign w:val="center"/>
          </w:tcPr>
          <w:p w14:paraId="2C2A1EF2">
            <w:pPr>
              <w:jc w:val="center"/>
              <w:rPr>
                <w:rFonts w:hint="eastAsia" w:eastAsia="宋体"/>
                <w:color w:val="auto"/>
                <w:sz w:val="24"/>
                <w:highlight w:val="yellow"/>
                <w:lang w:eastAsia="zh-CN"/>
              </w:rPr>
            </w:pPr>
            <w:r>
              <w:rPr>
                <w:rFonts w:hint="eastAsia" w:ascii="Times New Roman" w:hAnsi="Times New Roman" w:eastAsia="宋体" w:cs="Times New Roman"/>
                <w:color w:val="auto"/>
                <w:sz w:val="24"/>
                <w:highlight w:val="none"/>
                <w:lang w:val="en-US" w:eastAsia="zh-CN"/>
              </w:rPr>
              <w:t>陕西省西咸新区泾河新城管理委员会</w:t>
            </w:r>
          </w:p>
        </w:tc>
        <w:tc>
          <w:tcPr>
            <w:tcW w:w="916" w:type="pct"/>
            <w:noWrap w:val="0"/>
            <w:vAlign w:val="center"/>
          </w:tcPr>
          <w:p w14:paraId="6DFC585F">
            <w:pPr>
              <w:adjustRightInd w:val="0"/>
              <w:snapToGrid w:val="0"/>
              <w:jc w:val="center"/>
              <w:rPr>
                <w:color w:val="auto"/>
                <w:sz w:val="24"/>
                <w:highlight w:val="none"/>
              </w:rPr>
            </w:pPr>
            <w:r>
              <w:rPr>
                <w:color w:val="auto"/>
                <w:sz w:val="24"/>
                <w:highlight w:val="none"/>
              </w:rPr>
              <w:t>项目审批文号</w:t>
            </w:r>
          </w:p>
        </w:tc>
        <w:tc>
          <w:tcPr>
            <w:tcW w:w="1772" w:type="pct"/>
            <w:noWrap w:val="0"/>
            <w:vAlign w:val="center"/>
          </w:tcPr>
          <w:p w14:paraId="47ED0FC1">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w:t>
            </w:r>
          </w:p>
        </w:tc>
      </w:tr>
      <w:tr w14:paraId="191E4A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946" w:type="pct"/>
            <w:noWrap w:val="0"/>
            <w:tcMar>
              <w:top w:w="16" w:type="dxa"/>
              <w:left w:w="16" w:type="dxa"/>
              <w:right w:w="16" w:type="dxa"/>
            </w:tcMar>
            <w:vAlign w:val="center"/>
          </w:tcPr>
          <w:p w14:paraId="0154A9F9">
            <w:pPr>
              <w:adjustRightInd w:val="0"/>
              <w:snapToGrid w:val="0"/>
              <w:jc w:val="center"/>
              <w:rPr>
                <w:color w:val="auto"/>
                <w:sz w:val="24"/>
              </w:rPr>
            </w:pPr>
            <w:r>
              <w:rPr>
                <w:color w:val="auto"/>
                <w:sz w:val="24"/>
              </w:rPr>
              <w:t>总投资（万元）</w:t>
            </w:r>
          </w:p>
        </w:tc>
        <w:tc>
          <w:tcPr>
            <w:tcW w:w="1364" w:type="pct"/>
            <w:noWrap w:val="0"/>
            <w:vAlign w:val="center"/>
          </w:tcPr>
          <w:p w14:paraId="6621565E">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100</w:t>
            </w:r>
          </w:p>
        </w:tc>
        <w:tc>
          <w:tcPr>
            <w:tcW w:w="916" w:type="pct"/>
            <w:noWrap w:val="0"/>
            <w:tcMar>
              <w:top w:w="16" w:type="dxa"/>
              <w:left w:w="16" w:type="dxa"/>
              <w:right w:w="16" w:type="dxa"/>
            </w:tcMar>
            <w:vAlign w:val="center"/>
          </w:tcPr>
          <w:p w14:paraId="09484E70">
            <w:pPr>
              <w:adjustRightInd w:val="0"/>
              <w:snapToGrid w:val="0"/>
              <w:jc w:val="center"/>
              <w:rPr>
                <w:rFonts w:hint="eastAsia"/>
                <w:color w:val="auto"/>
                <w:sz w:val="24"/>
                <w:highlight w:val="none"/>
              </w:rPr>
            </w:pPr>
            <w:r>
              <w:rPr>
                <w:color w:val="auto"/>
                <w:sz w:val="24"/>
                <w:highlight w:val="none"/>
              </w:rPr>
              <w:t>环保投资（万元）</w:t>
            </w:r>
          </w:p>
        </w:tc>
        <w:tc>
          <w:tcPr>
            <w:tcW w:w="1772" w:type="pct"/>
            <w:noWrap w:val="0"/>
            <w:vAlign w:val="center"/>
          </w:tcPr>
          <w:p w14:paraId="6C4C9F9F">
            <w:pPr>
              <w:adjustRightInd w:val="0"/>
              <w:snapToGrid w:val="0"/>
              <w:jc w:val="center"/>
              <w:rPr>
                <w:rFonts w:hint="default" w:eastAsia="宋体"/>
                <w:color w:val="auto"/>
                <w:sz w:val="24"/>
                <w:highlight w:val="none"/>
                <w:lang w:val="en-US" w:eastAsia="zh-CN"/>
              </w:rPr>
            </w:pPr>
            <w:r>
              <w:rPr>
                <w:rFonts w:hint="eastAsia" w:ascii="Times New Roman" w:hAnsi="Times New Roman" w:eastAsia="宋体" w:cs="Times New Roman"/>
                <w:color w:val="auto"/>
                <w:sz w:val="24"/>
                <w:highlight w:val="none"/>
                <w:lang w:val="en-US" w:eastAsia="zh-CN"/>
              </w:rPr>
              <w:t>1</w:t>
            </w:r>
            <w:r>
              <w:rPr>
                <w:rFonts w:hint="eastAsia" w:cs="Times New Roman"/>
                <w:color w:val="auto"/>
                <w:sz w:val="24"/>
                <w:highlight w:val="none"/>
                <w:lang w:val="en-US" w:eastAsia="zh-CN"/>
              </w:rPr>
              <w:t>0.0</w:t>
            </w:r>
          </w:p>
        </w:tc>
      </w:tr>
      <w:tr w14:paraId="0E0C0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946" w:type="pct"/>
            <w:noWrap w:val="0"/>
            <w:tcMar>
              <w:top w:w="16" w:type="dxa"/>
              <w:left w:w="16" w:type="dxa"/>
              <w:right w:w="16" w:type="dxa"/>
            </w:tcMar>
            <w:vAlign w:val="center"/>
          </w:tcPr>
          <w:p w14:paraId="3E86DDB3">
            <w:pPr>
              <w:adjustRightInd w:val="0"/>
              <w:snapToGrid w:val="0"/>
              <w:jc w:val="center"/>
              <w:rPr>
                <w:color w:val="auto"/>
                <w:sz w:val="24"/>
              </w:rPr>
            </w:pPr>
            <w:r>
              <w:rPr>
                <w:color w:val="auto"/>
                <w:sz w:val="24"/>
              </w:rPr>
              <w:t>环保投资占比（%）</w:t>
            </w:r>
          </w:p>
        </w:tc>
        <w:tc>
          <w:tcPr>
            <w:tcW w:w="1364" w:type="pct"/>
            <w:noWrap w:val="0"/>
            <w:vAlign w:val="center"/>
          </w:tcPr>
          <w:p w14:paraId="3CA69F78">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10</w:t>
            </w:r>
          </w:p>
        </w:tc>
        <w:tc>
          <w:tcPr>
            <w:tcW w:w="916" w:type="pct"/>
            <w:noWrap w:val="0"/>
            <w:tcMar>
              <w:top w:w="16" w:type="dxa"/>
              <w:left w:w="16" w:type="dxa"/>
              <w:right w:w="16" w:type="dxa"/>
            </w:tcMar>
            <w:vAlign w:val="center"/>
          </w:tcPr>
          <w:p w14:paraId="418B5B23">
            <w:pPr>
              <w:adjustRightInd w:val="0"/>
              <w:snapToGrid w:val="0"/>
              <w:jc w:val="center"/>
              <w:rPr>
                <w:color w:val="auto"/>
                <w:sz w:val="24"/>
                <w:highlight w:val="none"/>
              </w:rPr>
            </w:pPr>
            <w:r>
              <w:rPr>
                <w:color w:val="auto"/>
                <w:sz w:val="24"/>
                <w:highlight w:val="none"/>
              </w:rPr>
              <w:t>施工工期</w:t>
            </w:r>
          </w:p>
        </w:tc>
        <w:tc>
          <w:tcPr>
            <w:tcW w:w="1772" w:type="pct"/>
            <w:noWrap w:val="0"/>
            <w:vAlign w:val="center"/>
          </w:tcPr>
          <w:p w14:paraId="23BC6404">
            <w:pPr>
              <w:adjustRightInd w:val="0"/>
              <w:snapToGrid w:val="0"/>
              <w:jc w:val="center"/>
              <w:rPr>
                <w:color w:val="auto"/>
                <w:sz w:val="24"/>
                <w:highlight w:val="none"/>
              </w:rPr>
            </w:pPr>
            <w:r>
              <w:rPr>
                <w:rFonts w:hint="eastAsia" w:cs="Times New Roman"/>
                <w:color w:val="auto"/>
                <w:sz w:val="24"/>
                <w:highlight w:val="none"/>
                <w:lang w:val="en-US" w:eastAsia="zh-CN"/>
              </w:rPr>
              <w:t>1</w:t>
            </w:r>
            <w:r>
              <w:rPr>
                <w:rFonts w:hint="eastAsia" w:ascii="Times New Roman" w:hAnsi="Times New Roman" w:eastAsia="宋体" w:cs="Times New Roman"/>
                <w:color w:val="auto"/>
                <w:sz w:val="24"/>
                <w:highlight w:val="none"/>
              </w:rPr>
              <w:t>个月</w:t>
            </w:r>
          </w:p>
        </w:tc>
      </w:tr>
      <w:tr w14:paraId="45BC33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946" w:type="pct"/>
            <w:noWrap w:val="0"/>
            <w:tcMar>
              <w:top w:w="16" w:type="dxa"/>
              <w:left w:w="16" w:type="dxa"/>
              <w:right w:w="16" w:type="dxa"/>
            </w:tcMar>
            <w:vAlign w:val="center"/>
          </w:tcPr>
          <w:p w14:paraId="432D743C">
            <w:pPr>
              <w:adjustRightInd w:val="0"/>
              <w:snapToGrid w:val="0"/>
              <w:jc w:val="center"/>
              <w:rPr>
                <w:color w:val="auto"/>
                <w:sz w:val="24"/>
              </w:rPr>
            </w:pPr>
            <w:r>
              <w:rPr>
                <w:color w:val="auto"/>
                <w:sz w:val="24"/>
              </w:rPr>
              <w:t>是否开工建设</w:t>
            </w:r>
          </w:p>
        </w:tc>
        <w:tc>
          <w:tcPr>
            <w:tcW w:w="1364" w:type="pct"/>
            <w:noWrap w:val="0"/>
            <w:vAlign w:val="center"/>
          </w:tcPr>
          <w:p w14:paraId="6A937B76">
            <w:pPr>
              <w:adjustRightInd w:val="0"/>
              <w:snapToGrid w:val="0"/>
              <w:rPr>
                <w:color w:val="auto"/>
                <w:sz w:val="24"/>
                <w:highlight w:val="none"/>
              </w:rPr>
            </w:pPr>
            <w:r>
              <w:rPr>
                <w:color w:val="auto"/>
                <w:sz w:val="24"/>
                <w:highlight w:val="none"/>
              </w:rPr>
              <w:sym w:font="Wingdings 2" w:char="00A3"/>
            </w:r>
            <w:r>
              <w:rPr>
                <w:color w:val="auto"/>
                <w:sz w:val="24"/>
                <w:highlight w:val="none"/>
              </w:rPr>
              <w:t>否</w:t>
            </w:r>
          </w:p>
          <w:p w14:paraId="57BC467F">
            <w:pPr>
              <w:adjustRightInd w:val="0"/>
              <w:snapToGrid w:val="0"/>
              <w:ind w:left="720" w:hanging="720" w:hangingChars="300"/>
              <w:rPr>
                <w:rFonts w:hint="default" w:ascii="Times New Roman" w:hAnsi="Times New Roman" w:cs="Times New Roman"/>
                <w:color w:val="auto"/>
                <w:sz w:val="24"/>
                <w:szCs w:val="24"/>
                <w:u w:val="single"/>
                <w:lang w:val="en-US" w:eastAsia="zh-CN"/>
              </w:rPr>
            </w:pPr>
            <w:r>
              <w:rPr>
                <w:color w:val="auto"/>
                <w:sz w:val="24"/>
                <w:highlight w:val="none"/>
              </w:rPr>
              <w:sym w:font="Wingdings 2" w:char="0052"/>
            </w:r>
            <w:r>
              <w:rPr>
                <w:color w:val="auto"/>
                <w:sz w:val="24"/>
                <w:highlight w:val="none"/>
              </w:rPr>
              <w:t>是：</w:t>
            </w:r>
            <w:r>
              <w:rPr>
                <w:rFonts w:hint="eastAsia" w:ascii="Times New Roman" w:hAnsi="Times New Roman" w:cs="Times New Roman"/>
                <w:color w:val="auto"/>
                <w:sz w:val="24"/>
                <w:szCs w:val="24"/>
                <w:u w:val="single"/>
                <w:lang w:eastAsia="zh-CN"/>
              </w:rPr>
              <w:t>根据现场勘查，设备正在安装</w:t>
            </w:r>
            <w:r>
              <w:rPr>
                <w:rFonts w:hint="eastAsia" w:cs="Times New Roman"/>
                <w:color w:val="auto"/>
                <w:sz w:val="24"/>
                <w:szCs w:val="24"/>
                <w:u w:val="single"/>
                <w:lang w:val="en-US" w:eastAsia="zh-CN"/>
              </w:rPr>
              <w:t xml:space="preserve">  </w:t>
            </w:r>
          </w:p>
          <w:p w14:paraId="78A0B3FC">
            <w:pPr>
              <w:adjustRightInd w:val="0"/>
              <w:snapToGrid w:val="0"/>
              <w:ind w:firstLine="720" w:firstLineChars="300"/>
              <w:rPr>
                <w:rFonts w:hint="eastAsia" w:eastAsia="宋体"/>
                <w:color w:val="auto"/>
                <w:sz w:val="24"/>
                <w:highlight w:val="yellow"/>
                <w:lang w:eastAsia="zh-CN"/>
              </w:rPr>
            </w:pPr>
            <w:r>
              <w:rPr>
                <w:rFonts w:hint="eastAsia" w:ascii="Times New Roman" w:hAnsi="Times New Roman" w:cs="Times New Roman"/>
                <w:color w:val="auto"/>
                <w:sz w:val="24"/>
                <w:szCs w:val="24"/>
                <w:u w:val="single"/>
                <w:lang w:eastAsia="zh-CN"/>
              </w:rPr>
              <w:t>中。</w:t>
            </w:r>
            <w:r>
              <w:rPr>
                <w:rFonts w:hint="default" w:ascii="Times New Roman" w:hAnsi="Times New Roman" w:cs="Times New Roman"/>
                <w:color w:val="auto"/>
                <w:sz w:val="24"/>
                <w:szCs w:val="24"/>
                <w:u w:val="single"/>
              </w:rPr>
              <w:t xml:space="preserve"> </w:t>
            </w:r>
            <w:r>
              <w:rPr>
                <w:rFonts w:hint="eastAsia" w:cs="Times New Roman"/>
                <w:color w:val="auto"/>
                <w:sz w:val="24"/>
                <w:szCs w:val="24"/>
                <w:u w:val="single"/>
                <w:lang w:val="en-US" w:eastAsia="zh-CN"/>
              </w:rPr>
              <w:t xml:space="preserve">   </w:t>
            </w:r>
            <w:r>
              <w:rPr>
                <w:rFonts w:hint="default" w:ascii="Times New Roman" w:hAnsi="Times New Roman" w:cs="Times New Roman"/>
                <w:color w:val="auto"/>
                <w:sz w:val="24"/>
                <w:szCs w:val="24"/>
                <w:u w:val="single"/>
              </w:rPr>
              <w:t xml:space="preserve"> </w:t>
            </w:r>
            <w:r>
              <w:rPr>
                <w:rFonts w:hint="eastAsia" w:ascii="Times New Roman" w:hAnsi="Times New Roman" w:cs="Times New Roman"/>
                <w:color w:val="auto"/>
                <w:sz w:val="24"/>
                <w:szCs w:val="24"/>
                <w:u w:val="single"/>
                <w:lang w:val="en-US" w:eastAsia="zh-CN"/>
              </w:rPr>
              <w:t xml:space="preserve">  </w:t>
            </w:r>
            <w:r>
              <w:rPr>
                <w:rFonts w:hint="eastAsia" w:cs="Times New Roman"/>
                <w:color w:val="auto"/>
                <w:sz w:val="24"/>
                <w:szCs w:val="24"/>
                <w:u w:val="single"/>
                <w:lang w:val="en-US" w:eastAsia="zh-CN"/>
              </w:rPr>
              <w:t xml:space="preserve"> </w:t>
            </w:r>
            <w:r>
              <w:rPr>
                <w:rFonts w:hint="default" w:ascii="Times New Roman" w:hAnsi="Times New Roman" w:cs="Times New Roman"/>
                <w:color w:val="auto"/>
                <w:sz w:val="24"/>
                <w:szCs w:val="24"/>
                <w:u w:val="single"/>
              </w:rPr>
              <w:t xml:space="preserve">  </w:t>
            </w:r>
          </w:p>
        </w:tc>
        <w:tc>
          <w:tcPr>
            <w:tcW w:w="916" w:type="pct"/>
            <w:noWrap w:val="0"/>
            <w:tcMar>
              <w:top w:w="16" w:type="dxa"/>
              <w:left w:w="16" w:type="dxa"/>
              <w:right w:w="16" w:type="dxa"/>
            </w:tcMar>
            <w:vAlign w:val="center"/>
          </w:tcPr>
          <w:p w14:paraId="2C82B234">
            <w:pPr>
              <w:adjustRightInd w:val="0"/>
              <w:snapToGrid w:val="0"/>
              <w:jc w:val="center"/>
              <w:rPr>
                <w:color w:val="auto"/>
                <w:spacing w:val="-6"/>
                <w:sz w:val="24"/>
                <w:highlight w:val="none"/>
              </w:rPr>
            </w:pPr>
            <w:r>
              <w:rPr>
                <w:color w:val="auto"/>
                <w:spacing w:val="-6"/>
                <w:sz w:val="24"/>
                <w:highlight w:val="none"/>
              </w:rPr>
              <w:t>用地（用海）</w:t>
            </w:r>
          </w:p>
          <w:p w14:paraId="175FB9A5">
            <w:pPr>
              <w:adjustRightInd w:val="0"/>
              <w:snapToGrid w:val="0"/>
              <w:jc w:val="center"/>
              <w:rPr>
                <w:color w:val="auto"/>
                <w:sz w:val="24"/>
                <w:highlight w:val="none"/>
              </w:rPr>
            </w:pPr>
            <w:r>
              <w:rPr>
                <w:color w:val="auto"/>
                <w:spacing w:val="-6"/>
                <w:sz w:val="24"/>
                <w:highlight w:val="none"/>
              </w:rPr>
              <w:t>面积（m</w:t>
            </w:r>
            <w:r>
              <w:rPr>
                <w:color w:val="auto"/>
                <w:spacing w:val="-6"/>
                <w:sz w:val="24"/>
                <w:highlight w:val="none"/>
                <w:vertAlign w:val="superscript"/>
              </w:rPr>
              <w:t>2</w:t>
            </w:r>
            <w:r>
              <w:rPr>
                <w:color w:val="auto"/>
                <w:spacing w:val="-6"/>
                <w:sz w:val="24"/>
                <w:highlight w:val="none"/>
              </w:rPr>
              <w:t>）</w:t>
            </w:r>
          </w:p>
        </w:tc>
        <w:tc>
          <w:tcPr>
            <w:tcW w:w="1772" w:type="pct"/>
            <w:noWrap w:val="0"/>
            <w:vAlign w:val="center"/>
          </w:tcPr>
          <w:p w14:paraId="7302DCA8">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2000</w:t>
            </w:r>
          </w:p>
        </w:tc>
      </w:tr>
      <w:tr w14:paraId="167F98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46" w:type="pct"/>
            <w:noWrap w:val="0"/>
            <w:vAlign w:val="center"/>
          </w:tcPr>
          <w:p w14:paraId="62382563">
            <w:pPr>
              <w:autoSpaceDE w:val="0"/>
              <w:autoSpaceDN w:val="0"/>
              <w:adjustRightInd w:val="0"/>
              <w:snapToGrid w:val="0"/>
              <w:jc w:val="center"/>
              <w:rPr>
                <w:color w:val="auto"/>
                <w:kern w:val="0"/>
                <w:sz w:val="24"/>
              </w:rPr>
            </w:pPr>
            <w:r>
              <w:rPr>
                <w:color w:val="auto"/>
                <w:kern w:val="0"/>
                <w:sz w:val="24"/>
              </w:rPr>
              <w:t>专项评价设置情况</w:t>
            </w:r>
          </w:p>
        </w:tc>
        <w:tc>
          <w:tcPr>
            <w:tcW w:w="4053" w:type="pct"/>
            <w:gridSpan w:val="3"/>
            <w:noWrap w:val="0"/>
            <w:vAlign w:val="center"/>
          </w:tcPr>
          <w:p w14:paraId="3E204B72">
            <w:pPr>
              <w:autoSpaceDE w:val="0"/>
              <w:autoSpaceDN w:val="0"/>
              <w:adjustRightInd w:val="0"/>
              <w:snapToGrid w:val="0"/>
              <w:jc w:val="center"/>
              <w:rPr>
                <w:color w:val="auto"/>
                <w:kern w:val="0"/>
                <w:sz w:val="24"/>
              </w:rPr>
            </w:pPr>
            <w:r>
              <w:rPr>
                <w:color w:val="auto"/>
                <w:kern w:val="0"/>
                <w:sz w:val="24"/>
              </w:rPr>
              <w:t>无</w:t>
            </w:r>
          </w:p>
        </w:tc>
      </w:tr>
      <w:tr w14:paraId="20E59C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946" w:type="pct"/>
            <w:noWrap w:val="0"/>
            <w:vAlign w:val="center"/>
          </w:tcPr>
          <w:p w14:paraId="6ADFF7CB">
            <w:pPr>
              <w:autoSpaceDE w:val="0"/>
              <w:autoSpaceDN w:val="0"/>
              <w:adjustRightInd w:val="0"/>
              <w:snapToGrid w:val="0"/>
              <w:jc w:val="center"/>
              <w:rPr>
                <w:color w:val="auto"/>
                <w:kern w:val="0"/>
                <w:sz w:val="24"/>
              </w:rPr>
            </w:pPr>
            <w:r>
              <w:rPr>
                <w:color w:val="auto"/>
                <w:sz w:val="24"/>
              </w:rPr>
              <w:t>规划情况</w:t>
            </w:r>
          </w:p>
        </w:tc>
        <w:tc>
          <w:tcPr>
            <w:tcW w:w="4053" w:type="pct"/>
            <w:gridSpan w:val="3"/>
            <w:noWrap w:val="0"/>
            <w:vAlign w:val="center"/>
          </w:tcPr>
          <w:p w14:paraId="0F736B87">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规划名称：《西咸新区-泾河新城分区规划修编（2016年</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2035年）》</w:t>
            </w:r>
          </w:p>
          <w:p w14:paraId="5A353ACA">
            <w:pPr>
              <w:keepNext w:val="0"/>
              <w:keepLines w:val="0"/>
              <w:pageBreakBefore w:val="0"/>
              <w:kinsoku/>
              <w:wordWrap/>
              <w:overflowPunct/>
              <w:topLinePunct w:val="0"/>
              <w:autoSpaceDE/>
              <w:autoSpaceDN/>
              <w:bidi w:val="0"/>
              <w:adjustRightInd/>
              <w:snapToGrid/>
              <w:spacing w:line="440" w:lineRule="exact"/>
              <w:textAlignment w:val="auto"/>
              <w:rPr>
                <w:color w:val="auto"/>
                <w:kern w:val="0"/>
                <w:sz w:val="24"/>
              </w:rPr>
            </w:pPr>
            <w:r>
              <w:rPr>
                <w:rFonts w:hint="default" w:ascii="Times New Roman" w:hAnsi="Times New Roman" w:eastAsia="宋体" w:cs="Times New Roman"/>
                <w:color w:val="auto"/>
                <w:sz w:val="24"/>
                <w:szCs w:val="24"/>
                <w:lang w:eastAsia="zh-CN"/>
              </w:rPr>
              <w:t>审批机关：西咸新区开发建设管理委员会</w:t>
            </w:r>
          </w:p>
        </w:tc>
      </w:tr>
      <w:tr w14:paraId="2CE9BF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946" w:type="pct"/>
            <w:noWrap w:val="0"/>
            <w:vAlign w:val="center"/>
          </w:tcPr>
          <w:p w14:paraId="12B737C6">
            <w:pPr>
              <w:adjustRightInd w:val="0"/>
              <w:snapToGrid w:val="0"/>
              <w:jc w:val="center"/>
              <w:rPr>
                <w:color w:val="auto"/>
                <w:sz w:val="24"/>
              </w:rPr>
            </w:pPr>
            <w:r>
              <w:rPr>
                <w:color w:val="auto"/>
                <w:sz w:val="24"/>
              </w:rPr>
              <w:t>规划环境影响</w:t>
            </w:r>
          </w:p>
          <w:p w14:paraId="78D9083D">
            <w:pPr>
              <w:adjustRightInd w:val="0"/>
              <w:snapToGrid w:val="0"/>
              <w:jc w:val="center"/>
              <w:rPr>
                <w:color w:val="auto"/>
                <w:kern w:val="0"/>
                <w:sz w:val="24"/>
              </w:rPr>
            </w:pPr>
            <w:r>
              <w:rPr>
                <w:color w:val="auto"/>
                <w:sz w:val="24"/>
              </w:rPr>
              <w:t>评价情况</w:t>
            </w:r>
          </w:p>
        </w:tc>
        <w:tc>
          <w:tcPr>
            <w:tcW w:w="4053" w:type="pct"/>
            <w:gridSpan w:val="3"/>
            <w:noWrap w:val="0"/>
            <w:vAlign w:val="center"/>
          </w:tcPr>
          <w:p w14:paraId="12792E5C">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规划名称：《陕西省西咸新区泾河新城分区规划（2016-2035）环境影响报告书》</w:t>
            </w:r>
          </w:p>
          <w:p w14:paraId="472B67E4">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审查机关：陕西省西咸新区生态环境局</w:t>
            </w:r>
          </w:p>
          <w:p w14:paraId="2D74D64D">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审查文件名称：陕西省西咸新区生态环境局关于《西咸新区-泾河新城分区规划（2016-2035）环境影响报告书》的审查意见</w:t>
            </w:r>
          </w:p>
          <w:p w14:paraId="40EE8556">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审查文号：陕西咸环函【2021】41号</w:t>
            </w:r>
          </w:p>
        </w:tc>
      </w:tr>
      <w:tr w14:paraId="5CC14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76" w:hRule="atLeast"/>
          <w:jc w:val="center"/>
        </w:trPr>
        <w:tc>
          <w:tcPr>
            <w:tcW w:w="946" w:type="pct"/>
            <w:noWrap w:val="0"/>
            <w:vAlign w:val="center"/>
          </w:tcPr>
          <w:p w14:paraId="4564871D">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4053" w:type="pct"/>
            <w:gridSpan w:val="3"/>
            <w:noWrap w:val="0"/>
            <w:vAlign w:val="center"/>
          </w:tcPr>
          <w:p w14:paraId="079A16EF">
            <w:pPr>
              <w:autoSpaceDE w:val="0"/>
              <w:autoSpaceDN w:val="0"/>
              <w:adjustRightInd w:val="0"/>
              <w:snapToGrid w:val="0"/>
              <w:spacing w:line="360" w:lineRule="auto"/>
              <w:jc w:val="both"/>
              <w:rPr>
                <w:rFonts w:hint="default" w:ascii="Times New Roman" w:hAnsi="Times New Roman" w:cs="Times New Roman"/>
                <w:color w:val="auto"/>
                <w:kern w:val="0"/>
                <w:sz w:val="24"/>
                <w:szCs w:val="24"/>
                <w:lang w:val="en-US" w:eastAsia="zh-CN"/>
              </w:rPr>
            </w:pPr>
            <w:r>
              <w:rPr>
                <w:rFonts w:hint="default" w:ascii="Times New Roman" w:hAnsi="Times New Roman" w:cs="Times New Roman"/>
                <w:color w:val="auto"/>
                <w:kern w:val="0"/>
                <w:sz w:val="24"/>
                <w:szCs w:val="24"/>
                <w:lang w:val="en-US" w:eastAsia="zh-CN"/>
              </w:rPr>
              <w:t>与相关规划、规划环评结论及审查意见的符合性见下表。</w:t>
            </w:r>
            <w:bookmarkStart w:id="2" w:name="_Toc24745"/>
          </w:p>
          <w:p w14:paraId="452EC063">
            <w:pPr>
              <w:autoSpaceDE w:val="0"/>
              <w:autoSpaceDN w:val="0"/>
              <w:adjustRightInd w:val="0"/>
              <w:snapToGrid w:val="0"/>
              <w:spacing w:line="360" w:lineRule="auto"/>
              <w:jc w:val="center"/>
              <w:rPr>
                <w:rFonts w:hint="default" w:ascii="Times New Roman" w:hAnsi="Times New Roman" w:cs="Times New Roman" w:eastAsiaTheme="majorEastAsia"/>
                <w:b/>
                <w:bCs/>
                <w:color w:val="auto"/>
                <w:sz w:val="21"/>
                <w:szCs w:val="21"/>
                <w:lang w:val="en-US" w:eastAsia="zh-CN"/>
              </w:rPr>
            </w:pPr>
            <w:r>
              <w:rPr>
                <w:rFonts w:hint="default" w:ascii="Times New Roman" w:hAnsi="Times New Roman" w:cs="Times New Roman" w:eastAsiaTheme="majorEastAsia"/>
                <w:b/>
                <w:bCs/>
                <w:color w:val="auto"/>
                <w:kern w:val="0"/>
                <w:sz w:val="21"/>
                <w:szCs w:val="21"/>
                <w:lang w:val="en-US" w:eastAsia="zh-CN" w:bidi="ar"/>
              </w:rPr>
              <w:t>表1-1 与相关规划及规划环评符合性分析</w:t>
            </w:r>
            <w:bookmarkEnd w:id="2"/>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3016"/>
              <w:gridCol w:w="2556"/>
              <w:gridCol w:w="514"/>
            </w:tblGrid>
            <w:tr w14:paraId="2440B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8" w:type="pct"/>
                  <w:noWrap w:val="0"/>
                  <w:vAlign w:val="center"/>
                </w:tcPr>
                <w:p w14:paraId="4097DB39">
                  <w:pPr>
                    <w:widowControl/>
                    <w:jc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名称</w:t>
                  </w:r>
                </w:p>
              </w:tc>
              <w:tc>
                <w:tcPr>
                  <w:tcW w:w="2102" w:type="pct"/>
                  <w:noWrap w:val="0"/>
                  <w:vAlign w:val="center"/>
                </w:tcPr>
                <w:p w14:paraId="35F4C007">
                  <w:pPr>
                    <w:widowControl/>
                    <w:jc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相关内容</w:t>
                  </w:r>
                </w:p>
              </w:tc>
              <w:tc>
                <w:tcPr>
                  <w:tcW w:w="1781" w:type="pct"/>
                  <w:noWrap w:val="0"/>
                  <w:vAlign w:val="center"/>
                </w:tcPr>
                <w:p w14:paraId="0D3A5962">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358" w:type="pct"/>
                  <w:noWrap w:val="0"/>
                  <w:vAlign w:val="center"/>
                </w:tcPr>
                <w:p w14:paraId="11FCEB45">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符合性</w:t>
                  </w:r>
                </w:p>
              </w:tc>
            </w:tr>
            <w:tr w14:paraId="23635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758" w:type="pct"/>
                  <w:noWrap w:val="0"/>
                  <w:vAlign w:val="center"/>
                </w:tcPr>
                <w:p w14:paraId="7D2D29E3">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eastAsia="zh-CN" w:bidi="ar"/>
                    </w:rPr>
                  </w:pPr>
                  <w:r>
                    <w:rPr>
                      <w:rFonts w:hint="default" w:ascii="Times New Roman" w:hAnsi="Times New Roman" w:cs="Times New Roman" w:eastAsiaTheme="minorEastAsia"/>
                      <w:color w:val="auto"/>
                      <w:kern w:val="0"/>
                      <w:szCs w:val="21"/>
                      <w:lang w:bidi="ar"/>
                    </w:rPr>
                    <w:t>《</w:t>
                  </w:r>
                  <w:r>
                    <w:rPr>
                      <w:rFonts w:hint="default" w:ascii="Times New Roman" w:hAnsi="Times New Roman" w:cs="Times New Roman" w:eastAsiaTheme="minorEastAsia"/>
                      <w:color w:val="auto"/>
                      <w:kern w:val="0"/>
                      <w:szCs w:val="21"/>
                      <w:lang w:val="en-US" w:eastAsia="zh-CN" w:bidi="ar"/>
                    </w:rPr>
                    <w:t>西咸新区-泾河新城分区规划修编（2016-2035）</w:t>
                  </w:r>
                  <w:r>
                    <w:rPr>
                      <w:rFonts w:hint="default" w:ascii="Times New Roman" w:hAnsi="Times New Roman" w:cs="Times New Roman" w:eastAsiaTheme="minorEastAsia"/>
                      <w:color w:val="auto"/>
                      <w:kern w:val="0"/>
                      <w:szCs w:val="21"/>
                      <w:lang w:bidi="ar"/>
                    </w:rPr>
                    <w:t>》</w:t>
                  </w:r>
                </w:p>
              </w:tc>
              <w:tc>
                <w:tcPr>
                  <w:tcW w:w="2102" w:type="pct"/>
                  <w:noWrap w:val="0"/>
                  <w:vAlign w:val="center"/>
                </w:tcPr>
                <w:p w14:paraId="37B84DB6">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val="en-US" w:eastAsia="zh-CN" w:bidi="ar"/>
                    </w:rPr>
                  </w:pPr>
                  <w:r>
                    <w:rPr>
                      <w:rFonts w:hint="default" w:ascii="Times New Roman" w:hAnsi="Times New Roman" w:cs="Times New Roman" w:eastAsiaTheme="minorEastAsia"/>
                      <w:b w:val="0"/>
                      <w:bCs w:val="0"/>
                      <w:color w:val="auto"/>
                      <w:sz w:val="21"/>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781" w:type="pct"/>
                  <w:vMerge w:val="restart"/>
                  <w:noWrap w:val="0"/>
                  <w:vAlign w:val="center"/>
                </w:tcPr>
                <w:p w14:paraId="2FA0B62B">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val="en-US" w:eastAsia="zh-CN" w:bidi="ar"/>
                    </w:rPr>
                  </w:pPr>
                  <w:r>
                    <w:rPr>
                      <w:rFonts w:hint="default" w:ascii="Times New Roman" w:hAnsi="Times New Roman" w:cs="Times New Roman" w:eastAsiaTheme="minorEastAsia"/>
                      <w:color w:val="auto"/>
                      <w:kern w:val="0"/>
                      <w:szCs w:val="21"/>
                      <w:lang w:bidi="ar"/>
                    </w:rPr>
                    <w:t>本项目</w:t>
                  </w:r>
                  <w:r>
                    <w:rPr>
                      <w:rFonts w:hint="default" w:ascii="Times New Roman" w:hAnsi="Times New Roman" w:cs="Times New Roman" w:eastAsiaTheme="minorEastAsia"/>
                      <w:color w:val="auto"/>
                      <w:kern w:val="0"/>
                      <w:szCs w:val="21"/>
                      <w:lang w:val="en-US" w:eastAsia="zh-CN" w:bidi="ar"/>
                    </w:rPr>
                    <w:t>位于泾河新城工业密集区永乐园区，在规划范围内。本项目为新建项目，主要进行塑料管制造，属于制造业，符合产业定位。</w:t>
                  </w:r>
                </w:p>
              </w:tc>
              <w:tc>
                <w:tcPr>
                  <w:tcW w:w="358" w:type="pct"/>
                  <w:noWrap w:val="0"/>
                  <w:vAlign w:val="center"/>
                </w:tcPr>
                <w:p w14:paraId="7ED3653F">
                  <w:pPr>
                    <w:keepNext w:val="0"/>
                    <w:keepLines w:val="0"/>
                    <w:pageBreakBefore w:val="0"/>
                    <w:kinsoku/>
                    <w:wordWrap/>
                    <w:overflowPunct/>
                    <w:topLinePunct w:val="0"/>
                    <w:autoSpaceDE/>
                    <w:autoSpaceDN/>
                    <w:bidi w:val="0"/>
                    <w:adjustRightInd w:val="0"/>
                    <w:snapToGrid w:val="0"/>
                    <w:spacing w:line="264" w:lineRule="auto"/>
                    <w:jc w:val="both"/>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符合</w:t>
                  </w:r>
                </w:p>
              </w:tc>
            </w:tr>
            <w:tr w14:paraId="227BA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jc w:val="center"/>
              </w:trPr>
              <w:tc>
                <w:tcPr>
                  <w:tcW w:w="758" w:type="pct"/>
                  <w:noWrap w:val="0"/>
                  <w:vAlign w:val="center"/>
                </w:tcPr>
                <w:p w14:paraId="1F8F679A">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b w:val="0"/>
                      <w:bCs w:val="0"/>
                      <w:color w:val="auto"/>
                      <w:sz w:val="21"/>
                      <w:szCs w:val="21"/>
                    </w:rPr>
                    <w:t>《陕西省西咸新区泾河新城控制性详细规划（2016-2035）》</w:t>
                  </w:r>
                </w:p>
              </w:tc>
              <w:tc>
                <w:tcPr>
                  <w:tcW w:w="2102" w:type="pct"/>
                  <w:noWrap w:val="0"/>
                  <w:vAlign w:val="center"/>
                </w:tcPr>
                <w:p w14:paraId="08C37313">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b w:val="0"/>
                      <w:bCs w:val="0"/>
                      <w:color w:val="auto"/>
                      <w:sz w:val="21"/>
                      <w:szCs w:val="21"/>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781" w:type="pct"/>
                  <w:vMerge w:val="continue"/>
                  <w:noWrap w:val="0"/>
                  <w:vAlign w:val="center"/>
                </w:tcPr>
                <w:p w14:paraId="4C69CF32">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358" w:type="pct"/>
                  <w:noWrap w:val="0"/>
                  <w:vAlign w:val="center"/>
                </w:tcPr>
                <w:p w14:paraId="089D10F9">
                  <w:pPr>
                    <w:keepNext w:val="0"/>
                    <w:keepLines w:val="0"/>
                    <w:pageBreakBefore w:val="0"/>
                    <w:kinsoku/>
                    <w:wordWrap/>
                    <w:overflowPunct/>
                    <w:topLinePunct w:val="0"/>
                    <w:autoSpaceDE/>
                    <w:autoSpaceDN/>
                    <w:bidi w:val="0"/>
                    <w:adjustRightInd w:val="0"/>
                    <w:snapToGrid w:val="0"/>
                    <w:spacing w:line="264" w:lineRule="auto"/>
                    <w:jc w:val="both"/>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lang w:val="en-US" w:eastAsia="zh-CN"/>
                    </w:rPr>
                    <w:t>符合</w:t>
                  </w:r>
                </w:p>
              </w:tc>
            </w:tr>
            <w:tr w14:paraId="1823A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758" w:type="pct"/>
                  <w:vMerge w:val="restart"/>
                  <w:noWrap w:val="0"/>
                  <w:vAlign w:val="center"/>
                </w:tcPr>
                <w:p w14:paraId="7AA235F2">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r>
                    <w:rPr>
                      <w:rFonts w:hint="default" w:ascii="Times New Roman" w:hAnsi="Times New Roman" w:cs="Times New Roman" w:eastAsiaTheme="minorEastAsia"/>
                      <w:b w:val="0"/>
                      <w:bCs w:val="0"/>
                      <w:color w:val="auto"/>
                      <w:sz w:val="21"/>
                      <w:szCs w:val="21"/>
                    </w:rPr>
                    <w:t>《陕西省西咸新区泾河新城分区规划（2016-2035）环境影响报告书》及审查意见</w:t>
                  </w:r>
                </w:p>
              </w:tc>
              <w:tc>
                <w:tcPr>
                  <w:tcW w:w="2102" w:type="pct"/>
                  <w:noWrap w:val="0"/>
                  <w:vAlign w:val="center"/>
                </w:tcPr>
                <w:p w14:paraId="40161AA6">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b w:val="0"/>
                      <w:bCs w:val="0"/>
                      <w:color w:val="auto"/>
                      <w:sz w:val="21"/>
                      <w:szCs w:val="21"/>
                    </w:rPr>
                    <w:t>规划实施后区域污水集中收集处理，部分污水经处理作为中水回用，水污染物排放现状大幅降低，泾河能够满足水环境容量要求。</w:t>
                  </w:r>
                </w:p>
              </w:tc>
              <w:tc>
                <w:tcPr>
                  <w:tcW w:w="1781" w:type="pct"/>
                  <w:noWrap w:val="0"/>
                  <w:vAlign w:val="center"/>
                </w:tcPr>
                <w:p w14:paraId="18226C97">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b w:val="0"/>
                      <w:bCs w:val="0"/>
                      <w:color w:val="auto"/>
                      <w:sz w:val="21"/>
                      <w:szCs w:val="21"/>
                    </w:rPr>
                    <w:t>本项</w:t>
                  </w:r>
                  <w:r>
                    <w:rPr>
                      <w:rFonts w:hint="default" w:ascii="Times New Roman" w:hAnsi="Times New Roman" w:cs="Times New Roman" w:eastAsiaTheme="minorEastAsia"/>
                      <w:b w:val="0"/>
                      <w:bCs w:val="0"/>
                      <w:color w:val="auto"/>
                      <w:sz w:val="21"/>
                      <w:szCs w:val="21"/>
                      <w:highlight w:val="none"/>
                    </w:rPr>
                    <w:t>目</w:t>
                  </w:r>
                  <w:r>
                    <w:rPr>
                      <w:rFonts w:hint="default" w:ascii="Times New Roman" w:hAnsi="Times New Roman" w:cs="Times New Roman" w:eastAsiaTheme="minorEastAsia"/>
                      <w:b w:val="0"/>
                      <w:bCs w:val="0"/>
                      <w:color w:val="auto"/>
                      <w:sz w:val="21"/>
                      <w:szCs w:val="21"/>
                      <w:highlight w:val="none"/>
                      <w:lang w:eastAsia="zh-CN"/>
                    </w:rPr>
                    <w:t>生活污水排入化</w:t>
                  </w:r>
                  <w:r>
                    <w:rPr>
                      <w:rFonts w:hint="default" w:ascii="Times New Roman" w:hAnsi="Times New Roman" w:cs="Times New Roman" w:eastAsiaTheme="minorEastAsia"/>
                      <w:b w:val="0"/>
                      <w:bCs w:val="0"/>
                      <w:color w:val="auto"/>
                      <w:sz w:val="21"/>
                      <w:szCs w:val="21"/>
                      <w:highlight w:val="none"/>
                      <w:lang w:val="en-US" w:eastAsia="zh-CN"/>
                    </w:rPr>
                    <w:t>粪池，定期清掏，后用于农田施肥</w:t>
                  </w:r>
                  <w:r>
                    <w:rPr>
                      <w:rFonts w:hint="default" w:ascii="Times New Roman" w:hAnsi="Times New Roman" w:cs="Times New Roman" w:eastAsiaTheme="minorEastAsia"/>
                      <w:b w:val="0"/>
                      <w:bCs w:val="0"/>
                      <w:color w:val="auto"/>
                      <w:sz w:val="21"/>
                      <w:szCs w:val="21"/>
                      <w:highlight w:val="none"/>
                      <w:lang w:eastAsia="zh-CN"/>
                    </w:rPr>
                    <w:t>。</w:t>
                  </w:r>
                </w:p>
              </w:tc>
              <w:tc>
                <w:tcPr>
                  <w:tcW w:w="358" w:type="pct"/>
                  <w:noWrap w:val="0"/>
                  <w:vAlign w:val="center"/>
                </w:tcPr>
                <w:p w14:paraId="74218741">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r>
                    <w:rPr>
                      <w:rFonts w:hint="default" w:ascii="Times New Roman" w:hAnsi="Times New Roman" w:cs="Times New Roman" w:eastAsiaTheme="minorEastAsia"/>
                      <w:color w:val="auto"/>
                      <w:szCs w:val="21"/>
                    </w:rPr>
                    <w:t>符合</w:t>
                  </w:r>
                </w:p>
              </w:tc>
            </w:tr>
            <w:tr w14:paraId="50A01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pct"/>
                  <w:vMerge w:val="continue"/>
                  <w:noWrap w:val="0"/>
                  <w:vAlign w:val="center"/>
                </w:tcPr>
                <w:p w14:paraId="72AEF34D">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2102" w:type="pct"/>
                  <w:noWrap w:val="0"/>
                  <w:vAlign w:val="center"/>
                </w:tcPr>
                <w:p w14:paraId="199C8A06">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b w:val="0"/>
                      <w:bCs w:val="0"/>
                      <w:color w:val="auto"/>
                      <w:sz w:val="21"/>
                      <w:szCs w:val="21"/>
                    </w:rPr>
                    <w:t>加强运输车辆的管理，如对运输土方、建筑垃圾或散装建材等的车辆，控制其装载量，并要求其采用篷布覆盖或密闭方式等，可减少路面尘源。</w:t>
                  </w:r>
                </w:p>
              </w:tc>
              <w:tc>
                <w:tcPr>
                  <w:tcW w:w="1781" w:type="pct"/>
                  <w:noWrap w:val="0"/>
                  <w:vAlign w:val="center"/>
                </w:tcPr>
                <w:p w14:paraId="5BB73A7B">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b w:val="0"/>
                      <w:bCs w:val="0"/>
                      <w:color w:val="auto"/>
                      <w:sz w:val="21"/>
                      <w:szCs w:val="21"/>
                    </w:rPr>
                    <w:t>项目</w:t>
                  </w:r>
                  <w:r>
                    <w:rPr>
                      <w:rFonts w:hint="default" w:ascii="Times New Roman" w:hAnsi="Times New Roman" w:cs="Times New Roman" w:eastAsiaTheme="minorEastAsia"/>
                      <w:b w:val="0"/>
                      <w:bCs w:val="0"/>
                      <w:color w:val="auto"/>
                      <w:sz w:val="21"/>
                      <w:szCs w:val="21"/>
                      <w:lang w:val="en-US" w:eastAsia="zh-CN"/>
                    </w:rPr>
                    <w:t>利用已建成</w:t>
                  </w:r>
                  <w:r>
                    <w:rPr>
                      <w:rFonts w:hint="default" w:ascii="Times New Roman" w:hAnsi="Times New Roman" w:cs="Times New Roman" w:eastAsiaTheme="minorEastAsia"/>
                      <w:b w:val="0"/>
                      <w:bCs w:val="0"/>
                      <w:color w:val="auto"/>
                      <w:sz w:val="21"/>
                      <w:szCs w:val="21"/>
                    </w:rPr>
                    <w:t>厂房</w:t>
                  </w:r>
                  <w:r>
                    <w:rPr>
                      <w:rFonts w:hint="default" w:ascii="Times New Roman" w:hAnsi="Times New Roman" w:cs="Times New Roman" w:eastAsiaTheme="minorEastAsia"/>
                      <w:b w:val="0"/>
                      <w:bCs w:val="0"/>
                      <w:color w:val="auto"/>
                      <w:sz w:val="21"/>
                      <w:szCs w:val="21"/>
                      <w:lang w:eastAsia="zh-CN"/>
                    </w:rPr>
                    <w:t>，</w:t>
                  </w:r>
                  <w:r>
                    <w:rPr>
                      <w:rFonts w:hint="default" w:ascii="Times New Roman" w:hAnsi="Times New Roman" w:cs="Times New Roman" w:eastAsiaTheme="minorEastAsia"/>
                      <w:b w:val="0"/>
                      <w:bCs w:val="0"/>
                      <w:color w:val="auto"/>
                      <w:sz w:val="21"/>
                      <w:szCs w:val="21"/>
                      <w:lang w:val="en-US" w:eastAsia="zh-CN"/>
                    </w:rPr>
                    <w:t>施工期仅为设备安装</w:t>
                  </w:r>
                  <w:r>
                    <w:rPr>
                      <w:rFonts w:hint="default" w:ascii="Times New Roman" w:hAnsi="Times New Roman" w:cs="Times New Roman" w:eastAsiaTheme="minorEastAsia"/>
                      <w:b w:val="0"/>
                      <w:bCs w:val="0"/>
                      <w:color w:val="auto"/>
                      <w:sz w:val="21"/>
                      <w:szCs w:val="21"/>
                    </w:rPr>
                    <w:t>，不涉及土方运输</w:t>
                  </w:r>
                  <w:r>
                    <w:rPr>
                      <w:rFonts w:hint="default" w:ascii="Times New Roman" w:hAnsi="Times New Roman" w:cs="Times New Roman" w:eastAsiaTheme="minorEastAsia"/>
                      <w:b w:val="0"/>
                      <w:bCs w:val="0"/>
                      <w:color w:val="auto"/>
                      <w:sz w:val="21"/>
                      <w:szCs w:val="21"/>
                      <w:lang w:eastAsia="zh-CN"/>
                    </w:rPr>
                    <w:t>；</w:t>
                  </w:r>
                  <w:r>
                    <w:rPr>
                      <w:rFonts w:hint="default" w:ascii="Times New Roman" w:hAnsi="Times New Roman" w:cs="Times New Roman" w:eastAsiaTheme="minorEastAsia"/>
                      <w:b w:val="0"/>
                      <w:bCs w:val="0"/>
                      <w:color w:val="auto"/>
                      <w:sz w:val="21"/>
                      <w:szCs w:val="21"/>
                      <w:lang w:val="en-US" w:eastAsia="zh-CN"/>
                    </w:rPr>
                    <w:t>其他运输时严格按照施工要求。</w:t>
                  </w:r>
                </w:p>
              </w:tc>
              <w:tc>
                <w:tcPr>
                  <w:tcW w:w="358" w:type="pct"/>
                  <w:noWrap w:val="0"/>
                  <w:vAlign w:val="center"/>
                </w:tcPr>
                <w:p w14:paraId="601A1AC1">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r>
                    <w:rPr>
                      <w:rFonts w:hint="default" w:ascii="Times New Roman" w:hAnsi="Times New Roman" w:cs="Times New Roman" w:eastAsiaTheme="minorEastAsia"/>
                      <w:color w:val="auto"/>
                      <w:szCs w:val="21"/>
                    </w:rPr>
                    <w:t>符合</w:t>
                  </w:r>
                </w:p>
              </w:tc>
            </w:tr>
            <w:tr w14:paraId="05B07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758" w:type="pct"/>
                  <w:vMerge w:val="continue"/>
                  <w:noWrap w:val="0"/>
                  <w:vAlign w:val="center"/>
                </w:tcPr>
                <w:p w14:paraId="62D49F4E">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2102" w:type="pct"/>
                  <w:noWrap w:val="0"/>
                  <w:vAlign w:val="center"/>
                </w:tcPr>
                <w:p w14:paraId="5AE74ECF">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b w:val="0"/>
                      <w:bCs w:val="0"/>
                      <w:color w:val="auto"/>
                      <w:sz w:val="21"/>
                      <w:szCs w:val="21"/>
                    </w:rPr>
                    <w:t>规划新增项目产生的一般工业固体废物可以回收利用的，企业直接回收利用，或送厂家进行回收再利用，或外卖其他企业回收利用；无法综合利用的一般工业固体废物按《一般工业固体废物贮存和填埋污染控制标准》（GB18599-2020）要求，进行贮存。对于涉及危险废物的企业应建立危险废物暂存库并严格按照重点防渗区进行防渗处理，防止污染地下水，并定期及时交由有资质单位处置，应与有危险废物处置资质单位建立长期合作关系。</w:t>
                  </w:r>
                </w:p>
              </w:tc>
              <w:tc>
                <w:tcPr>
                  <w:tcW w:w="1781" w:type="pct"/>
                  <w:noWrap w:val="0"/>
                  <w:vAlign w:val="center"/>
                </w:tcPr>
                <w:p w14:paraId="33BA2413">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b w:val="0"/>
                      <w:bCs w:val="0"/>
                      <w:color w:val="auto"/>
                      <w:sz w:val="21"/>
                      <w:szCs w:val="21"/>
                    </w:rPr>
                    <w:t>本项目产生的一般固废</w:t>
                  </w:r>
                  <w:r>
                    <w:rPr>
                      <w:rFonts w:hint="default" w:ascii="Times New Roman" w:hAnsi="Times New Roman" w:cs="Times New Roman" w:eastAsiaTheme="minorEastAsia"/>
                      <w:b w:val="0"/>
                      <w:bCs w:val="0"/>
                      <w:color w:val="auto"/>
                      <w:sz w:val="21"/>
                      <w:szCs w:val="21"/>
                      <w:lang w:val="en-US" w:eastAsia="zh-CN"/>
                    </w:rPr>
                    <w:t>暂</w:t>
                  </w:r>
                  <w:r>
                    <w:rPr>
                      <w:rFonts w:hint="default" w:ascii="Times New Roman" w:hAnsi="Times New Roman" w:cs="Times New Roman" w:eastAsiaTheme="minorEastAsia"/>
                      <w:b w:val="0"/>
                      <w:bCs w:val="0"/>
                      <w:color w:val="auto"/>
                      <w:sz w:val="21"/>
                      <w:szCs w:val="21"/>
                    </w:rPr>
                    <w:t>存于一般固废暂存区</w:t>
                  </w:r>
                  <w:r>
                    <w:rPr>
                      <w:rFonts w:hint="default" w:ascii="Times New Roman" w:hAnsi="Times New Roman" w:cs="Times New Roman" w:eastAsiaTheme="minorEastAsia"/>
                      <w:b w:val="0"/>
                      <w:bCs w:val="0"/>
                      <w:color w:val="auto"/>
                      <w:sz w:val="21"/>
                      <w:szCs w:val="21"/>
                      <w:lang w:eastAsia="zh-CN"/>
                    </w:rPr>
                    <w:t>，</w:t>
                  </w:r>
                  <w:r>
                    <w:rPr>
                      <w:rFonts w:hint="default" w:ascii="Times New Roman" w:hAnsi="Times New Roman" w:cs="Times New Roman" w:eastAsiaTheme="minorEastAsia"/>
                      <w:b w:val="0"/>
                      <w:bCs w:val="0"/>
                      <w:color w:val="auto"/>
                      <w:sz w:val="21"/>
                      <w:szCs w:val="21"/>
                      <w:highlight w:val="none"/>
                      <w:lang w:val="en-US" w:eastAsia="zh-CN"/>
                    </w:rPr>
                    <w:t>废边角料及不合格品以废品形式售出；危险废物</w:t>
                  </w:r>
                  <w:r>
                    <w:rPr>
                      <w:rFonts w:hint="default" w:ascii="Times New Roman" w:hAnsi="Times New Roman" w:cs="Times New Roman" w:eastAsiaTheme="minorEastAsia"/>
                      <w:b w:val="0"/>
                      <w:bCs w:val="0"/>
                      <w:color w:val="auto"/>
                      <w:sz w:val="21"/>
                      <w:szCs w:val="21"/>
                      <w:lang w:val="en-US" w:eastAsia="zh-CN"/>
                    </w:rPr>
                    <w:t>暂存在危废贮存库内，交由有资质单位定期处置。</w:t>
                  </w:r>
                </w:p>
              </w:tc>
              <w:tc>
                <w:tcPr>
                  <w:tcW w:w="358" w:type="pct"/>
                  <w:noWrap w:val="0"/>
                  <w:vAlign w:val="center"/>
                </w:tcPr>
                <w:p w14:paraId="1D3F2C2D">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rPr>
                  </w:pPr>
                </w:p>
              </w:tc>
            </w:tr>
            <w:tr w14:paraId="37EAB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jc w:val="center"/>
              </w:trPr>
              <w:tc>
                <w:tcPr>
                  <w:tcW w:w="758" w:type="pct"/>
                  <w:vMerge w:val="continue"/>
                  <w:noWrap w:val="0"/>
                  <w:vAlign w:val="center"/>
                </w:tcPr>
                <w:p w14:paraId="4CD452BB">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2102" w:type="pct"/>
                  <w:noWrap w:val="0"/>
                  <w:vAlign w:val="center"/>
                </w:tcPr>
                <w:p w14:paraId="2AB91E5A">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b w:val="0"/>
                      <w:bCs w:val="0"/>
                      <w:color w:val="auto"/>
                      <w:sz w:val="21"/>
                      <w:szCs w:val="21"/>
                      <w:lang w:eastAsia="zh-CN"/>
                    </w:rPr>
                    <w:t>提高入园企业大气污染物排放的清洁生产水平，引进企业必须采用先进、可靠的废气治理措施，确保废气排放满足《大气污染物综合排放标准》（GB16297-1996）二级标准或相应的行业标准要求。严格控制入区工业项目，采取总量控制的方式，限值大气污染物排放量大的项目入区。</w:t>
                  </w:r>
                </w:p>
              </w:tc>
              <w:tc>
                <w:tcPr>
                  <w:tcW w:w="1781" w:type="pct"/>
                  <w:noWrap w:val="0"/>
                  <w:vAlign w:val="center"/>
                </w:tcPr>
                <w:p w14:paraId="221B1E25">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color w:val="auto"/>
                      <w:szCs w:val="21"/>
                      <w:lang w:eastAsia="zh-CN"/>
                    </w:rPr>
                    <w:t>本</w:t>
                  </w:r>
                  <w:r>
                    <w:rPr>
                      <w:rFonts w:hint="default" w:ascii="Times New Roman" w:hAnsi="Times New Roman" w:cs="Times New Roman" w:eastAsiaTheme="minorEastAsia"/>
                      <w:color w:val="auto"/>
                      <w:szCs w:val="21"/>
                      <w:lang w:val="en-US" w:eastAsia="zh-CN"/>
                    </w:rPr>
                    <w:t>项目产生废气</w:t>
                  </w:r>
                  <w:r>
                    <w:rPr>
                      <w:rFonts w:hint="default" w:ascii="Times New Roman" w:hAnsi="Times New Roman" w:cs="Times New Roman" w:eastAsiaTheme="minorEastAsia"/>
                      <w:color w:val="auto"/>
                      <w:sz w:val="21"/>
                      <w:szCs w:val="21"/>
                    </w:rPr>
                    <w:t>经集气罩收集</w:t>
                  </w:r>
                  <w:r>
                    <w:rPr>
                      <w:rFonts w:hint="default" w:ascii="Times New Roman" w:hAnsi="Times New Roman" w:cs="Times New Roman" w:eastAsiaTheme="minorEastAsia"/>
                      <w:color w:val="auto"/>
                      <w:sz w:val="21"/>
                      <w:szCs w:val="21"/>
                      <w:lang w:val="en-US" w:eastAsia="zh-CN"/>
                    </w:rPr>
                    <w:t>+二级活性炭吸附处理后通过15m高排气筒（DA001）排放，</w:t>
                  </w:r>
                  <w:r>
                    <w:rPr>
                      <w:rFonts w:hint="default" w:ascii="Times New Roman" w:hAnsi="Times New Roman" w:cs="Times New Roman" w:eastAsiaTheme="minorEastAsia"/>
                      <w:color w:val="auto"/>
                      <w:sz w:val="21"/>
                      <w:szCs w:val="21"/>
                    </w:rPr>
                    <w:t>确保达标排放</w:t>
                  </w:r>
                  <w:r>
                    <w:rPr>
                      <w:rFonts w:hint="default" w:ascii="Times New Roman" w:hAnsi="Times New Roman" w:cs="Times New Roman" w:eastAsiaTheme="minorEastAsia"/>
                      <w:color w:val="auto"/>
                      <w:szCs w:val="21"/>
                      <w:lang w:eastAsia="zh-CN"/>
                    </w:rPr>
                    <w:t>，</w:t>
                  </w:r>
                  <w:r>
                    <w:rPr>
                      <w:rFonts w:hint="default" w:ascii="Times New Roman" w:hAnsi="Times New Roman" w:cs="Times New Roman" w:eastAsiaTheme="minorEastAsia"/>
                      <w:color w:val="auto"/>
                      <w:szCs w:val="21"/>
                      <w:lang w:val="en-US" w:eastAsia="zh-CN"/>
                    </w:rPr>
                    <w:t>排放量较小，</w:t>
                  </w:r>
                  <w:r>
                    <w:rPr>
                      <w:rFonts w:hint="default" w:ascii="Times New Roman" w:hAnsi="Times New Roman" w:cs="Times New Roman" w:eastAsiaTheme="minorEastAsia"/>
                      <w:color w:val="auto"/>
                      <w:szCs w:val="21"/>
                      <w:lang w:eastAsia="zh-CN"/>
                    </w:rPr>
                    <w:t>故本项目不属于大气污染物排放量大的项目。</w:t>
                  </w:r>
                </w:p>
              </w:tc>
              <w:tc>
                <w:tcPr>
                  <w:tcW w:w="358" w:type="pct"/>
                  <w:noWrap w:val="0"/>
                  <w:vAlign w:val="center"/>
                </w:tcPr>
                <w:p w14:paraId="4A81F838">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rPr>
                  </w:pPr>
                </w:p>
              </w:tc>
            </w:tr>
            <w:tr w14:paraId="093C7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758" w:type="pct"/>
                  <w:vMerge w:val="continue"/>
                  <w:noWrap w:val="0"/>
                  <w:vAlign w:val="center"/>
                </w:tcPr>
                <w:p w14:paraId="64D95933">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2102" w:type="pct"/>
                  <w:shd w:val="clear" w:color="auto" w:fill="auto"/>
                  <w:noWrap w:val="0"/>
                  <w:vAlign w:val="center"/>
                </w:tcPr>
                <w:p w14:paraId="726A784C">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b w:val="0"/>
                      <w:bCs w:val="0"/>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进入泾河新城范围内的企业必须严格执行环境影响评价制度和环保“三同时”制度，对不符合清活生产和环境要求的项目，坚决执行“环保一票否决制”。</w:t>
                  </w:r>
                </w:p>
              </w:tc>
              <w:tc>
                <w:tcPr>
                  <w:tcW w:w="1781" w:type="pct"/>
                  <w:shd w:val="clear" w:color="auto" w:fill="auto"/>
                  <w:noWrap w:val="0"/>
                  <w:vAlign w:val="center"/>
                </w:tcPr>
                <w:p w14:paraId="3EA7B2AA">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环评要求本项目</w:t>
                  </w:r>
                  <w:r>
                    <w:rPr>
                      <w:rFonts w:hint="default" w:ascii="Times New Roman" w:hAnsi="Times New Roman" w:cs="Times New Roman" w:eastAsiaTheme="minorEastAsia"/>
                      <w:color w:val="auto"/>
                      <w:szCs w:val="21"/>
                      <w:lang w:val="zh-CN" w:eastAsia="zh-CN"/>
                    </w:rPr>
                    <w:t>严格执行环境影响评价制度和环保“三同时”制度。</w:t>
                  </w:r>
                </w:p>
              </w:tc>
              <w:tc>
                <w:tcPr>
                  <w:tcW w:w="358" w:type="pct"/>
                  <w:shd w:val="clear" w:color="auto" w:fill="auto"/>
                  <w:noWrap w:val="0"/>
                  <w:vAlign w:val="center"/>
                </w:tcPr>
                <w:p w14:paraId="31C5A0A9">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rPr>
                    <w:t>符合</w:t>
                  </w:r>
                </w:p>
              </w:tc>
            </w:tr>
            <w:tr w14:paraId="3CDA7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jc w:val="center"/>
              </w:trPr>
              <w:tc>
                <w:tcPr>
                  <w:tcW w:w="758" w:type="pct"/>
                  <w:vMerge w:val="continue"/>
                </w:tcPr>
                <w:p w14:paraId="29E6F3A9">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0" w:type="auto"/>
                  <w:shd w:val="clear" w:color="auto" w:fill="auto"/>
                  <w:vAlign w:val="center"/>
                </w:tcPr>
                <w:p w14:paraId="3373ADC6">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2"/>
                      <w:sz w:val="21"/>
                      <w:szCs w:val="21"/>
                      <w:lang w:val="zh-CN" w:eastAsia="zh-CN" w:bidi="ar-SA"/>
                    </w:rPr>
                  </w:pPr>
                  <w:r>
                    <w:rPr>
                      <w:rFonts w:hint="default" w:ascii="Times New Roman" w:hAnsi="Times New Roman" w:cs="Times New Roman" w:eastAsiaTheme="minorEastAsia"/>
                      <w:color w:val="auto"/>
                      <w:szCs w:val="21"/>
                      <w:lang w:val="zh-CN" w:eastAsia="zh-CN"/>
                    </w:rPr>
                    <w:t>按照《陕西省大气污染防治条例》，在城镇规划区全面发展集中供热，泾河新城能源结构应采用天然气、电等清洁燃料。在燃气管网和集中供热管网覆盖的区域，不得新建、扩建燃料煤炭、重油、渣油的供热设施。同时，建议根据环境容量情况建设集中供热设置，鼓励采用地热、太阳能等清洁能源。</w:t>
                  </w:r>
                </w:p>
              </w:tc>
              <w:tc>
                <w:tcPr>
                  <w:tcW w:w="0" w:type="auto"/>
                  <w:shd w:val="clear" w:color="auto" w:fill="auto"/>
                  <w:vAlign w:val="center"/>
                </w:tcPr>
                <w:p w14:paraId="003350EC">
                  <w:pPr>
                    <w:keepNext w:val="0"/>
                    <w:keepLines w:val="0"/>
                    <w:pageBreakBefore w:val="0"/>
                    <w:widowControl/>
                    <w:kinsoku/>
                    <w:wordWrap/>
                    <w:overflowPunct/>
                    <w:topLinePunct w:val="0"/>
                    <w:autoSpaceDE/>
                    <w:autoSpaceDN/>
                    <w:bidi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本</w:t>
                  </w:r>
                  <w:r>
                    <w:rPr>
                      <w:rFonts w:hint="eastAsia" w:cs="Times New Roman" w:eastAsiaTheme="minorEastAsia"/>
                      <w:color w:val="auto"/>
                      <w:szCs w:val="21"/>
                      <w:lang w:eastAsia="zh-CN"/>
                    </w:rPr>
                    <w:t>项目</w:t>
                  </w:r>
                  <w:r>
                    <w:rPr>
                      <w:rFonts w:hint="default" w:ascii="Times New Roman" w:hAnsi="Times New Roman" w:cs="Times New Roman" w:eastAsiaTheme="minorEastAsia"/>
                      <w:color w:val="auto"/>
                      <w:szCs w:val="21"/>
                      <w:lang w:eastAsia="zh-CN"/>
                    </w:rPr>
                    <w:t>能源采用电能。</w:t>
                  </w:r>
                </w:p>
              </w:tc>
              <w:tc>
                <w:tcPr>
                  <w:tcW w:w="0" w:type="auto"/>
                  <w:shd w:val="clear" w:color="auto" w:fill="auto"/>
                  <w:vAlign w:val="center"/>
                </w:tcPr>
                <w:p w14:paraId="4B56F044">
                  <w:pPr>
                    <w:keepNext w:val="0"/>
                    <w:keepLines w:val="0"/>
                    <w:pageBreakBefore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符合</w:t>
                  </w:r>
                </w:p>
              </w:tc>
            </w:tr>
            <w:tr w14:paraId="5DF36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58" w:type="pct"/>
                  <w:vMerge w:val="restart"/>
                </w:tcPr>
                <w:p w14:paraId="72E02A12">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r>
                    <w:rPr>
                      <w:rFonts w:hint="default" w:ascii="Times New Roman" w:hAnsi="Times New Roman" w:cs="Times New Roman" w:eastAsiaTheme="minorEastAsia"/>
                      <w:color w:val="auto"/>
                      <w:szCs w:val="21"/>
                      <w:lang w:eastAsia="zh-CN"/>
                    </w:rPr>
                    <w:t>陕西省西咸新区生态环境局关于《西咸新区泾河新城分区规划（2016-2035）环境影响报告书》审查意见的函（陕西咸环函〔2021〕41号）</w:t>
                  </w:r>
                </w:p>
              </w:tc>
              <w:tc>
                <w:tcPr>
                  <w:tcW w:w="0" w:type="auto"/>
                  <w:shd w:val="clear" w:color="auto" w:fill="auto"/>
                  <w:vAlign w:val="center"/>
                </w:tcPr>
                <w:p w14:paraId="144E894B">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zh-CN" w:eastAsia="zh-CN"/>
                    </w:rPr>
                  </w:pPr>
                  <w:r>
                    <w:rPr>
                      <w:rFonts w:hint="default" w:ascii="Times New Roman" w:hAnsi="Times New Roman" w:cs="Times New Roman" w:eastAsiaTheme="minorEastAsia"/>
                      <w:color w:val="auto"/>
                      <w:szCs w:val="21"/>
                      <w:lang w:val="zh-CN" w:eastAsia="zh-CN"/>
                    </w:rPr>
                    <w:t>（一）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生态环境保护要求。</w:t>
                  </w:r>
                </w:p>
              </w:tc>
              <w:tc>
                <w:tcPr>
                  <w:tcW w:w="0" w:type="auto"/>
                  <w:shd w:val="clear" w:color="auto" w:fill="auto"/>
                  <w:vAlign w:val="center"/>
                </w:tcPr>
                <w:p w14:paraId="23C8E297">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lang w:val="zh-CN" w:eastAsia="zh-CN"/>
                    </w:rPr>
                    <w:t>本项目符合泾河新城产业规划，拟建地属于西安市生态环境管控单元中的重点管控单元，并符合《西安市人民政府关于印发“三线一单”生态环境分区管控方案的通知》（市政发[2021]22号）中的准入要求。项目不属于大气污染物和水污染物排放量大的项目。</w:t>
                  </w:r>
                </w:p>
              </w:tc>
              <w:tc>
                <w:tcPr>
                  <w:tcW w:w="0" w:type="auto"/>
                  <w:shd w:val="clear" w:color="auto" w:fill="auto"/>
                  <w:vAlign w:val="center"/>
                </w:tcPr>
                <w:p w14:paraId="61A9726E">
                  <w:pPr>
                    <w:keepNext w:val="0"/>
                    <w:keepLines w:val="0"/>
                    <w:pageBreakBefore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符合</w:t>
                  </w:r>
                </w:p>
              </w:tc>
            </w:tr>
            <w:tr w14:paraId="0AEC8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3" w:hRule="atLeast"/>
                <w:jc w:val="center"/>
              </w:trPr>
              <w:tc>
                <w:tcPr>
                  <w:tcW w:w="758" w:type="pct"/>
                  <w:vMerge w:val="continue"/>
                </w:tcPr>
                <w:p w14:paraId="5E9009E9">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0" w:type="auto"/>
                  <w:shd w:val="clear" w:color="auto" w:fill="auto"/>
                  <w:vAlign w:val="center"/>
                </w:tcPr>
                <w:p w14:paraId="19D79011">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zh-CN" w:eastAsia="zh-CN"/>
                    </w:rPr>
                  </w:pPr>
                  <w:r>
                    <w:rPr>
                      <w:rFonts w:hint="default" w:ascii="Times New Roman" w:hAnsi="Times New Roman" w:cs="Times New Roman" w:eastAsiaTheme="minorEastAsia"/>
                      <w:color w:val="auto"/>
                      <w:szCs w:val="21"/>
                      <w:lang w:val="zh-CN" w:eastAsia="zh-CN"/>
                    </w:rPr>
                    <w:t>（二）严守环境质量底线，落实污染物总量管控要求。根据国家、陕西省、西咸新区有关大气、水、土壤污染防治行动计划相关要求，采取有效措施减少主要污染物排放总量，实现区域环境质量改善目标。</w:t>
                  </w:r>
                </w:p>
              </w:tc>
              <w:tc>
                <w:tcPr>
                  <w:tcW w:w="0" w:type="auto"/>
                  <w:shd w:val="clear" w:color="auto" w:fill="auto"/>
                  <w:vAlign w:val="center"/>
                </w:tcPr>
                <w:p w14:paraId="1A7D9D90">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lang w:val="zh-CN" w:eastAsia="zh-CN"/>
                    </w:rPr>
                    <w:t>本</w:t>
                  </w:r>
                  <w:r>
                    <w:rPr>
                      <w:rFonts w:hint="default" w:ascii="Times New Roman" w:hAnsi="Times New Roman" w:cs="Times New Roman" w:eastAsiaTheme="minorEastAsia"/>
                      <w:color w:val="auto"/>
                      <w:szCs w:val="21"/>
                      <w:lang w:val="en-US" w:eastAsia="zh-CN"/>
                    </w:rPr>
                    <w:t>项目产生废气</w:t>
                  </w:r>
                  <w:r>
                    <w:rPr>
                      <w:rFonts w:hint="default" w:ascii="Times New Roman" w:hAnsi="Times New Roman" w:cs="Times New Roman" w:eastAsiaTheme="minorEastAsia"/>
                      <w:color w:val="auto"/>
                      <w:szCs w:val="21"/>
                      <w:lang w:val="zh-CN" w:eastAsia="zh-CN"/>
                    </w:rPr>
                    <w:t>经集气罩收集</w:t>
                  </w:r>
                  <w:r>
                    <w:rPr>
                      <w:rFonts w:hint="default" w:ascii="Times New Roman" w:hAnsi="Times New Roman" w:cs="Times New Roman" w:eastAsiaTheme="minorEastAsia"/>
                      <w:color w:val="auto"/>
                      <w:szCs w:val="21"/>
                      <w:lang w:val="en-US" w:eastAsia="zh-CN"/>
                    </w:rPr>
                    <w:t>+二级活性炭吸附处理后</w:t>
                  </w:r>
                  <w:r>
                    <w:rPr>
                      <w:rFonts w:hint="default" w:ascii="Times New Roman" w:hAnsi="Times New Roman" w:cs="Times New Roman" w:eastAsiaTheme="minorEastAsia"/>
                      <w:color w:val="auto"/>
                      <w:szCs w:val="21"/>
                      <w:lang w:val="zh-CN" w:eastAsia="zh-CN"/>
                    </w:rPr>
                    <w:t>达标排放，</w:t>
                  </w:r>
                  <w:r>
                    <w:rPr>
                      <w:rFonts w:hint="default" w:ascii="Times New Roman" w:hAnsi="Times New Roman" w:cs="Times New Roman" w:eastAsiaTheme="minorEastAsia"/>
                      <w:color w:val="auto"/>
                      <w:szCs w:val="21"/>
                      <w:highlight w:val="none"/>
                      <w:lang w:val="en-US" w:eastAsia="zh-CN"/>
                    </w:rPr>
                    <w:t>排放量较小；</w:t>
                  </w:r>
                  <w:r>
                    <w:rPr>
                      <w:rFonts w:hint="default" w:ascii="Times New Roman" w:hAnsi="Times New Roman" w:cs="Times New Roman" w:eastAsiaTheme="minorEastAsia"/>
                      <w:color w:val="auto"/>
                      <w:szCs w:val="21"/>
                      <w:highlight w:val="none"/>
                      <w:lang w:val="zh-CN" w:eastAsia="zh-CN"/>
                    </w:rPr>
                    <w:t>无生产废水产生，生活污水经化粪池</w:t>
                  </w:r>
                  <w:r>
                    <w:rPr>
                      <w:rFonts w:hint="default" w:ascii="Times New Roman" w:hAnsi="Times New Roman" w:cs="Times New Roman" w:eastAsiaTheme="minorEastAsia"/>
                      <w:color w:val="auto"/>
                      <w:szCs w:val="21"/>
                      <w:highlight w:val="none"/>
                      <w:lang w:val="en-US" w:eastAsia="zh-CN"/>
                    </w:rPr>
                    <w:t>收集后定期清掏用作周围农田施肥。</w:t>
                  </w:r>
                </w:p>
              </w:tc>
              <w:tc>
                <w:tcPr>
                  <w:tcW w:w="0" w:type="auto"/>
                  <w:shd w:val="clear" w:color="auto" w:fill="auto"/>
                  <w:vAlign w:val="center"/>
                </w:tcPr>
                <w:p w14:paraId="456BA9C3">
                  <w:pPr>
                    <w:keepNext w:val="0"/>
                    <w:keepLines w:val="0"/>
                    <w:pageBreakBefore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符合</w:t>
                  </w:r>
                </w:p>
              </w:tc>
            </w:tr>
            <w:tr w14:paraId="42DFB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758" w:type="pct"/>
                  <w:vMerge w:val="continue"/>
                </w:tcPr>
                <w:p w14:paraId="7A5021FE">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0" w:type="auto"/>
                  <w:shd w:val="clear" w:color="auto" w:fill="auto"/>
                  <w:vAlign w:val="center"/>
                </w:tcPr>
                <w:p w14:paraId="3105D58E">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zh-CN" w:eastAsia="zh-CN"/>
                    </w:rPr>
                  </w:pPr>
                  <w:r>
                    <w:rPr>
                      <w:rFonts w:hint="default" w:ascii="Times New Roman" w:hAnsi="Times New Roman" w:cs="Times New Roman" w:eastAsiaTheme="minorEastAsia"/>
                      <w:color w:val="auto"/>
                      <w:szCs w:val="21"/>
                      <w:lang w:val="zh-CN" w:eastAsia="zh-CN"/>
                    </w:rPr>
                    <w:t>（三）结合区域大气环境质量改善目标的要求，进一步优化能源结构、提升清洁能源使用率，加强挥发性有机物产生企业等监督管理，强化移动源污染防治，提高企业清洁生产水平。</w:t>
                  </w:r>
                </w:p>
              </w:tc>
              <w:tc>
                <w:tcPr>
                  <w:tcW w:w="0" w:type="auto"/>
                  <w:shd w:val="clear" w:color="auto" w:fill="auto"/>
                  <w:vAlign w:val="center"/>
                </w:tcPr>
                <w:p w14:paraId="190D76F4">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lang w:val="zh-CN" w:eastAsia="zh-CN"/>
                    </w:rPr>
                    <w:t>本项目能源消耗主要是电能，属于清洁能源。</w:t>
                  </w:r>
                </w:p>
              </w:tc>
              <w:tc>
                <w:tcPr>
                  <w:tcW w:w="0" w:type="auto"/>
                  <w:shd w:val="clear" w:color="auto" w:fill="auto"/>
                  <w:vAlign w:val="center"/>
                </w:tcPr>
                <w:p w14:paraId="6D7AD3AA">
                  <w:pPr>
                    <w:keepNext w:val="0"/>
                    <w:keepLines w:val="0"/>
                    <w:pageBreakBefore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符合</w:t>
                  </w:r>
                </w:p>
              </w:tc>
            </w:tr>
            <w:tr w14:paraId="6C5D9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758" w:type="pct"/>
                  <w:vMerge w:val="continue"/>
                </w:tcPr>
                <w:p w14:paraId="08EB5A4C">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0" w:type="auto"/>
                  <w:shd w:val="clear" w:color="auto" w:fill="auto"/>
                  <w:vAlign w:val="center"/>
                </w:tcPr>
                <w:p w14:paraId="0C99DF23">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zh-CN" w:eastAsia="zh-CN"/>
                    </w:rPr>
                  </w:pPr>
                  <w:r>
                    <w:rPr>
                      <w:rFonts w:hint="default" w:ascii="Times New Roman" w:hAnsi="Times New Roman" w:cs="Times New Roman" w:eastAsiaTheme="minorEastAsia"/>
                      <w:color w:val="auto"/>
                      <w:szCs w:val="21"/>
                      <w:lang w:val="zh-CN" w:eastAsia="zh-CN"/>
                    </w:rPr>
                    <w:t>（四）结合区域水环境质量改善目标的要求，加快污水处理厂及市政配套管网建设，实施雨污分流，强化污水处理厂监督管理，确保达标排放。</w:t>
                  </w:r>
                </w:p>
              </w:tc>
              <w:tc>
                <w:tcPr>
                  <w:tcW w:w="0" w:type="auto"/>
                  <w:shd w:val="clear" w:color="auto" w:fill="auto"/>
                  <w:vAlign w:val="center"/>
                </w:tcPr>
                <w:p w14:paraId="7BC1D7C7">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highlight w:val="none"/>
                      <w:lang w:val="zh-CN" w:eastAsia="zh-CN"/>
                    </w:rPr>
                    <w:t>本项目仅产生生活污水，生活污水经化粪池</w:t>
                  </w:r>
                  <w:r>
                    <w:rPr>
                      <w:rFonts w:hint="default" w:ascii="Times New Roman" w:hAnsi="Times New Roman" w:cs="Times New Roman" w:eastAsiaTheme="minorEastAsia"/>
                      <w:color w:val="auto"/>
                      <w:szCs w:val="21"/>
                      <w:highlight w:val="none"/>
                      <w:lang w:val="en-US" w:eastAsia="zh-CN"/>
                    </w:rPr>
                    <w:t>收集后定期清掏用作周围农田施肥。</w:t>
                  </w:r>
                </w:p>
              </w:tc>
              <w:tc>
                <w:tcPr>
                  <w:tcW w:w="0" w:type="auto"/>
                  <w:shd w:val="clear" w:color="auto" w:fill="auto"/>
                  <w:vAlign w:val="center"/>
                </w:tcPr>
                <w:p w14:paraId="60C7E0E5">
                  <w:pPr>
                    <w:keepNext w:val="0"/>
                    <w:keepLines w:val="0"/>
                    <w:pageBreakBefore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符合</w:t>
                  </w:r>
                </w:p>
              </w:tc>
            </w:tr>
            <w:tr w14:paraId="4A748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758" w:type="pct"/>
                  <w:vMerge w:val="continue"/>
                </w:tcPr>
                <w:p w14:paraId="5DED6D76">
                  <w:pPr>
                    <w:keepNext w:val="0"/>
                    <w:keepLines w:val="0"/>
                    <w:pageBreakBefore w:val="0"/>
                    <w:widowControl/>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kern w:val="0"/>
                      <w:szCs w:val="21"/>
                      <w:lang w:bidi="ar"/>
                    </w:rPr>
                  </w:pPr>
                </w:p>
              </w:tc>
              <w:tc>
                <w:tcPr>
                  <w:tcW w:w="0" w:type="auto"/>
                  <w:shd w:val="clear" w:color="auto" w:fill="auto"/>
                  <w:vAlign w:val="center"/>
                </w:tcPr>
                <w:p w14:paraId="40F27072">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zh-CN" w:eastAsia="zh-CN"/>
                    </w:rPr>
                  </w:pPr>
                  <w:r>
                    <w:rPr>
                      <w:rFonts w:hint="default" w:ascii="Times New Roman" w:hAnsi="Times New Roman" w:cs="Times New Roman" w:eastAsiaTheme="minorEastAsia"/>
                      <w:color w:val="auto"/>
                      <w:szCs w:val="21"/>
                      <w:lang w:val="zh-CN" w:eastAsia="zh-CN"/>
                    </w:rPr>
                    <w:t>（六）完善产业规划内容，进一步细化规划及相关产业版块布局，对现有版块和布局不相符合的企业提出调整方案，对入区项目严格把关，优先引入节水型企业。</w:t>
                  </w:r>
                </w:p>
              </w:tc>
              <w:tc>
                <w:tcPr>
                  <w:tcW w:w="0" w:type="auto"/>
                  <w:shd w:val="clear" w:color="auto" w:fill="auto"/>
                  <w:vAlign w:val="center"/>
                </w:tcPr>
                <w:p w14:paraId="48633884">
                  <w:pPr>
                    <w:keepNext w:val="0"/>
                    <w:keepLines w:val="0"/>
                    <w:pageBreakBefore w:val="0"/>
                    <w:kinsoku/>
                    <w:wordWrap/>
                    <w:overflowPunct/>
                    <w:topLinePunct w:val="0"/>
                    <w:autoSpaceDE/>
                    <w:autoSpaceDN/>
                    <w:bidi w:val="0"/>
                    <w:spacing w:line="264" w:lineRule="auto"/>
                    <w:jc w:val="both"/>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lang w:val="zh-CN" w:eastAsia="zh-CN"/>
                    </w:rPr>
                    <w:t>本项目为塑料管制造</w:t>
                  </w:r>
                  <w:r>
                    <w:rPr>
                      <w:rFonts w:hint="default" w:ascii="Times New Roman" w:hAnsi="Times New Roman" w:cs="Times New Roman" w:eastAsiaTheme="minorEastAsia"/>
                      <w:color w:val="auto"/>
                      <w:kern w:val="0"/>
                      <w:szCs w:val="21"/>
                      <w:lang w:val="en-US" w:eastAsia="zh-CN" w:bidi="ar"/>
                    </w:rPr>
                    <w:t>，属于制造业，</w:t>
                  </w:r>
                  <w:r>
                    <w:rPr>
                      <w:rFonts w:hint="default" w:ascii="Times New Roman" w:hAnsi="Times New Roman" w:cs="Times New Roman" w:eastAsiaTheme="minorEastAsia"/>
                      <w:color w:val="auto"/>
                      <w:szCs w:val="21"/>
                      <w:lang w:val="zh-CN" w:eastAsia="zh-CN"/>
                    </w:rPr>
                    <w:t>符合西咸新区泾河新城产业规划，</w:t>
                  </w:r>
                  <w:r>
                    <w:rPr>
                      <w:rFonts w:hint="default" w:ascii="Times New Roman" w:hAnsi="Times New Roman" w:cs="Times New Roman" w:eastAsiaTheme="minorEastAsia"/>
                      <w:color w:val="auto"/>
                      <w:szCs w:val="21"/>
                      <w:lang w:val="en-US" w:eastAsia="zh-CN"/>
                    </w:rPr>
                    <w:t>项目运行无生产</w:t>
                  </w:r>
                  <w:r>
                    <w:rPr>
                      <w:rFonts w:hint="eastAsia" w:cs="Times New Roman" w:eastAsiaTheme="minorEastAsia"/>
                      <w:color w:val="auto"/>
                      <w:szCs w:val="21"/>
                      <w:lang w:val="en-US" w:eastAsia="zh-CN"/>
                    </w:rPr>
                    <w:t>废</w:t>
                  </w:r>
                  <w:r>
                    <w:rPr>
                      <w:rFonts w:hint="default" w:ascii="Times New Roman" w:hAnsi="Times New Roman" w:cs="Times New Roman" w:eastAsiaTheme="minorEastAsia"/>
                      <w:color w:val="auto"/>
                      <w:szCs w:val="21"/>
                      <w:lang w:val="en-US" w:eastAsia="zh-CN"/>
                    </w:rPr>
                    <w:t>水。</w:t>
                  </w:r>
                </w:p>
              </w:tc>
              <w:tc>
                <w:tcPr>
                  <w:tcW w:w="0" w:type="auto"/>
                  <w:shd w:val="clear" w:color="auto" w:fill="auto"/>
                  <w:vAlign w:val="center"/>
                </w:tcPr>
                <w:p w14:paraId="6228FE03">
                  <w:pPr>
                    <w:keepNext w:val="0"/>
                    <w:keepLines w:val="0"/>
                    <w:pageBreakBefore w:val="0"/>
                    <w:kinsoku/>
                    <w:wordWrap/>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eastAsia="zh-CN"/>
                    </w:rPr>
                    <w:t>符合</w:t>
                  </w:r>
                </w:p>
              </w:tc>
            </w:tr>
          </w:tbl>
          <w:p w14:paraId="6F85A80C">
            <w:pPr>
              <w:autoSpaceDE w:val="0"/>
              <w:autoSpaceDN w:val="0"/>
              <w:adjustRightInd w:val="0"/>
              <w:snapToGrid w:val="0"/>
              <w:jc w:val="both"/>
              <w:rPr>
                <w:color w:val="auto"/>
                <w:kern w:val="0"/>
                <w:sz w:val="24"/>
              </w:rPr>
            </w:pPr>
          </w:p>
        </w:tc>
      </w:tr>
      <w:tr w14:paraId="4E527D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6" w:type="pct"/>
            <w:noWrap w:val="0"/>
            <w:vAlign w:val="center"/>
          </w:tcPr>
          <w:p w14:paraId="309AFDEF">
            <w:pPr>
              <w:autoSpaceDE w:val="0"/>
              <w:autoSpaceDN w:val="0"/>
              <w:adjustRightInd w:val="0"/>
              <w:snapToGrid w:val="0"/>
              <w:jc w:val="center"/>
              <w:rPr>
                <w:rFonts w:hint="eastAsia" w:eastAsia="宋体"/>
                <w:color w:val="auto"/>
                <w:kern w:val="0"/>
                <w:sz w:val="24"/>
                <w:lang w:eastAsia="zh-CN"/>
              </w:rPr>
            </w:pPr>
            <w:r>
              <w:rPr>
                <w:rFonts w:hint="eastAsia"/>
                <w:color w:val="auto"/>
                <w:kern w:val="0"/>
                <w:sz w:val="24"/>
                <w:lang w:eastAsia="zh-CN"/>
              </w:rPr>
              <w:t>其他符合性分析</w:t>
            </w:r>
          </w:p>
        </w:tc>
        <w:tc>
          <w:tcPr>
            <w:tcW w:w="4053" w:type="pct"/>
            <w:gridSpan w:val="3"/>
            <w:noWrap w:val="0"/>
            <w:vAlign w:val="center"/>
          </w:tcPr>
          <w:p w14:paraId="1A2042D4">
            <w:pPr>
              <w:numPr>
                <w:ilvl w:val="0"/>
                <w:numId w:val="2"/>
              </w:numPr>
              <w:spacing w:line="360" w:lineRule="auto"/>
              <w:rPr>
                <w:b/>
                <w:bCs/>
                <w:color w:val="auto"/>
                <w:sz w:val="24"/>
              </w:rPr>
            </w:pPr>
            <w:r>
              <w:rPr>
                <w:b/>
                <w:bCs/>
                <w:color w:val="auto"/>
                <w:sz w:val="24"/>
              </w:rPr>
              <w:t>产业政策符合性</w:t>
            </w:r>
          </w:p>
          <w:p w14:paraId="31D2814C">
            <w:pPr>
              <w:numPr>
                <w:ilvl w:val="0"/>
                <w:numId w:val="0"/>
              </w:num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eastAsia="宋体" w:cs="Times New Roman"/>
                <w:color w:val="auto"/>
                <w:sz w:val="24"/>
                <w:lang w:eastAsia="zh-CN"/>
              </w:rPr>
              <w:t>本项目为</w:t>
            </w:r>
            <w:r>
              <w:rPr>
                <w:rFonts w:hint="default" w:ascii="Times New Roman" w:hAnsi="Times New Roman" w:eastAsia="宋体" w:cs="Times New Roman"/>
                <w:color w:val="auto"/>
                <w:sz w:val="24"/>
                <w:lang w:eastAsia="zh-CN"/>
              </w:rPr>
              <w:t>塑料</w:t>
            </w:r>
            <w:r>
              <w:rPr>
                <w:rFonts w:hint="eastAsia" w:cs="Times New Roman"/>
                <w:color w:val="auto"/>
                <w:sz w:val="24"/>
                <w:lang w:eastAsia="zh-CN"/>
              </w:rPr>
              <w:t>管</w:t>
            </w:r>
            <w:r>
              <w:rPr>
                <w:rFonts w:hint="default" w:ascii="Times New Roman" w:hAnsi="Times New Roman" w:eastAsia="宋体" w:cs="Times New Roman"/>
                <w:color w:val="auto"/>
                <w:sz w:val="24"/>
                <w:lang w:eastAsia="zh-CN"/>
              </w:rPr>
              <w:t>制造</w:t>
            </w:r>
            <w:r>
              <w:rPr>
                <w:rFonts w:hint="eastAsia" w:ascii="Times New Roman" w:hAnsi="Times New Roman" w:eastAsia="宋体" w:cs="Times New Roman"/>
                <w:color w:val="auto"/>
                <w:sz w:val="24"/>
                <w:lang w:eastAsia="zh-CN"/>
              </w:rPr>
              <w:t>项目，</w:t>
            </w:r>
            <w:r>
              <w:rPr>
                <w:rFonts w:hint="default" w:ascii="Times New Roman" w:hAnsi="Times New Roman" w:cs="Times New Roman"/>
                <w:color w:val="auto"/>
                <w:sz w:val="24"/>
                <w:szCs w:val="24"/>
                <w:lang w:val="en-US" w:eastAsia="zh-CN"/>
              </w:rPr>
              <w:t>根据《产业结构调整指导目录（2024年本）》，本项目不属于其中规</w:t>
            </w:r>
            <w:r>
              <w:rPr>
                <w:rFonts w:hint="default" w:ascii="Times New Roman" w:hAnsi="Times New Roman" w:cs="Times New Roman"/>
                <w:color w:val="auto"/>
                <w:sz w:val="24"/>
                <w:szCs w:val="24"/>
                <w:highlight w:val="none"/>
                <w:lang w:val="en-US" w:eastAsia="zh-CN"/>
              </w:rPr>
              <w:t>定的鼓励类，限制类和淘汰类项目；经</w:t>
            </w:r>
            <w:r>
              <w:rPr>
                <w:rFonts w:hint="default" w:ascii="Times New Roman" w:hAnsi="Times New Roman" w:cs="Times New Roman"/>
                <w:color w:val="auto"/>
                <w:sz w:val="24"/>
                <w:szCs w:val="24"/>
                <w:lang w:val="en-US" w:eastAsia="zh-CN"/>
              </w:rPr>
              <w:t>查阅，本项目不属于《市场准入负面清单（2025年版）》中禁止或许可准入类。</w:t>
            </w:r>
          </w:p>
          <w:p w14:paraId="71A3244D">
            <w:pPr>
              <w:numPr>
                <w:ilvl w:val="0"/>
                <w:numId w:val="0"/>
              </w:numPr>
              <w:spacing w:line="360" w:lineRule="auto"/>
              <w:ind w:firstLine="480" w:firstLineChars="200"/>
              <w:rPr>
                <w:rFonts w:hint="eastAsia" w:ascii="Times New Roman" w:hAnsi="Times New Roman" w:eastAsia="宋体" w:cs="Times New Roman"/>
                <w:color w:val="auto"/>
                <w:sz w:val="24"/>
                <w:lang w:val="en-GB" w:eastAsia="zh-CN"/>
              </w:rPr>
            </w:pPr>
            <w:r>
              <w:rPr>
                <w:rFonts w:hint="default" w:ascii="Times New Roman" w:hAnsi="Times New Roman" w:cs="Times New Roman"/>
                <w:color w:val="auto"/>
                <w:sz w:val="24"/>
                <w:szCs w:val="24"/>
                <w:lang w:val="en-US" w:eastAsia="zh-CN"/>
              </w:rPr>
              <w:t>本项目已取得陕西省西咸新区泾河新城管理委员会备案确认书（项目代码：</w:t>
            </w:r>
            <w:r>
              <w:rPr>
                <w:rFonts w:hint="default" w:ascii="Times New Roman" w:hAnsi="Times New Roman" w:eastAsia="宋体" w:cs="Times New Roman"/>
                <w:color w:val="auto"/>
                <w:sz w:val="24"/>
                <w:highlight w:val="none"/>
                <w:lang w:val="en-US" w:eastAsia="zh-CN"/>
              </w:rPr>
              <w:t>2505-611206-04-01-167150</w:t>
            </w:r>
            <w:r>
              <w:rPr>
                <w:rFonts w:hint="default"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rPr>
              <w:t>同意该项目建设</w:t>
            </w:r>
            <w:r>
              <w:rPr>
                <w:rFonts w:hint="eastAsia" w:ascii="Times New Roman" w:hAnsi="Times New Roman" w:eastAsia="宋体" w:cs="Times New Roman"/>
                <w:color w:val="auto"/>
                <w:sz w:val="24"/>
                <w:lang w:val="en-GB"/>
              </w:rPr>
              <w:t>。</w:t>
            </w:r>
            <w:r>
              <w:rPr>
                <w:rFonts w:hint="eastAsia" w:ascii="Times New Roman" w:hAnsi="Times New Roman" w:eastAsia="宋体" w:cs="Times New Roman"/>
                <w:color w:val="auto"/>
                <w:sz w:val="24"/>
                <w:lang w:val="en-GB" w:eastAsia="zh-CN"/>
              </w:rPr>
              <w:t>（</w:t>
            </w:r>
            <w:r>
              <w:rPr>
                <w:rFonts w:hint="eastAsia" w:ascii="Times New Roman" w:hAnsi="Times New Roman" w:eastAsia="宋体" w:cs="Times New Roman"/>
                <w:color w:val="auto"/>
                <w:sz w:val="24"/>
              </w:rPr>
              <w:t>备案文件见</w:t>
            </w:r>
            <w:r>
              <w:rPr>
                <w:rFonts w:hint="eastAsia" w:ascii="Times New Roman" w:hAnsi="Times New Roman" w:eastAsia="宋体" w:cs="Times New Roman"/>
                <w:color w:val="auto"/>
                <w:sz w:val="24"/>
                <w:highlight w:val="none"/>
              </w:rPr>
              <w:t>附件2</w:t>
            </w:r>
            <w:r>
              <w:rPr>
                <w:rFonts w:hint="eastAsia" w:ascii="Times New Roman" w:hAnsi="Times New Roman" w:eastAsia="宋体" w:cs="Times New Roman"/>
                <w:color w:val="auto"/>
                <w:sz w:val="24"/>
                <w:highlight w:val="none"/>
                <w:lang w:val="en-GB" w:eastAsia="zh-CN"/>
              </w:rPr>
              <w:t>）</w:t>
            </w:r>
          </w:p>
          <w:p w14:paraId="3579361E">
            <w:pPr>
              <w:numPr>
                <w:ilvl w:val="0"/>
                <w:numId w:val="0"/>
              </w:numPr>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因此，本项目建设符合国家和地方产业政策要求</w:t>
            </w:r>
            <w:r>
              <w:rPr>
                <w:rFonts w:hint="eastAsia" w:ascii="Times New Roman" w:hAnsi="Times New Roman" w:eastAsia="宋体" w:cs="Times New Roman"/>
                <w:color w:val="auto"/>
                <w:sz w:val="24"/>
                <w:lang w:val="en-US" w:eastAsia="zh-CN"/>
              </w:rPr>
              <w:t>。</w:t>
            </w:r>
          </w:p>
          <w:p w14:paraId="16E86D0A">
            <w:pPr>
              <w:numPr>
                <w:ilvl w:val="0"/>
                <w:numId w:val="0"/>
              </w:numPr>
              <w:spacing w:line="360" w:lineRule="auto"/>
              <w:rPr>
                <w:rFonts w:eastAsia="宋体"/>
                <w:b/>
                <w:bCs/>
                <w:color w:val="auto"/>
                <w:sz w:val="24"/>
              </w:rPr>
            </w:pPr>
            <w:r>
              <w:rPr>
                <w:b/>
                <w:bCs/>
                <w:color w:val="auto"/>
                <w:sz w:val="24"/>
              </w:rPr>
              <w:t>2、</w:t>
            </w:r>
            <w:r>
              <w:rPr>
                <w:rFonts w:eastAsia="宋体"/>
                <w:b/>
                <w:bCs/>
                <w:color w:val="auto"/>
                <w:sz w:val="24"/>
              </w:rPr>
              <w:t>选址合理性</w:t>
            </w:r>
          </w:p>
          <w:p w14:paraId="31C5C2AD">
            <w:pPr>
              <w:numPr>
                <w:ilvl w:val="0"/>
                <w:numId w:val="0"/>
              </w:numPr>
              <w:spacing w:line="360" w:lineRule="auto"/>
              <w:ind w:firstLine="480" w:firstLineChars="200"/>
              <w:rPr>
                <w:rFonts w:hint="default" w:ascii="Times New Roman" w:hAnsi="Times New Roman" w:cs="Times New Roman"/>
                <w:b w:val="0"/>
                <w:bCs/>
                <w:color w:val="auto"/>
                <w:sz w:val="24"/>
              </w:rPr>
            </w:pPr>
            <w:r>
              <w:rPr>
                <w:rFonts w:hint="default" w:ascii="Times New Roman" w:hAnsi="Times New Roman" w:cs="Times New Roman"/>
                <w:b w:val="0"/>
                <w:bCs w:val="0"/>
                <w:color w:val="auto"/>
                <w:sz w:val="24"/>
                <w:szCs w:val="24"/>
                <w:lang w:val="en-US" w:eastAsia="zh-CN"/>
              </w:rPr>
              <w:t>本项目位于</w:t>
            </w:r>
            <w:r>
              <w:rPr>
                <w:rFonts w:hint="eastAsia" w:ascii="Times New Roman" w:hAnsi="Times New Roman" w:eastAsia="宋体" w:cs="Times New Roman"/>
                <w:color w:val="auto"/>
                <w:sz w:val="24"/>
                <w:highlight w:val="none"/>
                <w:lang w:val="en-US" w:eastAsia="zh-CN"/>
              </w:rPr>
              <w:t>陕西省西咸新区泾河新城工业密集区永乐园区南北大道23号</w:t>
            </w:r>
            <w:r>
              <w:rPr>
                <w:rFonts w:hint="default" w:ascii="Times New Roman" w:hAnsi="Times New Roman" w:cs="Times New Roman"/>
                <w:b w:val="0"/>
                <w:bCs w:val="0"/>
                <w:color w:val="auto"/>
                <w:sz w:val="24"/>
                <w:szCs w:val="24"/>
                <w:lang w:val="en-US" w:eastAsia="zh-CN"/>
              </w:rPr>
              <w:t>，租用</w:t>
            </w:r>
            <w:r>
              <w:rPr>
                <w:rFonts w:hint="eastAsia" w:ascii="Times New Roman" w:hAnsi="Times New Roman" w:cs="Times New Roman"/>
                <w:b w:val="0"/>
                <w:bCs w:val="0"/>
                <w:color w:val="auto"/>
                <w:sz w:val="24"/>
                <w:szCs w:val="24"/>
                <w:lang w:val="en-US" w:eastAsia="zh-CN"/>
              </w:rPr>
              <w:t>5号</w:t>
            </w:r>
            <w:r>
              <w:rPr>
                <w:rFonts w:hint="default" w:ascii="Times New Roman" w:hAnsi="Times New Roman" w:cs="Times New Roman"/>
                <w:b w:val="0"/>
                <w:bCs w:val="0"/>
                <w:color w:val="auto"/>
                <w:sz w:val="24"/>
                <w:szCs w:val="24"/>
                <w:lang w:val="en-US" w:eastAsia="zh-CN"/>
              </w:rPr>
              <w:t>厂房</w:t>
            </w:r>
            <w:r>
              <w:rPr>
                <w:rFonts w:hint="eastAsia" w:ascii="Times New Roman" w:hAnsi="Times New Roman" w:cs="Times New Roman"/>
                <w:b w:val="0"/>
                <w:bCs w:val="0"/>
                <w:color w:val="auto"/>
                <w:sz w:val="24"/>
                <w:szCs w:val="24"/>
                <w:lang w:val="en-US" w:eastAsia="zh-CN"/>
              </w:rPr>
              <w:t>进行生产建设</w:t>
            </w:r>
            <w:r>
              <w:rPr>
                <w:rFonts w:hint="default" w:ascii="Times New Roman" w:hAnsi="Times New Roman" w:cs="Times New Roman"/>
                <w:b w:val="0"/>
                <w:bCs w:val="0"/>
                <w:color w:val="auto"/>
                <w:sz w:val="24"/>
                <w:szCs w:val="24"/>
                <w:lang w:val="en-US" w:eastAsia="zh-CN"/>
              </w:rPr>
              <w:t>。</w:t>
            </w:r>
          </w:p>
          <w:p w14:paraId="4CF244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lang w:val="en-US" w:eastAsia="zh-CN"/>
              </w:rPr>
              <w:t>根据现场踏勘，本项目所在</w:t>
            </w:r>
            <w:r>
              <w:rPr>
                <w:rFonts w:hint="eastAsia" w:ascii="Times New Roman" w:hAnsi="Times New Roman" w:cs="Times New Roman"/>
                <w:b w:val="0"/>
                <w:bCs w:val="0"/>
                <w:color w:val="auto"/>
                <w:sz w:val="24"/>
                <w:szCs w:val="24"/>
                <w:lang w:val="en-US" w:eastAsia="zh-CN"/>
              </w:rPr>
              <w:t>5号厂房</w:t>
            </w:r>
            <w:r>
              <w:rPr>
                <w:rFonts w:hint="default" w:ascii="Times New Roman" w:hAnsi="Times New Roman" w:cs="Times New Roman"/>
                <w:b w:val="0"/>
                <w:bCs w:val="0"/>
                <w:color w:val="auto"/>
                <w:sz w:val="24"/>
                <w:szCs w:val="24"/>
                <w:lang w:val="en-US" w:eastAsia="zh-CN"/>
              </w:rPr>
              <w:t>共</w:t>
            </w:r>
            <w:r>
              <w:rPr>
                <w:rFonts w:hint="eastAsia" w:ascii="Times New Roman" w:hAnsi="Times New Roman"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val="en-US" w:eastAsia="zh-CN"/>
              </w:rPr>
              <w:t>层</w:t>
            </w:r>
            <w:r>
              <w:rPr>
                <w:rFonts w:hint="default" w:ascii="Times New Roman" w:hAnsi="Times New Roman" w:cs="Times New Roman"/>
                <w:b w:val="0"/>
                <w:bCs w:val="0"/>
                <w:color w:val="auto"/>
                <w:sz w:val="24"/>
                <w:szCs w:val="24"/>
                <w:highlight w:val="none"/>
                <w:lang w:val="en-US" w:eastAsia="zh-CN"/>
              </w:rPr>
              <w:t>，</w:t>
            </w:r>
            <w:r>
              <w:rPr>
                <w:rFonts w:hint="eastAsia" w:cs="Times New Roman"/>
                <w:b w:val="0"/>
                <w:bCs w:val="0"/>
                <w:color w:val="auto"/>
                <w:sz w:val="24"/>
                <w:szCs w:val="24"/>
                <w:highlight w:val="none"/>
                <w:lang w:val="en-US" w:eastAsia="zh-CN"/>
              </w:rPr>
              <w:t>厂房北侧为陕西晟泰机械制造有限公司，西侧为铁路，西北方向为永乐火车站，南侧为中国石油天然气股份有限公司陕西咸阳泾阳经营部、东侧为陕西明泽建设工程有限公司，</w:t>
            </w:r>
            <w:r>
              <w:rPr>
                <w:rFonts w:hint="default" w:ascii="Times New Roman" w:hAnsi="Times New Roman" w:cs="Times New Roman"/>
                <w:b w:val="0"/>
                <w:bCs w:val="0"/>
                <w:color w:val="auto"/>
                <w:sz w:val="24"/>
                <w:szCs w:val="24"/>
                <w:highlight w:val="none"/>
                <w:lang w:val="en-US" w:eastAsia="zh-CN"/>
              </w:rPr>
              <w:t>项目四邻关系图见附图2。</w:t>
            </w:r>
          </w:p>
          <w:p w14:paraId="3F9C73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项目所在地地理位置优越，交通便利，供水、供电、供气和通讯等基础配套设施完善，可以满足本项目建设及运营需要；项目周边500m范围内无集中式饮用水水源地、自然保护区、风景名胜区等特殊环境保护目标，也无环境保护方面制约因素。本项目实施后，污染物产生量较小，在落实环评提出的各项污染治理措施后，各污染物均可做到达标排放，对周围环境影响较小。</w:t>
            </w:r>
          </w:p>
          <w:p w14:paraId="144B0E9A">
            <w:pPr>
              <w:numPr>
                <w:ilvl w:val="0"/>
                <w:numId w:val="0"/>
              </w:numPr>
              <w:spacing w:line="360" w:lineRule="auto"/>
              <w:ind w:leftChars="0" w:firstLine="480" w:firstLineChars="200"/>
              <w:rPr>
                <w:rFonts w:hint="eastAsia"/>
                <w:color w:val="auto"/>
                <w:sz w:val="24"/>
              </w:rPr>
            </w:pPr>
            <w:r>
              <w:rPr>
                <w:rFonts w:hint="default" w:ascii="Times New Roman" w:hAnsi="Times New Roman" w:cs="Times New Roman"/>
                <w:b w:val="0"/>
                <w:bCs w:val="0"/>
                <w:color w:val="auto"/>
                <w:sz w:val="24"/>
                <w:szCs w:val="24"/>
                <w:lang w:val="en-US" w:eastAsia="zh-CN"/>
              </w:rPr>
              <w:t>综上，从环境影响的角度分析，项目选址合理。</w:t>
            </w:r>
          </w:p>
          <w:p w14:paraId="2FF2968C">
            <w:pPr>
              <w:spacing w:line="360" w:lineRule="auto"/>
              <w:rPr>
                <w:b/>
                <w:bCs/>
                <w:color w:val="auto"/>
                <w:sz w:val="24"/>
              </w:rPr>
            </w:pPr>
            <w:r>
              <w:rPr>
                <w:rFonts w:hint="eastAsia"/>
                <w:b/>
                <w:bCs/>
                <w:color w:val="auto"/>
                <w:sz w:val="24"/>
              </w:rPr>
              <w:t>3、</w:t>
            </w:r>
            <w:r>
              <w:rPr>
                <w:b/>
                <w:bCs/>
                <w:color w:val="auto"/>
                <w:sz w:val="24"/>
              </w:rPr>
              <w:t>本项目与“三线一单”相符性分析</w:t>
            </w:r>
          </w:p>
          <w:p w14:paraId="338330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lang w:val="en-US" w:eastAsia="zh-CN"/>
              </w:rPr>
              <w:t>根据</w:t>
            </w:r>
            <w:r>
              <w:rPr>
                <w:rFonts w:hint="default" w:ascii="Times New Roman" w:hAnsi="Times New Roman" w:cs="Times New Roman"/>
                <w:color w:val="auto"/>
                <w:sz w:val="24"/>
                <w:lang w:eastAsia="zh-CN"/>
              </w:rPr>
              <w:t>《陕西省人民政府关于加快实施“三线一单”生态环境分区管控的意见》（陕政发</w:t>
            </w:r>
            <w:r>
              <w:rPr>
                <w:rFonts w:hint="default" w:ascii="Times New Roman" w:hAnsi="Times New Roman" w:cs="Times New Roman"/>
                <w:color w:val="auto"/>
                <w:sz w:val="24"/>
                <w:lang w:val="en-US" w:eastAsia="zh-CN"/>
              </w:rPr>
              <w:t>[2020]11号</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szCs w:val="24"/>
              </w:rPr>
              <w:t>西安市生态环境保护委员会办公室关于印发《2023年西安市生态环境分区管控调整方案》的通知（市生态委办发</w:t>
            </w:r>
            <w:r>
              <w:rPr>
                <w:rFonts w:hint="default" w:ascii="Times New Roman" w:hAnsi="Times New Roman" w:cs="Times New Roman"/>
                <w:color w:val="auto"/>
                <w:sz w:val="24"/>
                <w:lang w:val="en-US" w:eastAsia="zh-CN"/>
              </w:rPr>
              <w:t>[2024]16</w:t>
            </w:r>
            <w:r>
              <w:rPr>
                <w:rFonts w:hint="default" w:ascii="Times New Roman" w:hAnsi="Times New Roman" w:eastAsia="宋体" w:cs="Times New Roman"/>
                <w:color w:val="auto"/>
                <w:sz w:val="24"/>
                <w:szCs w:val="24"/>
              </w:rPr>
              <w:t xml:space="preserve"> 号）</w:t>
            </w:r>
            <w:r>
              <w:rPr>
                <w:rFonts w:hint="default" w:ascii="Times New Roman" w:hAnsi="Times New Roman" w:cs="Times New Roman"/>
                <w:color w:val="auto"/>
                <w:sz w:val="24"/>
                <w:lang w:eastAsia="zh-CN"/>
              </w:rPr>
              <w:t>以及《陕西省“三线一单”生态环境分区管控应用技术指南：环境影响评价（试行）》（陕环办发</w:t>
            </w:r>
            <w:r>
              <w:rPr>
                <w:rFonts w:hint="default" w:ascii="Times New Roman" w:hAnsi="Times New Roman" w:cs="Times New Roman"/>
                <w:color w:val="auto"/>
                <w:sz w:val="24"/>
                <w:lang w:val="en-US" w:eastAsia="zh-CN"/>
              </w:rPr>
              <w:t>[2022]76号</w:t>
            </w:r>
            <w:r>
              <w:rPr>
                <w:rFonts w:hint="default" w:ascii="Times New Roman" w:hAnsi="Times New Roman" w:cs="Times New Roman"/>
                <w:color w:val="auto"/>
                <w:sz w:val="24"/>
                <w:lang w:eastAsia="zh-CN"/>
              </w:rPr>
              <w:t>）</w:t>
            </w:r>
            <w:r>
              <w:rPr>
                <w:rFonts w:hint="default" w:ascii="Times New Roman" w:hAnsi="Times New Roman" w:cs="Times New Roman"/>
                <w:color w:val="auto"/>
                <w:sz w:val="24"/>
                <w:highlight w:val="none"/>
                <w:lang w:val="en-US" w:eastAsia="zh-CN"/>
              </w:rPr>
              <w:t>，</w:t>
            </w:r>
            <w:r>
              <w:rPr>
                <w:rFonts w:ascii="宋体" w:hAnsi="宋体" w:eastAsia="宋体" w:cs="宋体"/>
                <w:color w:val="auto"/>
                <w:sz w:val="24"/>
                <w:szCs w:val="24"/>
              </w:rPr>
              <w:t>通过</w:t>
            </w:r>
            <w:r>
              <w:rPr>
                <w:rFonts w:hint="eastAsia" w:ascii="宋体" w:hAnsi="宋体" w:cs="宋体"/>
                <w:color w:val="auto"/>
                <w:sz w:val="24"/>
                <w:szCs w:val="24"/>
                <w:lang w:eastAsia="zh-CN"/>
              </w:rPr>
              <w:t>对比</w:t>
            </w:r>
            <w:r>
              <w:rPr>
                <w:rFonts w:ascii="宋体" w:hAnsi="宋体" w:eastAsia="宋体" w:cs="宋体"/>
                <w:color w:val="auto"/>
                <w:sz w:val="24"/>
                <w:szCs w:val="24"/>
              </w:rPr>
              <w:t>陕西省生态环境厅“三线一单”数据应用系统平台</w:t>
            </w:r>
            <w:r>
              <w:rPr>
                <w:rFonts w:hint="eastAsia" w:ascii="宋体" w:hAnsi="宋体" w:eastAsia="宋体" w:cs="宋体"/>
                <w:color w:val="auto"/>
                <w:sz w:val="24"/>
                <w:szCs w:val="24"/>
                <w:lang w:eastAsia="zh-CN"/>
              </w:rPr>
              <w:t>，</w:t>
            </w:r>
            <w:r>
              <w:rPr>
                <w:rFonts w:hint="default" w:ascii="Times New Roman" w:hAnsi="Times New Roman" w:cs="Times New Roman"/>
                <w:color w:val="auto"/>
                <w:sz w:val="24"/>
                <w:szCs w:val="24"/>
              </w:rPr>
              <w:t>本项目“三线一单”符合性分析表见表</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w:t>
            </w:r>
          </w:p>
          <w:p w14:paraId="4805E6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2" w:firstLineChars="200"/>
              <w:jc w:val="center"/>
              <w:textAlignment w:val="auto"/>
              <w:rPr>
                <w:rFonts w:hint="default" w:ascii="Times New Roman" w:hAnsi="Times New Roman" w:cs="Times New Roman" w:eastAsiaTheme="majorEastAsia"/>
                <w:b/>
                <w:color w:val="auto"/>
              </w:rPr>
            </w:pPr>
            <w:r>
              <w:rPr>
                <w:rFonts w:hint="default" w:ascii="Times New Roman" w:hAnsi="Times New Roman" w:cs="Times New Roman" w:eastAsiaTheme="majorEastAsia"/>
                <w:b/>
                <w:bCs/>
                <w:color w:val="auto"/>
                <w:lang w:val="en-US" w:eastAsia="zh-CN"/>
              </w:rPr>
              <w:t>表1-2</w:t>
            </w:r>
            <w:r>
              <w:rPr>
                <w:rFonts w:hint="default" w:ascii="Times New Roman" w:hAnsi="Times New Roman" w:cs="Times New Roman" w:eastAsiaTheme="majorEastAsia"/>
                <w:b/>
                <w:bCs/>
                <w:color w:val="auto"/>
              </w:rPr>
              <w:t xml:space="preserve">  本</w:t>
            </w:r>
            <w:r>
              <w:rPr>
                <w:rFonts w:hint="default" w:ascii="Times New Roman" w:hAnsi="Times New Roman" w:cs="Times New Roman" w:eastAsiaTheme="majorEastAsia"/>
                <w:b/>
                <w:color w:val="auto"/>
              </w:rPr>
              <w:t>项目与</w:t>
            </w:r>
            <w:r>
              <w:rPr>
                <w:rFonts w:hint="default" w:ascii="Times New Roman" w:hAnsi="Times New Roman" w:cs="Times New Roman" w:eastAsiaTheme="majorEastAsia"/>
                <w:b/>
                <w:color w:val="auto"/>
                <w:lang w:val="en-GB"/>
              </w:rPr>
              <w:t>“三线一单”</w:t>
            </w:r>
            <w:r>
              <w:rPr>
                <w:rFonts w:hint="default" w:ascii="Times New Roman" w:hAnsi="Times New Roman" w:cs="Times New Roman" w:eastAsiaTheme="majorEastAsia"/>
                <w:b/>
                <w:color w:val="auto"/>
              </w:rPr>
              <w:t>的符合性</w:t>
            </w:r>
          </w:p>
          <w:tbl>
            <w:tblPr>
              <w:tblStyle w:val="25"/>
              <w:tblW w:w="71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5295"/>
              <w:gridCol w:w="1131"/>
            </w:tblGrid>
            <w:tr w14:paraId="50413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58" w:type="dxa"/>
                  <w:gridSpan w:val="2"/>
                  <w:vAlign w:val="center"/>
                </w:tcPr>
                <w:p w14:paraId="4146E122">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b/>
                      <w:bCs/>
                      <w:color w:val="auto"/>
                      <w:spacing w:val="-6"/>
                      <w:lang w:eastAsia="zh-CN"/>
                    </w:rPr>
                  </w:pPr>
                  <w:r>
                    <w:rPr>
                      <w:rFonts w:hint="default" w:ascii="Times New Roman" w:hAnsi="Times New Roman" w:cs="Times New Roman"/>
                      <w:b/>
                      <w:bCs/>
                      <w:color w:val="auto"/>
                      <w:spacing w:val="-6"/>
                      <w:lang w:eastAsia="zh-CN"/>
                    </w:rPr>
                    <w:t>“三线一单”</w:t>
                  </w:r>
                </w:p>
              </w:tc>
              <w:tc>
                <w:tcPr>
                  <w:tcW w:w="1131" w:type="dxa"/>
                  <w:vAlign w:val="center"/>
                </w:tcPr>
                <w:p w14:paraId="10D18B34">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b/>
                      <w:bCs/>
                      <w:color w:val="auto"/>
                      <w:spacing w:val="-6"/>
                      <w:lang w:eastAsia="zh-CN"/>
                    </w:rPr>
                  </w:pPr>
                  <w:r>
                    <w:rPr>
                      <w:rFonts w:hint="default" w:ascii="Times New Roman" w:hAnsi="Times New Roman" w:cs="Times New Roman"/>
                      <w:b/>
                      <w:bCs/>
                      <w:color w:val="auto"/>
                      <w:spacing w:val="-6"/>
                      <w:lang w:eastAsia="zh-CN"/>
                    </w:rPr>
                    <w:t>符合性分析</w:t>
                  </w:r>
                </w:p>
              </w:tc>
            </w:tr>
            <w:tr w14:paraId="10CFA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3" w:type="dxa"/>
                  <w:shd w:val="clear" w:color="auto" w:fill="auto"/>
                  <w:vAlign w:val="center"/>
                </w:tcPr>
                <w:p w14:paraId="37497900">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lang w:val="en-US" w:eastAsia="zh-CN" w:bidi="ar-SA"/>
                    </w:rPr>
                  </w:pPr>
                  <w:r>
                    <w:rPr>
                      <w:rFonts w:hint="default" w:ascii="Times New Roman" w:hAnsi="Times New Roman" w:cs="Times New Roman" w:eastAsiaTheme="minorEastAsia"/>
                      <w:color w:val="auto"/>
                      <w:spacing w:val="-6"/>
                    </w:rPr>
                    <w:t>生态保护红线</w:t>
                  </w:r>
                </w:p>
              </w:tc>
              <w:tc>
                <w:tcPr>
                  <w:tcW w:w="5295" w:type="dxa"/>
                  <w:shd w:val="clear" w:color="auto" w:fill="auto"/>
                  <w:vAlign w:val="center"/>
                </w:tcPr>
                <w:p w14:paraId="3000DF4E">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项目位于陕西省西咸新区泾河新城工业密集区永乐园区南北大道23号，</w:t>
                  </w:r>
                  <w:r>
                    <w:rPr>
                      <w:rFonts w:hint="default" w:ascii="Times New Roman" w:hAnsi="Times New Roman" w:cs="Times New Roman" w:eastAsiaTheme="minorEastAsia"/>
                      <w:color w:val="auto"/>
                      <w:sz w:val="21"/>
                      <w:szCs w:val="21"/>
                    </w:rPr>
                    <w:t>项目地附近无自然保护区、风景名胜区、湿地、饮用水源地等各类保护区，项目</w:t>
                  </w:r>
                  <w:r>
                    <w:rPr>
                      <w:rFonts w:hint="default" w:ascii="Times New Roman" w:hAnsi="Times New Roman" w:cs="Times New Roman" w:eastAsiaTheme="minorEastAsia"/>
                      <w:color w:val="auto"/>
                      <w:sz w:val="21"/>
                      <w:szCs w:val="21"/>
                      <w:lang w:val="en-US" w:eastAsia="zh-CN"/>
                    </w:rPr>
                    <w:t>地</w:t>
                  </w:r>
                  <w:r>
                    <w:rPr>
                      <w:rFonts w:hint="default" w:ascii="Times New Roman" w:hAnsi="Times New Roman" w:cs="Times New Roman" w:eastAsiaTheme="minorEastAsia"/>
                      <w:color w:val="auto"/>
                      <w:sz w:val="21"/>
                      <w:szCs w:val="21"/>
                    </w:rPr>
                    <w:t>不在生态保护红线范围内。</w:t>
                  </w:r>
                </w:p>
              </w:tc>
              <w:tc>
                <w:tcPr>
                  <w:tcW w:w="1131" w:type="dxa"/>
                  <w:shd w:val="clear" w:color="auto" w:fill="auto"/>
                  <w:vAlign w:val="center"/>
                </w:tcPr>
                <w:p w14:paraId="14132173">
                  <w:pPr>
                    <w:keepNext w:val="0"/>
                    <w:keepLines w:val="0"/>
                    <w:pageBreakBefore w:val="0"/>
                    <w:widowControl w:val="0"/>
                    <w:kinsoku/>
                    <w:wordWrap/>
                    <w:overflowPunct/>
                    <w:topLinePunct w:val="0"/>
                    <w:autoSpaceDE/>
                    <w:autoSpaceDN/>
                    <w:bidi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4"/>
                      <w:highlight w:val="none"/>
                      <w:lang w:val="en-US" w:eastAsia="zh-CN" w:bidi="ar-SA"/>
                    </w:rPr>
                  </w:pPr>
                  <w:r>
                    <w:rPr>
                      <w:rFonts w:hint="default" w:ascii="Times New Roman" w:hAnsi="Times New Roman" w:cs="Times New Roman" w:eastAsiaTheme="minorEastAsia"/>
                      <w:color w:val="auto"/>
                      <w:spacing w:val="-6"/>
                      <w:highlight w:val="none"/>
                      <w:lang w:eastAsia="zh-CN"/>
                    </w:rPr>
                    <w:t>符合</w:t>
                  </w:r>
                </w:p>
              </w:tc>
            </w:tr>
            <w:tr w14:paraId="70924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763" w:type="dxa"/>
                  <w:shd w:val="clear" w:color="auto" w:fill="auto"/>
                  <w:vAlign w:val="center"/>
                </w:tcPr>
                <w:p w14:paraId="5EBABB11">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lang w:val="en-US" w:eastAsia="zh-CN" w:bidi="ar-SA"/>
                    </w:rPr>
                  </w:pPr>
                  <w:r>
                    <w:rPr>
                      <w:rFonts w:hint="default" w:ascii="Times New Roman" w:hAnsi="Times New Roman" w:cs="Times New Roman" w:eastAsiaTheme="minorEastAsia"/>
                      <w:color w:val="auto"/>
                      <w:spacing w:val="-6"/>
                    </w:rPr>
                    <w:t>环境质量底线</w:t>
                  </w:r>
                </w:p>
              </w:tc>
              <w:tc>
                <w:tcPr>
                  <w:tcW w:w="5295" w:type="dxa"/>
                  <w:shd w:val="clear" w:color="auto" w:fill="auto"/>
                  <w:vAlign w:val="center"/>
                </w:tcPr>
                <w:p w14:paraId="27DE1C3A">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项目所在地声环境质量满足相应环境功能区划要求；</w:t>
                  </w:r>
                  <w:r>
                    <w:rPr>
                      <w:rFonts w:hint="default" w:ascii="Times New Roman" w:hAnsi="Times New Roman" w:cs="Times New Roman" w:eastAsiaTheme="minorEastAsia"/>
                      <w:color w:val="auto"/>
                      <w:szCs w:val="21"/>
                      <w:lang w:val="en-US" w:eastAsia="zh-CN"/>
                    </w:rPr>
                    <w:t>生活污水排入</w:t>
                  </w:r>
                  <w:r>
                    <w:rPr>
                      <w:rFonts w:hint="default" w:ascii="Times New Roman" w:hAnsi="Times New Roman" w:cs="Times New Roman" w:eastAsiaTheme="minorEastAsia"/>
                      <w:color w:val="auto"/>
                      <w:szCs w:val="21"/>
                      <w:lang w:val="zh-CN" w:eastAsia="zh-CN"/>
                    </w:rPr>
                    <w:t>厂区化粪池处理，定期清掏，用于附近农田施肥，对水环境影响较小，满足水环境质量要求；本项目主要污染物为非甲烷总烃，通过合理的治理后，不会对区域环境质量造成明显影响。</w:t>
                  </w:r>
                </w:p>
              </w:tc>
              <w:tc>
                <w:tcPr>
                  <w:tcW w:w="1131" w:type="dxa"/>
                  <w:shd w:val="clear" w:color="auto" w:fill="auto"/>
                  <w:vAlign w:val="center"/>
                </w:tcPr>
                <w:p w14:paraId="4685A6FE">
                  <w:pPr>
                    <w:keepNext w:val="0"/>
                    <w:keepLines w:val="0"/>
                    <w:pageBreakBefore w:val="0"/>
                    <w:widowControl w:val="0"/>
                    <w:kinsoku/>
                    <w:wordWrap/>
                    <w:overflowPunct/>
                    <w:topLinePunct w:val="0"/>
                    <w:autoSpaceDE/>
                    <w:autoSpaceDN/>
                    <w:bidi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highlight w:val="none"/>
                      <w:lang w:val="en-US" w:eastAsia="zh-CN" w:bidi="ar-SA"/>
                    </w:rPr>
                  </w:pPr>
                  <w:r>
                    <w:rPr>
                      <w:rFonts w:hint="default" w:ascii="Times New Roman" w:hAnsi="Times New Roman" w:cs="Times New Roman" w:eastAsiaTheme="minorEastAsia"/>
                      <w:color w:val="auto"/>
                      <w:spacing w:val="-6"/>
                      <w:highlight w:val="none"/>
                      <w:lang w:eastAsia="zh-CN"/>
                    </w:rPr>
                    <w:t>符合</w:t>
                  </w:r>
                </w:p>
              </w:tc>
            </w:tr>
            <w:tr w14:paraId="54E76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763" w:type="dxa"/>
                  <w:shd w:val="clear" w:color="auto" w:fill="auto"/>
                  <w:vAlign w:val="center"/>
                </w:tcPr>
                <w:p w14:paraId="6C477EB8">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4"/>
                      <w:lang w:val="en-US" w:eastAsia="zh-CN" w:bidi="ar-SA"/>
                    </w:rPr>
                  </w:pPr>
                  <w:r>
                    <w:rPr>
                      <w:rFonts w:hint="default" w:ascii="Times New Roman" w:hAnsi="Times New Roman" w:cs="Times New Roman" w:eastAsiaTheme="minorEastAsia"/>
                      <w:color w:val="auto"/>
                      <w:spacing w:val="-6"/>
                    </w:rPr>
                    <w:t>资源利用上线</w:t>
                  </w:r>
                </w:p>
              </w:tc>
              <w:tc>
                <w:tcPr>
                  <w:tcW w:w="5295" w:type="dxa"/>
                  <w:shd w:val="clear" w:color="auto" w:fill="auto"/>
                  <w:vAlign w:val="center"/>
                </w:tcPr>
                <w:p w14:paraId="57AE49BA">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本项目主要能耗为水、电，项目所在区域电能和水资源供应充足。项目资源利用量相对区域资源利用总量占比较小，通过内部管理、设备选择、原材料的选用及管理、污染治理等多方面采取合理可行的措施，以"节能、降耗、减污"为目标，有效控制污染，不触及资源利用上线。</w:t>
                  </w:r>
                </w:p>
              </w:tc>
              <w:tc>
                <w:tcPr>
                  <w:tcW w:w="1131" w:type="dxa"/>
                  <w:shd w:val="clear" w:color="auto" w:fill="auto"/>
                  <w:vAlign w:val="center"/>
                </w:tcPr>
                <w:p w14:paraId="734AE8BC">
                  <w:pPr>
                    <w:keepNext w:val="0"/>
                    <w:keepLines w:val="0"/>
                    <w:pageBreakBefore w:val="0"/>
                    <w:widowControl w:val="0"/>
                    <w:kinsoku/>
                    <w:wordWrap/>
                    <w:overflowPunct/>
                    <w:topLinePunct w:val="0"/>
                    <w:autoSpaceDE/>
                    <w:autoSpaceDN/>
                    <w:bidi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4"/>
                      <w:highlight w:val="none"/>
                      <w:lang w:val="en-US" w:eastAsia="zh-CN" w:bidi="ar-SA"/>
                    </w:rPr>
                  </w:pPr>
                  <w:r>
                    <w:rPr>
                      <w:rFonts w:hint="default" w:ascii="Times New Roman" w:hAnsi="Times New Roman" w:cs="Times New Roman" w:eastAsiaTheme="minorEastAsia"/>
                      <w:color w:val="auto"/>
                      <w:spacing w:val="-6"/>
                      <w:highlight w:val="none"/>
                      <w:lang w:eastAsia="zh-CN"/>
                    </w:rPr>
                    <w:t>符合</w:t>
                  </w:r>
                </w:p>
              </w:tc>
            </w:tr>
            <w:tr w14:paraId="56897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763" w:type="dxa"/>
                  <w:shd w:val="clear" w:color="auto" w:fill="auto"/>
                  <w:vAlign w:val="center"/>
                </w:tcPr>
                <w:p w14:paraId="35262971">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lang w:val="en-US" w:eastAsia="zh-CN" w:bidi="ar-SA"/>
                    </w:rPr>
                  </w:pPr>
                  <w:r>
                    <w:rPr>
                      <w:rFonts w:hint="default" w:ascii="Times New Roman" w:hAnsi="Times New Roman" w:cs="Times New Roman" w:eastAsiaTheme="minorEastAsia"/>
                      <w:color w:val="auto"/>
                      <w:spacing w:val="-6"/>
                      <w:lang w:eastAsia="zh-CN"/>
                    </w:rPr>
                    <w:t>生态环境准入清单</w:t>
                  </w:r>
                </w:p>
              </w:tc>
              <w:tc>
                <w:tcPr>
                  <w:tcW w:w="5295" w:type="dxa"/>
                  <w:shd w:val="clear" w:color="auto" w:fill="auto"/>
                  <w:vAlign w:val="center"/>
                </w:tcPr>
                <w:p w14:paraId="78B4C5C6">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项目不属于</w:t>
                  </w:r>
                  <w:r>
                    <w:rPr>
                      <w:rFonts w:hint="default" w:ascii="Times New Roman" w:hAnsi="Times New Roman" w:cs="Times New Roman" w:eastAsiaTheme="minorEastAsia"/>
                      <w:color w:val="auto"/>
                      <w:szCs w:val="21"/>
                      <w:lang w:val="en-US" w:eastAsia="zh-CN"/>
                    </w:rPr>
                    <w:t>《产业结构调整指导目录（2024年本）》中规定的鼓励类，限制类和淘汰类项目；经查阅，本项目不属于《市场准入负面清单（2025年版）》中禁止或许可准入类</w:t>
                  </w:r>
                  <w:r>
                    <w:rPr>
                      <w:rFonts w:hint="default" w:ascii="Times New Roman" w:hAnsi="Times New Roman" w:cs="Times New Roman" w:eastAsiaTheme="minorEastAsia"/>
                      <w:color w:val="auto"/>
                      <w:szCs w:val="21"/>
                      <w:lang w:val="zh-CN" w:eastAsia="zh-CN"/>
                    </w:rPr>
                    <w:t>。项目所在地不在《陕西省国家重点生态功能区产业准入负面清单(试行)》。</w:t>
                  </w:r>
                </w:p>
              </w:tc>
              <w:tc>
                <w:tcPr>
                  <w:tcW w:w="1131" w:type="dxa"/>
                  <w:shd w:val="clear" w:color="auto" w:fill="auto"/>
                  <w:vAlign w:val="center"/>
                </w:tcPr>
                <w:p w14:paraId="5E14CE12">
                  <w:pPr>
                    <w:keepNext w:val="0"/>
                    <w:keepLines w:val="0"/>
                    <w:pageBreakBefore w:val="0"/>
                    <w:widowControl w:val="0"/>
                    <w:kinsoku/>
                    <w:wordWrap/>
                    <w:overflowPunct/>
                    <w:topLinePunct w:val="0"/>
                    <w:autoSpaceDE/>
                    <w:autoSpaceDN/>
                    <w:bidi w:val="0"/>
                    <w:adjustRightInd w:val="0"/>
                    <w:snapToGrid/>
                    <w:spacing w:line="264" w:lineRule="auto"/>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符合</w:t>
                  </w:r>
                </w:p>
              </w:tc>
            </w:tr>
          </w:tbl>
          <w:p w14:paraId="5F8148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lang w:eastAsia="zh-CN"/>
              </w:rPr>
            </w:pPr>
          </w:p>
          <w:p w14:paraId="762AF3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eastAsia="zh-CN"/>
              </w:rPr>
              <w:t>根据《陕西省“三线一单”生态环境分区管控应用技术指南：环境影响评价（试行）》，环评文件涉及“三线一单”生态环境分区管控符合性分析应采取“一图一表一说明”的表达方式，</w:t>
            </w:r>
            <w:r>
              <w:rPr>
                <w:rFonts w:hint="default" w:ascii="Times New Roman" w:hAnsi="Times New Roman" w:eastAsia="宋体" w:cs="Times New Roman"/>
                <w:color w:val="auto"/>
                <w:sz w:val="24"/>
                <w:lang w:val="en-US" w:eastAsia="zh-CN"/>
              </w:rPr>
              <w:t>对照分析结果，论证建设项目的符合性。</w:t>
            </w:r>
          </w:p>
          <w:p w14:paraId="10AE78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①一图：</w:t>
            </w:r>
          </w:p>
          <w:p w14:paraId="7F558672">
            <w:pPr>
              <w:numPr>
                <w:ilvl w:val="0"/>
                <w:numId w:val="0"/>
              </w:numPr>
              <w:spacing w:line="360" w:lineRule="auto"/>
              <w:ind w:firstLine="480" w:firstLineChars="200"/>
              <w:rPr>
                <w:rFonts w:hint="eastAsia" w:ascii="Times New Roman" w:hAnsi="Times New Roman" w:cs="Times New Roman"/>
                <w:b w:val="0"/>
                <w:bCs w:val="0"/>
                <w:color w:val="auto"/>
                <w:sz w:val="24"/>
                <w:szCs w:val="24"/>
                <w:highlight w:val="green"/>
                <w:lang w:val="en-US" w:eastAsia="zh-CN"/>
              </w:rPr>
            </w:pPr>
            <w:r>
              <w:rPr>
                <w:rFonts w:hint="default" w:ascii="Times New Roman" w:hAnsi="Times New Roman" w:eastAsia="宋体" w:cs="Times New Roman"/>
                <w:color w:val="auto"/>
                <w:sz w:val="24"/>
                <w:lang w:val="en-US" w:eastAsia="zh-CN"/>
              </w:rPr>
              <w:t>根据西安市生态环境保护委员会办公室关于印发《2023年西安市生态环境分区管控调整方案》的通知（市生态委办发〔2024〕16号），本项</w:t>
            </w:r>
            <w:r>
              <w:rPr>
                <w:rFonts w:hint="default" w:ascii="Times New Roman" w:hAnsi="Times New Roman" w:eastAsia="宋体" w:cs="Times New Roman"/>
                <w:color w:val="auto"/>
                <w:sz w:val="24"/>
                <w:highlight w:val="none"/>
                <w:lang w:val="en-US" w:eastAsia="zh-CN"/>
              </w:rPr>
              <w:t>目位于重点管控单元，本项目与西安市生态环境分区管控的</w:t>
            </w:r>
            <w:r>
              <w:rPr>
                <w:rFonts w:hint="default" w:ascii="Times New Roman" w:hAnsi="Times New Roman" w:cs="Times New Roman"/>
                <w:b w:val="0"/>
                <w:bCs w:val="0"/>
                <w:color w:val="auto"/>
                <w:sz w:val="24"/>
                <w:szCs w:val="24"/>
                <w:highlight w:val="none"/>
                <w:lang w:val="en-US" w:eastAsia="zh-CN"/>
              </w:rPr>
              <w:t>位置关系见图1-1</w:t>
            </w:r>
            <w:r>
              <w:rPr>
                <w:rFonts w:hint="eastAsia" w:ascii="Times New Roman" w:hAnsi="Times New Roman" w:cs="Times New Roman"/>
                <w:b w:val="0"/>
                <w:bCs w:val="0"/>
                <w:color w:val="auto"/>
                <w:sz w:val="24"/>
                <w:szCs w:val="24"/>
                <w:highlight w:val="none"/>
                <w:lang w:val="en-US" w:eastAsia="zh-CN"/>
              </w:rPr>
              <w:t>。</w:t>
            </w:r>
          </w:p>
          <w:p w14:paraId="2D51DB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②一表：</w:t>
            </w:r>
          </w:p>
          <w:p w14:paraId="13DD17A1">
            <w:pPr>
              <w:pStyle w:val="12"/>
              <w:numPr>
                <w:ilvl w:val="0"/>
                <w:numId w:val="0"/>
              </w:numPr>
              <w:spacing w:line="360" w:lineRule="auto"/>
              <w:ind w:firstLine="480" w:firstLineChars="200"/>
              <w:rPr>
                <w:rFonts w:hint="eastAsia" w:ascii="Times New Roman" w:hAnsi="Times New Roman" w:cs="Times New Roman"/>
                <w:b w:val="0"/>
                <w:bCs w:val="0"/>
                <w:color w:val="auto"/>
                <w:sz w:val="24"/>
                <w:szCs w:val="24"/>
                <w:highlight w:val="green"/>
                <w:lang w:val="en-US" w:eastAsia="zh-CN"/>
              </w:rPr>
            </w:pPr>
            <w:r>
              <w:rPr>
                <w:rFonts w:hint="default" w:ascii="Times New Roman" w:hAnsi="Times New Roman" w:eastAsia="宋体" w:cs="Times New Roman"/>
                <w:color w:val="auto"/>
                <w:kern w:val="2"/>
                <w:sz w:val="24"/>
                <w:szCs w:val="24"/>
                <w:lang w:val="en-US" w:eastAsia="zh-CN" w:bidi="ar-SA"/>
              </w:rPr>
              <w:t>根据《2023年西安市生态环境分区管控调整方案》（市生态委办发〔2024〕16号），本项目与西安市生态环境管控单元准入清单符合性分析见下表</w:t>
            </w:r>
            <w:r>
              <w:rPr>
                <w:rFonts w:hint="eastAsia" w:ascii="Times New Roman" w:hAnsi="Times New Roman" w:eastAsia="宋体" w:cs="Times New Roman"/>
                <w:color w:val="auto"/>
                <w:kern w:val="2"/>
                <w:sz w:val="24"/>
                <w:szCs w:val="24"/>
                <w:lang w:val="en-US" w:eastAsia="zh-CN" w:bidi="ar-SA"/>
              </w:rPr>
              <w:t>1-3</w:t>
            </w:r>
            <w:r>
              <w:rPr>
                <w:rFonts w:hint="default" w:ascii="Times New Roman" w:hAnsi="Times New Roman" w:eastAsia="宋体" w:cs="Times New Roman"/>
                <w:color w:val="auto"/>
                <w:kern w:val="2"/>
                <w:sz w:val="24"/>
                <w:szCs w:val="24"/>
                <w:lang w:val="en-US" w:eastAsia="zh-CN" w:bidi="ar-SA"/>
              </w:rPr>
              <w:t>。</w:t>
            </w:r>
          </w:p>
          <w:p w14:paraId="50671CA9">
            <w:pPr>
              <w:numPr>
                <w:ilvl w:val="0"/>
                <w:numId w:val="0"/>
              </w:numPr>
              <w:spacing w:line="360" w:lineRule="auto"/>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inline distT="0" distB="0" distL="114300" distR="114300">
                  <wp:extent cx="4524375" cy="6410325"/>
                  <wp:effectExtent l="0" t="0" r="9525" b="9525"/>
                  <wp:docPr id="26" name="图片 26" descr="冲突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冲突图"/>
                          <pic:cNvPicPr>
                            <a:picLocks noChangeAspect="1"/>
                          </pic:cNvPicPr>
                        </pic:nvPicPr>
                        <pic:blipFill>
                          <a:blip r:embed="rId8"/>
                          <a:stretch>
                            <a:fillRect/>
                          </a:stretch>
                        </pic:blipFill>
                        <pic:spPr>
                          <a:xfrm>
                            <a:off x="0" y="0"/>
                            <a:ext cx="4524375" cy="6410325"/>
                          </a:xfrm>
                          <a:prstGeom prst="rect">
                            <a:avLst/>
                          </a:prstGeom>
                        </pic:spPr>
                      </pic:pic>
                    </a:graphicData>
                  </a:graphic>
                </wp:inline>
              </w:drawing>
            </w:r>
          </w:p>
          <w:p w14:paraId="3F5F4C68">
            <w:pPr>
              <w:numPr>
                <w:ilvl w:val="0"/>
                <w:numId w:val="0"/>
              </w:numPr>
              <w:spacing w:line="360" w:lineRule="auto"/>
              <w:ind w:firstLine="422" w:firstLineChars="200"/>
              <w:jc w:val="center"/>
              <w:rPr>
                <w:rFonts w:hint="eastAsia" w:asciiTheme="majorEastAsia" w:hAnsiTheme="majorEastAsia" w:eastAsiaTheme="majorEastAsia" w:cstheme="majorEastAsia"/>
                <w:b/>
                <w:bCs/>
                <w:color w:val="auto"/>
                <w:lang w:val="en-US" w:eastAsia="zh-CN"/>
              </w:rPr>
            </w:pPr>
            <w:r>
              <w:rPr>
                <w:rFonts w:hint="default" w:ascii="Times New Roman" w:hAnsi="Times New Roman" w:cs="Times New Roman" w:eastAsiaTheme="majorEastAsia"/>
                <w:b/>
                <w:bCs/>
                <w:color w:val="auto"/>
                <w:lang w:val="en-US" w:eastAsia="zh-CN"/>
              </w:rPr>
              <w:t>图1-1 本项目与陕西省“三线一单”生态环境管控单元对照图</w:t>
            </w:r>
          </w:p>
          <w:p w14:paraId="6C3A41E6">
            <w:pPr>
              <w:autoSpaceDE w:val="0"/>
              <w:autoSpaceDN w:val="0"/>
              <w:adjustRightInd w:val="0"/>
              <w:snapToGrid w:val="0"/>
              <w:jc w:val="both"/>
              <w:rPr>
                <w:color w:val="auto"/>
                <w:kern w:val="0"/>
                <w:sz w:val="24"/>
              </w:rPr>
            </w:pPr>
          </w:p>
        </w:tc>
      </w:tr>
    </w:tbl>
    <w:p w14:paraId="00F15BEA">
      <w:pPr>
        <w:spacing w:line="360" w:lineRule="auto"/>
        <w:outlineLvl w:val="0"/>
        <w:rPr>
          <w:rFonts w:eastAsia="黑体"/>
          <w:color w:val="0000FF"/>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13652"/>
      </w:tblGrid>
      <w:tr w14:paraId="717603A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c>
          <w:tcPr>
            <w:tcW w:w="13652" w:type="dxa"/>
            <w:noWrap w:val="0"/>
            <w:vAlign w:val="top"/>
          </w:tcPr>
          <w:p w14:paraId="74BBC7F5">
            <w:pPr>
              <w:pStyle w:val="12"/>
              <w:numPr>
                <w:ilvl w:val="0"/>
                <w:numId w:val="0"/>
              </w:numPr>
              <w:spacing w:line="360" w:lineRule="auto"/>
              <w:ind w:firstLine="422" w:firstLineChars="200"/>
              <w:jc w:val="center"/>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000000"/>
                <w:sz w:val="21"/>
                <w:szCs w:val="21"/>
              </w:rPr>
              <mc:AlternateContent>
                <mc:Choice Requires="wps">
                  <w:drawing>
                    <wp:anchor distT="0" distB="0" distL="114300" distR="114300" simplePos="0" relativeHeight="251661312" behindDoc="0" locked="0" layoutInCell="1" allowOverlap="1">
                      <wp:simplePos x="0" y="0"/>
                      <wp:positionH relativeFrom="column">
                        <wp:posOffset>515620</wp:posOffset>
                      </wp:positionH>
                      <wp:positionV relativeFrom="paragraph">
                        <wp:posOffset>1424305</wp:posOffset>
                      </wp:positionV>
                      <wp:extent cx="914400" cy="609600"/>
                      <wp:effectExtent l="4445" t="4445" r="2433955" b="205105"/>
                      <wp:wrapNone/>
                      <wp:docPr id="13" name="线形标注 2 13"/>
                      <wp:cNvGraphicFramePr/>
                      <a:graphic xmlns:a="http://schemas.openxmlformats.org/drawingml/2006/main">
                        <a:graphicData uri="http://schemas.microsoft.com/office/word/2010/wordprocessingShape">
                          <wps:wsp>
                            <wps:cNvSpPr/>
                            <wps:spPr>
                              <a:xfrm>
                                <a:off x="0" y="0"/>
                                <a:ext cx="914400" cy="609600"/>
                              </a:xfrm>
                              <a:prstGeom prst="borderCallout2">
                                <a:avLst>
                                  <a:gd name="adj1" fmla="val 18769"/>
                                  <a:gd name="adj2" fmla="val 108407"/>
                                  <a:gd name="adj3" fmla="val 15940"/>
                                  <a:gd name="adj4" fmla="val 180139"/>
                                  <a:gd name="adj5" fmla="val 131875"/>
                                  <a:gd name="adj6" fmla="val 364514"/>
                                </a:avLst>
                              </a:prstGeom>
                              <a:solidFill>
                                <a:srgbClr val="FFFFFF"/>
                              </a:solidFill>
                              <a:ln w="9525" cap="flat" cmpd="sng">
                                <a:solidFill>
                                  <a:srgbClr val="000000"/>
                                </a:solidFill>
                                <a:prstDash val="solid"/>
                                <a:miter/>
                                <a:headEnd type="none" w="med" len="med"/>
                                <a:tailEnd type="none" w="med" len="med"/>
                              </a:ln>
                            </wps:spPr>
                            <wps:txbx>
                              <w:txbxContent>
                                <w:p w14:paraId="002B71D0">
                                  <w:pPr>
                                    <w:rPr>
                                      <w:rFonts w:hint="eastAsia" w:eastAsia="宋体"/>
                                      <w:lang w:val="en-US" w:eastAsia="zh-CN"/>
                                    </w:rPr>
                                  </w:pPr>
                                  <w:r>
                                    <w:rPr>
                                      <w:rFonts w:hint="eastAsia"/>
                                      <w:lang w:val="en-US" w:eastAsia="zh-CN"/>
                                    </w:rPr>
                                    <w:t>本项目</w:t>
                                  </w:r>
                                </w:p>
                              </w:txbxContent>
                            </wps:txbx>
                            <wps:bodyPr upright="1"/>
                          </wps:wsp>
                        </a:graphicData>
                      </a:graphic>
                    </wp:anchor>
                  </w:drawing>
                </mc:Choice>
                <mc:Fallback>
                  <w:pict>
                    <v:shape id="_x0000_s1026" o:spid="_x0000_s1026" o:spt="48" type="#_x0000_t48" style="position:absolute;left:0pt;margin-left:40.6pt;margin-top:112.15pt;height:48pt;width:72pt;z-index:251661312;mso-width-relative:page;mso-height-relative:page;" fillcolor="#FFFFFF" filled="t" stroked="t" coordsize="21600,21600" o:gfxdata="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NdR6OTZAAAACgEAAA8AAAAAAAAAAQAgAAAAIgAAAGRycy9kb3ducmV2LnhtbFBLAQIUABQA&#10;AAAIAIdO4kCsswXVYQIAACEFAAAOAAAAAAAAAAEAIAAAACgBAABkcnMvZTJvRG9jLnhtbFBLBQYA&#10;AAAABgAGAFkBAAD7BQAAAAA=&#10;" adj="78735,28485,38910,3443,23416,4054">
                      <v:fill on="t" focussize="0,0"/>
                      <v:stroke color="#000000" joinstyle="miter"/>
                      <v:imagedata o:title=""/>
                      <o:lock v:ext="edit" aspectratio="f"/>
                      <v:textbox>
                        <w:txbxContent>
                          <w:p w14:paraId="002B71D0">
                            <w:pPr>
                              <w:rPr>
                                <w:rFonts w:hint="eastAsia" w:eastAsia="宋体"/>
                                <w:lang w:val="en-US" w:eastAsia="zh-CN"/>
                              </w:rPr>
                            </w:pPr>
                            <w:r>
                              <w:rPr>
                                <w:rFonts w:hint="eastAsia"/>
                                <w:lang w:val="en-US" w:eastAsia="zh-CN"/>
                              </w:rPr>
                              <w:t>本项目</w:t>
                            </w:r>
                          </w:p>
                        </w:txbxContent>
                      </v:textbox>
                    </v:shape>
                  </w:pict>
                </mc:Fallback>
              </mc:AlternateContent>
            </w:r>
            <w:r>
              <w:rPr>
                <w:rFonts w:hint="eastAsia" w:asciiTheme="majorEastAsia" w:hAnsiTheme="majorEastAsia" w:eastAsiaTheme="majorEastAsia" w:cstheme="majorEastAsia"/>
                <w:b/>
                <w:bCs/>
                <w:color w:val="000000"/>
                <w:sz w:val="21"/>
                <w:szCs w:val="21"/>
                <w:lang w:val="en-US" w:eastAsia="zh-CN"/>
              </w:rPr>
              <w:t>图1-2 本项目与西安市环境管控单元对照图</w:t>
            </w:r>
            <w:r>
              <w:rPr>
                <w:rFonts w:hint="eastAsia" w:asciiTheme="majorEastAsia" w:hAnsiTheme="majorEastAsia" w:eastAsiaTheme="majorEastAsia" w:cstheme="majorEastAsia"/>
                <w:b/>
                <w:bCs/>
                <w:color w:val="000000"/>
                <w:sz w:val="21"/>
                <w:szCs w:val="21"/>
              </w:rPr>
              <w:drawing>
                <wp:anchor distT="0" distB="0" distL="114300" distR="114300" simplePos="0" relativeHeight="251660288" behindDoc="0" locked="0" layoutInCell="1" allowOverlap="1">
                  <wp:simplePos x="0" y="0"/>
                  <wp:positionH relativeFrom="page">
                    <wp:posOffset>0</wp:posOffset>
                  </wp:positionH>
                  <wp:positionV relativeFrom="page">
                    <wp:posOffset>204470</wp:posOffset>
                  </wp:positionV>
                  <wp:extent cx="8589010" cy="4972685"/>
                  <wp:effectExtent l="0" t="0" r="2540" b="18415"/>
                  <wp:wrapSquare wrapText="bothSides"/>
                  <wp:docPr id="7" name="图片 1" descr="C:\Users\lenovo\AppData\Local\Temp\Rar$DIa0.832\31西安环境管控单元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C:\Users\lenovo\AppData\Local\Temp\Rar$DIa0.832\31西安环境管控单元图.jpg"/>
                          <pic:cNvPicPr>
                            <a:picLocks noChangeAspect="1"/>
                          </pic:cNvPicPr>
                        </pic:nvPicPr>
                        <pic:blipFill>
                          <a:blip r:embed="rId9"/>
                          <a:srcRect l="1596" t="977" r="1691" b="2592"/>
                          <a:stretch>
                            <a:fillRect/>
                          </a:stretch>
                        </pic:blipFill>
                        <pic:spPr>
                          <a:xfrm>
                            <a:off x="0" y="0"/>
                            <a:ext cx="8589010" cy="4972685"/>
                          </a:xfrm>
                          <a:prstGeom prst="rect">
                            <a:avLst/>
                          </a:prstGeom>
                          <a:noFill/>
                          <a:ln>
                            <a:noFill/>
                          </a:ln>
                        </pic:spPr>
                      </pic:pic>
                    </a:graphicData>
                  </a:graphic>
                </wp:anchor>
              </w:drawing>
            </w:r>
          </w:p>
          <w:p w14:paraId="4BE7BCAF">
            <w:pPr>
              <w:pStyle w:val="12"/>
              <w:numPr>
                <w:ilvl w:val="0"/>
                <w:numId w:val="0"/>
              </w:numPr>
              <w:spacing w:line="360" w:lineRule="auto"/>
              <w:ind w:firstLine="422" w:firstLineChars="200"/>
              <w:jc w:val="center"/>
              <w:rPr>
                <w:rFonts w:hint="eastAsia" w:asciiTheme="majorEastAsia" w:hAnsiTheme="majorEastAsia" w:eastAsiaTheme="majorEastAsia" w:cstheme="majorEastAsia"/>
                <w:b/>
                <w:bCs/>
                <w:color w:val="000000"/>
                <w:kern w:val="0"/>
                <w:sz w:val="21"/>
                <w:szCs w:val="21"/>
                <w:lang w:val="en-US" w:eastAsia="zh-CN" w:bidi="ar"/>
              </w:rPr>
            </w:pPr>
            <w:bookmarkStart w:id="3" w:name="_Toc28423"/>
            <w:r>
              <w:rPr>
                <w:rFonts w:hint="eastAsia" w:asciiTheme="majorEastAsia" w:hAnsiTheme="majorEastAsia" w:eastAsiaTheme="majorEastAsia" w:cstheme="majorEastAsia"/>
                <w:b/>
                <w:bCs/>
                <w:color w:val="000000"/>
                <w:kern w:val="0"/>
                <w:sz w:val="21"/>
                <w:szCs w:val="21"/>
                <w:lang w:val="en-US" w:eastAsia="zh-CN" w:bidi="ar"/>
              </w:rPr>
              <w:t>表1-3 本项目与西安市生态环境管控单元准入清单符合性分析</w:t>
            </w:r>
            <w:bookmarkEnd w:id="3"/>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771"/>
              <w:gridCol w:w="827"/>
              <w:gridCol w:w="6921"/>
              <w:gridCol w:w="916"/>
              <w:gridCol w:w="2267"/>
              <w:gridCol w:w="846"/>
            </w:tblGrid>
            <w:tr w14:paraId="287EB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tcBorders>
                    <w:tl2br w:val="nil"/>
                    <w:tr2bl w:val="nil"/>
                  </w:tcBorders>
                  <w:noWrap w:val="0"/>
                  <w:vAlign w:val="center"/>
                </w:tcPr>
                <w:p w14:paraId="611D42DD">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环境管控单元名称</w:t>
                  </w:r>
                </w:p>
              </w:tc>
              <w:tc>
                <w:tcPr>
                  <w:tcW w:w="287" w:type="pct"/>
                  <w:tcBorders>
                    <w:tl2br w:val="nil"/>
                    <w:tr2bl w:val="nil"/>
                  </w:tcBorders>
                  <w:noWrap w:val="0"/>
                  <w:vAlign w:val="center"/>
                </w:tcPr>
                <w:p w14:paraId="1C7B6EC1">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val="en-US" w:eastAsia="zh-CN"/>
                    </w:rPr>
                    <w:t>管控维度</w:t>
                  </w:r>
                </w:p>
              </w:tc>
              <w:tc>
                <w:tcPr>
                  <w:tcW w:w="2885" w:type="pct"/>
                  <w:gridSpan w:val="2"/>
                  <w:tcBorders>
                    <w:tl2br w:val="nil"/>
                    <w:tr2bl w:val="nil"/>
                  </w:tcBorders>
                  <w:noWrap w:val="0"/>
                  <w:vAlign w:val="center"/>
                </w:tcPr>
                <w:p w14:paraId="40742C50">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管控要求</w:t>
                  </w:r>
                </w:p>
              </w:tc>
              <w:tc>
                <w:tcPr>
                  <w:tcW w:w="341" w:type="pct"/>
                  <w:tcBorders>
                    <w:tl2br w:val="nil"/>
                    <w:tr2bl w:val="nil"/>
                  </w:tcBorders>
                  <w:noWrap w:val="0"/>
                  <w:vAlign w:val="center"/>
                </w:tcPr>
                <w:p w14:paraId="3306365F">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面积</w:t>
                  </w:r>
                </w:p>
                <w:p w14:paraId="0AFDE317">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/长度</w:t>
                  </w:r>
                </w:p>
              </w:tc>
              <w:tc>
                <w:tcPr>
                  <w:tcW w:w="844" w:type="pct"/>
                  <w:tcBorders>
                    <w:tl2br w:val="nil"/>
                    <w:tr2bl w:val="nil"/>
                  </w:tcBorders>
                  <w:noWrap w:val="0"/>
                  <w:vAlign w:val="center"/>
                </w:tcPr>
                <w:p w14:paraId="5F17EB6A">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val="en-US" w:eastAsia="zh-CN"/>
                    </w:rPr>
                    <w:t>本</w:t>
                  </w:r>
                  <w:r>
                    <w:rPr>
                      <w:rFonts w:hint="default" w:ascii="Times New Roman" w:hAnsi="Times New Roman" w:eastAsia="宋体" w:cs="Times New Roman"/>
                      <w:b/>
                      <w:bCs/>
                      <w:color w:val="000000"/>
                      <w:sz w:val="21"/>
                      <w:szCs w:val="21"/>
                      <w:lang w:eastAsia="zh-CN"/>
                    </w:rPr>
                    <w:t>项目</w:t>
                  </w:r>
                </w:p>
                <w:p w14:paraId="1B2E553B">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情况</w:t>
                  </w:r>
                </w:p>
              </w:tc>
              <w:tc>
                <w:tcPr>
                  <w:tcW w:w="315" w:type="pct"/>
                  <w:tcBorders>
                    <w:tl2br w:val="nil"/>
                    <w:tr2bl w:val="nil"/>
                  </w:tcBorders>
                  <w:noWrap w:val="0"/>
                  <w:vAlign w:val="center"/>
                </w:tcPr>
                <w:p w14:paraId="34833538">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符合性</w:t>
                  </w:r>
                </w:p>
              </w:tc>
            </w:tr>
            <w:tr w14:paraId="44F55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326" w:type="pct"/>
                  <w:vMerge w:val="restart"/>
                  <w:tcBorders>
                    <w:tl2br w:val="nil"/>
                    <w:tr2bl w:val="nil"/>
                  </w:tcBorders>
                  <w:noWrap w:val="0"/>
                  <w:vAlign w:val="center"/>
                </w:tcPr>
                <w:p w14:paraId="4BCD900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陕西省咸阳市泾阳县重点管控单元11（西咸新区）</w:t>
                  </w:r>
                </w:p>
                <w:p w14:paraId="55AA0E3E">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287" w:type="pct"/>
                  <w:vMerge w:val="restart"/>
                  <w:tcBorders>
                    <w:tl2br w:val="nil"/>
                    <w:tr2bl w:val="nil"/>
                  </w:tcBorders>
                  <w:noWrap w:val="0"/>
                  <w:vAlign w:val="center"/>
                </w:tcPr>
                <w:p w14:paraId="224116C8">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大气环境受体敏感重点管控区、</w:t>
                  </w:r>
                  <w:r>
                    <w:rPr>
                      <w:rFonts w:hint="default" w:ascii="Times New Roman" w:hAnsi="Times New Roman" w:cs="Times New Roman" w:eastAsiaTheme="minorEastAsia"/>
                      <w:color w:val="auto"/>
                      <w:sz w:val="21"/>
                      <w:szCs w:val="21"/>
                      <w:lang w:val="zh-CN" w:eastAsia="zh-CN"/>
                    </w:rPr>
                    <w:t>水环境城镇生活污染重点管控区、高污染燃料禁燃重点</w:t>
                  </w:r>
                  <w:r>
                    <w:rPr>
                      <w:rFonts w:hint="default" w:ascii="Times New Roman" w:hAnsi="Times New Roman" w:cs="Times New Roman" w:eastAsiaTheme="minorEastAsia"/>
                      <w:color w:val="auto"/>
                      <w:sz w:val="21"/>
                      <w:szCs w:val="21"/>
                      <w:lang w:val="en-US" w:eastAsia="zh-CN"/>
                    </w:rPr>
                    <w:t>管</w:t>
                  </w:r>
                  <w:r>
                    <w:rPr>
                      <w:rFonts w:hint="default" w:ascii="Times New Roman" w:hAnsi="Times New Roman" w:cs="Times New Roman" w:eastAsiaTheme="minorEastAsia"/>
                      <w:color w:val="auto"/>
                      <w:sz w:val="21"/>
                      <w:szCs w:val="21"/>
                      <w:lang w:val="zh-CN" w:eastAsia="zh-CN"/>
                    </w:rPr>
                    <w:t>控区</w:t>
                  </w:r>
                </w:p>
              </w:tc>
              <w:tc>
                <w:tcPr>
                  <w:tcW w:w="308" w:type="pct"/>
                  <w:tcBorders>
                    <w:tl2br w:val="nil"/>
                    <w:tr2bl w:val="nil"/>
                  </w:tcBorders>
                  <w:noWrap w:val="0"/>
                  <w:vAlign w:val="center"/>
                </w:tcPr>
                <w:p w14:paraId="3D7FD75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eastAsia="zh-CN"/>
                    </w:rPr>
                    <w:t>空间约束要求</w:t>
                  </w:r>
                </w:p>
              </w:tc>
              <w:tc>
                <w:tcPr>
                  <w:tcW w:w="2576" w:type="pct"/>
                  <w:tcBorders>
                    <w:tl2br w:val="nil"/>
                    <w:tr2bl w:val="nil"/>
                  </w:tcBorders>
                  <w:noWrap w:val="0"/>
                  <w:vAlign w:val="center"/>
                </w:tcPr>
                <w:p w14:paraId="222F50CB">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大气环境受体敏感重点管控区：</w:t>
                  </w:r>
                </w:p>
                <w:p w14:paraId="588CFBC2">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1.严格控制新增《陕西省“两高”项目管理暂行目录》行业项目（民生等项目除外，后续对“两高”范围国家如有新规定的，从其规定）。</w:t>
                  </w:r>
                </w:p>
                <w:p w14:paraId="6C89DFF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2.推动重污染企业搬迁入园或依法关闭。</w:t>
                  </w:r>
                </w:p>
              </w:tc>
              <w:tc>
                <w:tcPr>
                  <w:tcW w:w="341" w:type="pct"/>
                  <w:vMerge w:val="restart"/>
                  <w:tcBorders>
                    <w:tl2br w:val="nil"/>
                    <w:tr2bl w:val="nil"/>
                  </w:tcBorders>
                  <w:noWrap w:val="0"/>
                  <w:vAlign w:val="center"/>
                </w:tcPr>
                <w:p w14:paraId="269E93EC">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2000m</w:t>
                  </w:r>
                  <w:r>
                    <w:rPr>
                      <w:rFonts w:hint="default" w:ascii="Times New Roman" w:hAnsi="Times New Roman" w:cs="Times New Roman" w:eastAsiaTheme="minorEastAsia"/>
                      <w:color w:val="auto"/>
                      <w:sz w:val="21"/>
                      <w:szCs w:val="21"/>
                      <w:vertAlign w:val="superscript"/>
                      <w:lang w:val="en-US" w:eastAsia="zh-CN"/>
                    </w:rPr>
                    <w:t>2</w:t>
                  </w:r>
                </w:p>
              </w:tc>
              <w:tc>
                <w:tcPr>
                  <w:tcW w:w="844" w:type="pct"/>
                  <w:tcBorders>
                    <w:tl2br w:val="nil"/>
                    <w:tr2bl w:val="nil"/>
                  </w:tcBorders>
                  <w:noWrap w:val="0"/>
                  <w:vAlign w:val="center"/>
                </w:tcPr>
                <w:p w14:paraId="00599DEC">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lang w:val="zh-CN" w:eastAsia="zh-CN"/>
                    </w:rPr>
                    <w:t>本项目为</w:t>
                  </w:r>
                  <w:r>
                    <w:rPr>
                      <w:rFonts w:hint="default" w:ascii="Times New Roman" w:hAnsi="Times New Roman" w:cs="Times New Roman" w:eastAsiaTheme="minorEastAsia"/>
                      <w:color w:val="auto"/>
                      <w:sz w:val="21"/>
                      <w:szCs w:val="21"/>
                      <w:highlight w:val="none"/>
                      <w:lang w:val="en-US" w:eastAsia="zh-CN"/>
                    </w:rPr>
                    <w:t>塑料管制造项目</w:t>
                  </w:r>
                  <w:r>
                    <w:rPr>
                      <w:rFonts w:hint="default" w:ascii="Times New Roman" w:hAnsi="Times New Roman" w:cs="Times New Roman" w:eastAsiaTheme="minorEastAsia"/>
                      <w:color w:val="auto"/>
                      <w:sz w:val="21"/>
                      <w:szCs w:val="21"/>
                      <w:lang w:val="zh-CN" w:eastAsia="zh-CN"/>
                    </w:rPr>
                    <w:t>，不属于禁止类项目；</w:t>
                  </w:r>
                </w:p>
                <w:p w14:paraId="3B20556B">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lang w:val="zh-CN" w:eastAsia="zh-CN"/>
                    </w:rPr>
                    <w:t>本项目不属于</w:t>
                  </w:r>
                  <w:r>
                    <w:rPr>
                      <w:rFonts w:hint="default" w:ascii="Times New Roman" w:hAnsi="Times New Roman" w:cs="Times New Roman" w:eastAsiaTheme="minorEastAsia"/>
                      <w:color w:val="auto"/>
                      <w:sz w:val="21"/>
                      <w:szCs w:val="21"/>
                      <w:lang w:val="en-US" w:eastAsia="zh-CN"/>
                    </w:rPr>
                    <w:t>重污染企业。</w:t>
                  </w:r>
                </w:p>
              </w:tc>
              <w:tc>
                <w:tcPr>
                  <w:tcW w:w="315" w:type="pct"/>
                  <w:tcBorders>
                    <w:tl2br w:val="nil"/>
                    <w:tr2bl w:val="nil"/>
                  </w:tcBorders>
                  <w:noWrap w:val="0"/>
                  <w:vAlign w:val="center"/>
                </w:tcPr>
                <w:p w14:paraId="40FD97B3">
                  <w:pPr>
                    <w:keepNext w:val="0"/>
                    <w:keepLines w:val="0"/>
                    <w:pageBreakBefore w:val="0"/>
                    <w:widowControl w:val="0"/>
                    <w:kinsoku/>
                    <w:wordWrap/>
                    <w:overflowPunct/>
                    <w:topLinePunct w:val="0"/>
                    <w:autoSpaceDE w:val="0"/>
                    <w:autoSpaceDN w:val="0"/>
                    <w:bidi w:val="0"/>
                    <w:adjustRightInd w:val="0"/>
                    <w:snapToGrid w:val="0"/>
                    <w:spacing w:line="264" w:lineRule="auto"/>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符合</w:t>
                  </w:r>
                </w:p>
              </w:tc>
            </w:tr>
            <w:tr w14:paraId="463E7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tcBorders>
                    <w:tl2br w:val="nil"/>
                    <w:tr2bl w:val="nil"/>
                  </w:tcBorders>
                  <w:noWrap w:val="0"/>
                  <w:vAlign w:val="center"/>
                </w:tcPr>
                <w:p w14:paraId="02499F8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287" w:type="pct"/>
                  <w:vMerge w:val="continue"/>
                  <w:tcBorders>
                    <w:tl2br w:val="nil"/>
                    <w:tr2bl w:val="nil"/>
                  </w:tcBorders>
                  <w:noWrap w:val="0"/>
                  <w:vAlign w:val="center"/>
                </w:tcPr>
                <w:p w14:paraId="5C4D7F1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308" w:type="pct"/>
                  <w:tcBorders>
                    <w:tl2br w:val="nil"/>
                    <w:tr2bl w:val="nil"/>
                  </w:tcBorders>
                  <w:noWrap w:val="0"/>
                  <w:vAlign w:val="center"/>
                </w:tcPr>
                <w:p w14:paraId="2CC16FD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eastAsia="zh-CN"/>
                    </w:rPr>
                    <w:t>污染物排放管控</w:t>
                  </w:r>
                </w:p>
              </w:tc>
              <w:tc>
                <w:tcPr>
                  <w:tcW w:w="2576" w:type="pct"/>
                  <w:tcBorders>
                    <w:tl2br w:val="nil"/>
                    <w:tr2bl w:val="nil"/>
                  </w:tcBorders>
                  <w:noWrap w:val="0"/>
                  <w:vAlign w:val="center"/>
                </w:tcPr>
                <w:p w14:paraId="5D2B806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大气环境受体敏感重点管控区：1.城市建成区产生油烟的餐饮服务单位全部安装油烟净化装置并保持正常运行和定期维护。2.持续因地制宜实施“煤改气”“油改气”、电能、地热、生物质等清洁能源取暖措施。3.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41" w:type="pct"/>
                  <w:vMerge w:val="continue"/>
                  <w:tcBorders>
                    <w:tl2br w:val="nil"/>
                    <w:tr2bl w:val="nil"/>
                  </w:tcBorders>
                  <w:noWrap w:val="0"/>
                  <w:vAlign w:val="center"/>
                </w:tcPr>
                <w:p w14:paraId="1972F19E">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844" w:type="pct"/>
                  <w:tcBorders>
                    <w:tl2br w:val="nil"/>
                    <w:tr2bl w:val="nil"/>
                  </w:tcBorders>
                  <w:noWrap w:val="0"/>
                  <w:vAlign w:val="center"/>
                </w:tcPr>
                <w:p w14:paraId="2D08A788">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1、本项目采用电作为能源</w:t>
                  </w:r>
                  <w:r>
                    <w:rPr>
                      <w:rFonts w:hint="default" w:ascii="Times New Roman" w:hAnsi="Times New Roman" w:cs="Times New Roman" w:eastAsiaTheme="minorEastAsia"/>
                      <w:color w:val="auto"/>
                      <w:sz w:val="21"/>
                      <w:szCs w:val="21"/>
                      <w:lang w:val="zh-CN" w:eastAsia="zh-CN"/>
                    </w:rPr>
                    <w:t>；</w:t>
                  </w:r>
                </w:p>
                <w:p w14:paraId="39CAE82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2、本项目厂区内不涉及</w:t>
                  </w:r>
                  <w:r>
                    <w:rPr>
                      <w:rFonts w:hint="default" w:ascii="Times New Roman" w:hAnsi="Times New Roman" w:cs="Times New Roman" w:eastAsiaTheme="minorEastAsia"/>
                      <w:color w:val="auto"/>
                      <w:sz w:val="21"/>
                      <w:szCs w:val="21"/>
                      <w:lang w:val="zh-CN" w:eastAsia="zh-CN"/>
                    </w:rPr>
                    <w:t>非道路移动机械；</w:t>
                  </w:r>
                </w:p>
                <w:p w14:paraId="546B9110">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zh-CN" w:eastAsia="zh-CN"/>
                    </w:rPr>
                    <w:t>3、</w:t>
                  </w:r>
                  <w:r>
                    <w:rPr>
                      <w:rFonts w:hint="default" w:ascii="Times New Roman" w:hAnsi="Times New Roman" w:cs="Times New Roman" w:eastAsiaTheme="minorEastAsia"/>
                      <w:color w:val="auto"/>
                      <w:sz w:val="21"/>
                      <w:szCs w:val="21"/>
                      <w:lang w:val="en-US" w:eastAsia="zh-CN"/>
                    </w:rPr>
                    <w:t>本</w:t>
                  </w:r>
                  <w:r>
                    <w:rPr>
                      <w:rFonts w:hint="default" w:ascii="Times New Roman" w:hAnsi="Times New Roman" w:cs="Times New Roman" w:eastAsiaTheme="minorEastAsia"/>
                      <w:color w:val="auto"/>
                      <w:sz w:val="21"/>
                      <w:szCs w:val="21"/>
                      <w:highlight w:val="none"/>
                      <w:lang w:val="en-US" w:eastAsia="zh-CN"/>
                    </w:rPr>
                    <w:t>项目生活污水经化粪池收集后定期清掏，后用于农田施肥。</w:t>
                  </w:r>
                </w:p>
              </w:tc>
              <w:tc>
                <w:tcPr>
                  <w:tcW w:w="315" w:type="pct"/>
                  <w:tcBorders>
                    <w:tl2br w:val="nil"/>
                    <w:tr2bl w:val="nil"/>
                  </w:tcBorders>
                  <w:noWrap w:val="0"/>
                  <w:vAlign w:val="center"/>
                </w:tcPr>
                <w:p w14:paraId="2F245B38">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符合</w:t>
                  </w:r>
                </w:p>
              </w:tc>
            </w:tr>
            <w:tr w14:paraId="5EA1F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tcBorders>
                    <w:tl2br w:val="nil"/>
                    <w:tr2bl w:val="nil"/>
                  </w:tcBorders>
                  <w:noWrap w:val="0"/>
                  <w:vAlign w:val="center"/>
                </w:tcPr>
                <w:p w14:paraId="5705393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287" w:type="pct"/>
                  <w:vMerge w:val="continue"/>
                  <w:tcBorders>
                    <w:tl2br w:val="nil"/>
                    <w:tr2bl w:val="nil"/>
                  </w:tcBorders>
                  <w:noWrap w:val="0"/>
                  <w:vAlign w:val="center"/>
                </w:tcPr>
                <w:p w14:paraId="25C76F1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308" w:type="pct"/>
                  <w:tcBorders>
                    <w:tl2br w:val="nil"/>
                    <w:tr2bl w:val="nil"/>
                  </w:tcBorders>
                  <w:noWrap w:val="0"/>
                  <w:vAlign w:val="center"/>
                </w:tcPr>
                <w:p w14:paraId="4E60AFF4">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资源开发效率要求</w:t>
                  </w:r>
                </w:p>
              </w:tc>
              <w:tc>
                <w:tcPr>
                  <w:tcW w:w="2576" w:type="pct"/>
                  <w:tcBorders>
                    <w:tl2br w:val="nil"/>
                    <w:tr2bl w:val="nil"/>
                  </w:tcBorders>
                  <w:noWrap w:val="0"/>
                  <w:vAlign w:val="center"/>
                </w:tcPr>
                <w:p w14:paraId="24FD1A00">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高污染燃料禁燃区：严格禁燃区管控。市区和南六县市全域及北五县市城镇周边划定为高污染燃料禁燃区，禁止销售、使用煤炭及其制品等高污染燃料（35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w:t>
                  </w:r>
                </w:p>
                <w:p w14:paraId="231AD3C2">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源头杜绝散煤销售。</w:t>
                  </w:r>
                </w:p>
              </w:tc>
              <w:tc>
                <w:tcPr>
                  <w:tcW w:w="341" w:type="pct"/>
                  <w:vMerge w:val="continue"/>
                  <w:tcBorders>
                    <w:tl2br w:val="nil"/>
                    <w:tr2bl w:val="nil"/>
                  </w:tcBorders>
                  <w:noWrap w:val="0"/>
                  <w:vAlign w:val="center"/>
                </w:tcPr>
                <w:p w14:paraId="2FAD32A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844" w:type="pct"/>
                  <w:tcBorders>
                    <w:tl2br w:val="nil"/>
                    <w:tr2bl w:val="nil"/>
                  </w:tcBorders>
                  <w:noWrap w:val="0"/>
                  <w:vAlign w:val="center"/>
                </w:tcPr>
                <w:p w14:paraId="488FC5E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eastAsia="zh-CN"/>
                    </w:rPr>
                    <w:t>本项目</w:t>
                  </w:r>
                  <w:r>
                    <w:rPr>
                      <w:rFonts w:hint="default" w:ascii="Times New Roman" w:hAnsi="Times New Roman" w:cs="Times New Roman" w:eastAsiaTheme="minorEastAsia"/>
                      <w:color w:val="auto"/>
                      <w:sz w:val="21"/>
                      <w:szCs w:val="21"/>
                      <w:lang w:val="en-US" w:eastAsia="zh-CN"/>
                    </w:rPr>
                    <w:t>采用电作为能源，不涉及燃煤、生物质的使用。</w:t>
                  </w:r>
                </w:p>
              </w:tc>
              <w:tc>
                <w:tcPr>
                  <w:tcW w:w="315" w:type="pct"/>
                  <w:tcBorders>
                    <w:tl2br w:val="nil"/>
                    <w:tr2bl w:val="nil"/>
                  </w:tcBorders>
                  <w:noWrap w:val="0"/>
                  <w:vAlign w:val="center"/>
                </w:tcPr>
                <w:p w14:paraId="7C09D2DB">
                  <w:pPr>
                    <w:pStyle w:val="33"/>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符合</w:t>
                  </w:r>
                </w:p>
              </w:tc>
            </w:tr>
          </w:tbl>
          <w:p w14:paraId="7D6062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③一说明：</w:t>
            </w:r>
          </w:p>
          <w:p w14:paraId="105EC4C9">
            <w:pPr>
              <w:numPr>
                <w:ilvl w:val="0"/>
                <w:numId w:val="0"/>
              </w:numPr>
              <w:spacing w:line="360" w:lineRule="auto"/>
              <w:ind w:leftChars="200"/>
              <w:rPr>
                <w:rFonts w:hint="default" w:ascii="Times New Roman" w:hAnsi="Times New Roman" w:cs="Times New Roman"/>
                <w:b/>
                <w:bCs/>
                <w:color w:val="000000"/>
                <w:sz w:val="24"/>
                <w:szCs w:val="24"/>
                <w:lang w:val="en-US" w:eastAsia="zh-CN"/>
              </w:rPr>
            </w:pPr>
            <w:r>
              <w:rPr>
                <w:rFonts w:ascii="宋体" w:hAnsi="宋体" w:eastAsia="宋体" w:cs="宋体"/>
                <w:sz w:val="24"/>
                <w:szCs w:val="24"/>
              </w:rPr>
              <w:t>指的是依据“一图”和“一表”结果，论证规划或建设项目符合性的说明。</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1"/>
              <w:gridCol w:w="6812"/>
              <w:gridCol w:w="2133"/>
            </w:tblGrid>
            <w:tr w14:paraId="2B76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24FFFE48">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对照分析</w:t>
                  </w:r>
                </w:p>
              </w:tc>
              <w:tc>
                <w:tcPr>
                  <w:tcW w:w="6812" w:type="dxa"/>
                  <w:tcBorders>
                    <w:tl2br w:val="nil"/>
                    <w:tr2bl w:val="nil"/>
                  </w:tcBorders>
                  <w:noWrap w:val="0"/>
                  <w:vAlign w:val="center"/>
                </w:tcPr>
                <w:p w14:paraId="755DBA4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本项目情况</w:t>
                  </w:r>
                </w:p>
              </w:tc>
              <w:tc>
                <w:tcPr>
                  <w:tcW w:w="2133" w:type="dxa"/>
                  <w:tcBorders>
                    <w:tl2br w:val="nil"/>
                    <w:tr2bl w:val="nil"/>
                  </w:tcBorders>
                  <w:noWrap w:val="0"/>
                  <w:vAlign w:val="center"/>
                </w:tcPr>
                <w:p w14:paraId="6230AED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符合性</w:t>
                  </w:r>
                </w:p>
              </w:tc>
            </w:tr>
            <w:tr w14:paraId="7712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510E0C0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各类生态环境敏感区对照分析</w:t>
                  </w:r>
                </w:p>
              </w:tc>
              <w:tc>
                <w:tcPr>
                  <w:tcW w:w="6812" w:type="dxa"/>
                  <w:tcBorders>
                    <w:tl2br w:val="nil"/>
                    <w:tr2bl w:val="nil"/>
                  </w:tcBorders>
                  <w:noWrap w:val="0"/>
                  <w:vAlign w:val="center"/>
                </w:tcPr>
                <w:p w14:paraId="18E1E97B">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根据“一图”可知，本项目不涉及生态环境敏感区。</w:t>
                  </w:r>
                </w:p>
              </w:tc>
              <w:tc>
                <w:tcPr>
                  <w:tcW w:w="2133" w:type="dxa"/>
                  <w:tcBorders>
                    <w:tl2br w:val="nil"/>
                    <w:tr2bl w:val="nil"/>
                  </w:tcBorders>
                  <w:noWrap w:val="0"/>
                  <w:vAlign w:val="center"/>
                </w:tcPr>
                <w:p w14:paraId="5B2DD2B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9DA6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4461" w:type="dxa"/>
                  <w:tcBorders>
                    <w:tl2br w:val="nil"/>
                    <w:tr2bl w:val="nil"/>
                  </w:tcBorders>
                  <w:noWrap w:val="0"/>
                  <w:vAlign w:val="center"/>
                </w:tcPr>
                <w:p w14:paraId="3CBD9FB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环境管控单元对照分析</w:t>
                  </w:r>
                </w:p>
              </w:tc>
              <w:tc>
                <w:tcPr>
                  <w:tcW w:w="6812" w:type="dxa"/>
                  <w:tcBorders>
                    <w:tl2br w:val="nil"/>
                    <w:tr2bl w:val="nil"/>
                  </w:tcBorders>
                  <w:noWrap w:val="0"/>
                  <w:vAlign w:val="center"/>
                </w:tcPr>
                <w:p w14:paraId="18A61FD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根据“一图”可知，本项目位于重点管控单元</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根据“一表”可知本项目重点管控单元面积为</w:t>
                  </w:r>
                  <w:r>
                    <w:rPr>
                      <w:rFonts w:hint="eastAsia" w:cs="Times New Roman"/>
                      <w:color w:val="auto"/>
                      <w:sz w:val="21"/>
                      <w:szCs w:val="21"/>
                      <w:lang w:val="en-US" w:eastAsia="zh-CN"/>
                    </w:rPr>
                    <w:t>2000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，同时满足重点管控单元管控措施要求。</w:t>
                  </w:r>
                </w:p>
              </w:tc>
              <w:tc>
                <w:tcPr>
                  <w:tcW w:w="2133" w:type="dxa"/>
                  <w:tcBorders>
                    <w:tl2br w:val="nil"/>
                    <w:tr2bl w:val="nil"/>
                  </w:tcBorders>
                  <w:noWrap w:val="0"/>
                  <w:vAlign w:val="center"/>
                </w:tcPr>
                <w:p w14:paraId="1DDF2CE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4C81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1CBFF2C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未纳入环境管控单元的要素分区对照分析</w:t>
                  </w:r>
                </w:p>
              </w:tc>
              <w:tc>
                <w:tcPr>
                  <w:tcW w:w="6812" w:type="dxa"/>
                  <w:tcBorders>
                    <w:tl2br w:val="nil"/>
                    <w:tr2bl w:val="nil"/>
                  </w:tcBorders>
                  <w:noWrap w:val="0"/>
                  <w:vAlign w:val="center"/>
                </w:tcPr>
                <w:p w14:paraId="4EA3927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2133" w:type="dxa"/>
                  <w:tcBorders>
                    <w:tl2br w:val="nil"/>
                    <w:tr2bl w:val="nil"/>
                  </w:tcBorders>
                  <w:noWrap w:val="0"/>
                  <w:vAlign w:val="center"/>
                </w:tcPr>
                <w:p w14:paraId="49E216B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14:paraId="623CE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2C55283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其他对照分析</w:t>
                  </w:r>
                </w:p>
              </w:tc>
              <w:tc>
                <w:tcPr>
                  <w:tcW w:w="6812" w:type="dxa"/>
                  <w:tcBorders>
                    <w:tl2br w:val="nil"/>
                    <w:tr2bl w:val="nil"/>
                  </w:tcBorders>
                  <w:noWrap w:val="0"/>
                  <w:vAlign w:val="center"/>
                </w:tcPr>
                <w:p w14:paraId="5EF2D90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2133" w:type="dxa"/>
                  <w:tcBorders>
                    <w:tl2br w:val="nil"/>
                    <w:tr2bl w:val="nil"/>
                  </w:tcBorders>
                  <w:noWrap w:val="0"/>
                  <w:vAlign w:val="center"/>
                </w:tcPr>
                <w:p w14:paraId="537D2B0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bl>
          <w:p w14:paraId="599ECB1D">
            <w:pPr>
              <w:keepNext w:val="0"/>
              <w:keepLines w:val="0"/>
              <w:pageBreakBefore w:val="0"/>
              <w:widowControl w:val="0"/>
              <w:kinsoku/>
              <w:wordWrap/>
              <w:overflowPunct/>
              <w:topLinePunct w:val="0"/>
              <w:autoSpaceDE w:val="0"/>
              <w:autoSpaceDN w:val="0"/>
              <w:bidi w:val="0"/>
              <w:adjustRightInd w:val="0"/>
              <w:snapToGrid w:val="0"/>
              <w:spacing w:line="520" w:lineRule="exact"/>
              <w:ind w:firstLine="480" w:firstLineChars="200"/>
              <w:textAlignment w:val="auto"/>
              <w:rPr>
                <w:rFonts w:hint="eastAsia" w:ascii="黑体" w:hAnsi="黑体" w:eastAsia="黑体"/>
                <w:snapToGrid w:val="0"/>
                <w:color w:val="auto"/>
                <w:sz w:val="30"/>
                <w:szCs w:val="30"/>
                <w:vertAlign w:val="baseline"/>
              </w:rPr>
            </w:pPr>
            <w:r>
              <w:rPr>
                <w:rFonts w:hint="default" w:ascii="Times New Roman" w:hAnsi="Times New Roman" w:cs="Times New Roman"/>
                <w:color w:val="000000"/>
                <w:sz w:val="24"/>
                <w:szCs w:val="24"/>
                <w:lang w:val="en-US" w:eastAsia="zh-CN"/>
              </w:rPr>
              <w:t>综上所述，项目符合陕西省及</w:t>
            </w:r>
            <w:r>
              <w:rPr>
                <w:rFonts w:hint="eastAsia" w:ascii="Times New Roman" w:hAnsi="Times New Roman" w:cs="Times New Roman"/>
                <w:color w:val="000000"/>
                <w:sz w:val="24"/>
                <w:szCs w:val="24"/>
                <w:lang w:val="en-US" w:eastAsia="zh-CN"/>
              </w:rPr>
              <w:t>西安市</w:t>
            </w:r>
            <w:r>
              <w:rPr>
                <w:rFonts w:hint="default" w:ascii="Times New Roman" w:hAnsi="Times New Roman" w:cs="Times New Roman"/>
                <w:color w:val="000000"/>
                <w:sz w:val="24"/>
                <w:szCs w:val="24"/>
                <w:lang w:val="en-US" w:eastAsia="zh-CN"/>
              </w:rPr>
              <w:t>“三线一单”分区管控方案要求。</w:t>
            </w:r>
          </w:p>
        </w:tc>
      </w:tr>
    </w:tbl>
    <w:p w14:paraId="2C059722">
      <w:pPr>
        <w:pStyle w:val="21"/>
        <w:jc w:val="both"/>
        <w:outlineLvl w:val="0"/>
        <w:rPr>
          <w:rFonts w:hint="eastAsia" w:ascii="黑体" w:hAnsi="黑体" w:eastAsia="黑体"/>
          <w:snapToGrid w:val="0"/>
          <w:color w:val="auto"/>
          <w:sz w:val="30"/>
          <w:szCs w:val="30"/>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24"/>
        <w:tblpPr w:leftFromText="180" w:rightFromText="180" w:vertAnchor="text" w:horzAnchor="page" w:tblpX="1643" w:tblpY="11"/>
        <w:tblOverlap w:val="never"/>
        <w:tblW w:w="4779"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1"/>
        <w:gridCol w:w="8039"/>
      </w:tblGrid>
      <w:tr w14:paraId="5BA4EF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74" w:hRule="atLeast"/>
        </w:trPr>
        <w:tc>
          <w:tcPr>
            <w:tcW w:w="358" w:type="pct"/>
            <w:noWrap w:val="0"/>
            <w:vAlign w:val="center"/>
          </w:tcPr>
          <w:p w14:paraId="122DDE77">
            <w:pPr>
              <w:autoSpaceDE w:val="0"/>
              <w:autoSpaceDN w:val="0"/>
              <w:adjustRightInd w:val="0"/>
              <w:snapToGrid w:val="0"/>
              <w:jc w:val="center"/>
              <w:rPr>
                <w:color w:val="auto"/>
                <w:kern w:val="0"/>
                <w:sz w:val="24"/>
              </w:rPr>
            </w:pPr>
            <w:r>
              <w:rPr>
                <w:color w:val="auto"/>
                <w:kern w:val="0"/>
                <w:sz w:val="24"/>
              </w:rPr>
              <w:t>其他符合性分析</w:t>
            </w:r>
          </w:p>
        </w:tc>
        <w:tc>
          <w:tcPr>
            <w:tcW w:w="4641" w:type="pct"/>
            <w:noWrap w:val="0"/>
            <w:vAlign w:val="center"/>
          </w:tcPr>
          <w:p w14:paraId="6BE3FB82">
            <w:pPr>
              <w:numPr>
                <w:ilvl w:val="0"/>
                <w:numId w:val="0"/>
              </w:numPr>
              <w:spacing w:line="360" w:lineRule="auto"/>
              <w:ind w:leftChars="0"/>
              <w:rPr>
                <w:b/>
                <w:bCs/>
                <w:color w:val="auto"/>
                <w:sz w:val="24"/>
              </w:rPr>
            </w:pPr>
            <w:r>
              <w:rPr>
                <w:b/>
                <w:bCs/>
                <w:color w:val="auto"/>
                <w:sz w:val="24"/>
              </w:rPr>
              <w:t>4、</w:t>
            </w:r>
            <w:r>
              <w:rPr>
                <w:rFonts w:hint="default" w:ascii="Times New Roman" w:hAnsi="Times New Roman" w:cs="Times New Roman"/>
                <w:b/>
                <w:bCs/>
                <w:color w:val="000000"/>
                <w:sz w:val="24"/>
                <w:szCs w:val="24"/>
                <w:lang w:val="en-US" w:eastAsia="zh-CN"/>
              </w:rPr>
              <w:t>与相关环保政策符合性分析</w:t>
            </w:r>
          </w:p>
          <w:p w14:paraId="5AABA5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2" w:firstLineChars="200"/>
              <w:jc w:val="center"/>
              <w:textAlignment w:val="auto"/>
              <w:rPr>
                <w:rFonts w:hint="eastAsia" w:asciiTheme="majorEastAsia" w:hAnsiTheme="majorEastAsia" w:eastAsiaTheme="majorEastAsia" w:cstheme="majorEastAsia"/>
                <w:b/>
                <w:bCs/>
                <w:color w:val="000000"/>
                <w:sz w:val="21"/>
                <w:szCs w:val="21"/>
                <w:lang w:val="en-US" w:eastAsia="zh-CN"/>
              </w:rPr>
            </w:pPr>
            <w:r>
              <w:rPr>
                <w:rFonts w:hint="eastAsia" w:asciiTheme="majorEastAsia" w:hAnsiTheme="majorEastAsia" w:eastAsiaTheme="majorEastAsia" w:cstheme="majorEastAsia"/>
                <w:b/>
                <w:bCs/>
                <w:color w:val="000000"/>
                <w:lang w:val="en-US" w:eastAsia="zh-CN"/>
              </w:rPr>
              <w:t>表1-4  本项目与相关环保政策符合性分析</w:t>
            </w:r>
          </w:p>
          <w:tbl>
            <w:tblPr>
              <w:tblStyle w:val="25"/>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3831"/>
              <w:gridCol w:w="1932"/>
              <w:gridCol w:w="741"/>
            </w:tblGrid>
            <w:tr w14:paraId="06BA2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24" w:type="pct"/>
                  <w:noWrap w:val="0"/>
                  <w:vAlign w:val="center"/>
                </w:tcPr>
                <w:p w14:paraId="457B33A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文件名称</w:t>
                  </w:r>
                </w:p>
              </w:tc>
              <w:tc>
                <w:tcPr>
                  <w:tcW w:w="2459" w:type="pct"/>
                  <w:noWrap w:val="0"/>
                  <w:vAlign w:val="center"/>
                </w:tcPr>
                <w:p w14:paraId="3F57538F">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相关内容</w:t>
                  </w:r>
                </w:p>
              </w:tc>
              <w:tc>
                <w:tcPr>
                  <w:tcW w:w="1240" w:type="pct"/>
                  <w:noWrap w:val="0"/>
                  <w:vAlign w:val="center"/>
                </w:tcPr>
                <w:p w14:paraId="50322E4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475" w:type="pct"/>
                  <w:noWrap w:val="0"/>
                  <w:vAlign w:val="center"/>
                </w:tcPr>
                <w:p w14:paraId="7CAF42E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相符性</w:t>
                  </w:r>
                </w:p>
              </w:tc>
            </w:tr>
            <w:tr w14:paraId="2B74E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7" w:hRule="atLeast"/>
                <w:jc w:val="center"/>
              </w:trPr>
              <w:tc>
                <w:tcPr>
                  <w:tcW w:w="824" w:type="pct"/>
                  <w:noWrap w:val="0"/>
                  <w:vAlign w:val="center"/>
                </w:tcPr>
                <w:p w14:paraId="18C44776">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highlight w:val="none"/>
                      <w:lang w:val="en-US" w:eastAsia="zh-CN"/>
                    </w:rPr>
                    <w:t>国务院《关于深入打好污染防治攻坚战的意见》</w:t>
                  </w:r>
                </w:p>
              </w:tc>
              <w:tc>
                <w:tcPr>
                  <w:tcW w:w="2459" w:type="pct"/>
                  <w:noWrap w:val="0"/>
                  <w:vAlign w:val="center"/>
                </w:tcPr>
                <w:p w14:paraId="04B8B52F">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color w:val="0D0D0D"/>
                      <w:kern w:val="24"/>
                      <w:sz w:val="21"/>
                      <w:szCs w:val="21"/>
                    </w:rPr>
                    <w:t>坚决遏制高耗能高排放项目盲目发展。重点区域严禁新增钢铁、焦化、水泥熟料、平板玻璃、电解铝、氧化铝、煤化工产能；严格执行钢铁、水泥、平板玻璃等行业产能置换实施办法</w:t>
                  </w:r>
                  <w:r>
                    <w:rPr>
                      <w:rFonts w:hint="default" w:ascii="Times New Roman" w:hAnsi="Times New Roman" w:cs="Times New Roman" w:eastAsiaTheme="minorEastAsia"/>
                      <w:color w:val="0D0D0D"/>
                      <w:kern w:val="24"/>
                      <w:sz w:val="21"/>
                      <w:szCs w:val="21"/>
                      <w:lang w:eastAsia="zh-CN"/>
                    </w:rPr>
                    <w:t>。</w:t>
                  </w:r>
                </w:p>
              </w:tc>
              <w:tc>
                <w:tcPr>
                  <w:tcW w:w="1240" w:type="pct"/>
                  <w:noWrap w:val="0"/>
                  <w:vAlign w:val="center"/>
                </w:tcPr>
                <w:p w14:paraId="315FD7FC">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highlight w:val="none"/>
                      <w:lang w:val="en-US" w:eastAsia="zh-CN"/>
                    </w:rPr>
                    <w:t>本项目为塑料管制造项目，不涉及新增钢铁、焦化、水泥熟料、平板玻璃、电解铝、氧化铝、煤化工产能过剩项目。</w:t>
                  </w:r>
                </w:p>
              </w:tc>
              <w:tc>
                <w:tcPr>
                  <w:tcW w:w="475" w:type="pct"/>
                  <w:noWrap w:val="0"/>
                  <w:vAlign w:val="center"/>
                </w:tcPr>
                <w:p w14:paraId="4B5B9C8E">
                  <w:pPr>
                    <w:keepNext w:val="0"/>
                    <w:keepLines w:val="0"/>
                    <w:pageBreakBefore w:val="0"/>
                    <w:kinsoku/>
                    <w:overflowPunct/>
                    <w:topLinePunct w:val="0"/>
                    <w:autoSpaceDE/>
                    <w:autoSpaceDN/>
                    <w:bidi w:val="0"/>
                    <w:spacing w:line="264" w:lineRule="auto"/>
                    <w:jc w:val="center"/>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color w:val="auto"/>
                      <w:sz w:val="21"/>
                      <w:szCs w:val="21"/>
                      <w:highlight w:val="none"/>
                      <w:lang w:val="en-US" w:eastAsia="zh-CN"/>
                    </w:rPr>
                    <w:t>符合</w:t>
                  </w:r>
                </w:p>
              </w:tc>
            </w:tr>
            <w:tr w14:paraId="417FB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0" w:hRule="atLeast"/>
                <w:jc w:val="center"/>
              </w:trPr>
              <w:tc>
                <w:tcPr>
                  <w:tcW w:w="824" w:type="pct"/>
                  <w:shd w:val="clear" w:color="auto" w:fill="auto"/>
                  <w:noWrap w:val="0"/>
                  <w:vAlign w:val="center"/>
                </w:tcPr>
                <w:p w14:paraId="03C2433F">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
                    </w:rPr>
                  </w:pPr>
                  <w:r>
                    <w:rPr>
                      <w:rFonts w:hint="default" w:ascii="Times New Roman" w:hAnsi="Times New Roman" w:cs="Times New Roman" w:eastAsiaTheme="minorEastAsia"/>
                      <w:color w:val="000000"/>
                      <w:kern w:val="21"/>
                      <w:sz w:val="21"/>
                      <w:szCs w:val="21"/>
                      <w:lang w:val="en"/>
                    </w:rPr>
                    <w:t>国务院关于印发《空气质量持续改善行动计划》的通知</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国发〔20</w:t>
                  </w:r>
                </w:p>
                <w:p w14:paraId="16966468">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
                    </w:rPr>
                    <w:t>23〕24号</w:t>
                  </w:r>
                  <w:r>
                    <w:rPr>
                      <w:rFonts w:hint="default" w:ascii="Times New Roman" w:hAnsi="Times New Roman" w:cs="Times New Roman" w:eastAsiaTheme="minorEastAsia"/>
                      <w:color w:val="000000"/>
                      <w:kern w:val="21"/>
                      <w:sz w:val="21"/>
                      <w:szCs w:val="21"/>
                      <w:lang w:val="en" w:eastAsia="zh-CN"/>
                    </w:rPr>
                    <w:t>）</w:t>
                  </w:r>
                </w:p>
              </w:tc>
              <w:tc>
                <w:tcPr>
                  <w:tcW w:w="2459" w:type="pct"/>
                  <w:shd w:val="clear" w:color="auto" w:fill="auto"/>
                  <w:noWrap w:val="0"/>
                  <w:vAlign w:val="center"/>
                </w:tcPr>
                <w:p w14:paraId="1C3742B2">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 w:eastAsia="zh-CN" w:bidi="ar-SA"/>
                    </w:rPr>
                  </w:pPr>
                  <w:r>
                    <w:rPr>
                      <w:rFonts w:hint="default" w:ascii="Times New Roman" w:hAnsi="Times New Roman" w:cs="Times New Roman" w:eastAsiaTheme="minorEastAsia"/>
                      <w:color w:val="000000"/>
                      <w:kern w:val="21"/>
                      <w:sz w:val="21"/>
                      <w:szCs w:val="21"/>
                      <w:lang w:val="en"/>
                    </w:rPr>
                    <w:t>（七）优化含VOCs原辅材料和产品结构。严格控制生产和使用高VOCs含量涂料、油墨、胶粘剂、清洗剂等建设项目，提高低（无）VOCs含量产品比重。实施源头替代工程，加大工业涂装、包装印刷和电子行业低（无）VOCs含量原辅材料替代力度。室外构筑物防护和城市道路交通标志推广使用低（无）VOCs含量涂料。在生产、销售、进口、使用等环节严格执行VOCs含量限值标准。</w:t>
                  </w:r>
                </w:p>
              </w:tc>
              <w:tc>
                <w:tcPr>
                  <w:tcW w:w="1240" w:type="pct"/>
                  <w:shd w:val="clear" w:color="auto" w:fill="auto"/>
                  <w:noWrap w:val="0"/>
                  <w:vAlign w:val="center"/>
                </w:tcPr>
                <w:p w14:paraId="03980A9E">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kern w:val="0"/>
                      <w:sz w:val="21"/>
                      <w:szCs w:val="21"/>
                      <w:lang w:val="en-US" w:eastAsia="zh-CN" w:bidi="ar"/>
                    </w:rPr>
                    <w:t>项目使用的原料常温储存过程中不会产生</w:t>
                  </w:r>
                  <w:r>
                    <w:rPr>
                      <w:rFonts w:hint="default" w:ascii="Times New Roman" w:hAnsi="Times New Roman" w:cs="Times New Roman" w:eastAsiaTheme="minorEastAsia"/>
                      <w:color w:val="000000"/>
                      <w:kern w:val="21"/>
                      <w:sz w:val="21"/>
                      <w:szCs w:val="21"/>
                      <w:highlight w:val="none"/>
                      <w:lang w:val="en-US" w:eastAsia="zh-CN"/>
                    </w:rPr>
                    <w:t>VOCs。</w:t>
                  </w:r>
                </w:p>
              </w:tc>
              <w:tc>
                <w:tcPr>
                  <w:tcW w:w="475" w:type="pct"/>
                  <w:shd w:val="clear" w:color="auto" w:fill="auto"/>
                  <w:noWrap w:val="0"/>
                  <w:vAlign w:val="center"/>
                </w:tcPr>
                <w:p w14:paraId="6D2D3A40">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sz w:val="21"/>
                      <w:szCs w:val="21"/>
                    </w:rPr>
                    <w:t>符合</w:t>
                  </w:r>
                </w:p>
              </w:tc>
            </w:tr>
            <w:tr w14:paraId="1BE9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824" w:type="pct"/>
                  <w:shd w:val="clear" w:color="auto" w:fill="auto"/>
                  <w:noWrap w:val="0"/>
                  <w:vAlign w:val="center"/>
                </w:tcPr>
                <w:p w14:paraId="4E1BA1E2">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
                    </w:rPr>
                  </w:pPr>
                  <w:r>
                    <w:rPr>
                      <w:rFonts w:hint="default" w:ascii="Times New Roman" w:hAnsi="Times New Roman" w:cs="Times New Roman" w:eastAsiaTheme="minorEastAsia"/>
                      <w:color w:val="000000"/>
                      <w:kern w:val="21"/>
                      <w:sz w:val="21"/>
                      <w:szCs w:val="21"/>
                      <w:lang w:val="en"/>
                    </w:rPr>
                    <w:t>陕西省关于贯彻落实《空气质量持续改善行动计划》的实施意见（2024</w:t>
                  </w:r>
                  <w:r>
                    <w:rPr>
                      <w:rFonts w:hint="default" w:ascii="Times New Roman" w:hAnsi="Times New Roman" w:cs="Times New Roman" w:eastAsiaTheme="minorEastAsia"/>
                      <w:color w:val="000000"/>
                      <w:kern w:val="21"/>
                      <w:sz w:val="21"/>
                      <w:szCs w:val="21"/>
                      <w:lang w:val="en-US" w:eastAsia="zh-CN"/>
                    </w:rPr>
                    <w:t>-</w:t>
                  </w:r>
                  <w:r>
                    <w:rPr>
                      <w:rFonts w:hint="default" w:ascii="Times New Roman" w:hAnsi="Times New Roman" w:cs="Times New Roman" w:eastAsiaTheme="minorEastAsia"/>
                      <w:color w:val="000000"/>
                      <w:kern w:val="21"/>
                      <w:sz w:val="21"/>
                      <w:szCs w:val="21"/>
                      <w:lang w:val="en"/>
                    </w:rPr>
                    <w:t>20</w:t>
                  </w:r>
                </w:p>
                <w:p w14:paraId="143C0282">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
                    </w:rPr>
                    <w:t>25年）</w:t>
                  </w:r>
                </w:p>
              </w:tc>
              <w:tc>
                <w:tcPr>
                  <w:tcW w:w="2459" w:type="pct"/>
                  <w:shd w:val="clear" w:color="auto" w:fill="auto"/>
                  <w:noWrap w:val="0"/>
                  <w:vAlign w:val="center"/>
                </w:tcPr>
                <w:p w14:paraId="7399944B">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 w:eastAsia="zh-CN" w:bidi="ar-SA"/>
                    </w:rPr>
                  </w:pPr>
                  <w:r>
                    <w:rPr>
                      <w:rFonts w:hint="default" w:ascii="Times New Roman" w:hAnsi="Times New Roman" w:cs="Times New Roman" w:eastAsiaTheme="minorEastAsia"/>
                      <w:color w:val="000000"/>
                      <w:kern w:val="21"/>
                      <w:sz w:val="21"/>
                      <w:szCs w:val="21"/>
                      <w:lang w:val="en-US" w:eastAsia="zh-CN"/>
                    </w:rPr>
                    <w:t>积极推进含VOCs原辅材料和产品源头替代。</w:t>
                  </w:r>
                  <w:r>
                    <w:rPr>
                      <w:rFonts w:hint="default" w:ascii="Times New Roman" w:hAnsi="Times New Roman" w:cs="Times New Roman" w:eastAsiaTheme="minorEastAsia"/>
                      <w:color w:val="000000"/>
                      <w:kern w:val="21"/>
                      <w:sz w:val="21"/>
                      <w:szCs w:val="21"/>
                      <w:lang w:val="en" w:eastAsia="zh-CN"/>
                    </w:rPr>
                    <w:t>严格控制生产和使用高VOCs含量涂料、油墨、胶粘剂、清洗剂等建设项目，提高低（无）VOCs含量产品比重。在生产、销售、进口、使用等环节严格执行VOCs含量限值标准。</w:t>
                  </w:r>
                  <w:r>
                    <w:rPr>
                      <w:rFonts w:hint="default" w:ascii="Times New Roman" w:hAnsi="Times New Roman" w:cs="Times New Roman" w:eastAsiaTheme="minorEastAsia"/>
                      <w:color w:val="000000"/>
                      <w:kern w:val="21"/>
                      <w:sz w:val="21"/>
                      <w:szCs w:val="21"/>
                      <w:lang w:val="en-US" w:eastAsia="zh-CN"/>
                    </w:rPr>
                    <w:t>全面推广使用低VOCs含量原辅材料，加大工业涂装、包装印刷和电子行业低</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US" w:eastAsia="zh-CN"/>
                    </w:rPr>
                    <w:t>无）VOCs含量原辅材料替代力度，各市</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US" w:eastAsia="zh-CN"/>
                    </w:rPr>
                    <w:t>区）应研究制定本辖区涉VOCs企业低VOCs原辅材料源头替代实施计划，做到应替尽替。</w:t>
                  </w:r>
                </w:p>
              </w:tc>
              <w:tc>
                <w:tcPr>
                  <w:tcW w:w="1240" w:type="pct"/>
                  <w:shd w:val="clear" w:color="auto" w:fill="auto"/>
                  <w:noWrap w:val="0"/>
                  <w:vAlign w:val="center"/>
                </w:tcPr>
                <w:p w14:paraId="4D9D73B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kern w:val="0"/>
                      <w:sz w:val="21"/>
                      <w:szCs w:val="21"/>
                      <w:lang w:val="en-US" w:eastAsia="zh-CN" w:bidi="ar"/>
                    </w:rPr>
                    <w:t>项目使用的原料常温储存过程中不会产生</w:t>
                  </w:r>
                  <w:r>
                    <w:rPr>
                      <w:rFonts w:hint="default" w:ascii="Times New Roman" w:hAnsi="Times New Roman" w:cs="Times New Roman" w:eastAsiaTheme="minorEastAsia"/>
                      <w:color w:val="000000"/>
                      <w:kern w:val="21"/>
                      <w:sz w:val="21"/>
                      <w:szCs w:val="21"/>
                      <w:highlight w:val="none"/>
                      <w:lang w:val="en-US" w:eastAsia="zh-CN"/>
                    </w:rPr>
                    <w:t>VOCs。</w:t>
                  </w:r>
                </w:p>
              </w:tc>
              <w:tc>
                <w:tcPr>
                  <w:tcW w:w="475" w:type="pct"/>
                  <w:shd w:val="clear" w:color="auto" w:fill="auto"/>
                  <w:noWrap w:val="0"/>
                  <w:vAlign w:val="center"/>
                </w:tcPr>
                <w:p w14:paraId="4A42AD30">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sz w:val="21"/>
                      <w:szCs w:val="21"/>
                    </w:rPr>
                    <w:t>符合</w:t>
                  </w:r>
                </w:p>
              </w:tc>
            </w:tr>
            <w:tr w14:paraId="3A4A9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2" w:hRule="atLeast"/>
                <w:jc w:val="center"/>
              </w:trPr>
              <w:tc>
                <w:tcPr>
                  <w:tcW w:w="824" w:type="pct"/>
                  <w:vMerge w:val="restart"/>
                  <w:noWrap w:val="0"/>
                  <w:vAlign w:val="center"/>
                </w:tcPr>
                <w:p w14:paraId="09C2B4BF">
                  <w:pPr>
                    <w:keepNext w:val="0"/>
                    <w:keepLines w:val="0"/>
                    <w:pageBreakBefore w:val="0"/>
                    <w:widowControl w:val="0"/>
                    <w:kinsoku/>
                    <w:wordWrap/>
                    <w:overflowPunct/>
                    <w:topLinePunct w:val="0"/>
                    <w:autoSpaceDE/>
                    <w:autoSpaceDN/>
                    <w:bidi w:val="0"/>
                    <w:adjustRightInd/>
                    <w:snapToGrid/>
                    <w:spacing w:line="264" w:lineRule="auto"/>
                    <w:jc w:val="left"/>
                    <w:textAlignment w:val="auto"/>
                    <w:rPr>
                      <w:rFonts w:hint="default" w:ascii="Times New Roman" w:hAnsi="Times New Roman" w:cs="Times New Roman" w:eastAsiaTheme="minorEastAsia"/>
                      <w:b/>
                      <w:bCs/>
                      <w:color w:val="E54C5E" w:themeColor="accent6"/>
                      <w:sz w:val="21"/>
                      <w:szCs w:val="21"/>
                      <w14:textFill>
                        <w14:solidFill>
                          <w14:schemeClr w14:val="accent6"/>
                        </w14:solidFill>
                      </w14:textFill>
                    </w:rPr>
                  </w:pPr>
                  <w:r>
                    <w:rPr>
                      <w:rFonts w:hint="default" w:ascii="Times New Roman" w:hAnsi="Times New Roman" w:cs="Times New Roman" w:eastAsiaTheme="minorEastAsia"/>
                      <w:color w:val="000000"/>
                      <w:kern w:val="21"/>
                      <w:sz w:val="21"/>
                      <w:szCs w:val="21"/>
                      <w:lang w:val="en"/>
                    </w:rPr>
                    <w:t>西安市人民政府关于印发</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十四五</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生态环境保护规划</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的通知（市政发〔2021〕21号）</w:t>
                  </w:r>
                </w:p>
              </w:tc>
              <w:tc>
                <w:tcPr>
                  <w:tcW w:w="2459" w:type="pct"/>
                  <w:noWrap w:val="0"/>
                  <w:vAlign w:val="center"/>
                </w:tcPr>
                <w:p w14:paraId="7AC5926F">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强化“三线一单”生态环境分区管控的 刚性约束和政策引领作用，建立以“三线一单”为核心的生态环境分区管控体系，严格推动“三线一单”在规划编制、 政策制定、园区管理、执法监管等方面 的应用。</w:t>
                  </w:r>
                </w:p>
              </w:tc>
              <w:tc>
                <w:tcPr>
                  <w:tcW w:w="1240" w:type="pct"/>
                  <w:noWrap w:val="0"/>
                  <w:vAlign w:val="center"/>
                </w:tcPr>
                <w:p w14:paraId="09B75BE7">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E54C5E" w:themeColor="accent6"/>
                      <w:sz w:val="21"/>
                      <w:szCs w:val="21"/>
                      <w14:textFill>
                        <w14:solidFill>
                          <w14:schemeClr w14:val="accent6"/>
                        </w14:solidFill>
                      </w14:textFill>
                    </w:rPr>
                  </w:pPr>
                  <w:r>
                    <w:rPr>
                      <w:rFonts w:hint="default" w:ascii="Times New Roman" w:hAnsi="Times New Roman" w:cs="Times New Roman" w:eastAsiaTheme="minorEastAsia"/>
                      <w:color w:val="auto"/>
                      <w:sz w:val="21"/>
                      <w:szCs w:val="21"/>
                      <w:highlight w:val="none"/>
                      <w:lang w:val="en-US" w:eastAsia="zh-CN"/>
                    </w:rPr>
                    <w:t>本项目符合“三线一单”要求</w:t>
                  </w:r>
                  <w:r>
                    <w:rPr>
                      <w:rFonts w:hint="default" w:ascii="Times New Roman" w:hAnsi="Times New Roman" w:cs="Times New Roman" w:eastAsiaTheme="minorEastAsia"/>
                      <w:sz w:val="21"/>
                      <w:szCs w:val="21"/>
                    </w:rPr>
                    <w:t>。</w:t>
                  </w:r>
                </w:p>
              </w:tc>
              <w:tc>
                <w:tcPr>
                  <w:tcW w:w="475" w:type="pct"/>
                  <w:noWrap w:val="0"/>
                  <w:vAlign w:val="center"/>
                </w:tcPr>
                <w:p w14:paraId="3405672D">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color w:val="auto"/>
                      <w:sz w:val="21"/>
                      <w:szCs w:val="21"/>
                      <w:highlight w:val="none"/>
                      <w:lang w:val="en-US" w:eastAsia="zh-CN"/>
                    </w:rPr>
                    <w:t>符合</w:t>
                  </w:r>
                </w:p>
              </w:tc>
            </w:tr>
            <w:tr w14:paraId="7641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824" w:type="pct"/>
                  <w:vMerge w:val="continue"/>
                  <w:noWrap w:val="0"/>
                  <w:vAlign w:val="center"/>
                </w:tcPr>
                <w:p w14:paraId="39A378FF">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E54C5E" w:themeColor="accent6"/>
                      <w:sz w:val="21"/>
                      <w:szCs w:val="21"/>
                      <w14:textFill>
                        <w14:solidFill>
                          <w14:schemeClr w14:val="accent6"/>
                        </w14:solidFill>
                      </w14:textFill>
                    </w:rPr>
                  </w:pPr>
                </w:p>
              </w:tc>
              <w:tc>
                <w:tcPr>
                  <w:tcW w:w="2459" w:type="pct"/>
                  <w:noWrap w:val="0"/>
                  <w:vAlign w:val="center"/>
                </w:tcPr>
                <w:p w14:paraId="7F5EE8D7">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E54C5E" w:themeColor="accent6"/>
                      <w:sz w:val="21"/>
                      <w:szCs w:val="21"/>
                      <w14:textFill>
                        <w14:solidFill>
                          <w14:schemeClr w14:val="accent6"/>
                        </w14:solidFill>
                      </w14:textFill>
                    </w:rPr>
                  </w:pPr>
                  <w:r>
                    <w:rPr>
                      <w:rFonts w:hint="default" w:ascii="Times New Roman" w:hAnsi="Times New Roman" w:cs="Times New Roman" w:eastAsiaTheme="minorEastAsia"/>
                      <w:color w:val="auto"/>
                      <w:sz w:val="21"/>
                      <w:szCs w:val="21"/>
                      <w:highlight w:val="none"/>
                      <w:lang w:val="en-US" w:eastAsia="zh-CN"/>
                    </w:rPr>
                    <w:t>强化VOCs 综合整治。将挥发性有机物 纳入污染物排放总量控制体系，有效减少重点污染源、全社会挥发性有机物和NOx排放总量。</w:t>
                  </w:r>
                </w:p>
              </w:tc>
              <w:tc>
                <w:tcPr>
                  <w:tcW w:w="1240" w:type="pct"/>
                  <w:noWrap w:val="0"/>
                  <w:vAlign w:val="center"/>
                </w:tcPr>
                <w:p w14:paraId="18F66D0B">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E54C5E" w:themeColor="accent6"/>
                      <w:sz w:val="21"/>
                      <w:szCs w:val="21"/>
                      <w14:textFill>
                        <w14:solidFill>
                          <w14:schemeClr w14:val="accent6"/>
                        </w14:solidFill>
                      </w14:textFill>
                    </w:rPr>
                  </w:pPr>
                  <w:r>
                    <w:rPr>
                      <w:rFonts w:hint="default" w:ascii="Times New Roman" w:hAnsi="Times New Roman" w:cs="Times New Roman" w:eastAsiaTheme="minorEastAsia"/>
                      <w:color w:val="auto"/>
                      <w:sz w:val="21"/>
                      <w:szCs w:val="21"/>
                      <w:highlight w:val="none"/>
                      <w:lang w:val="en-US" w:eastAsia="zh-CN"/>
                    </w:rPr>
                    <w:t>项目运营期挥发性有机物产生量较小，经</w:t>
                  </w:r>
                  <w:r>
                    <w:rPr>
                      <w:rFonts w:hint="default" w:ascii="Times New Roman" w:hAnsi="Times New Roman" w:cs="Times New Roman" w:eastAsiaTheme="minorEastAsia"/>
                      <w:color w:val="0D0D0D"/>
                      <w:kern w:val="24"/>
                      <w:sz w:val="21"/>
                      <w:szCs w:val="21"/>
                      <w:highlight w:val="none"/>
                    </w:rPr>
                    <w:t>集气罩收集</w:t>
                  </w:r>
                  <w:r>
                    <w:rPr>
                      <w:rFonts w:hint="default" w:ascii="Times New Roman" w:hAnsi="Times New Roman" w:cs="Times New Roman" w:eastAsiaTheme="minorEastAsia"/>
                      <w:kern w:val="0"/>
                      <w:sz w:val="21"/>
                      <w:szCs w:val="21"/>
                      <w:highlight w:val="none"/>
                    </w:rPr>
                    <w:t>+二级活性炭</w:t>
                  </w:r>
                  <w:r>
                    <w:rPr>
                      <w:rFonts w:hint="default" w:ascii="Times New Roman" w:hAnsi="Times New Roman" w:cs="Times New Roman" w:eastAsiaTheme="minorEastAsia"/>
                      <w:color w:val="0D0D0D"/>
                      <w:kern w:val="24"/>
                      <w:sz w:val="21"/>
                      <w:szCs w:val="21"/>
                      <w:highlight w:val="none"/>
                    </w:rPr>
                    <w:t>吸附</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D0D0D"/>
                      <w:kern w:val="24"/>
                      <w:sz w:val="21"/>
                      <w:szCs w:val="21"/>
                    </w:rPr>
                    <w:t>处理</w:t>
                  </w:r>
                  <w:r>
                    <w:rPr>
                      <w:rFonts w:hint="default" w:ascii="Times New Roman" w:hAnsi="Times New Roman" w:cs="Times New Roman" w:eastAsiaTheme="minorEastAsia"/>
                      <w:sz w:val="21"/>
                      <w:szCs w:val="21"/>
                    </w:rPr>
                    <w:t>。</w:t>
                  </w:r>
                </w:p>
              </w:tc>
              <w:tc>
                <w:tcPr>
                  <w:tcW w:w="475" w:type="pct"/>
                  <w:noWrap w:val="0"/>
                  <w:vAlign w:val="center"/>
                </w:tcPr>
                <w:p w14:paraId="3B5529F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6D2A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4" w:hRule="atLeast"/>
                <w:jc w:val="center"/>
              </w:trPr>
              <w:tc>
                <w:tcPr>
                  <w:tcW w:w="824" w:type="pct"/>
                  <w:vMerge w:val="restart"/>
                  <w:shd w:val="clear" w:color="auto" w:fill="auto"/>
                  <w:noWrap w:val="0"/>
                  <w:vAlign w:val="center"/>
                </w:tcPr>
                <w:p w14:paraId="7ED38A7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
                    </w:rPr>
                  </w:pPr>
                  <w:r>
                    <w:rPr>
                      <w:rFonts w:hint="default" w:ascii="Times New Roman" w:hAnsi="Times New Roman" w:cs="Times New Roman" w:eastAsiaTheme="minorEastAsia"/>
                      <w:color w:val="000000"/>
                      <w:kern w:val="21"/>
                      <w:sz w:val="21"/>
                      <w:szCs w:val="21"/>
                      <w:lang w:val="en"/>
                    </w:rPr>
                    <w:t>生态环境部关于印发《重点行业挥发性有机物综合治理方案》的通知</w:t>
                  </w:r>
                </w:p>
                <w:p w14:paraId="590A3B1F">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环大气〔2019〕53号 </w:t>
                  </w:r>
                  <w:r>
                    <w:rPr>
                      <w:rFonts w:hint="default" w:ascii="Times New Roman" w:hAnsi="Times New Roman" w:cs="Times New Roman" w:eastAsiaTheme="minorEastAsia"/>
                      <w:color w:val="000000"/>
                      <w:kern w:val="21"/>
                      <w:sz w:val="21"/>
                      <w:szCs w:val="21"/>
                      <w:lang w:val="en" w:eastAsia="zh-CN"/>
                    </w:rPr>
                    <w:t>）</w:t>
                  </w:r>
                </w:p>
              </w:tc>
              <w:tc>
                <w:tcPr>
                  <w:tcW w:w="2459" w:type="pct"/>
                  <w:shd w:val="clear" w:color="auto" w:fill="auto"/>
                  <w:noWrap w:val="0"/>
                  <w:vAlign w:val="center"/>
                </w:tcPr>
                <w:p w14:paraId="526781E5">
                  <w:pPr>
                    <w:keepNext w:val="0"/>
                    <w:keepLines w:val="0"/>
                    <w:pageBreakBefore w:val="0"/>
                    <w:numPr>
                      <w:ilvl w:val="0"/>
                      <w:numId w:val="3"/>
                    </w:numPr>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加强政策引导。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p>
              </w:tc>
              <w:tc>
                <w:tcPr>
                  <w:tcW w:w="1240" w:type="pct"/>
                  <w:shd w:val="clear" w:color="auto" w:fill="auto"/>
                  <w:noWrap w:val="0"/>
                  <w:vAlign w:val="center"/>
                </w:tcPr>
                <w:p w14:paraId="153FF7F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rPr>
                  </w:pPr>
                  <w:r>
                    <w:rPr>
                      <w:rFonts w:hint="default" w:ascii="Times New Roman" w:hAnsi="Times New Roman" w:cs="Times New Roman" w:eastAsiaTheme="minorEastAsia"/>
                      <w:color w:val="000000"/>
                      <w:kern w:val="0"/>
                      <w:sz w:val="21"/>
                      <w:szCs w:val="21"/>
                      <w:lang w:val="en-US" w:eastAsia="zh-CN" w:bidi="ar"/>
                    </w:rPr>
                    <w:t>项目使用的原料常温储存过程中不会产生</w:t>
                  </w:r>
                  <w:r>
                    <w:rPr>
                      <w:rFonts w:hint="default" w:ascii="Times New Roman" w:hAnsi="Times New Roman" w:cs="Times New Roman" w:eastAsiaTheme="minorEastAsia"/>
                      <w:color w:val="000000"/>
                      <w:kern w:val="21"/>
                      <w:sz w:val="21"/>
                      <w:szCs w:val="21"/>
                      <w:highlight w:val="none"/>
                      <w:lang w:val="en-US" w:eastAsia="zh-CN"/>
                    </w:rPr>
                    <w:t>VOCs。</w:t>
                  </w:r>
                </w:p>
                <w:p w14:paraId="16E428A0">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highlight w:val="yellow"/>
                      <w:lang w:val="en-US" w:eastAsia="zh-CN" w:bidi="ar-SA"/>
                    </w:rPr>
                  </w:pPr>
                  <w:r>
                    <w:rPr>
                      <w:rFonts w:hint="default" w:ascii="Times New Roman" w:hAnsi="Times New Roman" w:cs="Times New Roman" w:eastAsiaTheme="minorEastAsia"/>
                      <w:color w:val="000000"/>
                      <w:kern w:val="2"/>
                      <w:sz w:val="21"/>
                      <w:szCs w:val="21"/>
                      <w:highlight w:val="none"/>
                      <w:lang w:val="en-US" w:eastAsia="zh-CN" w:bidi="ar-SA"/>
                    </w:rPr>
                    <w:t>项目注塑、挤出工序产生废气经</w:t>
                  </w:r>
                  <w:r>
                    <w:rPr>
                      <w:rFonts w:hint="default" w:ascii="Times New Roman" w:hAnsi="Times New Roman" w:cs="Times New Roman" w:eastAsiaTheme="minorEastAsia"/>
                      <w:color w:val="0D0D0D"/>
                      <w:kern w:val="24"/>
                      <w:sz w:val="21"/>
                      <w:szCs w:val="21"/>
                      <w:highlight w:val="none"/>
                    </w:rPr>
                    <w:t>集气罩收集</w:t>
                  </w:r>
                  <w:r>
                    <w:rPr>
                      <w:rFonts w:hint="default" w:ascii="Times New Roman" w:hAnsi="Times New Roman" w:cs="Times New Roman" w:eastAsiaTheme="minorEastAsia"/>
                      <w:kern w:val="0"/>
                      <w:sz w:val="21"/>
                      <w:szCs w:val="21"/>
                      <w:highlight w:val="none"/>
                    </w:rPr>
                    <w:t>+二级活性炭</w:t>
                  </w:r>
                  <w:r>
                    <w:rPr>
                      <w:rFonts w:hint="default" w:ascii="Times New Roman" w:hAnsi="Times New Roman" w:cs="Times New Roman" w:eastAsiaTheme="minorEastAsia"/>
                      <w:color w:val="0D0D0D"/>
                      <w:kern w:val="24"/>
                      <w:sz w:val="21"/>
                      <w:szCs w:val="21"/>
                      <w:highlight w:val="none"/>
                    </w:rPr>
                    <w:t>吸附</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D0D0D"/>
                      <w:kern w:val="24"/>
                      <w:sz w:val="21"/>
                      <w:szCs w:val="21"/>
                      <w:highlight w:val="none"/>
                    </w:rPr>
                    <w:t>处理</w:t>
                  </w:r>
                  <w:r>
                    <w:rPr>
                      <w:rFonts w:hint="default" w:ascii="Times New Roman" w:hAnsi="Times New Roman" w:cs="Times New Roman" w:eastAsiaTheme="minorEastAsia"/>
                      <w:color w:val="000000"/>
                      <w:sz w:val="21"/>
                      <w:szCs w:val="21"/>
                      <w:highlight w:val="none"/>
                      <w:lang w:eastAsia="zh-CN"/>
                    </w:rPr>
                    <w:t>。</w:t>
                  </w:r>
                </w:p>
              </w:tc>
              <w:tc>
                <w:tcPr>
                  <w:tcW w:w="475" w:type="pct"/>
                  <w:shd w:val="clear" w:color="auto" w:fill="auto"/>
                  <w:noWrap w:val="0"/>
                  <w:vAlign w:val="center"/>
                </w:tcPr>
                <w:p w14:paraId="583D0886">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rPr>
                  </w:pPr>
                </w:p>
                <w:p w14:paraId="06563B7A">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sz w:val="21"/>
                      <w:szCs w:val="21"/>
                    </w:rPr>
                    <w:t>符合</w:t>
                  </w:r>
                </w:p>
              </w:tc>
            </w:tr>
            <w:tr w14:paraId="5EA6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824" w:type="pct"/>
                  <w:vMerge w:val="continue"/>
                  <w:shd w:val="clear" w:color="auto" w:fill="auto"/>
                  <w:noWrap w:val="0"/>
                  <w:vAlign w:val="center"/>
                </w:tcPr>
                <w:p w14:paraId="2E114722">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1E08BC3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 w:eastAsia="zh-CN" w:bidi="ar-SA"/>
                    </w:rPr>
                  </w:pPr>
                  <w:r>
                    <w:rPr>
                      <w:rFonts w:hint="default" w:ascii="Times New Roman" w:hAnsi="Times New Roman" w:cs="Times New Roman" w:eastAsiaTheme="minorEastAsia"/>
                      <w:color w:val="000000"/>
                      <w:kern w:val="21"/>
                      <w:sz w:val="21"/>
                      <w:szCs w:val="21"/>
                      <w:lang w:val="en"/>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tc>
              <w:tc>
                <w:tcPr>
                  <w:tcW w:w="1240" w:type="pct"/>
                  <w:shd w:val="clear" w:color="auto" w:fill="auto"/>
                  <w:noWrap w:val="0"/>
                  <w:vAlign w:val="center"/>
                </w:tcPr>
                <w:p w14:paraId="7021E7D9">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highlight w:val="yellow"/>
                      <w:lang w:val="en-US" w:eastAsia="zh-CN" w:bidi="ar-SA"/>
                    </w:rPr>
                  </w:pPr>
                  <w:r>
                    <w:rPr>
                      <w:rFonts w:hint="default" w:ascii="Times New Roman" w:hAnsi="Times New Roman" w:cs="Times New Roman" w:eastAsiaTheme="minorEastAsia"/>
                      <w:color w:val="000000"/>
                      <w:kern w:val="0"/>
                      <w:sz w:val="21"/>
                      <w:szCs w:val="21"/>
                      <w:highlight w:val="none"/>
                      <w:lang w:val="en-US" w:eastAsia="zh-CN" w:bidi="ar"/>
                    </w:rPr>
                    <w:t>项目加强挥发性有机物无组织排放控制收集措施。有机废气通过</w:t>
                  </w:r>
                  <w:r>
                    <w:rPr>
                      <w:rFonts w:hint="eastAsia" w:cs="Times New Roman" w:eastAsiaTheme="minorEastAsia"/>
                      <w:color w:val="000000"/>
                      <w:kern w:val="0"/>
                      <w:sz w:val="21"/>
                      <w:szCs w:val="21"/>
                      <w:highlight w:val="none"/>
                      <w:lang w:val="en-US" w:eastAsia="zh-CN" w:bidi="ar"/>
                    </w:rPr>
                    <w:t>集气罩收集+</w:t>
                  </w:r>
                  <w:r>
                    <w:rPr>
                      <w:rFonts w:hint="default" w:ascii="Times New Roman" w:hAnsi="Times New Roman" w:cs="Times New Roman" w:eastAsiaTheme="minorEastAsia"/>
                      <w:color w:val="000000"/>
                      <w:kern w:val="0"/>
                      <w:sz w:val="21"/>
                      <w:szCs w:val="21"/>
                      <w:highlight w:val="none"/>
                      <w:lang w:val="en-US" w:eastAsia="zh-CN" w:bidi="ar"/>
                    </w:rPr>
                    <w:t>二级活性炭吸附</w:t>
                  </w:r>
                  <w:r>
                    <w:rPr>
                      <w:rFonts w:hint="eastAsia" w:cs="Times New Roman" w:eastAsiaTheme="minorEastAsia"/>
                      <w:color w:val="000000"/>
                      <w:kern w:val="0"/>
                      <w:sz w:val="21"/>
                      <w:szCs w:val="21"/>
                      <w:highlight w:val="none"/>
                      <w:lang w:val="en-US" w:eastAsia="zh-CN" w:bidi="ar"/>
                    </w:rPr>
                    <w:t>+15m高排气筒（DA001）</w:t>
                  </w:r>
                  <w:r>
                    <w:rPr>
                      <w:rFonts w:hint="default" w:ascii="Times New Roman" w:hAnsi="Times New Roman" w:cs="Times New Roman" w:eastAsiaTheme="minorEastAsia"/>
                      <w:color w:val="000000"/>
                      <w:kern w:val="0"/>
                      <w:sz w:val="21"/>
                      <w:szCs w:val="21"/>
                      <w:highlight w:val="none"/>
                      <w:lang w:val="en-US" w:eastAsia="zh-CN" w:bidi="ar"/>
                    </w:rPr>
                    <w:t>排放。</w:t>
                  </w:r>
                </w:p>
              </w:tc>
              <w:tc>
                <w:tcPr>
                  <w:tcW w:w="475" w:type="pct"/>
                  <w:shd w:val="clear" w:color="auto" w:fill="auto"/>
                  <w:noWrap w:val="0"/>
                  <w:vAlign w:val="center"/>
                </w:tcPr>
                <w:p w14:paraId="03539168">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sz w:val="21"/>
                      <w:szCs w:val="21"/>
                    </w:rPr>
                    <w:t>符合</w:t>
                  </w:r>
                </w:p>
              </w:tc>
            </w:tr>
            <w:tr w14:paraId="76C1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2" w:hRule="atLeast"/>
                <w:jc w:val="center"/>
              </w:trPr>
              <w:tc>
                <w:tcPr>
                  <w:tcW w:w="824" w:type="pct"/>
                  <w:vMerge w:val="restart"/>
                  <w:noWrap w:val="0"/>
                  <w:vAlign w:val="center"/>
                </w:tcPr>
                <w:p w14:paraId="26525E7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《挥发性 有机物 （VOCS） 污染物防 治技术政 策》</w:t>
                  </w:r>
                </w:p>
              </w:tc>
              <w:tc>
                <w:tcPr>
                  <w:tcW w:w="2459" w:type="pct"/>
                  <w:noWrap w:val="0"/>
                  <w:vAlign w:val="center"/>
                </w:tcPr>
                <w:p w14:paraId="411BFFDE">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对于含低浓度 VOCs 的废气，有回收价 值时可采用吸附技术、吸收技术对有机溶剂回收后达标排放；不宜回收时，可采用吸附浓缩燃烧技术、生物技术、吸收技术、等离子体技术或紫外光高级氧化技术等净化后达标排放。</w:t>
                  </w:r>
                </w:p>
              </w:tc>
              <w:tc>
                <w:tcPr>
                  <w:tcW w:w="1240" w:type="pct"/>
                  <w:noWrap w:val="0"/>
                  <w:vAlign w:val="center"/>
                </w:tcPr>
                <w:p w14:paraId="77E3D61E">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E54C5E" w:themeColor="accent6"/>
                      <w:sz w:val="21"/>
                      <w:szCs w:val="21"/>
                      <w14:textFill>
                        <w14:solidFill>
                          <w14:schemeClr w14:val="accent6"/>
                        </w14:solidFill>
                      </w14:textFill>
                    </w:rPr>
                  </w:pPr>
                  <w:r>
                    <w:rPr>
                      <w:rFonts w:hint="default" w:ascii="Times New Roman" w:hAnsi="Times New Roman" w:cs="Times New Roman" w:eastAsiaTheme="minorEastAsia"/>
                      <w:color w:val="000000"/>
                      <w:kern w:val="2"/>
                      <w:sz w:val="21"/>
                      <w:szCs w:val="21"/>
                      <w:highlight w:val="none"/>
                      <w:lang w:val="en-US" w:eastAsia="zh-CN" w:bidi="ar-SA"/>
                    </w:rPr>
                    <w:t>项目注塑、挤出工序产生废气经</w:t>
                  </w:r>
                  <w:r>
                    <w:rPr>
                      <w:rFonts w:hint="default" w:ascii="Times New Roman" w:hAnsi="Times New Roman" w:cs="Times New Roman" w:eastAsiaTheme="minorEastAsia"/>
                      <w:color w:val="0D0D0D"/>
                      <w:kern w:val="24"/>
                      <w:sz w:val="21"/>
                      <w:szCs w:val="21"/>
                      <w:highlight w:val="none"/>
                    </w:rPr>
                    <w:t>集气罩收集</w:t>
                  </w:r>
                  <w:r>
                    <w:rPr>
                      <w:rFonts w:hint="default" w:ascii="Times New Roman" w:hAnsi="Times New Roman" w:cs="Times New Roman" w:eastAsiaTheme="minorEastAsia"/>
                      <w:kern w:val="0"/>
                      <w:sz w:val="21"/>
                      <w:szCs w:val="21"/>
                      <w:highlight w:val="none"/>
                    </w:rPr>
                    <w:t>+二级活性炭</w:t>
                  </w:r>
                  <w:r>
                    <w:rPr>
                      <w:rFonts w:hint="default" w:ascii="Times New Roman" w:hAnsi="Times New Roman" w:cs="Times New Roman" w:eastAsiaTheme="minorEastAsia"/>
                      <w:color w:val="0D0D0D"/>
                      <w:kern w:val="24"/>
                      <w:sz w:val="21"/>
                      <w:szCs w:val="21"/>
                      <w:highlight w:val="none"/>
                    </w:rPr>
                    <w:t>吸附</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D0D0D"/>
                      <w:kern w:val="24"/>
                      <w:sz w:val="21"/>
                      <w:szCs w:val="21"/>
                      <w:highlight w:val="none"/>
                    </w:rPr>
                    <w:t>处理</w:t>
                  </w:r>
                  <w:r>
                    <w:rPr>
                      <w:rFonts w:hint="default" w:ascii="Times New Roman" w:hAnsi="Times New Roman" w:cs="Times New Roman" w:eastAsiaTheme="minorEastAsia"/>
                      <w:color w:val="000000"/>
                      <w:sz w:val="21"/>
                      <w:szCs w:val="21"/>
                      <w:highlight w:val="none"/>
                      <w:lang w:eastAsia="zh-CN"/>
                    </w:rPr>
                    <w:t>。</w:t>
                  </w:r>
                </w:p>
              </w:tc>
              <w:tc>
                <w:tcPr>
                  <w:tcW w:w="475" w:type="pct"/>
                  <w:noWrap w:val="0"/>
                  <w:vAlign w:val="center"/>
                </w:tcPr>
                <w:p w14:paraId="6F15FE66">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2FA66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jc w:val="center"/>
              </w:trPr>
              <w:tc>
                <w:tcPr>
                  <w:tcW w:w="824" w:type="pct"/>
                  <w:vMerge w:val="continue"/>
                  <w:noWrap w:val="0"/>
                  <w:vAlign w:val="center"/>
                </w:tcPr>
                <w:p w14:paraId="25E44169">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noWrap w:val="0"/>
                  <w:vAlign w:val="center"/>
                </w:tcPr>
                <w:p w14:paraId="0108F67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对于不能再生的过滤材料、吸附剂及催化剂等净化材料，应按照国家固体废物管理的相关规定处理处置。</w:t>
                  </w:r>
                </w:p>
              </w:tc>
              <w:tc>
                <w:tcPr>
                  <w:tcW w:w="1240" w:type="pct"/>
                  <w:noWrap w:val="0"/>
                  <w:vAlign w:val="center"/>
                </w:tcPr>
                <w:p w14:paraId="0790B4DC">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本项目有机废气净化装置产生的废活性炭由企业集中收集后暂存于危险废物贮存库，定期交有资质的单位处置。</w:t>
                  </w:r>
                </w:p>
              </w:tc>
              <w:tc>
                <w:tcPr>
                  <w:tcW w:w="475" w:type="pct"/>
                  <w:noWrap w:val="0"/>
                  <w:vAlign w:val="center"/>
                </w:tcPr>
                <w:p w14:paraId="08FBF3CB">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00007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9" w:hRule="atLeast"/>
                <w:jc w:val="center"/>
              </w:trPr>
              <w:tc>
                <w:tcPr>
                  <w:tcW w:w="824" w:type="pct"/>
                  <w:shd w:val="clear" w:color="auto" w:fill="auto"/>
                  <w:noWrap w:val="0"/>
                  <w:vAlign w:val="center"/>
                </w:tcPr>
                <w:p w14:paraId="12ACB0DA">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
                      <w:sz w:val="21"/>
                      <w:szCs w:val="21"/>
                      <w:lang w:val="en-US" w:eastAsia="zh-CN" w:bidi="ar-SA"/>
                    </w:rPr>
                  </w:pPr>
                  <w:r>
                    <w:rPr>
                      <w:rFonts w:hint="default" w:ascii="Times New Roman" w:hAnsi="Times New Roman" w:cs="Times New Roman" w:eastAsiaTheme="minorEastAsia"/>
                      <w:color w:val="000000"/>
                      <w:kern w:val="21"/>
                      <w:sz w:val="21"/>
                      <w:szCs w:val="21"/>
                      <w:lang w:val="en"/>
                    </w:rPr>
                    <w:t>《陕西省</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十四五</w:t>
                  </w:r>
                  <w:r>
                    <w:rPr>
                      <w:rFonts w:hint="default" w:ascii="Times New Roman" w:hAnsi="Times New Roman" w:cs="Times New Roman" w:eastAsiaTheme="minorEastAsia"/>
                      <w:color w:val="000000"/>
                      <w:kern w:val="21"/>
                      <w:sz w:val="21"/>
                      <w:szCs w:val="21"/>
                      <w:lang w:val="en" w:eastAsia="zh-CN"/>
                    </w:rPr>
                    <w:t>”</w:t>
                  </w:r>
                  <w:r>
                    <w:rPr>
                      <w:rFonts w:hint="default" w:ascii="Times New Roman" w:hAnsi="Times New Roman" w:cs="Times New Roman" w:eastAsiaTheme="minorEastAsia"/>
                      <w:color w:val="000000"/>
                      <w:kern w:val="21"/>
                      <w:sz w:val="21"/>
                      <w:szCs w:val="21"/>
                      <w:lang w:val="en"/>
                    </w:rPr>
                    <w:t>生态环境保护规划》（陕政办发〔2021〕25号）</w:t>
                  </w:r>
                </w:p>
              </w:tc>
              <w:tc>
                <w:tcPr>
                  <w:tcW w:w="2459" w:type="pct"/>
                  <w:shd w:val="clear" w:color="auto" w:fill="auto"/>
                  <w:noWrap w:val="0"/>
                  <w:vAlign w:val="center"/>
                </w:tcPr>
                <w:p w14:paraId="01E5154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bCs/>
                      <w:color w:val="000000"/>
                      <w:kern w:val="0"/>
                      <w:sz w:val="21"/>
                      <w:szCs w:val="21"/>
                      <w:lang w:val="en-GB"/>
                    </w:rPr>
                    <w:t>深化落实环评制度。不断健全环境影响评价等生态源头预防体系，对重点区域、重点流域、重点行业依法开展规划环境影响评价，严格建设项目生态环境准入。</w:t>
                  </w:r>
                </w:p>
              </w:tc>
              <w:tc>
                <w:tcPr>
                  <w:tcW w:w="1240" w:type="pct"/>
                  <w:shd w:val="clear" w:color="auto" w:fill="auto"/>
                  <w:noWrap w:val="0"/>
                  <w:vAlign w:val="center"/>
                </w:tcPr>
                <w:p w14:paraId="1B5C5AD2">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bidi="ar-SA"/>
                    </w:rPr>
                  </w:pPr>
                  <w:r>
                    <w:rPr>
                      <w:rFonts w:hint="default" w:ascii="Times New Roman" w:hAnsi="Times New Roman" w:cs="Times New Roman" w:eastAsiaTheme="minorEastAsia"/>
                      <w:bCs/>
                      <w:color w:val="000000"/>
                      <w:kern w:val="0"/>
                      <w:sz w:val="21"/>
                      <w:szCs w:val="21"/>
                      <w:highlight w:val="none"/>
                      <w:lang w:val="en-GB"/>
                    </w:rPr>
                    <w:t>项目位于</w:t>
                  </w:r>
                  <w:r>
                    <w:rPr>
                      <w:rFonts w:hint="default" w:ascii="Times New Roman" w:hAnsi="Times New Roman" w:cs="Times New Roman" w:eastAsiaTheme="minorEastAsia"/>
                      <w:bCs/>
                      <w:color w:val="000000"/>
                      <w:kern w:val="0"/>
                      <w:sz w:val="21"/>
                      <w:szCs w:val="21"/>
                      <w:highlight w:val="none"/>
                      <w:lang w:val="en-GB" w:eastAsia="zh-CN"/>
                    </w:rPr>
                    <w:t>陕西省</w:t>
                  </w:r>
                  <w:r>
                    <w:rPr>
                      <w:rFonts w:hint="default" w:ascii="Times New Roman" w:hAnsi="Times New Roman" w:cs="Times New Roman" w:eastAsiaTheme="minorEastAsia"/>
                      <w:bCs/>
                      <w:color w:val="000000"/>
                      <w:kern w:val="0"/>
                      <w:sz w:val="21"/>
                      <w:szCs w:val="21"/>
                      <w:highlight w:val="none"/>
                      <w:lang w:val="en-US" w:eastAsia="zh-CN"/>
                    </w:rPr>
                    <w:t>西咸新区泾河新城工业密集区永乐园区南北大道23号</w:t>
                  </w:r>
                  <w:r>
                    <w:rPr>
                      <w:rFonts w:hint="default" w:ascii="Times New Roman" w:hAnsi="Times New Roman" w:cs="Times New Roman" w:eastAsiaTheme="minorEastAsia"/>
                      <w:bCs/>
                      <w:color w:val="000000"/>
                      <w:kern w:val="0"/>
                      <w:sz w:val="21"/>
                      <w:szCs w:val="21"/>
                      <w:highlight w:val="none"/>
                      <w:lang w:val="en-GB"/>
                    </w:rPr>
                    <w:t>，租用</w:t>
                  </w:r>
                  <w:r>
                    <w:rPr>
                      <w:rFonts w:hint="default" w:ascii="Times New Roman" w:hAnsi="Times New Roman" w:cs="Times New Roman" w:eastAsiaTheme="minorEastAsia"/>
                      <w:bCs/>
                      <w:color w:val="000000"/>
                      <w:kern w:val="0"/>
                      <w:sz w:val="21"/>
                      <w:szCs w:val="21"/>
                      <w:highlight w:val="none"/>
                      <w:lang w:val="en-US" w:eastAsia="zh-CN"/>
                    </w:rPr>
                    <w:t>已建成厂房</w:t>
                  </w:r>
                  <w:r>
                    <w:rPr>
                      <w:rFonts w:hint="default" w:ascii="Times New Roman" w:hAnsi="Times New Roman" w:cs="Times New Roman" w:eastAsiaTheme="minorEastAsia"/>
                      <w:bCs/>
                      <w:color w:val="000000"/>
                      <w:kern w:val="0"/>
                      <w:sz w:val="21"/>
                      <w:szCs w:val="21"/>
                      <w:highlight w:val="none"/>
                      <w:lang w:val="en-GB"/>
                    </w:rPr>
                    <w:t>，</w:t>
                  </w:r>
                  <w:r>
                    <w:rPr>
                      <w:rFonts w:hint="default" w:ascii="Times New Roman" w:hAnsi="Times New Roman" w:cs="Times New Roman" w:eastAsiaTheme="minorEastAsia"/>
                      <w:bCs/>
                      <w:color w:val="000000"/>
                      <w:kern w:val="0"/>
                      <w:sz w:val="21"/>
                      <w:szCs w:val="21"/>
                      <w:highlight w:val="none"/>
                    </w:rPr>
                    <w:t>目前在</w:t>
                  </w:r>
                  <w:r>
                    <w:rPr>
                      <w:rFonts w:hint="default" w:ascii="Times New Roman" w:hAnsi="Times New Roman" w:cs="Times New Roman" w:eastAsiaTheme="minorEastAsia"/>
                      <w:bCs/>
                      <w:color w:val="000000"/>
                      <w:kern w:val="0"/>
                      <w:sz w:val="21"/>
                      <w:szCs w:val="21"/>
                      <w:highlight w:val="none"/>
                      <w:lang w:val="en-GB"/>
                    </w:rPr>
                    <w:t>开展相关的环评手续。</w:t>
                  </w:r>
                </w:p>
              </w:tc>
              <w:tc>
                <w:tcPr>
                  <w:tcW w:w="475" w:type="pct"/>
                  <w:shd w:val="clear" w:color="auto" w:fill="auto"/>
                  <w:noWrap w:val="0"/>
                  <w:vAlign w:val="center"/>
                </w:tcPr>
                <w:p w14:paraId="2B3FA31D">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0"/>
                      <w:sz w:val="21"/>
                      <w:szCs w:val="21"/>
                    </w:rPr>
                    <w:t>符合</w:t>
                  </w:r>
                </w:p>
              </w:tc>
            </w:tr>
            <w:tr w14:paraId="39A81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824" w:type="pct"/>
                  <w:shd w:val="clear" w:color="auto" w:fill="auto"/>
                  <w:noWrap w:val="0"/>
                  <w:vAlign w:val="center"/>
                </w:tcPr>
                <w:p w14:paraId="563E843E">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0"/>
                      <w:sz w:val="21"/>
                      <w:szCs w:val="21"/>
                      <w:lang w:val="en-US" w:eastAsia="zh-CN" w:bidi="ar"/>
                    </w:rPr>
                    <w:t>《陕西省大气污染防治条例》</w:t>
                  </w:r>
                </w:p>
              </w:tc>
              <w:tc>
                <w:tcPr>
                  <w:tcW w:w="2459" w:type="pct"/>
                  <w:shd w:val="clear" w:color="auto" w:fill="auto"/>
                  <w:noWrap w:val="0"/>
                  <w:vAlign w:val="center"/>
                </w:tcPr>
                <w:p w14:paraId="2DA90383">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0"/>
                      <w:sz w:val="21"/>
                      <w:szCs w:val="21"/>
                      <w:lang w:val="en-US" w:eastAsia="zh-CN" w:bidi="ar"/>
                    </w:rPr>
                    <w:t>企业应当优先采用能源和原材料利用效率高、污染物排放量少的清洁生产技术、工艺和装备，减少大气污染物的产生和排放。</w:t>
                  </w:r>
                </w:p>
              </w:tc>
              <w:tc>
                <w:tcPr>
                  <w:tcW w:w="1240" w:type="pct"/>
                  <w:shd w:val="clear" w:color="auto" w:fill="auto"/>
                  <w:noWrap w:val="0"/>
                  <w:vAlign w:val="center"/>
                </w:tcPr>
                <w:p w14:paraId="1E1C2A52">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2"/>
                      <w:sz w:val="21"/>
                      <w:szCs w:val="21"/>
                      <w:highlight w:val="none"/>
                      <w:lang w:val="en-GB" w:eastAsia="zh-CN" w:bidi="ar-SA"/>
                    </w:rPr>
                  </w:pPr>
                  <w:r>
                    <w:rPr>
                      <w:rFonts w:hint="default" w:ascii="Times New Roman" w:hAnsi="Times New Roman" w:cs="Times New Roman" w:eastAsiaTheme="minorEastAsia"/>
                      <w:color w:val="000000"/>
                      <w:kern w:val="0"/>
                      <w:sz w:val="21"/>
                      <w:szCs w:val="21"/>
                      <w:highlight w:val="none"/>
                      <w:lang w:val="en-US" w:eastAsia="zh-CN" w:bidi="ar"/>
                    </w:rPr>
                    <w:t>项目生产工序均使用电能。</w:t>
                  </w:r>
                </w:p>
              </w:tc>
              <w:tc>
                <w:tcPr>
                  <w:tcW w:w="475" w:type="pct"/>
                  <w:shd w:val="clear" w:color="auto" w:fill="auto"/>
                  <w:noWrap w:val="0"/>
                  <w:vAlign w:val="center"/>
                </w:tcPr>
                <w:p w14:paraId="463D4BF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z w:val="21"/>
                      <w:szCs w:val="21"/>
                    </w:rPr>
                    <w:t>符合</w:t>
                  </w:r>
                </w:p>
              </w:tc>
            </w:tr>
            <w:tr w14:paraId="5D65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9" w:hRule="atLeast"/>
                <w:jc w:val="center"/>
              </w:trPr>
              <w:tc>
                <w:tcPr>
                  <w:tcW w:w="824" w:type="pct"/>
                  <w:noWrap w:val="0"/>
                  <w:vAlign w:val="center"/>
                </w:tcPr>
                <w:p w14:paraId="6EF912B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000000"/>
                      <w:sz w:val="21"/>
                      <w:szCs w:val="21"/>
                      <w:lang w:val="en-US" w:eastAsia="zh-CN"/>
                    </w:rPr>
                    <w:t>《西安市人民政府关于印发西安市空气质量达标规划（2023-2030年）的通知》（市政发〔2023〕10号）</w:t>
                  </w:r>
                </w:p>
              </w:tc>
              <w:tc>
                <w:tcPr>
                  <w:tcW w:w="2459" w:type="pct"/>
                  <w:noWrap w:val="0"/>
                  <w:vAlign w:val="center"/>
                </w:tcPr>
                <w:p w14:paraId="391E522A">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新建项目不再采用单一低温等离子、光氧化、光催化等治理技术，非水溶性 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1240" w:type="pct"/>
                  <w:noWrap w:val="0"/>
                  <w:vAlign w:val="center"/>
                </w:tcPr>
                <w:p w14:paraId="0E19D2E3">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sz w:val="21"/>
                      <w:szCs w:val="21"/>
                    </w:rPr>
                    <w:t>本项目原料为</w:t>
                  </w:r>
                  <w:r>
                    <w:rPr>
                      <w:rFonts w:hint="default" w:ascii="Times New Roman" w:hAnsi="Times New Roman" w:cs="Times New Roman" w:eastAsiaTheme="minorEastAsia"/>
                      <w:sz w:val="21"/>
                      <w:szCs w:val="21"/>
                      <w:lang w:val="en-US" w:eastAsia="zh-CN"/>
                    </w:rPr>
                    <w:t>PP、PE和色母粒</w:t>
                  </w:r>
                  <w:r>
                    <w:rPr>
                      <w:rFonts w:hint="default" w:ascii="Times New Roman" w:hAnsi="Times New Roman" w:cs="Times New Roman" w:eastAsiaTheme="minorEastAsia"/>
                      <w:sz w:val="21"/>
                      <w:szCs w:val="21"/>
                    </w:rPr>
                    <w:t>，</w:t>
                  </w:r>
                  <w:r>
                    <w:rPr>
                      <w:rFonts w:hint="default" w:ascii="Times New Roman" w:hAnsi="Times New Roman" w:cs="Times New Roman" w:eastAsiaTheme="minorEastAsia"/>
                      <w:sz w:val="21"/>
                      <w:szCs w:val="21"/>
                      <w:lang w:eastAsia="zh-CN"/>
                    </w:rPr>
                    <w:t>生产过程中的废气</w:t>
                  </w:r>
                  <w:r>
                    <w:rPr>
                      <w:rFonts w:hint="default" w:ascii="Times New Roman" w:hAnsi="Times New Roman" w:cs="Times New Roman" w:eastAsiaTheme="minorEastAsia"/>
                      <w:bCs/>
                      <w:snapToGrid w:val="0"/>
                      <w:kern w:val="0"/>
                      <w:sz w:val="21"/>
                      <w:szCs w:val="21"/>
                    </w:rPr>
                    <w:t>采用</w:t>
                  </w:r>
                  <w:r>
                    <w:rPr>
                      <w:rFonts w:hint="default" w:ascii="Times New Roman" w:hAnsi="Times New Roman" w:cs="Times New Roman" w:eastAsiaTheme="minorEastAsia"/>
                      <w:color w:val="0D0D0D"/>
                      <w:kern w:val="24"/>
                      <w:sz w:val="21"/>
                      <w:szCs w:val="21"/>
                      <w:highlight w:val="none"/>
                    </w:rPr>
                    <w:t>集气罩收集+</w:t>
                  </w:r>
                  <w:r>
                    <w:rPr>
                      <w:rFonts w:hint="default" w:ascii="Times New Roman" w:hAnsi="Times New Roman" w:cs="Times New Roman" w:eastAsiaTheme="minorEastAsia"/>
                      <w:kern w:val="0"/>
                      <w:sz w:val="21"/>
                      <w:szCs w:val="21"/>
                      <w:highlight w:val="none"/>
                    </w:rPr>
                    <w:t>二级活性炭</w:t>
                  </w:r>
                  <w:r>
                    <w:rPr>
                      <w:rFonts w:hint="default" w:ascii="Times New Roman" w:hAnsi="Times New Roman" w:cs="Times New Roman" w:eastAsiaTheme="minorEastAsia"/>
                      <w:color w:val="0D0D0D"/>
                      <w:kern w:val="24"/>
                      <w:sz w:val="21"/>
                      <w:szCs w:val="21"/>
                      <w:highlight w:val="none"/>
                    </w:rPr>
                    <w:t>吸附</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D0D0D"/>
                      <w:kern w:val="24"/>
                      <w:sz w:val="21"/>
                      <w:szCs w:val="21"/>
                      <w:highlight w:val="none"/>
                    </w:rPr>
                    <w:t>处理</w:t>
                  </w:r>
                  <w:r>
                    <w:rPr>
                      <w:rFonts w:hint="default" w:ascii="Times New Roman" w:hAnsi="Times New Roman" w:cs="Times New Roman" w:eastAsiaTheme="minorEastAsia"/>
                      <w:sz w:val="21"/>
                      <w:szCs w:val="21"/>
                      <w:highlight w:val="none"/>
                    </w:rPr>
                    <w:t>。</w:t>
                  </w:r>
                  <w:r>
                    <w:rPr>
                      <w:rFonts w:hint="default" w:ascii="Times New Roman" w:hAnsi="Times New Roman" w:cs="Times New Roman" w:eastAsiaTheme="minorEastAsia"/>
                      <w:color w:val="auto"/>
                      <w:sz w:val="21"/>
                      <w:szCs w:val="21"/>
                      <w:highlight w:val="none"/>
                      <w:lang w:val="en-US" w:eastAsia="zh-CN"/>
                    </w:rPr>
                    <w:t>项目不属于重点行业，不涉及环保绩效评级。</w:t>
                  </w:r>
                </w:p>
              </w:tc>
              <w:tc>
                <w:tcPr>
                  <w:tcW w:w="475" w:type="pct"/>
                  <w:noWrap w:val="0"/>
                  <w:vAlign w:val="center"/>
                </w:tcPr>
                <w:p w14:paraId="526A9D07">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17362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jc w:val="center"/>
              </w:trPr>
              <w:tc>
                <w:tcPr>
                  <w:tcW w:w="824" w:type="pct"/>
                  <w:vMerge w:val="restart"/>
                  <w:shd w:val="clear" w:color="auto" w:fill="auto"/>
                  <w:noWrap w:val="0"/>
                  <w:vAlign w:val="center"/>
                </w:tcPr>
                <w:p w14:paraId="73EA4CB9">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西安市生态环境局</w:t>
                  </w:r>
                  <w:r>
                    <w:rPr>
                      <w:rFonts w:hint="default" w:ascii="Times New Roman" w:hAnsi="Times New Roman" w:cs="Times New Roman" w:eastAsiaTheme="minorEastAsia"/>
                      <w:color w:val="000000"/>
                      <w:kern w:val="0"/>
                      <w:sz w:val="21"/>
                      <w:szCs w:val="21"/>
                    </w:rPr>
                    <w:t>关于加强挥发性有机物活性炭吸附处理设施运行管理工作的通知</w:t>
                  </w:r>
                  <w:r>
                    <w:rPr>
                      <w:rFonts w:hint="default" w:ascii="Times New Roman" w:hAnsi="Times New Roman" w:cs="Times New Roman" w:eastAsiaTheme="minorEastAsia"/>
                      <w:color w:val="000000"/>
                      <w:kern w:val="0"/>
                      <w:sz w:val="21"/>
                      <w:szCs w:val="21"/>
                      <w:lang w:eastAsia="zh-CN"/>
                    </w:rPr>
                    <w:t>（</w:t>
                  </w:r>
                  <w:r>
                    <w:rPr>
                      <w:rFonts w:hint="default" w:ascii="Times New Roman" w:hAnsi="Times New Roman" w:cs="Times New Roman" w:eastAsiaTheme="minorEastAsia"/>
                      <w:color w:val="000000"/>
                      <w:kern w:val="0"/>
                      <w:sz w:val="21"/>
                      <w:szCs w:val="21"/>
                    </w:rPr>
                    <w:t>市环发〔2022〕65号</w:t>
                  </w:r>
                  <w:r>
                    <w:rPr>
                      <w:rFonts w:hint="default" w:ascii="Times New Roman" w:hAnsi="Times New Roman" w:cs="Times New Roman" w:eastAsiaTheme="minorEastAsia"/>
                      <w:color w:val="000000"/>
                      <w:kern w:val="0"/>
                      <w:sz w:val="21"/>
                      <w:szCs w:val="21"/>
                      <w:lang w:eastAsia="zh-CN"/>
                    </w:rPr>
                    <w:t>）</w:t>
                  </w:r>
                </w:p>
              </w:tc>
              <w:tc>
                <w:tcPr>
                  <w:tcW w:w="2459" w:type="pct"/>
                  <w:shd w:val="clear" w:color="auto" w:fill="auto"/>
                  <w:noWrap w:val="0"/>
                  <w:vAlign w:val="center"/>
                </w:tcPr>
                <w:p w14:paraId="50A2DE08">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保证活性炭质量。企业购置活性炭必须提供活性炭检测报告，保证活性炭质量。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240" w:type="pct"/>
                  <w:shd w:val="clear" w:color="auto" w:fill="auto"/>
                  <w:noWrap w:val="0"/>
                  <w:vAlign w:val="center"/>
                </w:tcPr>
                <w:p w14:paraId="14EDC166">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项目要求企业选用满足《工业有机废气净化用活性炭技术指标及试验方法》(LY/T3284)规定的优级活性炭。</w:t>
                  </w:r>
                </w:p>
              </w:tc>
              <w:tc>
                <w:tcPr>
                  <w:tcW w:w="475" w:type="pct"/>
                  <w:shd w:val="clear" w:color="auto" w:fill="auto"/>
                  <w:noWrap w:val="0"/>
                  <w:vAlign w:val="center"/>
                </w:tcPr>
                <w:p w14:paraId="55C16A98">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23CE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824" w:type="pct"/>
                  <w:vMerge w:val="continue"/>
                  <w:noWrap w:val="0"/>
                  <w:vAlign w:val="center"/>
                </w:tcPr>
                <w:p w14:paraId="72562BF9">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192F014C">
                  <w:pPr>
                    <w:pStyle w:val="22"/>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pacing w:val="0"/>
                      <w:kern w:val="0"/>
                      <w:sz w:val="21"/>
                      <w:szCs w:val="21"/>
                      <w:lang w:val="en-US" w:eastAsia="zh-CN" w:bidi="ar-SA"/>
                    </w:rPr>
                    <w:t>明确填充量并及时更换。企业应当根据风量和VOCS初始浓度范围，明确活性炭的填充量、填充厚度和更换时间。</w:t>
                  </w:r>
                </w:p>
              </w:tc>
              <w:tc>
                <w:tcPr>
                  <w:tcW w:w="1240" w:type="pct"/>
                  <w:shd w:val="clear" w:color="auto" w:fill="auto"/>
                  <w:noWrap w:val="0"/>
                  <w:vAlign w:val="center"/>
                </w:tcPr>
                <w:p w14:paraId="7A2EB95F">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项目要求企业按环保设计单位要求，及时更换。</w:t>
                  </w:r>
                </w:p>
              </w:tc>
              <w:tc>
                <w:tcPr>
                  <w:tcW w:w="475" w:type="pct"/>
                  <w:shd w:val="clear" w:color="auto" w:fill="auto"/>
                  <w:noWrap w:val="0"/>
                  <w:vAlign w:val="center"/>
                </w:tcPr>
                <w:p w14:paraId="42AE67E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463A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6" w:hRule="atLeast"/>
                <w:jc w:val="center"/>
              </w:trPr>
              <w:tc>
                <w:tcPr>
                  <w:tcW w:w="824" w:type="pct"/>
                  <w:vMerge w:val="continue"/>
                  <w:noWrap w:val="0"/>
                  <w:vAlign w:val="center"/>
                </w:tcPr>
                <w:p w14:paraId="37043588">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05457FD6">
                  <w:pPr>
                    <w:pStyle w:val="22"/>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pacing w:val="0"/>
                      <w:kern w:val="0"/>
                      <w:sz w:val="21"/>
                      <w:szCs w:val="21"/>
                      <w:lang w:val="en-US" w:eastAsia="zh-CN" w:bidi="ar-SA"/>
                    </w:rPr>
                    <w:t>严格控制无组织排放。盛装VOCs物料的容器或包装袋应密闭储存于室内，或存放于设置有雨棚、遮阳和防渗设施的专用场地，非取用状态时应加盖、封口，保持封闭。VOCs物料调配过程应采用密闭设备或在密闭空间内操作，并设置专门的密闭调配间，调配废气应排至VOCs废气收集处理系统；无法密闭的，应采取局部气体收集措施，废气应排至VOCs废气收集处理系统。</w:t>
                  </w:r>
                </w:p>
              </w:tc>
              <w:tc>
                <w:tcPr>
                  <w:tcW w:w="1240" w:type="pct"/>
                  <w:shd w:val="clear" w:color="auto" w:fill="auto"/>
                  <w:noWrap w:val="0"/>
                  <w:vAlign w:val="center"/>
                </w:tcPr>
                <w:p w14:paraId="12F73A55">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rPr>
                  </w:pPr>
                  <w:r>
                    <w:rPr>
                      <w:rFonts w:hint="default" w:ascii="Times New Roman" w:hAnsi="Times New Roman" w:cs="Times New Roman" w:eastAsiaTheme="minorEastAsia"/>
                      <w:color w:val="000000"/>
                      <w:kern w:val="0"/>
                      <w:sz w:val="21"/>
                      <w:szCs w:val="21"/>
                      <w:lang w:val="en-US" w:eastAsia="zh-CN" w:bidi="ar"/>
                    </w:rPr>
                    <w:t>项目使用的原料常温储存过程中不会产生</w:t>
                  </w:r>
                  <w:r>
                    <w:rPr>
                      <w:rFonts w:hint="default" w:ascii="Times New Roman" w:hAnsi="Times New Roman" w:cs="Times New Roman" w:eastAsiaTheme="minorEastAsia"/>
                      <w:color w:val="000000"/>
                      <w:kern w:val="21"/>
                      <w:sz w:val="21"/>
                      <w:szCs w:val="21"/>
                      <w:highlight w:val="none"/>
                      <w:lang w:val="en-US" w:eastAsia="zh-CN"/>
                    </w:rPr>
                    <w:t>VOCs。</w:t>
                  </w:r>
                </w:p>
                <w:p w14:paraId="1F7680DA">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
                      <w:sz w:val="21"/>
                      <w:szCs w:val="21"/>
                      <w:highlight w:val="none"/>
                      <w:lang w:val="en-US" w:eastAsia="zh-CN" w:bidi="ar-SA"/>
                    </w:rPr>
                    <w:t>项目注塑、挤出工序产生废气经</w:t>
                  </w:r>
                  <w:r>
                    <w:rPr>
                      <w:rFonts w:hint="default" w:ascii="Times New Roman" w:hAnsi="Times New Roman" w:cs="Times New Roman" w:eastAsiaTheme="minorEastAsia"/>
                      <w:color w:val="0D0D0D"/>
                      <w:kern w:val="24"/>
                      <w:sz w:val="21"/>
                      <w:szCs w:val="21"/>
                      <w:highlight w:val="none"/>
                    </w:rPr>
                    <w:t>集气罩收集</w:t>
                  </w:r>
                  <w:r>
                    <w:rPr>
                      <w:rFonts w:hint="default" w:ascii="Times New Roman" w:hAnsi="Times New Roman" w:cs="Times New Roman" w:eastAsiaTheme="minorEastAsia"/>
                      <w:kern w:val="0"/>
                      <w:sz w:val="21"/>
                      <w:szCs w:val="21"/>
                      <w:highlight w:val="none"/>
                    </w:rPr>
                    <w:t>+二级活性炭</w:t>
                  </w:r>
                  <w:r>
                    <w:rPr>
                      <w:rFonts w:hint="default" w:ascii="Times New Roman" w:hAnsi="Times New Roman" w:cs="Times New Roman" w:eastAsiaTheme="minorEastAsia"/>
                      <w:color w:val="0D0D0D"/>
                      <w:kern w:val="24"/>
                      <w:sz w:val="21"/>
                      <w:szCs w:val="21"/>
                      <w:highlight w:val="none"/>
                    </w:rPr>
                    <w:t>吸附</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D0D0D"/>
                      <w:kern w:val="24"/>
                      <w:sz w:val="21"/>
                      <w:szCs w:val="21"/>
                      <w:highlight w:val="none"/>
                    </w:rPr>
                    <w:t>处理</w:t>
                  </w:r>
                  <w:r>
                    <w:rPr>
                      <w:rFonts w:hint="default" w:ascii="Times New Roman" w:hAnsi="Times New Roman" w:cs="Times New Roman" w:eastAsiaTheme="minorEastAsia"/>
                      <w:color w:val="000000"/>
                      <w:sz w:val="21"/>
                      <w:szCs w:val="21"/>
                      <w:highlight w:val="none"/>
                      <w:lang w:eastAsia="zh-CN"/>
                    </w:rPr>
                    <w:t>。</w:t>
                  </w:r>
                </w:p>
              </w:tc>
              <w:tc>
                <w:tcPr>
                  <w:tcW w:w="475" w:type="pct"/>
                  <w:shd w:val="clear" w:color="auto" w:fill="auto"/>
                  <w:noWrap w:val="0"/>
                  <w:vAlign w:val="center"/>
                </w:tcPr>
                <w:p w14:paraId="25DD0F74">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3114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824" w:type="pct"/>
                  <w:vMerge w:val="continue"/>
                  <w:noWrap w:val="0"/>
                  <w:vAlign w:val="center"/>
                </w:tcPr>
                <w:p w14:paraId="51B39BC8">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6C09CCBC">
                  <w:pPr>
                    <w:pStyle w:val="22"/>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pacing w:val="0"/>
                      <w:kern w:val="0"/>
                      <w:sz w:val="21"/>
                      <w:szCs w:val="21"/>
                      <w:lang w:val="en-US" w:eastAsia="zh-CN" w:bidi="ar-SA"/>
                    </w:rPr>
                    <w:t>严格危废管理。产生废活性炭的企业，必须与有许可证的危废经营单位签订危废处置协议。</w:t>
                  </w:r>
                </w:p>
              </w:tc>
              <w:tc>
                <w:tcPr>
                  <w:tcW w:w="1240" w:type="pct"/>
                  <w:shd w:val="clear" w:color="auto" w:fill="auto"/>
                  <w:noWrap w:val="0"/>
                  <w:vAlign w:val="center"/>
                </w:tcPr>
                <w:p w14:paraId="45DB7E7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要求建设单位后期必须</w:t>
                  </w:r>
                  <w:r>
                    <w:rPr>
                      <w:rFonts w:hint="default" w:ascii="Times New Roman" w:hAnsi="Times New Roman" w:cs="Times New Roman" w:eastAsiaTheme="minorEastAsia"/>
                      <w:color w:val="000000"/>
                      <w:spacing w:val="0"/>
                      <w:kern w:val="0"/>
                      <w:sz w:val="21"/>
                      <w:szCs w:val="21"/>
                      <w:lang w:val="en-US" w:eastAsia="zh-CN" w:bidi="ar-SA"/>
                    </w:rPr>
                    <w:t>与有许可证的危废经营单位签订危废处置协议。</w:t>
                  </w:r>
                </w:p>
              </w:tc>
              <w:tc>
                <w:tcPr>
                  <w:tcW w:w="475" w:type="pct"/>
                  <w:shd w:val="clear" w:color="auto" w:fill="auto"/>
                  <w:noWrap w:val="0"/>
                  <w:vAlign w:val="center"/>
                </w:tcPr>
                <w:p w14:paraId="4D4A820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7F653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824" w:type="pct"/>
                  <w:vMerge w:val="continue"/>
                </w:tcPr>
                <w:p w14:paraId="1FEC3835">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2B78E6BC">
                  <w:pPr>
                    <w:pStyle w:val="22"/>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pacing w:val="0"/>
                      <w:kern w:val="0"/>
                      <w:sz w:val="21"/>
                      <w:szCs w:val="21"/>
                      <w:lang w:val="en-US" w:eastAsia="zh-CN" w:bidi="ar-SA"/>
                    </w:rPr>
                    <w:t>鼓励循环再生活性炭。鼓励企业使用优质可循环使用的活性炭，并与有资质的企业签订废旧活性炭的收集、转运、循环利用服务协议，提高治理效率，减少危险废物产生。</w:t>
                  </w:r>
                </w:p>
              </w:tc>
              <w:tc>
                <w:tcPr>
                  <w:tcW w:w="1240" w:type="pct"/>
                  <w:shd w:val="clear" w:color="auto" w:fill="auto"/>
                  <w:vAlign w:val="center"/>
                </w:tcPr>
                <w:p w14:paraId="6596907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活性炭定期更换后交由有资质单位处理。</w:t>
                  </w:r>
                </w:p>
              </w:tc>
              <w:tc>
                <w:tcPr>
                  <w:tcW w:w="475" w:type="pct"/>
                  <w:shd w:val="clear" w:color="auto" w:fill="auto"/>
                  <w:vAlign w:val="center"/>
                </w:tcPr>
                <w:p w14:paraId="0D0B1D23">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7016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jc w:val="center"/>
              </w:trPr>
              <w:tc>
                <w:tcPr>
                  <w:tcW w:w="824" w:type="pct"/>
                  <w:vMerge w:val="continue"/>
                </w:tcPr>
                <w:p w14:paraId="2AE817F8">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129ACB1C">
                  <w:pPr>
                    <w:pStyle w:val="22"/>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pacing w:val="0"/>
                      <w:kern w:val="0"/>
                      <w:sz w:val="21"/>
                      <w:szCs w:val="21"/>
                      <w:lang w:val="en-US" w:eastAsia="zh-CN" w:bidi="ar-SA"/>
                    </w:rPr>
                    <w:t>完善台账记录。企业应按要求做好活性炭吸附日常运行维护台账记录，台账内容应包括开启时间、关停时间、更换时间更换照片、装填数量、设计参数、风量等，以及活性炭主要技术指标检测合格材料。环境管理台账记录保存期限不得少于5年。</w:t>
                  </w:r>
                </w:p>
              </w:tc>
              <w:tc>
                <w:tcPr>
                  <w:tcW w:w="1240" w:type="pct"/>
                  <w:shd w:val="clear" w:color="auto" w:fill="auto"/>
                  <w:vAlign w:val="center"/>
                </w:tcPr>
                <w:p w14:paraId="1E4D93B5">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rPr>
                  </w:pPr>
                  <w:r>
                    <w:rPr>
                      <w:rFonts w:hint="default" w:ascii="Times New Roman" w:hAnsi="Times New Roman" w:cs="Times New Roman" w:eastAsiaTheme="minorEastAsia"/>
                      <w:color w:val="000000"/>
                      <w:kern w:val="0"/>
                      <w:sz w:val="21"/>
                      <w:szCs w:val="21"/>
                      <w:lang w:val="en-US" w:eastAsia="zh-CN"/>
                    </w:rPr>
                    <w:t>要求建设单位按要求</w:t>
                  </w:r>
                  <w:r>
                    <w:rPr>
                      <w:rFonts w:hint="default" w:ascii="Times New Roman" w:hAnsi="Times New Roman" w:cs="Times New Roman" w:eastAsiaTheme="minorEastAsia"/>
                      <w:color w:val="000000"/>
                      <w:spacing w:val="0"/>
                      <w:kern w:val="0"/>
                      <w:sz w:val="21"/>
                      <w:szCs w:val="21"/>
                      <w:lang w:val="en-US" w:eastAsia="zh-CN" w:bidi="ar-SA"/>
                    </w:rPr>
                    <w:t>完善台账记录</w:t>
                  </w:r>
                  <w:r>
                    <w:rPr>
                      <w:rFonts w:hint="default" w:ascii="Times New Roman" w:hAnsi="Times New Roman" w:cs="Times New Roman" w:eastAsiaTheme="minorEastAsia"/>
                      <w:color w:val="000000"/>
                      <w:kern w:val="0"/>
                      <w:sz w:val="21"/>
                      <w:szCs w:val="21"/>
                      <w:lang w:val="en-US" w:eastAsia="zh-CN"/>
                    </w:rPr>
                    <w:t>。</w:t>
                  </w:r>
                </w:p>
                <w:p w14:paraId="55E92F32">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rPr>
                  </w:pPr>
                </w:p>
              </w:tc>
              <w:tc>
                <w:tcPr>
                  <w:tcW w:w="475" w:type="pct"/>
                  <w:shd w:val="clear" w:color="auto" w:fill="auto"/>
                  <w:vAlign w:val="center"/>
                </w:tcPr>
                <w:p w14:paraId="167C2717">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04B5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24" w:type="pct"/>
                  <w:vMerge w:val="restart"/>
                  <w:shd w:val="clear" w:color="auto" w:fill="auto"/>
                  <w:vAlign w:val="center"/>
                </w:tcPr>
                <w:p w14:paraId="6A68E04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val="en-US" w:eastAsia="zh-CN"/>
                    </w:rPr>
                    <w:t>陕西省生态环境厅关于进一步加强关中地区涉气重点行业项目环评管理的通知（陕环环评函〔2023〕76号）</w:t>
                  </w:r>
                </w:p>
              </w:tc>
              <w:tc>
                <w:tcPr>
                  <w:tcW w:w="2459" w:type="pct"/>
                  <w:shd w:val="clear" w:color="auto" w:fill="auto"/>
                  <w:vAlign w:val="center"/>
                </w:tcPr>
                <w:p w14:paraId="18078C31">
                  <w:pPr>
                    <w:pStyle w:val="22"/>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000000"/>
                      <w:spacing w:val="0"/>
                      <w:kern w:val="0"/>
                      <w:sz w:val="21"/>
                      <w:szCs w:val="21"/>
                      <w:lang w:val="en-US" w:eastAsia="zh-CN" w:bidi="ar-SA"/>
                    </w:rPr>
                  </w:pPr>
                  <w:r>
                    <w:rPr>
                      <w:rFonts w:hint="default" w:ascii="Times New Roman" w:hAnsi="Times New Roman" w:cs="Times New Roman" w:eastAsiaTheme="minorEastAsia"/>
                      <w:color w:val="000000"/>
                      <w:spacing w:val="0"/>
                      <w:kern w:val="0"/>
                      <w:sz w:val="21"/>
                      <w:szCs w:val="21"/>
                      <w:lang w:val="en-US" w:eastAsia="zh-CN" w:bidi="ar-SA"/>
                    </w:rPr>
                    <w:t>一、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240" w:type="pct"/>
                  <w:vMerge w:val="restart"/>
                  <w:shd w:val="clear" w:color="auto" w:fill="auto"/>
                  <w:vAlign w:val="center"/>
                </w:tcPr>
                <w:p w14:paraId="395F5238">
                  <w:pPr>
                    <w:keepNext w:val="0"/>
                    <w:keepLines w:val="0"/>
                    <w:pageBreakBefore w:val="0"/>
                    <w:widowControl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rPr>
                    <w:t>本项目</w:t>
                  </w:r>
                  <w:r>
                    <w:rPr>
                      <w:rFonts w:hint="default" w:ascii="Times New Roman" w:hAnsi="Times New Roman" w:cs="Times New Roman" w:eastAsiaTheme="minorEastAsia"/>
                      <w:color w:val="000000"/>
                      <w:kern w:val="21"/>
                      <w:sz w:val="21"/>
                      <w:szCs w:val="21"/>
                      <w:lang w:val="en-US" w:eastAsia="zh-CN"/>
                    </w:rPr>
                    <w:t>位于西咸新区泾河新城，属于关中地区；不属于</w:t>
                  </w:r>
                  <w:r>
                    <w:rPr>
                      <w:rFonts w:hint="default" w:ascii="Times New Roman" w:hAnsi="Times New Roman" w:cs="Times New Roman" w:eastAsiaTheme="minorEastAsia"/>
                      <w:color w:val="000000"/>
                      <w:kern w:val="21"/>
                      <w:sz w:val="21"/>
                      <w:szCs w:val="21"/>
                    </w:rPr>
                    <w:t>《重污染天气重点行业应急减排措施制定技术指南（2020年修订版）》中的重点行业</w:t>
                  </w:r>
                  <w:r>
                    <w:rPr>
                      <w:rFonts w:hint="default" w:ascii="Times New Roman" w:hAnsi="Times New Roman" w:cs="Times New Roman" w:eastAsiaTheme="minorEastAsia"/>
                      <w:color w:val="000000"/>
                      <w:kern w:val="21"/>
                      <w:sz w:val="21"/>
                      <w:szCs w:val="21"/>
                      <w:lang w:val="en-US" w:eastAsia="zh-CN"/>
                    </w:rPr>
                    <w:t>中，不纳入绩效评级管理。</w:t>
                  </w:r>
                </w:p>
              </w:tc>
              <w:tc>
                <w:tcPr>
                  <w:tcW w:w="475" w:type="pct"/>
                  <w:shd w:val="clear" w:color="auto" w:fill="auto"/>
                  <w:vAlign w:val="center"/>
                </w:tcPr>
                <w:p w14:paraId="7CC5C2CA">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00EF4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0" w:hRule="atLeast"/>
                <w:jc w:val="center"/>
              </w:trPr>
              <w:tc>
                <w:tcPr>
                  <w:tcW w:w="824" w:type="pct"/>
                  <w:vMerge w:val="continue"/>
                </w:tcPr>
                <w:p w14:paraId="3BE4F303">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7EB6527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二、关中地区涉气重点行业新、改、扩建项目环境影响报告书（表）应编制环保绩效管理篇章，按照环办大气函〔2020〕340号文件从建设项目的装备水平(生产工艺)、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240" w:type="pct"/>
                  <w:vMerge w:val="continue"/>
                  <w:shd w:val="clear" w:color="auto" w:fill="auto"/>
                  <w:vAlign w:val="center"/>
                </w:tcPr>
                <w:p w14:paraId="7F119F18">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rPr>
                  </w:pPr>
                </w:p>
              </w:tc>
              <w:tc>
                <w:tcPr>
                  <w:tcW w:w="475" w:type="pct"/>
                  <w:shd w:val="clear" w:color="auto" w:fill="auto"/>
                  <w:vAlign w:val="center"/>
                </w:tcPr>
                <w:p w14:paraId="473A44AA">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0CE34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824" w:type="pct"/>
                  <w:vMerge w:val="restart"/>
                  <w:shd w:val="clear" w:color="auto" w:fill="auto"/>
                  <w:vAlign w:val="center"/>
                </w:tcPr>
                <w:p w14:paraId="6D42252A">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val="en-US" w:eastAsia="zh-CN"/>
                    </w:rPr>
                    <w:t>《西安市人民政府关于印发西安市空气质量达标规划（2023-2030年）的通知》（市政发〔2023〕10号）</w:t>
                  </w:r>
                </w:p>
              </w:tc>
              <w:tc>
                <w:tcPr>
                  <w:tcW w:w="2459" w:type="pct"/>
                  <w:shd w:val="clear" w:color="auto" w:fill="auto"/>
                  <w:vAlign w:val="center"/>
                </w:tcPr>
                <w:p w14:paraId="75931E9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val="en-US" w:eastAsia="zh-CN"/>
                    </w:rPr>
                    <w:t>根据国土空间规划分区和用途管制，实施“三线一单”（生态保护红线、环境质量底线、资源利用上线和生态环境准入清单）生态环境分区管控制度。</w:t>
                  </w:r>
                </w:p>
              </w:tc>
              <w:tc>
                <w:tcPr>
                  <w:tcW w:w="1240" w:type="pct"/>
                  <w:shd w:val="clear" w:color="auto" w:fill="auto"/>
                  <w:vAlign w:val="center"/>
                </w:tcPr>
                <w:p w14:paraId="260B7AF1">
                  <w:pPr>
                    <w:keepNext w:val="0"/>
                    <w:keepLines w:val="0"/>
                    <w:pageBreakBefore w:val="0"/>
                    <w:widowControl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项目符合“三线一单”生态环境分区管控中的相关要求。</w:t>
                  </w:r>
                </w:p>
              </w:tc>
              <w:tc>
                <w:tcPr>
                  <w:tcW w:w="475" w:type="pct"/>
                  <w:shd w:val="clear" w:color="auto" w:fill="auto"/>
                  <w:vAlign w:val="center"/>
                </w:tcPr>
                <w:p w14:paraId="2853228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44047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4" w:type="pct"/>
                  <w:vMerge w:val="continue"/>
                </w:tcPr>
                <w:p w14:paraId="06D5FD06">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2FBD1AF5">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val="en-US" w:eastAsia="zh-CN"/>
                    </w:rPr>
                    <w:t>新建项目不再采用单一低温等离子、光氧化、光催化等治理技术，非水溶性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1240" w:type="pct"/>
                  <w:shd w:val="clear" w:color="auto" w:fill="auto"/>
                  <w:vAlign w:val="center"/>
                </w:tcPr>
                <w:p w14:paraId="30086216">
                  <w:pPr>
                    <w:keepNext w:val="0"/>
                    <w:keepLines w:val="0"/>
                    <w:pageBreakBefore w:val="0"/>
                    <w:widowControl/>
                    <w:suppressLineNumbers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000000"/>
                      <w:kern w:val="0"/>
                      <w:sz w:val="21"/>
                      <w:szCs w:val="21"/>
                      <w:highlight w:val="none"/>
                      <w:lang w:val="en-US" w:eastAsia="zh-CN" w:bidi="ar"/>
                    </w:rPr>
                  </w:pPr>
                  <w:r>
                    <w:rPr>
                      <w:rFonts w:hint="default" w:ascii="Times New Roman" w:hAnsi="Times New Roman" w:cs="Times New Roman" w:eastAsiaTheme="minorEastAsia"/>
                      <w:color w:val="000000"/>
                      <w:kern w:val="0"/>
                      <w:sz w:val="21"/>
                      <w:szCs w:val="21"/>
                      <w:highlight w:val="none"/>
                      <w:lang w:val="en-US" w:eastAsia="zh-CN" w:bidi="ar"/>
                    </w:rPr>
                    <w:t>本项目产生非甲烷总烃，使用集气罩+二级活性炭吸附处理工艺对有机废气进行处理，不属于单一喷淋吸收处理方式；</w:t>
                  </w:r>
                </w:p>
                <w:p w14:paraId="60C35C03">
                  <w:pPr>
                    <w:keepNext w:val="0"/>
                    <w:keepLines w:val="0"/>
                    <w:pageBreakBefore w:val="0"/>
                    <w:widowControl/>
                    <w:suppressLineNumbers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highlight w:val="none"/>
                      <w:lang w:val="en-US" w:eastAsia="zh-CN"/>
                    </w:rPr>
                    <w:t>本项目不属于</w:t>
                  </w:r>
                  <w:r>
                    <w:rPr>
                      <w:rFonts w:hint="default" w:ascii="Times New Roman" w:hAnsi="Times New Roman" w:cs="Times New Roman" w:eastAsiaTheme="minorEastAsia"/>
                      <w:color w:val="000000"/>
                      <w:kern w:val="21"/>
                      <w:sz w:val="21"/>
                      <w:szCs w:val="21"/>
                      <w:highlight w:val="none"/>
                    </w:rPr>
                    <w:t>《重污染天气重点行业应急减排措施制定技术指南（2020年修订版）》中的重点行业</w:t>
                  </w:r>
                  <w:r>
                    <w:rPr>
                      <w:rFonts w:hint="default" w:ascii="Times New Roman" w:hAnsi="Times New Roman" w:cs="Times New Roman" w:eastAsiaTheme="minorEastAsia"/>
                      <w:color w:val="000000"/>
                      <w:kern w:val="21"/>
                      <w:sz w:val="21"/>
                      <w:szCs w:val="21"/>
                      <w:highlight w:val="none"/>
                      <w:lang w:val="en-US" w:eastAsia="zh-CN"/>
                    </w:rPr>
                    <w:t>中，不纳入绩效评级管理。</w:t>
                  </w:r>
                </w:p>
              </w:tc>
              <w:tc>
                <w:tcPr>
                  <w:tcW w:w="475" w:type="pct"/>
                  <w:shd w:val="clear" w:color="auto" w:fill="auto"/>
                  <w:vAlign w:val="center"/>
                </w:tcPr>
                <w:p w14:paraId="7D479481">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36153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0" w:hRule="atLeast"/>
                <w:jc w:val="center"/>
              </w:trPr>
              <w:tc>
                <w:tcPr>
                  <w:tcW w:w="824" w:type="pct"/>
                  <w:shd w:val="clear" w:color="auto" w:fill="auto"/>
                  <w:vAlign w:val="center"/>
                </w:tcPr>
                <w:p w14:paraId="1D24E861">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《陕西省生态环境厅关于解决企业申报污染物许可排放量与环评文件排放量不一致问题的通知》（陕环排管函〔2024〕</w:t>
                  </w:r>
                </w:p>
                <w:p w14:paraId="3BDFE61D">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val="en-US" w:eastAsia="zh-CN"/>
                    </w:rPr>
                    <w:t>18号）</w:t>
                  </w:r>
                </w:p>
              </w:tc>
              <w:tc>
                <w:tcPr>
                  <w:tcW w:w="2459" w:type="pct"/>
                  <w:shd w:val="clear" w:color="auto" w:fill="auto"/>
                  <w:vAlign w:val="center"/>
                </w:tcPr>
                <w:p w14:paraId="5BB3D1F5">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val="en-US" w:eastAsia="zh-CN"/>
                    </w:rPr>
                    <w:t>新改扩建项目环评文件应明确污染物排放量核算符合排污许可规范等相关要求，同时增加该项目与已建成同类项目实际污染物达标排放量的比对分析内容(优先采用监测数据法，其次采用产排污系数法、物料衡算法核算)，综合确定该项目污染物排放量。环评文件审批部门应将项目污染物排放量作为环评审查的主要内容，确保环评文件排放量同时满足环境影响评价和排污许可管理要求。</w:t>
                  </w:r>
                </w:p>
              </w:tc>
              <w:tc>
                <w:tcPr>
                  <w:tcW w:w="1240" w:type="pct"/>
                  <w:shd w:val="clear" w:color="auto" w:fill="auto"/>
                  <w:vAlign w:val="center"/>
                </w:tcPr>
                <w:p w14:paraId="70257401">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highlight w:val="none"/>
                      <w:lang w:val="en-US" w:eastAsia="zh-CN"/>
                    </w:rPr>
                    <w:t>已于文中对本项目排污量进行计算和管理。</w:t>
                  </w:r>
                </w:p>
              </w:tc>
              <w:tc>
                <w:tcPr>
                  <w:tcW w:w="475" w:type="pct"/>
                  <w:shd w:val="clear" w:color="auto" w:fill="auto"/>
                  <w:vAlign w:val="center"/>
                </w:tcPr>
                <w:p w14:paraId="03F6B4CC">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53DDE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824" w:type="pct"/>
                  <w:shd w:val="clear" w:color="auto" w:fill="auto"/>
                  <w:vAlign w:val="center"/>
                </w:tcPr>
                <w:p w14:paraId="173863AC">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西安市人民政府办公厅《关于印发推进实现“十四五”空气质量目标暨大气污染治理专项行动2025年工作方案的通知》（市政办函〔2025〕12号）</w:t>
                  </w:r>
                </w:p>
              </w:tc>
              <w:tc>
                <w:tcPr>
                  <w:tcW w:w="2459" w:type="pct"/>
                  <w:shd w:val="clear" w:color="auto" w:fill="auto"/>
                  <w:vAlign w:val="center"/>
                </w:tcPr>
                <w:p w14:paraId="14B9BC2C">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rPr>
                  </w:pPr>
                  <w:r>
                    <w:rPr>
                      <w:rFonts w:hint="default" w:ascii="Times New Roman" w:hAnsi="Times New Roman" w:cs="Times New Roman" w:eastAsiaTheme="minorEastAsia"/>
                      <w:color w:val="000000"/>
                      <w:kern w:val="21"/>
                      <w:sz w:val="21"/>
                      <w:szCs w:val="21"/>
                      <w:lang w:val="en-US" w:eastAsia="zh-CN"/>
                    </w:rPr>
                    <w:t>优化含VOCs原辅材料和产品结构：严格控制生产和使用高VOCs含量的涂料、油墨、胶黏剂、清洗剂等建设项目。坚持应替尽替原则，在工业企业、汽修、市政工程等方面集中开展低挥发性原辅材料源头替代工作，强化源头治理，减少挥发性有机物排放。</w:t>
                  </w:r>
                </w:p>
                <w:p w14:paraId="1AA7656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p>
              </w:tc>
              <w:tc>
                <w:tcPr>
                  <w:tcW w:w="1240" w:type="pct"/>
                  <w:shd w:val="clear" w:color="auto" w:fill="auto"/>
                  <w:vAlign w:val="center"/>
                </w:tcPr>
                <w:p w14:paraId="78760AF9">
                  <w:pPr>
                    <w:keepNext w:val="0"/>
                    <w:keepLines w:val="0"/>
                    <w:pageBreakBefore w:val="0"/>
                    <w:widowControl/>
                    <w:suppressLineNumbers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sz w:val="21"/>
                      <w:szCs w:val="21"/>
                    </w:rPr>
                    <w:t>本项目原料为</w:t>
                  </w:r>
                  <w:r>
                    <w:rPr>
                      <w:rFonts w:hint="default" w:ascii="Times New Roman" w:hAnsi="Times New Roman" w:cs="Times New Roman" w:eastAsiaTheme="minorEastAsia"/>
                      <w:sz w:val="21"/>
                      <w:szCs w:val="21"/>
                      <w:lang w:val="en-US" w:eastAsia="zh-CN"/>
                    </w:rPr>
                    <w:t>PP、PE和色母粒</w:t>
                  </w:r>
                  <w:r>
                    <w:rPr>
                      <w:rFonts w:hint="default" w:ascii="Times New Roman" w:hAnsi="Times New Roman" w:cs="Times New Roman" w:eastAsiaTheme="minorEastAsia"/>
                      <w:sz w:val="21"/>
                      <w:szCs w:val="21"/>
                    </w:rPr>
                    <w:t>，</w:t>
                  </w:r>
                  <w:r>
                    <w:rPr>
                      <w:rFonts w:hint="default" w:ascii="Times New Roman" w:hAnsi="Times New Roman" w:cs="Times New Roman" w:eastAsiaTheme="minorEastAsia"/>
                      <w:color w:val="000000"/>
                      <w:kern w:val="0"/>
                      <w:sz w:val="21"/>
                      <w:szCs w:val="21"/>
                      <w:lang w:val="en-US" w:eastAsia="zh-CN" w:bidi="ar"/>
                    </w:rPr>
                    <w:t>均为符合产品质量标准的原料；</w:t>
                  </w:r>
                  <w:r>
                    <w:rPr>
                      <w:rFonts w:hint="default" w:ascii="Times New Roman" w:hAnsi="Times New Roman" w:cs="Times New Roman" w:eastAsiaTheme="minorEastAsia"/>
                      <w:sz w:val="21"/>
                      <w:szCs w:val="21"/>
                      <w:lang w:eastAsia="zh-CN"/>
                    </w:rPr>
                    <w:t>生产过程中的废</w:t>
                  </w:r>
                  <w:r>
                    <w:rPr>
                      <w:rFonts w:hint="default" w:ascii="Times New Roman" w:hAnsi="Times New Roman" w:cs="Times New Roman" w:eastAsiaTheme="minorEastAsia"/>
                      <w:sz w:val="21"/>
                      <w:szCs w:val="21"/>
                      <w:highlight w:val="none"/>
                      <w:lang w:eastAsia="zh-CN"/>
                    </w:rPr>
                    <w:t>气</w:t>
                  </w:r>
                  <w:r>
                    <w:rPr>
                      <w:rFonts w:hint="default" w:ascii="Times New Roman" w:hAnsi="Times New Roman" w:cs="Times New Roman" w:eastAsiaTheme="minorEastAsia"/>
                      <w:bCs/>
                      <w:snapToGrid w:val="0"/>
                      <w:kern w:val="0"/>
                      <w:sz w:val="21"/>
                      <w:szCs w:val="21"/>
                      <w:highlight w:val="none"/>
                    </w:rPr>
                    <w:t>采用</w:t>
                  </w:r>
                  <w:r>
                    <w:rPr>
                      <w:rFonts w:hint="default" w:ascii="Times New Roman" w:hAnsi="Times New Roman" w:cs="Times New Roman" w:eastAsiaTheme="minorEastAsia"/>
                      <w:color w:val="0D0D0D"/>
                      <w:kern w:val="24"/>
                      <w:sz w:val="21"/>
                      <w:szCs w:val="21"/>
                      <w:highlight w:val="none"/>
                    </w:rPr>
                    <w:t>集气罩收集+</w:t>
                  </w:r>
                  <w:r>
                    <w:rPr>
                      <w:rFonts w:hint="default" w:ascii="Times New Roman" w:hAnsi="Times New Roman" w:cs="Times New Roman" w:eastAsiaTheme="minorEastAsia"/>
                      <w:kern w:val="0"/>
                      <w:sz w:val="21"/>
                      <w:szCs w:val="21"/>
                      <w:highlight w:val="none"/>
                    </w:rPr>
                    <w:t>二级活性炭</w:t>
                  </w:r>
                  <w:r>
                    <w:rPr>
                      <w:rFonts w:hint="default" w:ascii="Times New Roman" w:hAnsi="Times New Roman" w:cs="Times New Roman" w:eastAsiaTheme="minorEastAsia"/>
                      <w:color w:val="0D0D0D"/>
                      <w:kern w:val="24"/>
                      <w:sz w:val="21"/>
                      <w:szCs w:val="21"/>
                      <w:highlight w:val="none"/>
                    </w:rPr>
                    <w:t>吸附</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D0D0D"/>
                      <w:kern w:val="24"/>
                      <w:sz w:val="21"/>
                      <w:szCs w:val="21"/>
                      <w:highlight w:val="none"/>
                    </w:rPr>
                    <w:t>处理</w:t>
                  </w:r>
                  <w:r>
                    <w:rPr>
                      <w:rFonts w:hint="default" w:ascii="Times New Roman" w:hAnsi="Times New Roman" w:cs="Times New Roman" w:eastAsiaTheme="minorEastAsia"/>
                      <w:sz w:val="21"/>
                      <w:szCs w:val="21"/>
                      <w:highlight w:val="none"/>
                    </w:rPr>
                    <w:t>。</w:t>
                  </w:r>
                </w:p>
              </w:tc>
              <w:tc>
                <w:tcPr>
                  <w:tcW w:w="475" w:type="pct"/>
                  <w:shd w:val="clear" w:color="auto" w:fill="auto"/>
                  <w:vAlign w:val="center"/>
                </w:tcPr>
                <w:p w14:paraId="0044B8D5">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093E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jc w:val="center"/>
              </w:trPr>
              <w:tc>
                <w:tcPr>
                  <w:tcW w:w="824" w:type="pct"/>
                  <w:shd w:val="clear" w:color="auto" w:fill="auto"/>
                  <w:vAlign w:val="center"/>
                </w:tcPr>
                <w:p w14:paraId="4E317D86">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《西咸新区“十四五”生态环境保护规划》</w:t>
                  </w:r>
                </w:p>
              </w:tc>
              <w:tc>
                <w:tcPr>
                  <w:tcW w:w="2459" w:type="pct"/>
                  <w:shd w:val="clear" w:color="auto" w:fill="auto"/>
                  <w:vAlign w:val="center"/>
                </w:tcPr>
                <w:p w14:paraId="766C68A9">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实施重点领域VOCs综合治理。建立石化、化工、工业涂装、包装印刷等重点行业及工业园区的源头替代、过程控制和末端治理全过程治理体系，实施VOCs排放总量控制。</w:t>
                  </w:r>
                </w:p>
              </w:tc>
              <w:tc>
                <w:tcPr>
                  <w:tcW w:w="1240" w:type="pct"/>
                  <w:shd w:val="clear" w:color="auto" w:fill="auto"/>
                  <w:vAlign w:val="center"/>
                </w:tcPr>
                <w:p w14:paraId="2BD8C207">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lang w:eastAsia="zh-CN"/>
                    </w:rPr>
                    <w:t>项目</w:t>
                  </w:r>
                  <w:r>
                    <w:rPr>
                      <w:rFonts w:hint="default" w:ascii="Times New Roman" w:hAnsi="Times New Roman" w:cs="Times New Roman" w:eastAsiaTheme="minorEastAsia"/>
                      <w:color w:val="000000"/>
                      <w:kern w:val="2"/>
                      <w:sz w:val="21"/>
                      <w:szCs w:val="21"/>
                      <w:lang w:val="en-US" w:eastAsia="zh-CN" w:bidi="ar-SA"/>
                    </w:rPr>
                    <w:t>注塑、挤出工序废气经集气罩+二级活性炭吸附装置</w:t>
                  </w:r>
                  <w:r>
                    <w:rPr>
                      <w:rFonts w:hint="default" w:ascii="Times New Roman" w:hAnsi="Times New Roman" w:cs="Times New Roman" w:eastAsiaTheme="minorEastAsia"/>
                      <w:color w:val="000000"/>
                      <w:kern w:val="2"/>
                      <w:sz w:val="21"/>
                      <w:szCs w:val="21"/>
                      <w:highlight w:val="none"/>
                      <w:lang w:val="en-US" w:eastAsia="zh-CN" w:bidi="ar-SA"/>
                    </w:rPr>
                    <w:t>+</w:t>
                  </w:r>
                  <w:r>
                    <w:rPr>
                      <w:rFonts w:hint="default" w:ascii="Times New Roman" w:hAnsi="Times New Roman" w:cs="Times New Roman" w:eastAsiaTheme="minorEastAsia"/>
                      <w:kern w:val="0"/>
                      <w:sz w:val="21"/>
                      <w:szCs w:val="21"/>
                      <w:highlight w:val="none"/>
                    </w:rPr>
                    <w:t>15</w:t>
                  </w:r>
                  <w:r>
                    <w:rPr>
                      <w:rFonts w:hint="default" w:ascii="Times New Roman" w:hAnsi="Times New Roman" w:cs="Times New Roman" w:eastAsiaTheme="minorEastAsia"/>
                      <w:kern w:val="0"/>
                      <w:sz w:val="21"/>
                      <w:szCs w:val="21"/>
                      <w:highlight w:val="none"/>
                      <w:lang w:val="en-US" w:eastAsia="zh-CN"/>
                    </w:rPr>
                    <w:t>m</w:t>
                  </w:r>
                  <w:r>
                    <w:rPr>
                      <w:rFonts w:hint="default" w:ascii="Times New Roman" w:hAnsi="Times New Roman" w:cs="Times New Roman" w:eastAsiaTheme="minorEastAsia"/>
                      <w:kern w:val="0"/>
                      <w:sz w:val="21"/>
                      <w:szCs w:val="21"/>
                      <w:highlight w:val="none"/>
                    </w:rPr>
                    <w:t>高排气筒（DA001）</w:t>
                  </w:r>
                  <w:r>
                    <w:rPr>
                      <w:rFonts w:hint="default" w:ascii="Times New Roman" w:hAnsi="Times New Roman" w:cs="Times New Roman" w:eastAsiaTheme="minorEastAsia"/>
                      <w:color w:val="000000"/>
                      <w:kern w:val="2"/>
                      <w:sz w:val="21"/>
                      <w:szCs w:val="21"/>
                      <w:highlight w:val="none"/>
                      <w:lang w:val="en-US" w:eastAsia="zh-CN" w:bidi="ar-SA"/>
                    </w:rPr>
                    <w:t>处理后排放。</w:t>
                  </w:r>
                </w:p>
              </w:tc>
              <w:tc>
                <w:tcPr>
                  <w:tcW w:w="475" w:type="pct"/>
                  <w:shd w:val="clear" w:color="auto" w:fill="auto"/>
                  <w:vAlign w:val="center"/>
                </w:tcPr>
                <w:p w14:paraId="4F77FD2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3E6C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jc w:val="center"/>
              </w:trPr>
              <w:tc>
                <w:tcPr>
                  <w:tcW w:w="824" w:type="pct"/>
                  <w:shd w:val="clear" w:color="auto" w:fill="auto"/>
                  <w:vAlign w:val="center"/>
                </w:tcPr>
                <w:p w14:paraId="6AAD3614">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《泾河新城大气污染治理专项行动方案（2023—2027年）》</w:t>
                  </w:r>
                </w:p>
              </w:tc>
              <w:tc>
                <w:tcPr>
                  <w:tcW w:w="2459" w:type="pct"/>
                  <w:shd w:val="clear" w:color="auto" w:fill="auto"/>
                  <w:vAlign w:val="center"/>
                </w:tcPr>
                <w:p w14:paraId="5ABAE056">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严格新、改、扩建涉气重点行业绩效评级限制条件。新城范围内新、改、扩建涉气重点行业企业应达到环保绩效A级、绩效引领性水平。</w:t>
                  </w:r>
                </w:p>
              </w:tc>
              <w:tc>
                <w:tcPr>
                  <w:tcW w:w="1240" w:type="pct"/>
                  <w:shd w:val="clear" w:color="auto" w:fill="auto"/>
                  <w:vAlign w:val="center"/>
                </w:tcPr>
                <w:p w14:paraId="1CCFEF88">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spacing w:val="-1"/>
                      <w:kern w:val="2"/>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本项目不属于《重污染天气重点行业应急减排措施制定技术指南（2020年修订版）》（环办大气函〔2020〕340号）中的行业。</w:t>
                  </w:r>
                </w:p>
              </w:tc>
              <w:tc>
                <w:tcPr>
                  <w:tcW w:w="475" w:type="pct"/>
                  <w:shd w:val="clear" w:color="auto" w:fill="auto"/>
                  <w:vAlign w:val="center"/>
                </w:tcPr>
                <w:p w14:paraId="3347DA18">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21C8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1" w:hRule="atLeast"/>
                <w:jc w:val="center"/>
              </w:trPr>
              <w:tc>
                <w:tcPr>
                  <w:tcW w:w="824" w:type="pct"/>
                  <w:shd w:val="clear" w:color="auto" w:fill="auto"/>
                  <w:vAlign w:val="center"/>
                </w:tcPr>
                <w:p w14:paraId="72F45413">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《陕西省西咸新区党政办公室关于印发西咸新区推进实现“十四五”空气质量目标暨大气污染治理专项行动2025 年工作方案的通知》陕西咸党政办函〔2025〕13 号</w:t>
                  </w:r>
                </w:p>
              </w:tc>
              <w:tc>
                <w:tcPr>
                  <w:tcW w:w="2459" w:type="pct"/>
                  <w:shd w:val="clear" w:color="auto" w:fill="auto"/>
                  <w:vAlign w:val="center"/>
                </w:tcPr>
                <w:p w14:paraId="56E2ED9D">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rPr>
                  </w:pPr>
                  <w:r>
                    <w:rPr>
                      <w:rFonts w:hint="default" w:ascii="Times New Roman" w:hAnsi="Times New Roman" w:cs="Times New Roman" w:eastAsiaTheme="minorEastAsia"/>
                      <w:color w:val="000000"/>
                      <w:kern w:val="21"/>
                      <w:sz w:val="21"/>
                      <w:szCs w:val="21"/>
                      <w:highlight w:val="none"/>
                      <w:lang w:val="en-US" w:eastAsia="zh-CN"/>
                    </w:rPr>
                    <w:t>优化含VOCs原辅材料和产品结构：严格控制生产和使用高 VOCs含量的涂料、油墨、胶黏剂、清洗剂等建设项目。坚持应替尽替原则，在工业企业、汽修、市政工程等方面集中开展低挥发性原辅材料源头替代工作，强化源头治理，减少挥发性有机物排放。</w:t>
                  </w:r>
                </w:p>
                <w:p w14:paraId="3CCEEFCE">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bidi="ar-SA"/>
                    </w:rPr>
                  </w:pPr>
                </w:p>
              </w:tc>
              <w:tc>
                <w:tcPr>
                  <w:tcW w:w="1240" w:type="pct"/>
                  <w:vMerge w:val="restart"/>
                  <w:shd w:val="clear" w:color="auto" w:fill="auto"/>
                  <w:vAlign w:val="center"/>
                </w:tcPr>
                <w:p w14:paraId="2FF57B5E">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bidi="ar"/>
                    </w:rPr>
                    <w:t>项目使用的原料常温储存过程中不会产生</w:t>
                  </w:r>
                  <w:r>
                    <w:rPr>
                      <w:rFonts w:hint="default" w:ascii="Times New Roman" w:hAnsi="Times New Roman" w:cs="Times New Roman" w:eastAsiaTheme="minorEastAsia"/>
                      <w:color w:val="000000"/>
                      <w:kern w:val="21"/>
                      <w:sz w:val="21"/>
                      <w:szCs w:val="21"/>
                      <w:highlight w:val="none"/>
                      <w:lang w:val="en-US" w:eastAsia="zh-CN"/>
                    </w:rPr>
                    <w:t>VOCs。</w:t>
                  </w:r>
                </w:p>
              </w:tc>
              <w:tc>
                <w:tcPr>
                  <w:tcW w:w="475" w:type="pct"/>
                  <w:shd w:val="clear" w:color="auto" w:fill="auto"/>
                  <w:vAlign w:val="center"/>
                </w:tcPr>
                <w:p w14:paraId="30BCA584">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5D5C5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824" w:type="pct"/>
                  <w:shd w:val="clear" w:color="auto" w:fill="auto"/>
                  <w:vAlign w:val="center"/>
                </w:tcPr>
                <w:p w14:paraId="30E73C80">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《泾河新城推进实现“十四五”空气质量目标暨大气污染治理专项行动2025年工作方案》陕泾河办发〔2025〕6号</w:t>
                  </w:r>
                </w:p>
              </w:tc>
              <w:tc>
                <w:tcPr>
                  <w:tcW w:w="2459" w:type="pct"/>
                  <w:shd w:val="clear" w:color="auto" w:fill="auto"/>
                  <w:vAlign w:val="center"/>
                </w:tcPr>
                <w:p w14:paraId="23F91BB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bidi="ar-SA"/>
                    </w:rPr>
                  </w:pPr>
                  <w:r>
                    <w:rPr>
                      <w:rFonts w:hint="default" w:ascii="Times New Roman" w:hAnsi="Times New Roman" w:cs="Times New Roman" w:eastAsiaTheme="minorEastAsia"/>
                      <w:color w:val="000000"/>
                      <w:kern w:val="21"/>
                      <w:sz w:val="21"/>
                      <w:szCs w:val="21"/>
                      <w:highlight w:val="none"/>
                      <w:lang w:val="en-US" w:eastAsia="zh-CN"/>
                    </w:rPr>
                    <w:t>优化含VOCs原辅材料和产品结构：严格控制生产和使用高 VOCs 含量的涂料、油墨、胶黏剂、清洗剂等建设项目。坚持应替尽替原则，在工业企业、市政工程等方面集中开展低挥发性原辅材料源头替代工作，强化源头治理，减少挥发性有机物排放。</w:t>
                  </w:r>
                </w:p>
              </w:tc>
              <w:tc>
                <w:tcPr>
                  <w:tcW w:w="1240" w:type="pct"/>
                  <w:vMerge w:val="continue"/>
                </w:tcPr>
                <w:p w14:paraId="7CB8C9C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rPr>
                  </w:pPr>
                </w:p>
              </w:tc>
              <w:tc>
                <w:tcPr>
                  <w:tcW w:w="475" w:type="pct"/>
                  <w:shd w:val="clear" w:color="auto" w:fill="auto"/>
                  <w:vAlign w:val="center"/>
                </w:tcPr>
                <w:p w14:paraId="1E20DAF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0A800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824" w:type="pct"/>
                  <w:shd w:val="clear" w:color="auto" w:fill="auto"/>
                  <w:vAlign w:val="center"/>
                </w:tcPr>
                <w:p w14:paraId="6F2EA805">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color w:val="000000"/>
                      <w:kern w:val="0"/>
                      <w:sz w:val="21"/>
                      <w:szCs w:val="21"/>
                      <w:lang w:val="en-US" w:eastAsia="zh-CN" w:bidi="ar"/>
                    </w:rPr>
                    <w:t>《国家污染防治技术指导目录》(2024年，限制类和汰类)</w:t>
                  </w:r>
                </w:p>
              </w:tc>
              <w:tc>
                <w:tcPr>
                  <w:tcW w:w="2459" w:type="pct"/>
                  <w:shd w:val="clear" w:color="auto" w:fill="auto"/>
                  <w:vAlign w:val="center"/>
                </w:tcPr>
                <w:p w14:paraId="4EF05BA6">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b/>
                      <w:bCs/>
                      <w:color w:val="000000"/>
                      <w:kern w:val="0"/>
                      <w:sz w:val="21"/>
                      <w:szCs w:val="21"/>
                      <w:lang w:val="en-US" w:eastAsia="zh-CN" w:bidi="ar"/>
                    </w:rPr>
                    <w:t>限制类：</w:t>
                  </w:r>
                  <w:r>
                    <w:rPr>
                      <w:rFonts w:hint="default" w:ascii="Times New Roman" w:hAnsi="Times New Roman" w:cs="Times New Roman" w:eastAsiaTheme="minorEastAsia"/>
                      <w:color w:val="000000"/>
                      <w:kern w:val="0"/>
                      <w:sz w:val="21"/>
                      <w:szCs w:val="21"/>
                      <w:lang w:val="en-US" w:eastAsia="zh-CN" w:bidi="ar"/>
                    </w:rPr>
                    <w:t>1.</w:t>
                  </w:r>
                  <w:r>
                    <w:rPr>
                      <w:rFonts w:hint="default" w:ascii="Times New Roman" w:hAnsi="Times New Roman" w:cs="Times New Roman" w:eastAsiaTheme="minorEastAsia"/>
                      <w:color w:val="000000"/>
                      <w:kern w:val="21"/>
                      <w:sz w:val="21"/>
                      <w:szCs w:val="21"/>
                      <w:lang w:val="en-US" w:eastAsia="zh-CN"/>
                    </w:rPr>
                    <w:t>VOCs</w:t>
                  </w:r>
                  <w:r>
                    <w:rPr>
                      <w:rFonts w:hint="default" w:ascii="Times New Roman" w:hAnsi="Times New Roman" w:cs="Times New Roman" w:eastAsiaTheme="minorEastAsia"/>
                      <w:color w:val="000000"/>
                      <w:kern w:val="0"/>
                      <w:sz w:val="21"/>
                      <w:szCs w:val="21"/>
                      <w:lang w:val="en-US" w:eastAsia="zh-CN" w:bidi="ar"/>
                    </w:rPr>
                    <w:t>(挥发性有机物)洗涤吸收净化技术、无控制系统或控制系统未实现对设施关键参数进行自动调节控制的燃烧、冷凝、吸附-脱附VOCs治理技术；</w:t>
                  </w:r>
                </w:p>
                <w:p w14:paraId="48524CE8">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
                    </w:rPr>
                  </w:pPr>
                  <w:r>
                    <w:rPr>
                      <w:rFonts w:hint="default" w:ascii="Times New Roman" w:hAnsi="Times New Roman" w:cs="Times New Roman" w:eastAsiaTheme="minorEastAsia"/>
                      <w:b/>
                      <w:bCs/>
                      <w:color w:val="000000"/>
                      <w:kern w:val="0"/>
                      <w:sz w:val="21"/>
                      <w:szCs w:val="21"/>
                      <w:lang w:val="en-US" w:eastAsia="zh-CN" w:bidi="ar"/>
                    </w:rPr>
                    <w:t>淘汰类：</w:t>
                  </w:r>
                  <w:r>
                    <w:rPr>
                      <w:rFonts w:hint="default" w:ascii="Times New Roman" w:hAnsi="Times New Roman" w:cs="Times New Roman" w:eastAsiaTheme="minorEastAsia"/>
                      <w:color w:val="000000"/>
                      <w:kern w:val="0"/>
                      <w:sz w:val="21"/>
                      <w:szCs w:val="21"/>
                      <w:lang w:val="en-US" w:eastAsia="zh-CN" w:bidi="ar"/>
                    </w:rPr>
                    <w:t>VOCs 光催化及其组合净化技术、VOCs低温等离子体及其组合净化技术、VOCs光解(光氧化)及其组合净化技术</w:t>
                  </w:r>
                  <w:r>
                    <w:rPr>
                      <w:rFonts w:hint="default" w:ascii="Times New Roman" w:hAnsi="Times New Roman" w:cs="Times New Roman" w:eastAsiaTheme="minorEastAsia"/>
                      <w:color w:val="000000"/>
                      <w:sz w:val="21"/>
                      <w:szCs w:val="21"/>
                      <w:lang w:val="en-US" w:eastAsia="zh-CN"/>
                    </w:rPr>
                    <w:t>。</w:t>
                  </w:r>
                </w:p>
              </w:tc>
              <w:tc>
                <w:tcPr>
                  <w:tcW w:w="1240" w:type="pct"/>
                  <w:shd w:val="clear" w:color="auto" w:fill="auto"/>
                  <w:vAlign w:val="center"/>
                </w:tcPr>
                <w:p w14:paraId="7BCD28A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sz w:val="21"/>
                      <w:szCs w:val="21"/>
                      <w:highlight w:val="none"/>
                      <w:lang w:eastAsia="zh-CN"/>
                    </w:rPr>
                    <w:t>项目</w:t>
                  </w:r>
                  <w:r>
                    <w:rPr>
                      <w:rFonts w:hint="default" w:ascii="Times New Roman" w:hAnsi="Times New Roman" w:cs="Times New Roman" w:eastAsiaTheme="minorEastAsia"/>
                      <w:color w:val="000000"/>
                      <w:kern w:val="2"/>
                      <w:sz w:val="21"/>
                      <w:szCs w:val="21"/>
                      <w:highlight w:val="none"/>
                      <w:lang w:val="en-US" w:eastAsia="zh-CN" w:bidi="ar-SA"/>
                    </w:rPr>
                    <w:t>注塑、挤出工序废气经集气罩+二级活性炭吸附装置+15m高排气筒（DA001）处理后排放。不属于其中淘汰类、限制类治理技术。</w:t>
                  </w:r>
                </w:p>
              </w:tc>
              <w:tc>
                <w:tcPr>
                  <w:tcW w:w="475" w:type="pct"/>
                  <w:shd w:val="clear" w:color="auto" w:fill="auto"/>
                  <w:vAlign w:val="center"/>
                </w:tcPr>
                <w:p w14:paraId="0DBCC814">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bl>
          <w:p w14:paraId="0D00C1A5">
            <w:pPr>
              <w:pStyle w:val="23"/>
              <w:ind w:left="0" w:leftChars="0" w:firstLine="0" w:firstLineChars="0"/>
              <w:rPr>
                <w:rFonts w:hint="eastAsia"/>
                <w:color w:val="auto"/>
                <w:szCs w:val="24"/>
              </w:rPr>
            </w:pPr>
          </w:p>
        </w:tc>
      </w:tr>
    </w:tbl>
    <w:p w14:paraId="3CBCC7ED">
      <w:pPr>
        <w:pStyle w:val="21"/>
        <w:numPr>
          <w:ilvl w:val="0"/>
          <w:numId w:val="0"/>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lang w:eastAsia="zh-CN"/>
        </w:rPr>
        <w:t>二、</w:t>
      </w:r>
      <w:r>
        <w:rPr>
          <w:rFonts w:hint="eastAsia" w:ascii="黑体" w:hAnsi="黑体" w:eastAsia="黑体"/>
          <w:snapToGrid w:val="0"/>
          <w:color w:val="auto"/>
          <w:sz w:val="30"/>
          <w:szCs w:val="30"/>
        </w:rPr>
        <w:t>建设项目工程分析</w:t>
      </w: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8643"/>
      </w:tblGrid>
      <w:tr w14:paraId="60B7260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7" w:type="dxa"/>
            <w:noWrap w:val="0"/>
            <w:vAlign w:val="center"/>
          </w:tcPr>
          <w:p w14:paraId="65CA023E">
            <w:pPr>
              <w:pStyle w:val="21"/>
              <w:adjustRightInd w:val="0"/>
              <w:snapToGrid w:val="0"/>
              <w:spacing w:before="0" w:beforeAutospacing="0" w:after="0" w:afterAutospacing="0"/>
              <w:jc w:val="center"/>
              <w:rPr>
                <w:rFonts w:cs="宋体"/>
                <w:color w:val="0000FF"/>
                <w:sz w:val="21"/>
                <w:szCs w:val="21"/>
                <w:highlight w:val="none"/>
              </w:rPr>
            </w:pPr>
            <w:r>
              <w:rPr>
                <w:rFonts w:hint="eastAsia" w:cs="宋体"/>
                <w:color w:val="auto"/>
                <w:sz w:val="21"/>
                <w:szCs w:val="21"/>
                <w:highlight w:val="none"/>
              </w:rPr>
              <w:t>建设内容</w:t>
            </w:r>
          </w:p>
        </w:tc>
        <w:tc>
          <w:tcPr>
            <w:tcW w:w="8643" w:type="dxa"/>
            <w:noWrap w:val="0"/>
            <w:vAlign w:val="top"/>
          </w:tcPr>
          <w:p w14:paraId="47F1FC87">
            <w:pPr>
              <w:adjustRightInd w:val="0"/>
              <w:snapToGrid w:val="0"/>
              <w:spacing w:line="360" w:lineRule="auto"/>
              <w:jc w:val="left"/>
              <w:rPr>
                <w:rFonts w:hint="eastAsia"/>
                <w:b/>
                <w:color w:val="auto"/>
                <w:sz w:val="24"/>
                <w:highlight w:val="none"/>
              </w:rPr>
            </w:pPr>
            <w:r>
              <w:rPr>
                <w:rFonts w:hint="eastAsia"/>
                <w:b/>
                <w:color w:val="auto"/>
                <w:sz w:val="24"/>
                <w:highlight w:val="none"/>
                <w:lang w:val="en-US" w:eastAsia="zh-CN"/>
              </w:rPr>
              <w:t>一、</w:t>
            </w:r>
            <w:r>
              <w:rPr>
                <w:rFonts w:hint="eastAsia"/>
                <w:b/>
                <w:color w:val="auto"/>
                <w:sz w:val="24"/>
                <w:highlight w:val="none"/>
              </w:rPr>
              <w:t>项目基本情况</w:t>
            </w:r>
          </w:p>
          <w:p w14:paraId="60225FE3">
            <w:pPr>
              <w:adjustRightInd w:val="0"/>
              <w:snapToGrid w:val="0"/>
              <w:spacing w:line="360" w:lineRule="auto"/>
              <w:ind w:firstLine="42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项目名称：</w:t>
            </w:r>
            <w:r>
              <w:rPr>
                <w:rFonts w:hint="eastAsia" w:cs="Times New Roman"/>
                <w:bCs/>
                <w:color w:val="auto"/>
                <w:sz w:val="24"/>
                <w:highlight w:val="none"/>
                <w:lang w:eastAsia="zh-CN"/>
              </w:rPr>
              <w:t>电力护套管建设项目</w:t>
            </w:r>
            <w:r>
              <w:rPr>
                <w:rFonts w:hint="default" w:ascii="Times New Roman" w:hAnsi="Times New Roman" w:eastAsia="宋体" w:cs="Times New Roman"/>
                <w:bCs/>
                <w:color w:val="auto"/>
                <w:sz w:val="24"/>
                <w:highlight w:val="none"/>
              </w:rPr>
              <w:t>；</w:t>
            </w:r>
          </w:p>
          <w:p w14:paraId="5CC2F36F">
            <w:pPr>
              <w:adjustRightInd w:val="0"/>
              <w:snapToGrid w:val="0"/>
              <w:spacing w:line="360" w:lineRule="auto"/>
              <w:ind w:firstLine="420"/>
              <w:jc w:val="left"/>
              <w:rPr>
                <w:rFonts w:hint="default"/>
                <w:highlight w:val="none"/>
                <w:lang w:val="en-US" w:eastAsia="zh-CN"/>
              </w:rPr>
            </w:pPr>
            <w:r>
              <w:rPr>
                <w:rFonts w:hint="default" w:ascii="Times New Roman" w:hAnsi="Times New Roman" w:eastAsia="宋体" w:cs="Times New Roman"/>
                <w:bCs/>
                <w:color w:val="auto"/>
                <w:sz w:val="24"/>
                <w:highlight w:val="none"/>
                <w:lang w:val="en-US" w:eastAsia="zh-CN"/>
              </w:rPr>
              <w:t>项目代码：2505-611206-04-01-167150</w:t>
            </w:r>
            <w:r>
              <w:rPr>
                <w:rFonts w:hint="default" w:ascii="Times New Roman" w:hAnsi="Times New Roman" w:eastAsia="宋体" w:cs="Times New Roman"/>
                <w:bCs/>
                <w:color w:val="auto"/>
                <w:sz w:val="24"/>
                <w:highlight w:val="none"/>
              </w:rPr>
              <w:t>；</w:t>
            </w:r>
          </w:p>
          <w:p w14:paraId="3DE8AFAE">
            <w:pPr>
              <w:adjustRightInd w:val="0"/>
              <w:snapToGrid w:val="0"/>
              <w:spacing w:line="360" w:lineRule="auto"/>
              <w:ind w:firstLine="420"/>
              <w:jc w:val="left"/>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国民经济行业类别：</w:t>
            </w:r>
            <w:r>
              <w:rPr>
                <w:rFonts w:hint="eastAsia" w:ascii="Times New Roman" w:hAnsi="Times New Roman" w:eastAsia="宋体" w:cs="Times New Roman"/>
                <w:bCs/>
                <w:color w:val="auto"/>
                <w:sz w:val="24"/>
                <w:highlight w:val="none"/>
                <w:lang w:val="en-US" w:eastAsia="zh-CN"/>
              </w:rPr>
              <w:t>C292</w:t>
            </w:r>
            <w:r>
              <w:rPr>
                <w:rFonts w:hint="eastAsia" w:cs="Times New Roman"/>
                <w:bCs/>
                <w:color w:val="auto"/>
                <w:sz w:val="24"/>
                <w:highlight w:val="none"/>
                <w:lang w:val="en-US" w:eastAsia="zh-CN"/>
              </w:rPr>
              <w:t>2</w:t>
            </w:r>
            <w:r>
              <w:rPr>
                <w:rFonts w:hint="eastAsia"/>
                <w:sz w:val="24"/>
                <w:highlight w:val="none"/>
              </w:rPr>
              <w:t>塑料板、管、型材制造</w:t>
            </w:r>
            <w:r>
              <w:rPr>
                <w:rFonts w:hint="eastAsia" w:ascii="Times New Roman" w:hAnsi="Times New Roman" w:eastAsia="宋体" w:cs="Times New Roman"/>
                <w:bCs/>
                <w:color w:val="auto"/>
                <w:sz w:val="24"/>
                <w:highlight w:val="none"/>
                <w:lang w:val="en-US" w:eastAsia="zh-CN"/>
              </w:rPr>
              <w:t>；</w:t>
            </w:r>
          </w:p>
          <w:p w14:paraId="0931B2C3">
            <w:pPr>
              <w:adjustRightInd w:val="0"/>
              <w:snapToGrid w:val="0"/>
              <w:spacing w:line="360" w:lineRule="auto"/>
              <w:ind w:firstLine="420"/>
              <w:jc w:val="left"/>
              <w:rPr>
                <w:rFonts w:hint="eastAsia"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项目行业类别：</w:t>
            </w:r>
            <w:r>
              <w:rPr>
                <w:rFonts w:hint="eastAsia"/>
                <w:sz w:val="24"/>
                <w:highlight w:val="none"/>
              </w:rPr>
              <w:t>二十六、橡胶和塑料制品业29（53塑料制品业-其他（年用非溶剂型低VOCs含量涂料10吨涂料以下的除外）</w:t>
            </w:r>
            <w:r>
              <w:rPr>
                <w:rFonts w:hint="eastAsia"/>
                <w:sz w:val="24"/>
                <w:highlight w:val="none"/>
                <w:lang w:eastAsia="zh-CN"/>
              </w:rPr>
              <w:t>；</w:t>
            </w:r>
          </w:p>
          <w:p w14:paraId="1AB8AFCB">
            <w:pPr>
              <w:adjustRightInd w:val="0"/>
              <w:snapToGrid w:val="0"/>
              <w:spacing w:line="360" w:lineRule="auto"/>
              <w:ind w:firstLine="42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项目性质：</w:t>
            </w:r>
            <w:r>
              <w:rPr>
                <w:rFonts w:hint="default" w:ascii="Times New Roman" w:hAnsi="Times New Roman" w:eastAsia="宋体" w:cs="Times New Roman"/>
                <w:bCs/>
                <w:color w:val="auto"/>
                <w:sz w:val="24"/>
                <w:highlight w:val="none"/>
                <w:lang w:val="en-US" w:eastAsia="zh-CN"/>
              </w:rPr>
              <w:t>新建</w:t>
            </w:r>
            <w:r>
              <w:rPr>
                <w:rFonts w:hint="default" w:ascii="Times New Roman" w:hAnsi="Times New Roman" w:eastAsia="宋体" w:cs="Times New Roman"/>
                <w:bCs/>
                <w:color w:val="auto"/>
                <w:sz w:val="24"/>
                <w:highlight w:val="none"/>
              </w:rPr>
              <w:t>；</w:t>
            </w:r>
          </w:p>
          <w:p w14:paraId="6A606674">
            <w:pPr>
              <w:adjustRightInd w:val="0"/>
              <w:snapToGrid w:val="0"/>
              <w:spacing w:line="360" w:lineRule="auto"/>
              <w:ind w:firstLine="420"/>
              <w:jc w:val="left"/>
              <w:rPr>
                <w:rFonts w:hint="default" w:ascii="Times New Roman" w:hAnsi="Times New Roman" w:eastAsia="宋体" w:cs="Times New Roman"/>
                <w:bCs/>
                <w:color w:val="auto"/>
                <w:sz w:val="24"/>
                <w:highlight w:val="none"/>
                <w:lang w:val="en-GB" w:eastAsia="zh-CN"/>
              </w:rPr>
            </w:pPr>
            <w:r>
              <w:rPr>
                <w:rFonts w:hint="default" w:ascii="Times New Roman" w:hAnsi="Times New Roman" w:eastAsia="宋体" w:cs="Times New Roman"/>
                <w:bCs/>
                <w:color w:val="auto"/>
                <w:sz w:val="24"/>
                <w:highlight w:val="none"/>
              </w:rPr>
              <w:t>建设单位：陕西</w:t>
            </w:r>
            <w:r>
              <w:rPr>
                <w:rFonts w:hint="eastAsia" w:cs="Times New Roman"/>
                <w:bCs/>
                <w:color w:val="auto"/>
                <w:sz w:val="24"/>
                <w:highlight w:val="none"/>
                <w:lang w:eastAsia="zh-CN"/>
              </w:rPr>
              <w:t>聚鑫弘科技</w:t>
            </w:r>
            <w:r>
              <w:rPr>
                <w:rFonts w:hint="default" w:ascii="Times New Roman" w:hAnsi="Times New Roman" w:eastAsia="宋体" w:cs="Times New Roman"/>
                <w:bCs/>
                <w:color w:val="auto"/>
                <w:sz w:val="24"/>
                <w:highlight w:val="none"/>
              </w:rPr>
              <w:t>有限公司</w:t>
            </w:r>
            <w:r>
              <w:rPr>
                <w:rFonts w:hint="default" w:ascii="Times New Roman" w:hAnsi="Times New Roman" w:eastAsia="宋体" w:cs="Times New Roman"/>
                <w:bCs/>
                <w:color w:val="auto"/>
                <w:sz w:val="24"/>
                <w:highlight w:val="none"/>
                <w:lang w:eastAsia="zh-CN"/>
              </w:rPr>
              <w:t>；</w:t>
            </w:r>
          </w:p>
          <w:p w14:paraId="43425912">
            <w:pPr>
              <w:adjustRightInd w:val="0"/>
              <w:snapToGrid w:val="0"/>
              <w:spacing w:line="360" w:lineRule="auto"/>
              <w:ind w:firstLine="420"/>
              <w:jc w:val="left"/>
              <w:rPr>
                <w:rFonts w:hint="default"/>
                <w:highlight w:val="none"/>
                <w:lang w:eastAsia="zh-CN"/>
              </w:rPr>
            </w:pPr>
            <w:r>
              <w:rPr>
                <w:rFonts w:hint="default" w:ascii="Times New Roman" w:hAnsi="Times New Roman" w:eastAsia="宋体" w:cs="Times New Roman"/>
                <w:bCs/>
                <w:color w:val="auto"/>
                <w:sz w:val="24"/>
                <w:highlight w:val="none"/>
                <w:lang w:eastAsia="zh-CN"/>
              </w:rPr>
              <w:t>建设地点：</w:t>
            </w:r>
            <w:r>
              <w:rPr>
                <w:rFonts w:hint="eastAsia" w:ascii="Times New Roman" w:hAnsi="Times New Roman" w:eastAsia="宋体" w:cs="Times New Roman"/>
                <w:bCs/>
                <w:color w:val="auto"/>
                <w:sz w:val="24"/>
                <w:highlight w:val="none"/>
                <w:lang w:val="en-US" w:eastAsia="zh-CN"/>
              </w:rPr>
              <w:t>陕西省西咸新区泾河新城工业密集区永乐园区南北大道23号</w:t>
            </w:r>
            <w:r>
              <w:rPr>
                <w:rFonts w:hint="default" w:ascii="Times New Roman" w:hAnsi="Times New Roman" w:eastAsia="宋体" w:cs="Times New Roman"/>
                <w:bCs/>
                <w:color w:val="auto"/>
                <w:sz w:val="24"/>
                <w:highlight w:val="none"/>
              </w:rPr>
              <w:t>；</w:t>
            </w:r>
          </w:p>
          <w:p w14:paraId="3AD6EDF7">
            <w:pPr>
              <w:adjustRightInd w:val="0"/>
              <w:snapToGrid w:val="0"/>
              <w:spacing w:line="360" w:lineRule="auto"/>
              <w:ind w:firstLine="420"/>
              <w:jc w:val="left"/>
              <w:rPr>
                <w:rFonts w:hint="default" w:ascii="Times New Roman" w:hAnsi="Times New Roman" w:eastAsia="宋体" w:cs="Times New Roman"/>
                <w:bCs/>
                <w:color w:val="auto"/>
                <w:sz w:val="24"/>
                <w:highlight w:val="none"/>
                <w:lang w:eastAsia="zh-CN"/>
              </w:rPr>
            </w:pPr>
            <w:r>
              <w:rPr>
                <w:rFonts w:hint="default" w:ascii="Times New Roman" w:hAnsi="Times New Roman" w:eastAsia="宋体" w:cs="Times New Roman"/>
                <w:bCs/>
                <w:color w:val="auto"/>
                <w:sz w:val="24"/>
                <w:highlight w:val="none"/>
                <w:lang w:eastAsia="zh-CN"/>
              </w:rPr>
              <w:t>建设内容：</w:t>
            </w:r>
            <w:r>
              <w:rPr>
                <w:rFonts w:hint="eastAsia" w:ascii="Times New Roman" w:hAnsi="Times New Roman" w:eastAsia="宋体" w:cs="Times New Roman"/>
                <w:bCs/>
                <w:color w:val="auto"/>
                <w:sz w:val="24"/>
                <w:highlight w:val="none"/>
                <w:lang w:val="en-US" w:eastAsia="zh-CN"/>
              </w:rPr>
              <w:t>建设项目租赁5号厂房进行生产，建筑面积2000平方米，主要建设4条电缆管道生产线，购置注塑机等生产设备及配套设施，年产电力护套管2000吨。</w:t>
            </w:r>
          </w:p>
          <w:p w14:paraId="3B734E3E">
            <w:pPr>
              <w:adjustRightInd w:val="0"/>
              <w:snapToGrid w:val="0"/>
              <w:spacing w:line="360" w:lineRule="auto"/>
              <w:ind w:firstLine="480" w:firstLineChars="200"/>
              <w:jc w:val="left"/>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项目</w:t>
            </w:r>
            <w:r>
              <w:rPr>
                <w:rFonts w:hint="eastAsia" w:cs="Times New Roman"/>
                <w:bCs/>
                <w:color w:val="auto"/>
                <w:sz w:val="24"/>
                <w:highlight w:val="none"/>
                <w:lang w:val="en-US" w:eastAsia="zh-CN"/>
              </w:rPr>
              <w:t>总投资100万元，其中环保投资10万元。</w:t>
            </w:r>
          </w:p>
          <w:p w14:paraId="1D3962D0">
            <w:pPr>
              <w:numPr>
                <w:ilvl w:val="0"/>
                <w:numId w:val="0"/>
              </w:numPr>
              <w:spacing w:line="360" w:lineRule="auto"/>
              <w:ind w:firstLine="480" w:firstLineChars="200"/>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项目四邻关系：本项目位于陕西省西咸新区泾河新城工业密集区永乐园区南北大道23号，</w:t>
            </w:r>
            <w:r>
              <w:rPr>
                <w:rFonts w:hint="eastAsia" w:cs="Times New Roman"/>
                <w:b w:val="0"/>
                <w:bCs w:val="0"/>
                <w:color w:val="000000"/>
                <w:sz w:val="24"/>
                <w:szCs w:val="24"/>
                <w:highlight w:val="none"/>
                <w:lang w:val="en-US" w:eastAsia="zh-CN"/>
              </w:rPr>
              <w:t>厂房北侧为陕西晟泰机械制造有限公司，西侧为铁路，西北方向为永乐火车站，南侧为中国石油天然气股份有限公司陕西咸阳泾阳经营部、东侧为陕西明泽建设工程有限公司，</w:t>
            </w:r>
            <w:r>
              <w:rPr>
                <w:rFonts w:hint="eastAsia" w:ascii="Times New Roman" w:hAnsi="Times New Roman" w:eastAsia="宋体" w:cs="Times New Roman"/>
                <w:bCs/>
                <w:color w:val="auto"/>
                <w:sz w:val="24"/>
                <w:highlight w:val="none"/>
                <w:lang w:val="en-US" w:eastAsia="zh-CN"/>
              </w:rPr>
              <w:t>项目地理位置图与四邻关系图见附图</w:t>
            </w:r>
            <w:r>
              <w:rPr>
                <w:rFonts w:hint="eastAsia" w:cs="Times New Roman"/>
                <w:bCs/>
                <w:color w:val="auto"/>
                <w:sz w:val="24"/>
                <w:highlight w:val="none"/>
                <w:lang w:val="en-US" w:eastAsia="zh-CN"/>
              </w:rPr>
              <w:t>2</w:t>
            </w:r>
            <w:r>
              <w:rPr>
                <w:rFonts w:hint="eastAsia" w:ascii="Times New Roman" w:hAnsi="Times New Roman" w:eastAsia="宋体" w:cs="Times New Roman"/>
                <w:bCs/>
                <w:color w:val="auto"/>
                <w:sz w:val="24"/>
                <w:highlight w:val="none"/>
                <w:lang w:val="en-US" w:eastAsia="zh-CN"/>
              </w:rPr>
              <w:t>。</w:t>
            </w:r>
          </w:p>
          <w:p w14:paraId="0F333354">
            <w:pPr>
              <w:adjustRightInd w:val="0"/>
              <w:snapToGrid w:val="0"/>
              <w:spacing w:line="360" w:lineRule="auto"/>
              <w:jc w:val="left"/>
              <w:rPr>
                <w:b/>
                <w:color w:val="auto"/>
                <w:sz w:val="24"/>
                <w:highlight w:val="none"/>
              </w:rPr>
            </w:pPr>
            <w:r>
              <w:rPr>
                <w:rFonts w:hint="eastAsia"/>
                <w:b/>
                <w:color w:val="auto"/>
                <w:sz w:val="24"/>
                <w:highlight w:val="none"/>
                <w:lang w:val="en-US" w:eastAsia="zh-CN"/>
              </w:rPr>
              <w:t>二</w:t>
            </w:r>
            <w:r>
              <w:rPr>
                <w:rFonts w:hint="eastAsia"/>
                <w:b/>
                <w:color w:val="auto"/>
                <w:sz w:val="24"/>
                <w:highlight w:val="none"/>
                <w:lang w:eastAsia="zh-CN"/>
              </w:rPr>
              <w:t>、</w:t>
            </w:r>
            <w:r>
              <w:rPr>
                <w:b/>
                <w:color w:val="auto"/>
                <w:sz w:val="24"/>
                <w:highlight w:val="none"/>
              </w:rPr>
              <w:t>项目组成与建设内容</w:t>
            </w:r>
          </w:p>
          <w:p w14:paraId="43E22D1D">
            <w:pPr>
              <w:adjustRightInd w:val="0"/>
              <w:snapToGrid w:val="0"/>
              <w:spacing w:line="360" w:lineRule="auto"/>
              <w:ind w:firstLine="420"/>
              <w:jc w:val="left"/>
              <w:rPr>
                <w:rFonts w:hint="default" w:ascii="Times New Roman" w:hAnsi="Times New Roman" w:cs="Times New Roman"/>
                <w:bCs/>
                <w:color w:val="auto"/>
                <w:sz w:val="24"/>
                <w:highlight w:val="none"/>
              </w:rPr>
            </w:pPr>
            <w:r>
              <w:rPr>
                <w:bCs/>
                <w:color w:val="auto"/>
                <w:sz w:val="24"/>
                <w:highlight w:val="none"/>
              </w:rPr>
              <w:t>本项目位于</w:t>
            </w:r>
            <w:r>
              <w:rPr>
                <w:rFonts w:hint="eastAsia" w:ascii="Times New Roman" w:hAnsi="Times New Roman" w:eastAsia="宋体" w:cs="Times New Roman"/>
                <w:bCs/>
                <w:color w:val="auto"/>
                <w:sz w:val="24"/>
                <w:highlight w:val="none"/>
                <w:lang w:val="en-US" w:eastAsia="zh-CN"/>
              </w:rPr>
              <w:t>陕西省西咸新区泾河新城工业密集区永乐园区南北大道23号</w:t>
            </w:r>
            <w:r>
              <w:rPr>
                <w:rFonts w:hint="eastAsia"/>
                <w:bCs/>
                <w:color w:val="auto"/>
                <w:sz w:val="24"/>
                <w:highlight w:val="none"/>
              </w:rPr>
              <w:t>，</w:t>
            </w:r>
            <w:r>
              <w:rPr>
                <w:rFonts w:hint="eastAsia" w:ascii="Times New Roman" w:hAnsi="Times New Roman" w:eastAsia="宋体" w:cs="Times New Roman"/>
                <w:bCs/>
                <w:color w:val="auto"/>
                <w:sz w:val="24"/>
                <w:highlight w:val="none"/>
                <w:lang w:val="en-US" w:eastAsia="zh-CN"/>
              </w:rPr>
              <w:t>租赁5号厂房进行生产，建筑面积2000平方米，主要建设4条电缆管道生产线，购置注塑机等生产设备及配套设施，年产电力护套管2000吨。</w:t>
            </w:r>
            <w:r>
              <w:rPr>
                <w:bCs/>
                <w:color w:val="auto"/>
                <w:sz w:val="24"/>
                <w:highlight w:val="none"/>
              </w:rPr>
              <w:t>项目组成及建设内容详见表</w:t>
            </w:r>
            <w:r>
              <w:rPr>
                <w:rFonts w:hint="eastAsia"/>
                <w:bCs/>
                <w:color w:val="auto"/>
                <w:sz w:val="24"/>
                <w:highlight w:val="none"/>
              </w:rPr>
              <w:t>2-1。</w:t>
            </w:r>
          </w:p>
          <w:p w14:paraId="65285AFE">
            <w:pPr>
              <w:numPr>
                <w:ilvl w:val="0"/>
                <w:numId w:val="0"/>
              </w:numPr>
              <w:adjustRightInd w:val="0"/>
              <w:snapToGrid w:val="0"/>
              <w:spacing w:line="360" w:lineRule="auto"/>
              <w:ind w:firstLine="422" w:firstLineChars="200"/>
              <w:jc w:val="center"/>
              <w:rPr>
                <w:rFonts w:hint="default" w:ascii="Times New Roman" w:hAnsi="Times New Roman" w:eastAsia="宋体" w:cs="Times New Roman"/>
                <w:b/>
                <w:color w:val="auto"/>
                <w:szCs w:val="21"/>
                <w:highlight w:val="none"/>
              </w:rPr>
            </w:pPr>
            <w:r>
              <w:rPr>
                <w:rFonts w:hint="default" w:ascii="Times New Roman" w:hAnsi="Times New Roman" w:cs="Times New Roman" w:eastAsiaTheme="majorEastAsia"/>
                <w:b/>
                <w:color w:val="auto"/>
                <w:szCs w:val="21"/>
                <w:highlight w:val="none"/>
              </w:rPr>
              <w:t xml:space="preserve">表2-1  </w:t>
            </w:r>
            <w:r>
              <w:rPr>
                <w:rFonts w:hint="default" w:ascii="Times New Roman" w:hAnsi="Times New Roman" w:cs="Times New Roman" w:eastAsiaTheme="majorEastAsia"/>
                <w:b/>
                <w:color w:val="auto"/>
                <w:szCs w:val="21"/>
                <w:highlight w:val="none"/>
                <w:lang w:eastAsia="zh-CN"/>
              </w:rPr>
              <w:t>项目组成及建设内容</w:t>
            </w:r>
            <w:r>
              <w:rPr>
                <w:rFonts w:hint="default" w:ascii="Times New Roman" w:hAnsi="Times New Roman" w:cs="Times New Roman" w:eastAsiaTheme="majorEastAsia"/>
                <w:b/>
                <w:color w:val="auto"/>
                <w:szCs w:val="21"/>
                <w:highlight w:val="none"/>
              </w:rPr>
              <w:t>一览表</w:t>
            </w:r>
          </w:p>
          <w:tbl>
            <w:tblPr>
              <w:tblStyle w:val="24"/>
              <w:tblW w:w="4998" w:type="pct"/>
              <w:jc w:val="center"/>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Layout w:type="fixed"/>
              <w:tblCellMar>
                <w:top w:w="0" w:type="dxa"/>
                <w:left w:w="108" w:type="dxa"/>
                <w:bottom w:w="0" w:type="dxa"/>
                <w:right w:w="108" w:type="dxa"/>
              </w:tblCellMar>
            </w:tblPr>
            <w:tblGrid>
              <w:gridCol w:w="658"/>
              <w:gridCol w:w="607"/>
              <w:gridCol w:w="806"/>
              <w:gridCol w:w="587"/>
              <w:gridCol w:w="4735"/>
              <w:gridCol w:w="1021"/>
            </w:tblGrid>
            <w:tr w14:paraId="68A51403">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noWrap w:val="0"/>
                  <w:vAlign w:val="center"/>
                </w:tcPr>
                <w:p w14:paraId="3C244CE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类别</w:t>
                  </w:r>
                </w:p>
              </w:tc>
              <w:tc>
                <w:tcPr>
                  <w:tcW w:w="4001" w:type="pct"/>
                  <w:gridSpan w:val="4"/>
                  <w:noWrap w:val="0"/>
                  <w:vAlign w:val="center"/>
                </w:tcPr>
                <w:p w14:paraId="4AD7D95F">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建设内容</w:t>
                  </w:r>
                </w:p>
              </w:tc>
              <w:tc>
                <w:tcPr>
                  <w:tcW w:w="606" w:type="pct"/>
                  <w:noWrap w:val="0"/>
                  <w:vAlign w:val="center"/>
                </w:tcPr>
                <w:p w14:paraId="17A64BD3">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color w:val="auto"/>
                      <w:szCs w:val="21"/>
                      <w:highlight w:val="none"/>
                      <w:lang w:val="en-US" w:eastAsia="zh-CN"/>
                    </w:rPr>
                  </w:pPr>
                  <w:r>
                    <w:rPr>
                      <w:rFonts w:hint="default" w:ascii="Times New Roman" w:hAnsi="Times New Roman" w:cs="Times New Roman"/>
                      <w:b/>
                      <w:color w:val="auto"/>
                      <w:szCs w:val="21"/>
                      <w:highlight w:val="none"/>
                      <w:lang w:val="en-US" w:eastAsia="zh-CN"/>
                    </w:rPr>
                    <w:t>备注</w:t>
                  </w:r>
                </w:p>
              </w:tc>
            </w:tr>
            <w:tr w14:paraId="0634C7DA">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391" w:type="pct"/>
                  <w:noWrap w:val="0"/>
                  <w:vAlign w:val="center"/>
                </w:tcPr>
                <w:p w14:paraId="6D8725BD">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主体</w:t>
                  </w:r>
                </w:p>
                <w:p w14:paraId="05EC4987">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工程</w:t>
                  </w:r>
                </w:p>
              </w:tc>
              <w:tc>
                <w:tcPr>
                  <w:tcW w:w="840" w:type="pct"/>
                  <w:gridSpan w:val="2"/>
                  <w:vMerge w:val="restart"/>
                  <w:noWrap w:val="0"/>
                  <w:vAlign w:val="center"/>
                </w:tcPr>
                <w:p w14:paraId="50275E1A">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vertAlign w:val="superscript"/>
                    </w:rPr>
                  </w:pPr>
                  <w:r>
                    <w:rPr>
                      <w:rFonts w:hint="default" w:ascii="Times New Roman" w:hAnsi="Times New Roman" w:cs="Times New Roman" w:eastAsiaTheme="minorEastAsia"/>
                      <w:color w:val="auto"/>
                      <w:sz w:val="21"/>
                      <w:szCs w:val="21"/>
                      <w:highlight w:val="none"/>
                      <w:lang w:eastAsia="zh-CN"/>
                    </w:rPr>
                    <w:t>全封闭彩钢结构厂房，</w:t>
                  </w:r>
                  <w:r>
                    <w:rPr>
                      <w:rFonts w:hint="default" w:ascii="Times New Roman" w:hAnsi="Times New Roman" w:cs="Times New Roman" w:eastAsiaTheme="minorEastAsia"/>
                      <w:color w:val="auto"/>
                      <w:sz w:val="21"/>
                      <w:szCs w:val="21"/>
                      <w:highlight w:val="none"/>
                      <w:lang w:val="en-US" w:eastAsia="zh-CN"/>
                    </w:rPr>
                    <w:t>1层，总占地面积2000.00</w:t>
                  </w:r>
                  <w:r>
                    <w:rPr>
                      <w:rFonts w:hint="default" w:ascii="Times New Roman" w:hAnsi="Times New Roman" w:cs="Times New Roman" w:eastAsiaTheme="minorEastAsia"/>
                      <w:color w:val="auto"/>
                      <w:sz w:val="21"/>
                      <w:szCs w:val="21"/>
                      <w:highlight w:val="none"/>
                    </w:rPr>
                    <w:t>m</w:t>
                  </w:r>
                  <w:r>
                    <w:rPr>
                      <w:rFonts w:hint="default" w:ascii="Times New Roman" w:hAnsi="Times New Roman" w:cs="Times New Roman" w:eastAsiaTheme="minorEastAsia"/>
                      <w:color w:val="auto"/>
                      <w:sz w:val="21"/>
                      <w:szCs w:val="21"/>
                      <w:highlight w:val="none"/>
                      <w:vertAlign w:val="superscript"/>
                    </w:rPr>
                    <w:t>2</w:t>
                  </w:r>
                </w:p>
                <w:p w14:paraId="2744BA0D">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val="en-US" w:eastAsia="zh-CN"/>
                    </w:rPr>
                    <w:t>高度9m</w:t>
                  </w:r>
                  <w:r>
                    <w:rPr>
                      <w:rFonts w:hint="default" w:ascii="Times New Roman" w:hAnsi="Times New Roman" w:cs="Times New Roman" w:eastAsiaTheme="minorEastAsia"/>
                      <w:color w:val="auto"/>
                      <w:szCs w:val="21"/>
                      <w:highlight w:val="none"/>
                      <w:lang w:val="en-US" w:eastAsia="zh-CN"/>
                    </w:rPr>
                    <w:t>）</w:t>
                  </w:r>
                </w:p>
              </w:tc>
              <w:tc>
                <w:tcPr>
                  <w:tcW w:w="348" w:type="pct"/>
                  <w:noWrap w:val="0"/>
                  <w:vAlign w:val="center"/>
                </w:tcPr>
                <w:p w14:paraId="6083024C">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b w:val="0"/>
                      <w:bCs w:val="0"/>
                      <w:color w:val="auto"/>
                      <w:szCs w:val="21"/>
                      <w:highlight w:val="none"/>
                      <w:lang w:val="en-US" w:eastAsia="zh-CN"/>
                    </w:rPr>
                  </w:pPr>
                  <w:r>
                    <w:rPr>
                      <w:rFonts w:hint="default" w:ascii="Times New Roman" w:hAnsi="Times New Roman" w:cs="Times New Roman" w:eastAsiaTheme="minorEastAsia"/>
                      <w:b w:val="0"/>
                      <w:bCs w:val="0"/>
                      <w:color w:val="auto"/>
                      <w:szCs w:val="21"/>
                      <w:highlight w:val="none"/>
                      <w:lang w:val="en-US" w:eastAsia="zh-CN"/>
                    </w:rPr>
                    <w:t>生产区</w:t>
                  </w:r>
                </w:p>
              </w:tc>
              <w:tc>
                <w:tcPr>
                  <w:tcW w:w="2812" w:type="pct"/>
                  <w:noWrap w:val="0"/>
                  <w:vAlign w:val="center"/>
                </w:tcPr>
                <w:p w14:paraId="6D6A5DB9">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b w:val="0"/>
                      <w:bCs w:val="0"/>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厂房北侧由西向东布设注塑机、挤出机各3套，占地约800m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357A48E6">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b w:val="0"/>
                      <w:bCs w:val="0"/>
                      <w:color w:val="auto"/>
                      <w:szCs w:val="21"/>
                      <w:highlight w:val="none"/>
                      <w:lang w:val="en-US" w:eastAsia="zh-CN"/>
                    </w:rPr>
                  </w:pPr>
                  <w:r>
                    <w:rPr>
                      <w:rFonts w:hint="default" w:ascii="Times New Roman" w:hAnsi="Times New Roman" w:cs="Times New Roman" w:eastAsiaTheme="minorEastAsia"/>
                      <w:b w:val="0"/>
                      <w:bCs w:val="0"/>
                      <w:color w:val="auto"/>
                      <w:szCs w:val="21"/>
                      <w:highlight w:val="none"/>
                      <w:lang w:val="en-US" w:eastAsia="zh-CN"/>
                    </w:rPr>
                    <w:t>新建</w:t>
                  </w:r>
                </w:p>
              </w:tc>
            </w:tr>
            <w:tr w14:paraId="3E216E85">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restart"/>
                  <w:noWrap w:val="0"/>
                  <w:vAlign w:val="center"/>
                </w:tcPr>
                <w:p w14:paraId="2B76438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储运工程</w:t>
                  </w:r>
                </w:p>
              </w:tc>
              <w:tc>
                <w:tcPr>
                  <w:tcW w:w="840" w:type="pct"/>
                  <w:gridSpan w:val="2"/>
                  <w:vMerge w:val="continue"/>
                  <w:noWrap w:val="0"/>
                  <w:vAlign w:val="center"/>
                </w:tcPr>
                <w:p w14:paraId="3DFDA047">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p>
              </w:tc>
              <w:tc>
                <w:tcPr>
                  <w:tcW w:w="348" w:type="pct"/>
                  <w:noWrap w:val="0"/>
                  <w:vAlign w:val="center"/>
                </w:tcPr>
                <w:p w14:paraId="36C7A70D">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原料区</w:t>
                  </w:r>
                </w:p>
              </w:tc>
              <w:tc>
                <w:tcPr>
                  <w:tcW w:w="2812" w:type="pct"/>
                  <w:noWrap w:val="0"/>
                  <w:vAlign w:val="center"/>
                </w:tcPr>
                <w:p w14:paraId="193BC881">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厂房东侧设原料区域，占地约600m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val="en-US" w:eastAsia="zh-CN"/>
                    </w:rPr>
                    <w:t>，主要用于存放生产所需原料聚丙烯、聚乙烯、色母粒等。</w:t>
                  </w:r>
                </w:p>
              </w:tc>
              <w:tc>
                <w:tcPr>
                  <w:tcW w:w="606" w:type="pct"/>
                  <w:noWrap w:val="0"/>
                  <w:vAlign w:val="center"/>
                </w:tcPr>
                <w:p w14:paraId="259E4455">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43CC1B78">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continue"/>
                  <w:noWrap w:val="0"/>
                  <w:vAlign w:val="center"/>
                </w:tcPr>
                <w:p w14:paraId="54C315A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lang w:eastAsia="zh-CN"/>
                    </w:rPr>
                  </w:pPr>
                </w:p>
              </w:tc>
              <w:tc>
                <w:tcPr>
                  <w:tcW w:w="840" w:type="pct"/>
                  <w:gridSpan w:val="2"/>
                  <w:vMerge w:val="continue"/>
                  <w:noWrap w:val="0"/>
                  <w:vAlign w:val="center"/>
                </w:tcPr>
                <w:p w14:paraId="004BF5CA">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p>
              </w:tc>
              <w:tc>
                <w:tcPr>
                  <w:tcW w:w="348" w:type="pct"/>
                  <w:noWrap w:val="0"/>
                  <w:vAlign w:val="center"/>
                </w:tcPr>
                <w:p w14:paraId="64707575">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成品区</w:t>
                  </w:r>
                </w:p>
              </w:tc>
              <w:tc>
                <w:tcPr>
                  <w:tcW w:w="2812" w:type="pct"/>
                  <w:noWrap w:val="0"/>
                  <w:vAlign w:val="center"/>
                </w:tcPr>
                <w:p w14:paraId="54DC53B9">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厂房西侧设成品区域，占地约600m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val="en-US" w:eastAsia="zh-CN"/>
                    </w:rPr>
                    <w:t>，主要用于存放PE、MPP管等产品。</w:t>
                  </w:r>
                </w:p>
              </w:tc>
              <w:tc>
                <w:tcPr>
                  <w:tcW w:w="606" w:type="pct"/>
                  <w:noWrap w:val="0"/>
                  <w:vAlign w:val="center"/>
                </w:tcPr>
                <w:p w14:paraId="277D37EE">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1BBE033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56" w:hRule="atLeast"/>
                <w:jc w:val="center"/>
              </w:trPr>
              <w:tc>
                <w:tcPr>
                  <w:tcW w:w="391" w:type="pct"/>
                  <w:vMerge w:val="restart"/>
                  <w:noWrap w:val="0"/>
                  <w:vAlign w:val="center"/>
                </w:tcPr>
                <w:p w14:paraId="4BC710E9">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辅助工程</w:t>
                  </w:r>
                </w:p>
              </w:tc>
              <w:tc>
                <w:tcPr>
                  <w:tcW w:w="1189" w:type="pct"/>
                  <w:gridSpan w:val="3"/>
                  <w:noWrap w:val="0"/>
                  <w:vAlign w:val="center"/>
                </w:tcPr>
                <w:p w14:paraId="3AD1E637">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生活办公</w:t>
                  </w:r>
                </w:p>
              </w:tc>
              <w:tc>
                <w:tcPr>
                  <w:tcW w:w="2812" w:type="pct"/>
                  <w:noWrap w:val="0"/>
                  <w:vAlign w:val="center"/>
                </w:tcPr>
                <w:p w14:paraId="613E41A7">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位于</w:t>
                  </w:r>
                  <w:r>
                    <w:rPr>
                      <w:rFonts w:hint="default" w:ascii="Times New Roman" w:hAnsi="Times New Roman" w:cs="Times New Roman" w:eastAsiaTheme="minorEastAsia"/>
                      <w:color w:val="auto"/>
                      <w:sz w:val="21"/>
                      <w:szCs w:val="21"/>
                      <w:highlight w:val="none"/>
                      <w:lang w:eastAsia="zh-CN"/>
                    </w:rPr>
                    <w:t>租赁厂房</w:t>
                  </w:r>
                  <w:r>
                    <w:rPr>
                      <w:rFonts w:hint="default" w:ascii="Times New Roman" w:hAnsi="Times New Roman" w:cs="Times New Roman" w:eastAsiaTheme="minorEastAsia"/>
                      <w:color w:val="auto"/>
                      <w:sz w:val="21"/>
                      <w:szCs w:val="21"/>
                      <w:highlight w:val="none"/>
                      <w:lang w:val="en-US" w:eastAsia="zh-CN"/>
                    </w:rPr>
                    <w:t>西侧</w:t>
                  </w:r>
                  <w:r>
                    <w:rPr>
                      <w:rFonts w:hint="default" w:ascii="Times New Roman" w:hAnsi="Times New Roman" w:cs="Times New Roman" w:eastAsiaTheme="minorEastAsia"/>
                      <w:color w:val="auto"/>
                      <w:sz w:val="21"/>
                      <w:szCs w:val="21"/>
                      <w:highlight w:val="none"/>
                      <w:lang w:eastAsia="zh-CN"/>
                    </w:rPr>
                    <w:t>，占地约</w:t>
                  </w:r>
                  <w:r>
                    <w:rPr>
                      <w:rFonts w:hint="default" w:ascii="Times New Roman" w:hAnsi="Times New Roman" w:cs="Times New Roman" w:eastAsiaTheme="minorEastAsia"/>
                      <w:color w:val="auto"/>
                      <w:sz w:val="21"/>
                      <w:szCs w:val="21"/>
                      <w:highlight w:val="none"/>
                      <w:lang w:val="en-US" w:eastAsia="zh-CN"/>
                    </w:rPr>
                    <w:t>200m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eastAsia="zh-CN"/>
                    </w:rPr>
                    <w:t>，用于行政人员办公，工作人员临时休息等</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7E4BD78F">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依托现有</w:t>
                  </w:r>
                </w:p>
              </w:tc>
            </w:tr>
            <w:tr w14:paraId="3327C8A2">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391" w:type="pct"/>
                  <w:vMerge w:val="continue"/>
                  <w:noWrap w:val="0"/>
                  <w:vAlign w:val="center"/>
                </w:tcPr>
                <w:p w14:paraId="74AD89E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p>
              </w:tc>
              <w:tc>
                <w:tcPr>
                  <w:tcW w:w="1189" w:type="pct"/>
                  <w:gridSpan w:val="3"/>
                  <w:noWrap w:val="0"/>
                  <w:vAlign w:val="center"/>
                </w:tcPr>
                <w:p w14:paraId="3C084802">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一般固废暂存间</w:t>
                  </w:r>
                </w:p>
              </w:tc>
              <w:tc>
                <w:tcPr>
                  <w:tcW w:w="2812" w:type="pct"/>
                  <w:noWrap w:val="0"/>
                  <w:vAlign w:val="center"/>
                </w:tcPr>
                <w:p w14:paraId="4F14CDD1">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eastAsia="zh-CN"/>
                    </w:rPr>
                    <w:t>位于厂房</w:t>
                  </w:r>
                  <w:r>
                    <w:rPr>
                      <w:rFonts w:hint="default" w:ascii="Times New Roman" w:hAnsi="Times New Roman" w:cs="Times New Roman" w:eastAsiaTheme="minorEastAsia"/>
                      <w:color w:val="auto"/>
                      <w:sz w:val="21"/>
                      <w:szCs w:val="21"/>
                      <w:highlight w:val="none"/>
                      <w:lang w:val="en-US" w:eastAsia="zh-CN"/>
                    </w:rPr>
                    <w:t>西侧，</w:t>
                  </w:r>
                  <w:r>
                    <w:rPr>
                      <w:rFonts w:hint="default" w:ascii="Times New Roman" w:hAnsi="Times New Roman" w:cs="Times New Roman" w:eastAsiaTheme="minorEastAsia"/>
                      <w:color w:val="auto"/>
                      <w:sz w:val="21"/>
                      <w:szCs w:val="21"/>
                      <w:highlight w:val="none"/>
                      <w:lang w:eastAsia="zh-CN"/>
                    </w:rPr>
                    <w:t>建筑面积</w:t>
                  </w:r>
                  <w:r>
                    <w:rPr>
                      <w:rFonts w:hint="default" w:ascii="Times New Roman" w:hAnsi="Times New Roman" w:cs="Times New Roman" w:eastAsiaTheme="minorEastAsia"/>
                      <w:color w:val="auto"/>
                      <w:sz w:val="21"/>
                      <w:szCs w:val="21"/>
                      <w:highlight w:val="none"/>
                      <w:lang w:val="en-US" w:eastAsia="zh-CN"/>
                    </w:rPr>
                    <w:t>30m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eastAsia="zh-CN"/>
                    </w:rPr>
                    <w:t>主要</w:t>
                  </w:r>
                  <w:r>
                    <w:rPr>
                      <w:rFonts w:hint="default" w:ascii="Times New Roman" w:hAnsi="Times New Roman" w:cs="Times New Roman" w:eastAsiaTheme="minorEastAsia"/>
                      <w:color w:val="auto"/>
                      <w:sz w:val="21"/>
                      <w:szCs w:val="21"/>
                      <w:highlight w:val="none"/>
                      <w:lang w:val="en-US" w:eastAsia="zh-CN"/>
                    </w:rPr>
                    <w:t>用于不合格产品、废旧塑料袋等一般固体废物的存放。</w:t>
                  </w:r>
                </w:p>
              </w:tc>
              <w:tc>
                <w:tcPr>
                  <w:tcW w:w="606" w:type="pct"/>
                  <w:noWrap w:val="0"/>
                  <w:vAlign w:val="center"/>
                </w:tcPr>
                <w:p w14:paraId="25FF2F33">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02DBA38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828" w:hRule="atLeast"/>
                <w:jc w:val="center"/>
              </w:trPr>
              <w:tc>
                <w:tcPr>
                  <w:tcW w:w="391" w:type="pct"/>
                  <w:vMerge w:val="continue"/>
                  <w:noWrap w:val="0"/>
                  <w:vAlign w:val="center"/>
                </w:tcPr>
                <w:p w14:paraId="7F86779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p>
              </w:tc>
              <w:tc>
                <w:tcPr>
                  <w:tcW w:w="1189" w:type="pct"/>
                  <w:gridSpan w:val="3"/>
                  <w:noWrap w:val="0"/>
                  <w:vAlign w:val="center"/>
                </w:tcPr>
                <w:p w14:paraId="1D547232">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危险废物暂存间</w:t>
                  </w:r>
                </w:p>
              </w:tc>
              <w:tc>
                <w:tcPr>
                  <w:tcW w:w="2812" w:type="pct"/>
                  <w:noWrap w:val="0"/>
                  <w:vAlign w:val="center"/>
                </w:tcPr>
                <w:p w14:paraId="691AB70A">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设1座危废</w:t>
                  </w:r>
                  <w:r>
                    <w:rPr>
                      <w:rFonts w:hint="default" w:ascii="Times New Roman" w:hAnsi="Times New Roman" w:cs="Times New Roman" w:eastAsiaTheme="minorEastAsia"/>
                      <w:color w:val="auto"/>
                      <w:sz w:val="21"/>
                      <w:szCs w:val="21"/>
                      <w:highlight w:val="none"/>
                      <w:lang w:val="en-US" w:eastAsia="zh-CN"/>
                    </w:rPr>
                    <w:t>贮存库</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eastAsia="zh-CN"/>
                    </w:rPr>
                    <w:t>位于厂房西</w:t>
                  </w:r>
                  <w:r>
                    <w:rPr>
                      <w:rFonts w:hint="default" w:ascii="Times New Roman" w:hAnsi="Times New Roman" w:cs="Times New Roman" w:eastAsiaTheme="minorEastAsia"/>
                      <w:color w:val="auto"/>
                      <w:sz w:val="21"/>
                      <w:szCs w:val="21"/>
                      <w:highlight w:val="none"/>
                      <w:lang w:val="en-US" w:eastAsia="zh-CN"/>
                    </w:rPr>
                    <w:t>侧</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暂存</w:t>
                  </w:r>
                  <w:r>
                    <w:rPr>
                      <w:rFonts w:hint="default" w:ascii="Times New Roman" w:hAnsi="Times New Roman" w:cs="Times New Roman" w:eastAsiaTheme="minorEastAsia"/>
                      <w:color w:val="auto"/>
                      <w:sz w:val="21"/>
                      <w:szCs w:val="21"/>
                      <w:highlight w:val="none"/>
                      <w:lang w:eastAsia="zh-CN"/>
                    </w:rPr>
                    <w:t>注塑、挤出工序</w:t>
                  </w:r>
                  <w:r>
                    <w:rPr>
                      <w:rFonts w:hint="default" w:ascii="Times New Roman" w:hAnsi="Times New Roman" w:cs="Times New Roman" w:eastAsiaTheme="minorEastAsia"/>
                      <w:color w:val="auto"/>
                      <w:sz w:val="21"/>
                      <w:szCs w:val="21"/>
                      <w:highlight w:val="none"/>
                    </w:rPr>
                    <w:t>产生的危险废物，建筑面积</w:t>
                  </w:r>
                  <w:r>
                    <w:rPr>
                      <w:rFonts w:hint="default" w:ascii="Times New Roman" w:hAnsi="Times New Roman" w:cs="Times New Roman" w:eastAsiaTheme="minorEastAsia"/>
                      <w:color w:val="auto"/>
                      <w:sz w:val="21"/>
                      <w:szCs w:val="21"/>
                      <w:highlight w:val="none"/>
                      <w:lang w:val="en-US" w:eastAsia="zh-CN"/>
                    </w:rPr>
                    <w:t>10</w:t>
                  </w:r>
                  <w:r>
                    <w:rPr>
                      <w:rFonts w:hint="default" w:ascii="Times New Roman" w:hAnsi="Times New Roman" w:cs="Times New Roman" w:eastAsiaTheme="minorEastAsia"/>
                      <w:color w:val="auto"/>
                      <w:sz w:val="21"/>
                      <w:szCs w:val="21"/>
                      <w:highlight w:val="none"/>
                    </w:rPr>
                    <w:t>m</w:t>
                  </w:r>
                  <w:r>
                    <w:rPr>
                      <w:rFonts w:hint="default" w:ascii="Times New Roman" w:hAnsi="Times New Roman" w:cs="Times New Roman" w:eastAsiaTheme="minorEastAsia"/>
                      <w:color w:val="auto"/>
                      <w:sz w:val="21"/>
                      <w:szCs w:val="21"/>
                      <w:highlight w:val="none"/>
                      <w:vertAlign w:val="superscript"/>
                    </w:rPr>
                    <w:t>2</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281D4C7D">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78A51C89">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restart"/>
                  <w:noWrap w:val="0"/>
                  <w:vAlign w:val="center"/>
                </w:tcPr>
                <w:p w14:paraId="2CD34E0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公用</w:t>
                  </w:r>
                </w:p>
                <w:p w14:paraId="317A2A9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工程</w:t>
                  </w:r>
                </w:p>
              </w:tc>
              <w:tc>
                <w:tcPr>
                  <w:tcW w:w="1189" w:type="pct"/>
                  <w:gridSpan w:val="3"/>
                  <w:noWrap w:val="0"/>
                  <w:vAlign w:val="center"/>
                </w:tcPr>
                <w:p w14:paraId="03C3102F">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lang w:eastAsia="zh-CN"/>
                    </w:rPr>
                    <w:t>供水</w:t>
                  </w:r>
                  <w:r>
                    <w:rPr>
                      <w:rFonts w:hint="default" w:ascii="Times New Roman" w:hAnsi="Times New Roman" w:cs="Times New Roman" w:eastAsiaTheme="minorEastAsia"/>
                      <w:color w:val="auto"/>
                      <w:szCs w:val="21"/>
                      <w:highlight w:val="none"/>
                    </w:rPr>
                    <w:t>工程</w:t>
                  </w:r>
                </w:p>
              </w:tc>
              <w:tc>
                <w:tcPr>
                  <w:tcW w:w="2812" w:type="pct"/>
                  <w:noWrap w:val="0"/>
                  <w:vAlign w:val="center"/>
                </w:tcPr>
                <w:p w14:paraId="6660392B">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kern w:val="2"/>
                      <w:sz w:val="21"/>
                      <w:szCs w:val="21"/>
                      <w:highlight w:val="none"/>
                      <w:lang w:eastAsia="zh-CN"/>
                    </w:rPr>
                    <w:t>依托租赁厂房供水</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5C2E08BE">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依托</w:t>
                  </w:r>
                  <w:bookmarkStart w:id="4" w:name="OLE_LINK2"/>
                  <w:r>
                    <w:rPr>
                      <w:rFonts w:hint="default" w:ascii="Times New Roman" w:hAnsi="Times New Roman" w:cs="Times New Roman" w:eastAsiaTheme="minorEastAsia"/>
                      <w:color w:val="auto"/>
                      <w:sz w:val="21"/>
                      <w:szCs w:val="21"/>
                      <w:highlight w:val="none"/>
                    </w:rPr>
                    <w:t>现有供水系统</w:t>
                  </w:r>
                  <w:bookmarkEnd w:id="4"/>
                </w:p>
              </w:tc>
            </w:tr>
            <w:tr w14:paraId="11B8F9B2">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continue"/>
                  <w:noWrap w:val="0"/>
                  <w:vAlign w:val="center"/>
                </w:tcPr>
                <w:p w14:paraId="5C748FD2">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125E588E">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排水工程</w:t>
                  </w:r>
                </w:p>
              </w:tc>
              <w:tc>
                <w:tcPr>
                  <w:tcW w:w="2812" w:type="pct"/>
                  <w:noWrap w:val="0"/>
                  <w:vAlign w:val="center"/>
                </w:tcPr>
                <w:p w14:paraId="7368974B">
                  <w:pPr>
                    <w:keepNext w:val="0"/>
                    <w:keepLines w:val="0"/>
                    <w:pageBreakBefore w:val="0"/>
                    <w:kinsoku/>
                    <w:wordWrap/>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项目无生产废水产生，</w:t>
                  </w:r>
                  <w:r>
                    <w:rPr>
                      <w:rFonts w:hint="default" w:ascii="Times New Roman" w:hAnsi="Times New Roman" w:cs="Times New Roman" w:eastAsiaTheme="minorEastAsia"/>
                      <w:color w:val="auto"/>
                      <w:sz w:val="21"/>
                      <w:szCs w:val="21"/>
                      <w:highlight w:val="none"/>
                    </w:rPr>
                    <w:t>生活污水经化粪池</w:t>
                  </w:r>
                  <w:r>
                    <w:rPr>
                      <w:rFonts w:hint="default" w:ascii="Times New Roman" w:hAnsi="Times New Roman" w:cs="Times New Roman" w:eastAsiaTheme="minorEastAsia"/>
                      <w:color w:val="auto"/>
                      <w:sz w:val="21"/>
                      <w:szCs w:val="21"/>
                      <w:highlight w:val="none"/>
                      <w:lang w:val="en-US" w:eastAsia="zh-CN"/>
                    </w:rPr>
                    <w:t>收集后定期清掏外运周边农田施肥。</w:t>
                  </w:r>
                </w:p>
              </w:tc>
              <w:tc>
                <w:tcPr>
                  <w:tcW w:w="606" w:type="pct"/>
                  <w:noWrap w:val="0"/>
                  <w:vAlign w:val="center"/>
                </w:tcPr>
                <w:p w14:paraId="3FF34C1E">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eastAsia="zh-CN"/>
                    </w:rPr>
                    <w:t>新建</w:t>
                  </w:r>
                </w:p>
              </w:tc>
            </w:tr>
            <w:tr w14:paraId="6B1D238B">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15" w:hRule="atLeast"/>
                <w:jc w:val="center"/>
              </w:trPr>
              <w:tc>
                <w:tcPr>
                  <w:tcW w:w="391" w:type="pct"/>
                  <w:vMerge w:val="continue"/>
                  <w:noWrap w:val="0"/>
                  <w:vAlign w:val="center"/>
                </w:tcPr>
                <w:p w14:paraId="76DC09C2">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3E67AB8D">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供电</w:t>
                  </w:r>
                </w:p>
              </w:tc>
              <w:tc>
                <w:tcPr>
                  <w:tcW w:w="2812" w:type="pct"/>
                  <w:noWrap w:val="0"/>
                  <w:vAlign w:val="center"/>
                </w:tcPr>
                <w:p w14:paraId="1E4D8614">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 w:val="21"/>
                      <w:szCs w:val="21"/>
                      <w:highlight w:val="none"/>
                    </w:rPr>
                    <w:t>由</w:t>
                  </w:r>
                  <w:r>
                    <w:rPr>
                      <w:rFonts w:hint="default" w:ascii="Times New Roman" w:hAnsi="Times New Roman" w:cs="Times New Roman" w:eastAsiaTheme="minorEastAsia"/>
                      <w:color w:val="auto"/>
                      <w:sz w:val="21"/>
                      <w:szCs w:val="21"/>
                      <w:highlight w:val="none"/>
                      <w:lang w:val="en-US" w:eastAsia="zh-CN"/>
                    </w:rPr>
                    <w:t>市政</w:t>
                  </w:r>
                  <w:r>
                    <w:rPr>
                      <w:rFonts w:hint="default" w:ascii="Times New Roman" w:hAnsi="Times New Roman" w:cs="Times New Roman" w:eastAsiaTheme="minorEastAsia"/>
                      <w:color w:val="auto"/>
                      <w:sz w:val="21"/>
                      <w:szCs w:val="21"/>
                      <w:highlight w:val="none"/>
                    </w:rPr>
                    <w:t>电网提供</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1BD4E43F">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依托现有供电工程</w:t>
                  </w:r>
                </w:p>
              </w:tc>
            </w:tr>
            <w:tr w14:paraId="05DAFF58">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34" w:hRule="atLeast"/>
                <w:jc w:val="center"/>
              </w:trPr>
              <w:tc>
                <w:tcPr>
                  <w:tcW w:w="391" w:type="pct"/>
                  <w:vMerge w:val="continue"/>
                  <w:noWrap w:val="0"/>
                  <w:vAlign w:val="center"/>
                </w:tcPr>
                <w:p w14:paraId="079B04E8">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6FAD0E0B">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供暖制冷</w:t>
                  </w:r>
                </w:p>
              </w:tc>
              <w:tc>
                <w:tcPr>
                  <w:tcW w:w="2812" w:type="pct"/>
                  <w:noWrap w:val="0"/>
                  <w:vAlign w:val="center"/>
                </w:tcPr>
                <w:p w14:paraId="4E81D42F">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cs="Times New Roman" w:eastAsiaTheme="minorEastAsia"/>
                      <w:kern w:val="0"/>
                      <w:sz w:val="21"/>
                      <w:szCs w:val="21"/>
                      <w:highlight w:val="none"/>
                      <w:lang w:val="en-US" w:eastAsia="zh-CN" w:bidi="ar-SA"/>
                    </w:rPr>
                    <w:t>本项目生产车间不采暖，生产用热采用电加热；办公区供热制冷均采用分体空调。</w:t>
                  </w:r>
                </w:p>
              </w:tc>
              <w:tc>
                <w:tcPr>
                  <w:tcW w:w="606" w:type="pct"/>
                  <w:noWrap w:val="0"/>
                  <w:vAlign w:val="center"/>
                </w:tcPr>
                <w:p w14:paraId="52C216C3">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新建</w:t>
                  </w:r>
                </w:p>
              </w:tc>
            </w:tr>
            <w:tr w14:paraId="1E848BA5">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53" w:hRule="atLeast"/>
                <w:jc w:val="center"/>
              </w:trPr>
              <w:tc>
                <w:tcPr>
                  <w:tcW w:w="391" w:type="pct"/>
                  <w:vMerge w:val="restart"/>
                  <w:noWrap w:val="0"/>
                  <w:vAlign w:val="center"/>
                </w:tcPr>
                <w:p w14:paraId="5B5E4F4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环保</w:t>
                  </w:r>
                </w:p>
                <w:p w14:paraId="2EEE6210">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工程</w:t>
                  </w:r>
                </w:p>
              </w:tc>
              <w:tc>
                <w:tcPr>
                  <w:tcW w:w="1189" w:type="pct"/>
                  <w:gridSpan w:val="3"/>
                  <w:noWrap w:val="0"/>
                  <w:vAlign w:val="center"/>
                </w:tcPr>
                <w:p w14:paraId="158D0AA7">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废水</w:t>
                  </w:r>
                </w:p>
              </w:tc>
              <w:tc>
                <w:tcPr>
                  <w:tcW w:w="3419" w:type="pct"/>
                  <w:gridSpan w:val="2"/>
                  <w:noWrap w:val="0"/>
                  <w:vAlign w:val="center"/>
                </w:tcPr>
                <w:p w14:paraId="72DE27E5">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eastAsiaTheme="minorEastAsia"/>
                      <w:color w:val="auto"/>
                      <w:szCs w:val="21"/>
                      <w:highlight w:val="none"/>
                      <w:lang w:val="en-US"/>
                    </w:rPr>
                  </w:pPr>
                  <w:r>
                    <w:rPr>
                      <w:rFonts w:hint="default" w:ascii="Times New Roman" w:hAnsi="Times New Roman" w:cs="Times New Roman" w:eastAsiaTheme="minorEastAsia"/>
                      <w:color w:val="auto"/>
                      <w:sz w:val="21"/>
                      <w:szCs w:val="21"/>
                      <w:highlight w:val="none"/>
                      <w:lang w:val="en-US" w:eastAsia="zh-CN"/>
                    </w:rPr>
                    <w:t>项目无生产废水产生，</w:t>
                  </w:r>
                  <w:r>
                    <w:rPr>
                      <w:rFonts w:hint="default" w:ascii="Times New Roman" w:hAnsi="Times New Roman" w:cs="Times New Roman" w:eastAsiaTheme="minorEastAsia"/>
                      <w:color w:val="auto"/>
                      <w:sz w:val="21"/>
                      <w:szCs w:val="21"/>
                      <w:highlight w:val="none"/>
                    </w:rPr>
                    <w:t>生活污水经化粪池</w:t>
                  </w:r>
                  <w:r>
                    <w:rPr>
                      <w:rFonts w:hint="default" w:ascii="Times New Roman" w:hAnsi="Times New Roman" w:cs="Times New Roman" w:eastAsiaTheme="minorEastAsia"/>
                      <w:color w:val="auto"/>
                      <w:sz w:val="21"/>
                      <w:szCs w:val="21"/>
                      <w:highlight w:val="none"/>
                      <w:lang w:val="en-US" w:eastAsia="zh-CN"/>
                    </w:rPr>
                    <w:t>收集后定期清掏外运周边农田施肥</w:t>
                  </w:r>
                  <w:r>
                    <w:rPr>
                      <w:rFonts w:hint="default" w:ascii="Times New Roman" w:hAnsi="Times New Roman" w:cs="Times New Roman" w:eastAsiaTheme="minorEastAsia"/>
                      <w:kern w:val="0"/>
                      <w:sz w:val="21"/>
                      <w:szCs w:val="21"/>
                      <w:highlight w:val="none"/>
                      <w:lang w:val="en-US" w:eastAsia="zh-CN" w:bidi="ar-SA"/>
                    </w:rPr>
                    <w:t>。</w:t>
                  </w:r>
                </w:p>
              </w:tc>
            </w:tr>
            <w:tr w14:paraId="7D8D2E7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1063" w:hRule="atLeast"/>
                <w:jc w:val="center"/>
              </w:trPr>
              <w:tc>
                <w:tcPr>
                  <w:tcW w:w="391" w:type="pct"/>
                  <w:vMerge w:val="continue"/>
                  <w:noWrap w:val="0"/>
                  <w:vAlign w:val="center"/>
                </w:tcPr>
                <w:p w14:paraId="612FEA7E">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6C602796">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废气</w:t>
                  </w:r>
                </w:p>
              </w:tc>
              <w:tc>
                <w:tcPr>
                  <w:tcW w:w="3419" w:type="pct"/>
                  <w:gridSpan w:val="2"/>
                  <w:noWrap w:val="0"/>
                  <w:vAlign w:val="center"/>
                </w:tcPr>
                <w:p w14:paraId="3469D2FA">
                  <w:pPr>
                    <w:pStyle w:val="5"/>
                    <w:keepNext w:val="0"/>
                    <w:keepLines w:val="0"/>
                    <w:pageBreakBefore w:val="0"/>
                    <w:kinsoku/>
                    <w:wordWrap/>
                    <w:overflowPunct/>
                    <w:topLinePunct w:val="0"/>
                    <w:autoSpaceDE/>
                    <w:autoSpaceDN/>
                    <w:bidi w:val="0"/>
                    <w:spacing w:line="264" w:lineRule="auto"/>
                    <w:ind w:firstLine="0" w:firstLineChars="0"/>
                    <w:jc w:val="left"/>
                    <w:textAlignment w:val="auto"/>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eastAsiaTheme="minorEastAsia"/>
                      <w:color w:val="auto"/>
                      <w:szCs w:val="21"/>
                      <w:highlight w:val="none"/>
                      <w:shd w:val="clear" w:color="auto" w:fill="FFFFFF"/>
                      <w:lang w:eastAsia="zh-CN"/>
                    </w:rPr>
                    <w:t>注塑、挤出工序产生的有机废气经集气罩收集进入二级活性炭吸附装置进行处理，处理之后经</w:t>
                  </w:r>
                  <w:r>
                    <w:rPr>
                      <w:rFonts w:hint="default" w:ascii="Times New Roman" w:hAnsi="Times New Roman" w:cs="Times New Roman" w:eastAsiaTheme="minorEastAsia"/>
                      <w:color w:val="auto"/>
                      <w:szCs w:val="21"/>
                      <w:highlight w:val="none"/>
                      <w:shd w:val="clear" w:color="auto" w:fill="FFFFFF"/>
                      <w:lang w:val="en-US" w:eastAsia="zh-CN"/>
                    </w:rPr>
                    <w:t>15m高排气筒（DA001）高空排放</w:t>
                  </w:r>
                  <w:r>
                    <w:rPr>
                      <w:rFonts w:hint="default" w:ascii="Times New Roman" w:hAnsi="Times New Roman" w:cs="Times New Roman" w:eastAsiaTheme="minorEastAsia"/>
                      <w:kern w:val="0"/>
                      <w:sz w:val="21"/>
                      <w:szCs w:val="21"/>
                      <w:highlight w:val="none"/>
                      <w:lang w:val="en-US" w:eastAsia="zh-CN" w:bidi="ar-SA"/>
                    </w:rPr>
                    <w:t>。</w:t>
                  </w:r>
                </w:p>
              </w:tc>
            </w:tr>
            <w:tr w14:paraId="6A2E5D15">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391" w:type="pct"/>
                  <w:vMerge w:val="continue"/>
                  <w:noWrap w:val="0"/>
                  <w:vAlign w:val="center"/>
                </w:tcPr>
                <w:p w14:paraId="6C621309">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12F1C16A">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噪声</w:t>
                  </w:r>
                </w:p>
              </w:tc>
              <w:tc>
                <w:tcPr>
                  <w:tcW w:w="3419" w:type="pct"/>
                  <w:gridSpan w:val="2"/>
                  <w:shd w:val="clear" w:color="auto" w:fill="auto"/>
                  <w:noWrap w:val="0"/>
                  <w:vAlign w:val="center"/>
                </w:tcPr>
                <w:p w14:paraId="51382510">
                  <w:pPr>
                    <w:pStyle w:val="34"/>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2"/>
                      <w:sz w:val="21"/>
                      <w:szCs w:val="21"/>
                      <w:highlight w:val="none"/>
                      <w:shd w:val="clear" w:color="auto" w:fill="FFFFFF"/>
                      <w:lang w:val="en-US" w:eastAsia="zh-CN" w:bidi="ar-SA"/>
                    </w:rPr>
                    <w:t>优先选用低噪设备，设置减振基座，厂房隔声，绿化隔声等。</w:t>
                  </w:r>
                </w:p>
              </w:tc>
            </w:tr>
            <w:tr w14:paraId="2139560F">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391" w:type="pct"/>
                  <w:vMerge w:val="continue"/>
                  <w:noWrap w:val="0"/>
                  <w:vAlign w:val="center"/>
                </w:tcPr>
                <w:p w14:paraId="636F4F33">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bookmarkStart w:id="5" w:name="OLE_LINK1" w:colFirst="2" w:colLast="3"/>
                </w:p>
              </w:tc>
              <w:tc>
                <w:tcPr>
                  <w:tcW w:w="361" w:type="pct"/>
                  <w:vMerge w:val="restart"/>
                  <w:noWrap w:val="0"/>
                  <w:vAlign w:val="center"/>
                </w:tcPr>
                <w:p w14:paraId="48CB0309">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固废</w:t>
                  </w:r>
                </w:p>
              </w:tc>
              <w:tc>
                <w:tcPr>
                  <w:tcW w:w="828" w:type="pct"/>
                  <w:gridSpan w:val="2"/>
                  <w:noWrap w:val="0"/>
                  <w:vAlign w:val="center"/>
                </w:tcPr>
                <w:p w14:paraId="6EE25D26">
                  <w:pPr>
                    <w:pStyle w:val="5"/>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shd w:val="clear" w:color="auto" w:fill="FFFFFF"/>
                    </w:rPr>
                    <w:t>生活垃圾</w:t>
                  </w:r>
                </w:p>
              </w:tc>
              <w:tc>
                <w:tcPr>
                  <w:tcW w:w="3419" w:type="pct"/>
                  <w:gridSpan w:val="2"/>
                  <w:noWrap w:val="0"/>
                  <w:vAlign w:val="center"/>
                </w:tcPr>
                <w:p w14:paraId="5227FA06">
                  <w:pPr>
                    <w:pStyle w:val="5"/>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 w:val="0"/>
                      <w:bCs w:val="0"/>
                      <w:color w:val="auto"/>
                      <w:kern w:val="0"/>
                      <w:sz w:val="21"/>
                      <w:szCs w:val="21"/>
                      <w:highlight w:val="none"/>
                      <w:lang w:eastAsia="zh-CN"/>
                    </w:rPr>
                    <w:t>带盖</w:t>
                  </w:r>
                  <w:r>
                    <w:rPr>
                      <w:rFonts w:hint="default" w:ascii="Times New Roman" w:hAnsi="Times New Roman" w:cs="Times New Roman" w:eastAsiaTheme="minorEastAsia"/>
                      <w:b w:val="0"/>
                      <w:bCs w:val="0"/>
                      <w:color w:val="auto"/>
                      <w:kern w:val="0"/>
                      <w:sz w:val="21"/>
                      <w:szCs w:val="21"/>
                      <w:highlight w:val="none"/>
                    </w:rPr>
                    <w:t>垃圾桶</w:t>
                  </w:r>
                  <w:r>
                    <w:rPr>
                      <w:rFonts w:hint="default" w:ascii="Times New Roman" w:hAnsi="Times New Roman" w:cs="Times New Roman" w:eastAsiaTheme="minorEastAsia"/>
                      <w:b w:val="0"/>
                      <w:bCs w:val="0"/>
                      <w:color w:val="auto"/>
                      <w:kern w:val="0"/>
                      <w:sz w:val="21"/>
                      <w:szCs w:val="21"/>
                      <w:highlight w:val="none"/>
                      <w:lang w:eastAsia="zh-CN"/>
                    </w:rPr>
                    <w:t>分类收集后由环卫部门每日进行清运。</w:t>
                  </w:r>
                </w:p>
              </w:tc>
            </w:tr>
            <w:tr w14:paraId="02520021">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821" w:hRule="atLeast"/>
                <w:jc w:val="center"/>
              </w:trPr>
              <w:tc>
                <w:tcPr>
                  <w:tcW w:w="391" w:type="pct"/>
                  <w:vMerge w:val="continue"/>
                  <w:noWrap w:val="0"/>
                  <w:vAlign w:val="center"/>
                </w:tcPr>
                <w:p w14:paraId="51269C30">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361" w:type="pct"/>
                  <w:vMerge w:val="continue"/>
                  <w:noWrap w:val="0"/>
                  <w:vAlign w:val="center"/>
                </w:tcPr>
                <w:p w14:paraId="18DCCC99">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p>
              </w:tc>
              <w:tc>
                <w:tcPr>
                  <w:tcW w:w="828" w:type="pct"/>
                  <w:gridSpan w:val="2"/>
                  <w:noWrap w:val="0"/>
                  <w:vAlign w:val="center"/>
                </w:tcPr>
                <w:p w14:paraId="742B9E25">
                  <w:pPr>
                    <w:pStyle w:val="5"/>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color w:val="auto"/>
                      <w:szCs w:val="21"/>
                      <w:highlight w:val="none"/>
                      <w:shd w:val="clear" w:color="auto" w:fill="FFFFFF"/>
                      <w:lang w:eastAsia="zh-CN"/>
                    </w:rPr>
                  </w:pPr>
                  <w:r>
                    <w:rPr>
                      <w:rFonts w:hint="default" w:ascii="Times New Roman" w:hAnsi="Times New Roman" w:cs="Times New Roman" w:eastAsiaTheme="minorEastAsia"/>
                      <w:color w:val="auto"/>
                      <w:szCs w:val="21"/>
                      <w:highlight w:val="none"/>
                      <w:shd w:val="clear" w:color="auto" w:fill="FFFFFF"/>
                      <w:lang w:eastAsia="zh-CN"/>
                    </w:rPr>
                    <w:t>一般固废</w:t>
                  </w:r>
                </w:p>
              </w:tc>
              <w:tc>
                <w:tcPr>
                  <w:tcW w:w="3419" w:type="pct"/>
                  <w:gridSpan w:val="2"/>
                  <w:noWrap w:val="0"/>
                  <w:vAlign w:val="center"/>
                </w:tcPr>
                <w:p w14:paraId="23404464">
                  <w:pPr>
                    <w:pStyle w:val="5"/>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b w:val="0"/>
                      <w:bCs w:val="0"/>
                      <w:color w:val="auto"/>
                      <w:kern w:val="0"/>
                      <w:sz w:val="21"/>
                      <w:szCs w:val="21"/>
                      <w:highlight w:val="none"/>
                      <w:lang w:val="en-US" w:eastAsia="zh-CN"/>
                    </w:rPr>
                  </w:pPr>
                  <w:r>
                    <w:rPr>
                      <w:rFonts w:hint="default" w:ascii="Times New Roman" w:hAnsi="Times New Roman" w:cs="Times New Roman" w:eastAsiaTheme="minorEastAsia"/>
                      <w:b w:val="0"/>
                      <w:bCs w:val="0"/>
                      <w:color w:val="auto"/>
                      <w:kern w:val="0"/>
                      <w:sz w:val="21"/>
                      <w:szCs w:val="21"/>
                      <w:highlight w:val="none"/>
                      <w:lang w:val="en-US" w:eastAsia="zh-CN"/>
                    </w:rPr>
                    <w:t>不合格产品、废包装袋等一般固废暂存于一般固废暂存间</w:t>
                  </w:r>
                  <w:r>
                    <w:rPr>
                      <w:rFonts w:hint="default" w:ascii="Times New Roman" w:hAnsi="Times New Roman" w:cs="Times New Roman" w:eastAsiaTheme="minorEastAsia"/>
                      <w:bCs/>
                      <w:color w:val="auto"/>
                      <w:szCs w:val="21"/>
                      <w:highlight w:val="none"/>
                      <w:lang w:eastAsia="zh-CN"/>
                    </w:rPr>
                    <w:t>（</w:t>
                  </w:r>
                  <w:r>
                    <w:rPr>
                      <w:rFonts w:hint="default" w:ascii="Times New Roman" w:hAnsi="Times New Roman" w:cs="Times New Roman" w:eastAsiaTheme="minorEastAsia"/>
                      <w:bCs/>
                      <w:color w:val="auto"/>
                      <w:szCs w:val="21"/>
                      <w:highlight w:val="none"/>
                      <w:lang w:val="en-US" w:eastAsia="zh-CN"/>
                    </w:rPr>
                    <w:t>30m</w:t>
                  </w:r>
                  <w:r>
                    <w:rPr>
                      <w:rFonts w:hint="default" w:ascii="Times New Roman" w:hAnsi="Times New Roman" w:cs="Times New Roman" w:eastAsiaTheme="minorEastAsia"/>
                      <w:bCs/>
                      <w:color w:val="auto"/>
                      <w:szCs w:val="21"/>
                      <w:highlight w:val="none"/>
                      <w:vertAlign w:val="superscript"/>
                      <w:lang w:val="en-US" w:eastAsia="zh-CN"/>
                    </w:rPr>
                    <w:t>2</w:t>
                  </w:r>
                  <w:r>
                    <w:rPr>
                      <w:rFonts w:hint="default" w:ascii="Times New Roman" w:hAnsi="Times New Roman" w:cs="Times New Roman" w:eastAsiaTheme="minorEastAsia"/>
                      <w:bCs/>
                      <w:color w:val="auto"/>
                      <w:szCs w:val="21"/>
                      <w:highlight w:val="none"/>
                      <w:lang w:val="en-US" w:eastAsia="zh-CN"/>
                    </w:rPr>
                    <w:t>）</w:t>
                  </w:r>
                  <w:r>
                    <w:rPr>
                      <w:rFonts w:hint="default" w:ascii="Times New Roman" w:hAnsi="Times New Roman" w:cs="Times New Roman" w:eastAsiaTheme="minorEastAsia"/>
                      <w:b w:val="0"/>
                      <w:bCs w:val="0"/>
                      <w:color w:val="auto"/>
                      <w:kern w:val="0"/>
                      <w:sz w:val="21"/>
                      <w:szCs w:val="21"/>
                      <w:highlight w:val="none"/>
                      <w:lang w:val="en-US" w:eastAsia="zh-CN"/>
                    </w:rPr>
                    <w:t>，定期外售废旧物资回收公司回收利用。</w:t>
                  </w:r>
                </w:p>
              </w:tc>
            </w:tr>
            <w:tr w14:paraId="3689F52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continue"/>
                  <w:noWrap w:val="0"/>
                  <w:vAlign w:val="center"/>
                </w:tcPr>
                <w:p w14:paraId="2226ECF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361" w:type="pct"/>
                  <w:vMerge w:val="continue"/>
                  <w:noWrap w:val="0"/>
                  <w:vAlign w:val="center"/>
                </w:tcPr>
                <w:p w14:paraId="5B021231">
                  <w:pPr>
                    <w:pStyle w:val="9"/>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p>
              </w:tc>
              <w:tc>
                <w:tcPr>
                  <w:tcW w:w="828" w:type="pct"/>
                  <w:gridSpan w:val="2"/>
                  <w:noWrap w:val="0"/>
                  <w:vAlign w:val="center"/>
                </w:tcPr>
                <w:p w14:paraId="33B3987A">
                  <w:pPr>
                    <w:keepNext w:val="0"/>
                    <w:keepLines w:val="0"/>
                    <w:pageBreakBefore w:val="0"/>
                    <w:widowControl/>
                    <w:kinsoku/>
                    <w:wordWrap/>
                    <w:overflowPunct/>
                    <w:topLinePunct w:val="0"/>
                    <w:autoSpaceDE/>
                    <w:autoSpaceDN/>
                    <w:bidi w:val="0"/>
                    <w:adjustRightInd w:val="0"/>
                    <w:snapToGrid w:val="0"/>
                    <w:spacing w:beforeAutospacing="0" w:afterAutospacing="0"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lang w:eastAsia="zh-CN"/>
                    </w:rPr>
                    <w:t>危险废物</w:t>
                  </w:r>
                </w:p>
              </w:tc>
              <w:tc>
                <w:tcPr>
                  <w:tcW w:w="3419" w:type="pct"/>
                  <w:gridSpan w:val="2"/>
                  <w:noWrap w:val="0"/>
                  <w:vAlign w:val="center"/>
                </w:tcPr>
                <w:p w14:paraId="3B267AE7">
                  <w:pPr>
                    <w:keepNext w:val="0"/>
                    <w:keepLines w:val="0"/>
                    <w:pageBreakBefore w:val="0"/>
                    <w:widowControl/>
                    <w:kinsoku/>
                    <w:wordWrap/>
                    <w:overflowPunct/>
                    <w:topLinePunct w:val="0"/>
                    <w:autoSpaceDE/>
                    <w:autoSpaceDN/>
                    <w:bidi w:val="0"/>
                    <w:adjustRightInd w:val="0"/>
                    <w:snapToGrid w:val="0"/>
                    <w:spacing w:beforeAutospacing="0" w:afterAutospacing="0" w:line="264" w:lineRule="auto"/>
                    <w:jc w:val="center"/>
                    <w:textAlignment w:val="auto"/>
                    <w:rPr>
                      <w:rFonts w:hint="default" w:ascii="Times New Roman" w:hAnsi="Times New Roman" w:cs="Times New Roman" w:eastAsiaTheme="minorEastAsia"/>
                      <w:color w:val="auto"/>
                      <w:szCs w:val="21"/>
                      <w:highlight w:val="none"/>
                      <w:shd w:val="clear" w:color="auto" w:fill="FFFFFF"/>
                    </w:rPr>
                  </w:pPr>
                  <w:r>
                    <w:rPr>
                      <w:rFonts w:hint="default" w:ascii="Times New Roman" w:hAnsi="Times New Roman" w:cs="Times New Roman" w:eastAsiaTheme="minorEastAsia"/>
                      <w:color w:val="auto"/>
                      <w:highlight w:val="none"/>
                      <w:lang w:eastAsia="zh-CN"/>
                    </w:rPr>
                    <w:t>废气处理工序产生的废活性炭，设备维修过程产生的废润滑油、含油抹布和手套，废润滑油桶分类暂存于</w:t>
                  </w:r>
                  <w:r>
                    <w:rPr>
                      <w:rFonts w:hint="default" w:ascii="Times New Roman" w:hAnsi="Times New Roman" w:cs="Times New Roman" w:eastAsiaTheme="minorEastAsia"/>
                      <w:color w:val="auto"/>
                      <w:highlight w:val="none"/>
                    </w:rPr>
                    <w:t>危险</w:t>
                  </w:r>
                  <w:r>
                    <w:rPr>
                      <w:rFonts w:hint="default" w:ascii="Times New Roman" w:hAnsi="Times New Roman" w:cs="Times New Roman" w:eastAsiaTheme="minorEastAsia"/>
                      <w:bCs/>
                      <w:color w:val="auto"/>
                      <w:szCs w:val="21"/>
                      <w:highlight w:val="none"/>
                    </w:rPr>
                    <w:t>废物</w:t>
                  </w:r>
                  <w:r>
                    <w:rPr>
                      <w:rFonts w:hint="default" w:ascii="Times New Roman" w:hAnsi="Times New Roman" w:cs="Times New Roman" w:eastAsiaTheme="minorEastAsia"/>
                      <w:bCs/>
                      <w:color w:val="auto"/>
                      <w:szCs w:val="21"/>
                      <w:highlight w:val="none"/>
                      <w:lang w:eastAsia="zh-CN"/>
                    </w:rPr>
                    <w:t>暂存间（</w:t>
                  </w:r>
                  <w:r>
                    <w:rPr>
                      <w:rFonts w:hint="default" w:ascii="Times New Roman" w:hAnsi="Times New Roman" w:cs="Times New Roman" w:eastAsiaTheme="minorEastAsia"/>
                      <w:bCs/>
                      <w:color w:val="auto"/>
                      <w:szCs w:val="21"/>
                      <w:highlight w:val="none"/>
                      <w:lang w:val="en-US" w:eastAsia="zh-CN"/>
                    </w:rPr>
                    <w:t>10m</w:t>
                  </w:r>
                  <w:r>
                    <w:rPr>
                      <w:rFonts w:hint="default" w:ascii="Times New Roman" w:hAnsi="Times New Roman" w:cs="Times New Roman" w:eastAsiaTheme="minorEastAsia"/>
                      <w:bCs/>
                      <w:color w:val="auto"/>
                      <w:szCs w:val="21"/>
                      <w:highlight w:val="none"/>
                      <w:vertAlign w:val="superscript"/>
                      <w:lang w:val="en-US" w:eastAsia="zh-CN"/>
                    </w:rPr>
                    <w:t>2</w:t>
                  </w:r>
                  <w:r>
                    <w:rPr>
                      <w:rFonts w:hint="default" w:ascii="Times New Roman" w:hAnsi="Times New Roman" w:cs="Times New Roman" w:eastAsiaTheme="minorEastAsia"/>
                      <w:bCs/>
                      <w:color w:val="auto"/>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，定期交由有资质的单位进行处理。</w:t>
                  </w:r>
                </w:p>
              </w:tc>
            </w:tr>
            <w:bookmarkEnd w:id="5"/>
          </w:tbl>
          <w:p w14:paraId="3E6CC036">
            <w:pPr>
              <w:adjustRightInd w:val="0"/>
              <w:snapToGrid w:val="0"/>
              <w:jc w:val="center"/>
              <w:rPr>
                <w:b/>
                <w:color w:val="auto"/>
                <w:szCs w:val="21"/>
                <w:highlight w:val="none"/>
              </w:rPr>
            </w:pPr>
          </w:p>
          <w:p w14:paraId="5BF6DDDF">
            <w:pPr>
              <w:numPr>
                <w:ilvl w:val="0"/>
                <w:numId w:val="0"/>
              </w:numPr>
              <w:adjustRightInd w:val="0"/>
              <w:snapToGrid w:val="0"/>
              <w:spacing w:line="360" w:lineRule="auto"/>
              <w:jc w:val="left"/>
              <w:rPr>
                <w:b/>
                <w:color w:val="auto"/>
                <w:sz w:val="24"/>
                <w:highlight w:val="none"/>
              </w:rPr>
            </w:pPr>
            <w:r>
              <w:rPr>
                <w:rFonts w:hint="eastAsia"/>
                <w:b/>
                <w:color w:val="auto"/>
                <w:sz w:val="24"/>
                <w:highlight w:val="none"/>
                <w:lang w:eastAsia="zh-CN"/>
              </w:rPr>
              <w:t>三、</w:t>
            </w:r>
            <w:r>
              <w:rPr>
                <w:b/>
                <w:color w:val="auto"/>
                <w:sz w:val="24"/>
                <w:highlight w:val="none"/>
              </w:rPr>
              <w:t>产品方案</w:t>
            </w:r>
          </w:p>
          <w:p w14:paraId="0F7E6BD2">
            <w:pPr>
              <w:numPr>
                <w:ilvl w:val="0"/>
                <w:numId w:val="0"/>
              </w:numPr>
              <w:adjustRightInd w:val="0"/>
              <w:snapToGrid w:val="0"/>
              <w:spacing w:line="360" w:lineRule="auto"/>
              <w:ind w:firstLine="480" w:firstLineChars="200"/>
              <w:jc w:val="left"/>
              <w:rPr>
                <w:rFonts w:hint="eastAsia"/>
                <w:color w:val="auto"/>
                <w:kern w:val="0"/>
                <w:sz w:val="24"/>
                <w:highlight w:val="none"/>
                <w:lang w:val="en-US" w:eastAsia="zh-CN" w:bidi="ar"/>
              </w:rPr>
            </w:pPr>
            <w:r>
              <w:rPr>
                <w:color w:val="auto"/>
                <w:kern w:val="0"/>
                <w:sz w:val="24"/>
                <w:highlight w:val="none"/>
                <w:lang w:bidi="ar"/>
              </w:rPr>
              <w:t>本项目产品主要为</w:t>
            </w:r>
            <w:r>
              <w:rPr>
                <w:rFonts w:hint="eastAsia"/>
                <w:color w:val="auto"/>
                <w:kern w:val="0"/>
                <w:sz w:val="24"/>
                <w:highlight w:val="none"/>
                <w:lang w:eastAsia="zh-CN" w:bidi="ar"/>
              </w:rPr>
              <w:t>电力护套管</w:t>
            </w:r>
            <w:r>
              <w:rPr>
                <w:color w:val="auto"/>
                <w:kern w:val="0"/>
                <w:sz w:val="24"/>
                <w:highlight w:val="none"/>
                <w:lang w:bidi="ar"/>
              </w:rPr>
              <w:t>，具体</w:t>
            </w:r>
            <w:r>
              <w:rPr>
                <w:rFonts w:hint="eastAsia"/>
                <w:color w:val="auto"/>
                <w:kern w:val="0"/>
                <w:sz w:val="24"/>
                <w:highlight w:val="none"/>
                <w:lang w:bidi="ar"/>
              </w:rPr>
              <w:t>产品方案</w:t>
            </w:r>
            <w:r>
              <w:rPr>
                <w:color w:val="auto"/>
                <w:kern w:val="0"/>
                <w:sz w:val="24"/>
                <w:highlight w:val="none"/>
                <w:lang w:bidi="ar"/>
              </w:rPr>
              <w:t>见表</w:t>
            </w:r>
            <w:r>
              <w:rPr>
                <w:rFonts w:hint="eastAsia"/>
                <w:color w:val="auto"/>
                <w:kern w:val="0"/>
                <w:sz w:val="24"/>
                <w:highlight w:val="none"/>
                <w:lang w:bidi="ar"/>
              </w:rPr>
              <w:t>2-</w:t>
            </w:r>
            <w:r>
              <w:rPr>
                <w:rFonts w:hint="eastAsia"/>
                <w:color w:val="auto"/>
                <w:kern w:val="0"/>
                <w:sz w:val="24"/>
                <w:highlight w:val="none"/>
                <w:lang w:val="en-US" w:eastAsia="zh-CN" w:bidi="ar"/>
              </w:rPr>
              <w:t>2。</w:t>
            </w:r>
          </w:p>
          <w:p w14:paraId="152889A5">
            <w:pPr>
              <w:numPr>
                <w:ilvl w:val="0"/>
                <w:numId w:val="0"/>
              </w:numPr>
              <w:adjustRightInd w:val="0"/>
              <w:snapToGrid w:val="0"/>
              <w:spacing w:line="360" w:lineRule="auto"/>
              <w:ind w:firstLine="422" w:firstLineChars="200"/>
              <w:jc w:val="center"/>
              <w:rPr>
                <w:rFonts w:eastAsia="宋体"/>
                <w:b/>
                <w:color w:val="auto"/>
                <w:szCs w:val="21"/>
                <w:highlight w:val="none"/>
              </w:rPr>
            </w:pPr>
            <w:r>
              <w:rPr>
                <w:rFonts w:hint="default" w:ascii="Times New Roman" w:hAnsi="Times New Roman" w:cs="Times New Roman" w:eastAsiaTheme="majorEastAsia"/>
                <w:b/>
                <w:color w:val="auto"/>
                <w:szCs w:val="21"/>
                <w:highlight w:val="none"/>
              </w:rPr>
              <w:t>表2-2 项目产品方案</w:t>
            </w:r>
          </w:p>
          <w:tbl>
            <w:tblPr>
              <w:tblStyle w:val="24"/>
              <w:tblpPr w:leftFromText="180" w:rightFromText="180" w:vertAnchor="text" w:horzAnchor="page" w:tblpX="121" w:tblpY="54"/>
              <w:tblOverlap w:val="never"/>
              <w:tblW w:w="8385" w:type="dxa"/>
              <w:tblInd w:w="1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534"/>
              <w:gridCol w:w="1972"/>
              <w:gridCol w:w="1867"/>
              <w:gridCol w:w="1512"/>
              <w:gridCol w:w="1500"/>
            </w:tblGrid>
            <w:tr w14:paraId="57D8684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534" w:type="dxa"/>
                  <w:vAlign w:val="center"/>
                </w:tcPr>
                <w:p w14:paraId="318CDE3D">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eastAsia" w:ascii="Times New Roman" w:hAnsi="Times New Roman" w:cs="Times New Roman"/>
                      <w:b/>
                      <w:color w:val="auto"/>
                      <w:szCs w:val="21"/>
                      <w:highlight w:val="none"/>
                    </w:rPr>
                    <w:t>序号</w:t>
                  </w:r>
                </w:p>
              </w:tc>
              <w:tc>
                <w:tcPr>
                  <w:tcW w:w="1972" w:type="dxa"/>
                  <w:vAlign w:val="center"/>
                </w:tcPr>
                <w:p w14:paraId="25D27342">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cs="Times New Roman"/>
                      <w:b/>
                      <w:color w:val="auto"/>
                      <w:szCs w:val="21"/>
                      <w:highlight w:val="none"/>
                      <w:lang w:eastAsia="zh-CN"/>
                    </w:rPr>
                  </w:pPr>
                  <w:r>
                    <w:rPr>
                      <w:rFonts w:hint="eastAsia" w:ascii="Times New Roman" w:hAnsi="Times New Roman" w:cs="Times New Roman"/>
                      <w:b/>
                      <w:color w:val="auto"/>
                      <w:szCs w:val="21"/>
                      <w:highlight w:val="none"/>
                    </w:rPr>
                    <w:t>产品</w:t>
                  </w:r>
                  <w:r>
                    <w:rPr>
                      <w:rFonts w:hint="eastAsia" w:ascii="Times New Roman" w:hAnsi="Times New Roman" w:cs="Times New Roman"/>
                      <w:b/>
                      <w:color w:val="auto"/>
                      <w:szCs w:val="21"/>
                      <w:highlight w:val="none"/>
                      <w:lang w:eastAsia="zh-CN"/>
                    </w:rPr>
                    <w:t>名称</w:t>
                  </w:r>
                </w:p>
              </w:tc>
              <w:tc>
                <w:tcPr>
                  <w:tcW w:w="1867" w:type="dxa"/>
                  <w:vAlign w:val="center"/>
                </w:tcPr>
                <w:p w14:paraId="7375B3E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rPr>
                    <w:t>年产量</w:t>
                  </w:r>
                </w:p>
              </w:tc>
              <w:tc>
                <w:tcPr>
                  <w:tcW w:w="1512" w:type="dxa"/>
                  <w:vAlign w:val="center"/>
                </w:tcPr>
                <w:p w14:paraId="322ECD4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lang w:val="en-US" w:eastAsia="zh-CN"/>
                    </w:rPr>
                    <w:t>单位/吨</w:t>
                  </w:r>
                </w:p>
              </w:tc>
              <w:tc>
                <w:tcPr>
                  <w:tcW w:w="1500" w:type="dxa"/>
                  <w:vAlign w:val="center"/>
                </w:tcPr>
                <w:p w14:paraId="1B4D128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lang w:val="en-US" w:eastAsia="zh-CN"/>
                    </w:rPr>
                    <w:t>备注</w:t>
                  </w:r>
                </w:p>
              </w:tc>
            </w:tr>
            <w:tr w14:paraId="7D32AEA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534" w:type="dxa"/>
                  <w:vAlign w:val="center"/>
                </w:tcPr>
                <w:p w14:paraId="42EEA25E">
                  <w:pPr>
                    <w:jc w:val="center"/>
                    <w:rPr>
                      <w:szCs w:val="21"/>
                      <w:highlight w:val="none"/>
                    </w:rPr>
                  </w:pPr>
                  <w:r>
                    <w:rPr>
                      <w:rFonts w:hint="eastAsia"/>
                      <w:szCs w:val="21"/>
                      <w:highlight w:val="none"/>
                    </w:rPr>
                    <w:t>1</w:t>
                  </w:r>
                </w:p>
              </w:tc>
              <w:tc>
                <w:tcPr>
                  <w:tcW w:w="1972" w:type="dxa"/>
                  <w:vAlign w:val="center"/>
                </w:tcPr>
                <w:p w14:paraId="67A97417">
                  <w:pPr>
                    <w:jc w:val="center"/>
                    <w:rPr>
                      <w:rFonts w:hint="default" w:eastAsiaTheme="minorEastAsia"/>
                      <w:szCs w:val="21"/>
                      <w:highlight w:val="none"/>
                      <w:lang w:val="en-US" w:eastAsia="zh-CN"/>
                    </w:rPr>
                  </w:pPr>
                  <w:r>
                    <w:rPr>
                      <w:rFonts w:hint="eastAsia"/>
                      <w:szCs w:val="21"/>
                      <w:highlight w:val="none"/>
                      <w:lang w:val="en-US" w:eastAsia="zh-CN"/>
                    </w:rPr>
                    <w:t>MPP电力护套管</w:t>
                  </w:r>
                </w:p>
              </w:tc>
              <w:tc>
                <w:tcPr>
                  <w:tcW w:w="1867" w:type="dxa"/>
                  <w:vAlign w:val="center"/>
                </w:tcPr>
                <w:p w14:paraId="30FE0C2A">
                  <w:pPr>
                    <w:jc w:val="center"/>
                    <w:rPr>
                      <w:rFonts w:hint="eastAsia"/>
                      <w:szCs w:val="21"/>
                      <w:highlight w:val="none"/>
                      <w:lang w:val="en-US" w:eastAsia="zh-CN"/>
                    </w:rPr>
                  </w:pPr>
                  <w:r>
                    <w:rPr>
                      <w:rFonts w:hint="eastAsia"/>
                      <w:szCs w:val="21"/>
                      <w:highlight w:val="none"/>
                      <w:lang w:val="en-US" w:eastAsia="zh-CN"/>
                    </w:rPr>
                    <w:t>1000</w:t>
                  </w:r>
                </w:p>
              </w:tc>
              <w:tc>
                <w:tcPr>
                  <w:tcW w:w="1512" w:type="dxa"/>
                  <w:vAlign w:val="center"/>
                </w:tcPr>
                <w:p w14:paraId="393A50EE">
                  <w:pPr>
                    <w:adjustRightInd w:val="0"/>
                    <w:snapToGrid w:val="0"/>
                    <w:jc w:val="center"/>
                    <w:textAlignment w:val="center"/>
                    <w:rPr>
                      <w:rFonts w:hint="default" w:eastAsiaTheme="minorEastAsia"/>
                      <w:szCs w:val="21"/>
                      <w:highlight w:val="none"/>
                      <w:lang w:val="en-US" w:eastAsia="zh-CN"/>
                    </w:rPr>
                  </w:pPr>
                  <w:r>
                    <w:rPr>
                      <w:rFonts w:hint="eastAsia" w:eastAsiaTheme="minorEastAsia"/>
                      <w:szCs w:val="21"/>
                      <w:highlight w:val="none"/>
                      <w:lang w:val="en-US" w:eastAsia="zh-CN"/>
                    </w:rPr>
                    <w:t>t</w:t>
                  </w:r>
                </w:p>
              </w:tc>
              <w:tc>
                <w:tcPr>
                  <w:tcW w:w="1500" w:type="dxa"/>
                  <w:vAlign w:val="center"/>
                </w:tcPr>
                <w:p w14:paraId="61084543">
                  <w:pPr>
                    <w:adjustRightInd w:val="0"/>
                    <w:snapToGrid w:val="0"/>
                    <w:jc w:val="center"/>
                    <w:textAlignment w:val="center"/>
                    <w:rPr>
                      <w:rFonts w:hint="default"/>
                      <w:szCs w:val="21"/>
                      <w:highlight w:val="none"/>
                      <w:lang w:val="en-US" w:eastAsia="zh-CN"/>
                    </w:rPr>
                  </w:pPr>
                  <w:r>
                    <w:rPr>
                      <w:rFonts w:hint="eastAsia"/>
                      <w:szCs w:val="21"/>
                      <w:highlight w:val="none"/>
                      <w:lang w:val="en-US" w:eastAsia="zh-CN"/>
                    </w:rPr>
                    <w:t>/</w:t>
                  </w:r>
                </w:p>
              </w:tc>
            </w:tr>
            <w:tr w14:paraId="5F0A727C">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534" w:type="dxa"/>
                  <w:vAlign w:val="center"/>
                </w:tcPr>
                <w:p w14:paraId="284D5AD9">
                  <w:pPr>
                    <w:jc w:val="center"/>
                    <w:rPr>
                      <w:szCs w:val="21"/>
                      <w:highlight w:val="none"/>
                    </w:rPr>
                  </w:pPr>
                  <w:r>
                    <w:rPr>
                      <w:rFonts w:hint="eastAsia"/>
                      <w:szCs w:val="21"/>
                      <w:highlight w:val="none"/>
                    </w:rPr>
                    <w:t>2</w:t>
                  </w:r>
                </w:p>
              </w:tc>
              <w:tc>
                <w:tcPr>
                  <w:tcW w:w="1972" w:type="dxa"/>
                  <w:vAlign w:val="center"/>
                </w:tcPr>
                <w:p w14:paraId="00636A41">
                  <w:pPr>
                    <w:jc w:val="center"/>
                    <w:rPr>
                      <w:rFonts w:hint="default" w:eastAsiaTheme="minorEastAsia"/>
                      <w:szCs w:val="21"/>
                      <w:highlight w:val="none"/>
                      <w:lang w:val="en-US" w:eastAsia="zh-CN"/>
                    </w:rPr>
                  </w:pPr>
                  <w:r>
                    <w:rPr>
                      <w:rFonts w:hint="eastAsia"/>
                      <w:szCs w:val="21"/>
                      <w:highlight w:val="none"/>
                      <w:lang w:val="en-US" w:eastAsia="zh-CN"/>
                    </w:rPr>
                    <w:t>PE电力护套管</w:t>
                  </w:r>
                </w:p>
              </w:tc>
              <w:tc>
                <w:tcPr>
                  <w:tcW w:w="1867" w:type="dxa"/>
                  <w:vAlign w:val="center"/>
                </w:tcPr>
                <w:p w14:paraId="2E15ADC4">
                  <w:pPr>
                    <w:jc w:val="center"/>
                    <w:rPr>
                      <w:rFonts w:hint="eastAsia" w:eastAsia="宋体"/>
                      <w:szCs w:val="21"/>
                      <w:highlight w:val="none"/>
                      <w:lang w:val="en-US" w:eastAsia="zh-CN"/>
                    </w:rPr>
                  </w:pPr>
                  <w:r>
                    <w:rPr>
                      <w:rFonts w:hint="eastAsia"/>
                      <w:szCs w:val="21"/>
                      <w:highlight w:val="none"/>
                      <w:lang w:val="en-US" w:eastAsia="zh-CN"/>
                    </w:rPr>
                    <w:t>1000</w:t>
                  </w:r>
                </w:p>
              </w:tc>
              <w:tc>
                <w:tcPr>
                  <w:tcW w:w="1512" w:type="dxa"/>
                  <w:vAlign w:val="center"/>
                </w:tcPr>
                <w:p w14:paraId="54077CBC">
                  <w:pPr>
                    <w:adjustRightInd w:val="0"/>
                    <w:snapToGrid w:val="0"/>
                    <w:jc w:val="center"/>
                    <w:textAlignment w:val="center"/>
                    <w:rPr>
                      <w:rFonts w:hint="default" w:eastAsiaTheme="minorEastAsia"/>
                      <w:szCs w:val="21"/>
                      <w:highlight w:val="none"/>
                      <w:lang w:val="en-US" w:eastAsia="zh-CN"/>
                    </w:rPr>
                  </w:pPr>
                  <w:r>
                    <w:rPr>
                      <w:rFonts w:hint="eastAsia" w:eastAsiaTheme="minorEastAsia"/>
                      <w:szCs w:val="21"/>
                      <w:highlight w:val="none"/>
                      <w:lang w:val="en-US" w:eastAsia="zh-CN"/>
                    </w:rPr>
                    <w:t>t</w:t>
                  </w:r>
                </w:p>
              </w:tc>
              <w:tc>
                <w:tcPr>
                  <w:tcW w:w="1500" w:type="dxa"/>
                  <w:vAlign w:val="center"/>
                </w:tcPr>
                <w:p w14:paraId="1B8BC240">
                  <w:pPr>
                    <w:adjustRightInd w:val="0"/>
                    <w:snapToGrid w:val="0"/>
                    <w:jc w:val="center"/>
                    <w:textAlignment w:val="center"/>
                    <w:rPr>
                      <w:rFonts w:hint="default"/>
                      <w:szCs w:val="21"/>
                      <w:highlight w:val="none"/>
                      <w:lang w:val="en-US" w:eastAsia="zh-CN"/>
                    </w:rPr>
                  </w:pPr>
                  <w:r>
                    <w:rPr>
                      <w:rFonts w:hint="eastAsia"/>
                      <w:szCs w:val="21"/>
                      <w:highlight w:val="none"/>
                      <w:lang w:val="en-US" w:eastAsia="zh-CN"/>
                    </w:rPr>
                    <w:t>/</w:t>
                  </w:r>
                </w:p>
              </w:tc>
            </w:tr>
          </w:tbl>
          <w:p w14:paraId="1AD08BA7">
            <w:pPr>
              <w:adjustRightInd w:val="0"/>
              <w:snapToGrid w:val="0"/>
              <w:spacing w:line="360" w:lineRule="auto"/>
              <w:jc w:val="left"/>
              <w:rPr>
                <w:b/>
                <w:color w:val="auto"/>
                <w:sz w:val="24"/>
                <w:highlight w:val="none"/>
              </w:rPr>
            </w:pPr>
            <w:r>
              <w:rPr>
                <w:rFonts w:hint="eastAsia"/>
                <w:b/>
                <w:color w:val="auto"/>
                <w:sz w:val="24"/>
                <w:highlight w:val="none"/>
                <w:lang w:eastAsia="zh-CN"/>
              </w:rPr>
              <w:t>四、</w:t>
            </w:r>
            <w:r>
              <w:rPr>
                <w:b/>
                <w:color w:val="auto"/>
                <w:sz w:val="24"/>
                <w:highlight w:val="none"/>
              </w:rPr>
              <w:t>主要</w:t>
            </w:r>
            <w:r>
              <w:rPr>
                <w:rFonts w:hint="eastAsia"/>
                <w:b/>
                <w:color w:val="auto"/>
                <w:sz w:val="24"/>
                <w:highlight w:val="none"/>
                <w:lang w:eastAsia="zh-CN"/>
              </w:rPr>
              <w:t>生产</w:t>
            </w:r>
            <w:r>
              <w:rPr>
                <w:b/>
                <w:color w:val="auto"/>
                <w:sz w:val="24"/>
                <w:highlight w:val="none"/>
              </w:rPr>
              <w:t>设备</w:t>
            </w:r>
          </w:p>
          <w:p w14:paraId="5B759BE8">
            <w:pPr>
              <w:adjustRightInd w:val="0"/>
              <w:snapToGrid w:val="0"/>
              <w:spacing w:line="360" w:lineRule="auto"/>
              <w:ind w:firstLine="480" w:firstLineChars="200"/>
              <w:jc w:val="left"/>
              <w:rPr>
                <w:bCs/>
                <w:color w:val="auto"/>
                <w:sz w:val="24"/>
                <w:highlight w:val="none"/>
              </w:rPr>
            </w:pPr>
            <w:r>
              <w:rPr>
                <w:bCs/>
                <w:color w:val="auto"/>
                <w:sz w:val="24"/>
                <w:highlight w:val="none"/>
              </w:rPr>
              <w:t>项目主要生产设备清单见表</w:t>
            </w:r>
            <w:r>
              <w:rPr>
                <w:rFonts w:hint="eastAsia"/>
                <w:bCs/>
                <w:color w:val="auto"/>
                <w:sz w:val="24"/>
                <w:highlight w:val="none"/>
              </w:rPr>
              <w:t>2-3</w:t>
            </w:r>
            <w:r>
              <w:rPr>
                <w:bCs/>
                <w:color w:val="auto"/>
                <w:sz w:val="24"/>
                <w:highlight w:val="none"/>
              </w:rPr>
              <w:t>。</w:t>
            </w:r>
          </w:p>
          <w:p w14:paraId="3B709B35">
            <w:pPr>
              <w:numPr>
                <w:ilvl w:val="0"/>
                <w:numId w:val="0"/>
              </w:numPr>
              <w:adjustRightInd w:val="0"/>
              <w:snapToGrid w:val="0"/>
              <w:spacing w:line="360" w:lineRule="auto"/>
              <w:ind w:firstLine="422" w:firstLineChars="200"/>
              <w:jc w:val="center"/>
              <w:rPr>
                <w:rFonts w:hint="default" w:ascii="Times New Roman" w:hAnsi="Times New Roman" w:cs="Times New Roman" w:eastAsiaTheme="majorEastAsia"/>
                <w:b/>
                <w:color w:val="auto"/>
                <w:szCs w:val="21"/>
                <w:highlight w:val="none"/>
              </w:rPr>
            </w:pPr>
            <w:r>
              <w:rPr>
                <w:rFonts w:hint="default" w:ascii="Times New Roman" w:hAnsi="Times New Roman" w:cs="Times New Roman" w:eastAsiaTheme="majorEastAsia"/>
                <w:b/>
                <w:color w:val="auto"/>
                <w:szCs w:val="21"/>
                <w:highlight w:val="none"/>
              </w:rPr>
              <w:t>表2-3 项目主要生产设备一览表</w:t>
            </w:r>
          </w:p>
          <w:tbl>
            <w:tblPr>
              <w:tblStyle w:val="24"/>
              <w:tblW w:w="8357" w:type="dxa"/>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541"/>
              <w:gridCol w:w="1432"/>
              <w:gridCol w:w="1500"/>
              <w:gridCol w:w="2780"/>
            </w:tblGrid>
            <w:tr w14:paraId="22B9027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753" w:hRule="exact"/>
                <w:jc w:val="center"/>
              </w:trPr>
              <w:tc>
                <w:tcPr>
                  <w:tcW w:w="1104" w:type="dxa"/>
                  <w:vAlign w:val="center"/>
                </w:tcPr>
                <w:p w14:paraId="270E4346">
                  <w:pPr>
                    <w:jc w:val="center"/>
                    <w:rPr>
                      <w:b/>
                      <w:bCs/>
                      <w:sz w:val="21"/>
                      <w:szCs w:val="21"/>
                      <w:highlight w:val="none"/>
                    </w:rPr>
                  </w:pPr>
                  <w:r>
                    <w:rPr>
                      <w:b/>
                      <w:bCs/>
                      <w:sz w:val="21"/>
                      <w:szCs w:val="21"/>
                      <w:highlight w:val="none"/>
                    </w:rPr>
                    <w:t>序号</w:t>
                  </w:r>
                </w:p>
              </w:tc>
              <w:tc>
                <w:tcPr>
                  <w:tcW w:w="1541" w:type="dxa"/>
                  <w:vAlign w:val="center"/>
                </w:tcPr>
                <w:p w14:paraId="1D7C45E7">
                  <w:pPr>
                    <w:jc w:val="center"/>
                    <w:rPr>
                      <w:b/>
                      <w:bCs/>
                      <w:sz w:val="21"/>
                      <w:szCs w:val="21"/>
                      <w:highlight w:val="none"/>
                    </w:rPr>
                  </w:pPr>
                  <w:r>
                    <w:rPr>
                      <w:rFonts w:hint="eastAsia"/>
                      <w:b/>
                      <w:bCs/>
                      <w:sz w:val="21"/>
                      <w:szCs w:val="21"/>
                      <w:highlight w:val="none"/>
                      <w:lang w:eastAsia="zh-CN"/>
                    </w:rPr>
                    <w:t>设备名称</w:t>
                  </w:r>
                </w:p>
              </w:tc>
              <w:tc>
                <w:tcPr>
                  <w:tcW w:w="1432" w:type="dxa"/>
                  <w:vAlign w:val="center"/>
                </w:tcPr>
                <w:p w14:paraId="15E62B00">
                  <w:pPr>
                    <w:jc w:val="center"/>
                    <w:rPr>
                      <w:b/>
                      <w:bCs/>
                      <w:sz w:val="21"/>
                      <w:szCs w:val="21"/>
                      <w:highlight w:val="none"/>
                    </w:rPr>
                  </w:pPr>
                  <w:r>
                    <w:rPr>
                      <w:rFonts w:hint="eastAsia"/>
                      <w:b/>
                      <w:bCs/>
                      <w:sz w:val="21"/>
                      <w:szCs w:val="21"/>
                      <w:highlight w:val="none"/>
                      <w:lang w:eastAsia="zh-CN"/>
                    </w:rPr>
                    <w:t>数量</w:t>
                  </w:r>
                </w:p>
              </w:tc>
              <w:tc>
                <w:tcPr>
                  <w:tcW w:w="1500" w:type="dxa"/>
                  <w:vAlign w:val="center"/>
                </w:tcPr>
                <w:p w14:paraId="4258A57D">
                  <w:pPr>
                    <w:jc w:val="center"/>
                    <w:rPr>
                      <w:rFonts w:hint="default" w:eastAsia="宋体"/>
                      <w:b/>
                      <w:bCs/>
                      <w:sz w:val="21"/>
                      <w:szCs w:val="21"/>
                      <w:highlight w:val="none"/>
                      <w:lang w:val="en-US" w:eastAsia="zh-CN"/>
                    </w:rPr>
                  </w:pPr>
                  <w:r>
                    <w:rPr>
                      <w:rFonts w:hint="eastAsia"/>
                      <w:b/>
                      <w:bCs/>
                      <w:sz w:val="21"/>
                      <w:szCs w:val="21"/>
                      <w:highlight w:val="none"/>
                      <w:lang w:val="en-US" w:eastAsia="zh-CN"/>
                    </w:rPr>
                    <w:t>单位</w:t>
                  </w:r>
                </w:p>
              </w:tc>
              <w:tc>
                <w:tcPr>
                  <w:tcW w:w="2780" w:type="dxa"/>
                  <w:vAlign w:val="center"/>
                </w:tcPr>
                <w:p w14:paraId="28C08010">
                  <w:pPr>
                    <w:jc w:val="center"/>
                    <w:rPr>
                      <w:rFonts w:hint="default" w:eastAsia="宋体"/>
                      <w:b/>
                      <w:bCs/>
                      <w:sz w:val="21"/>
                      <w:szCs w:val="21"/>
                      <w:highlight w:val="none"/>
                      <w:lang w:val="en-US" w:eastAsia="zh-CN"/>
                    </w:rPr>
                  </w:pPr>
                  <w:r>
                    <w:rPr>
                      <w:rFonts w:hint="eastAsia"/>
                      <w:b/>
                      <w:bCs/>
                      <w:sz w:val="21"/>
                      <w:szCs w:val="21"/>
                      <w:highlight w:val="none"/>
                      <w:lang w:val="en-US" w:eastAsia="zh-CN"/>
                    </w:rPr>
                    <w:t>备注</w:t>
                  </w:r>
                </w:p>
              </w:tc>
            </w:tr>
            <w:tr w14:paraId="0BFF147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104" w:type="dxa"/>
                  <w:vAlign w:val="center"/>
                </w:tcPr>
                <w:p w14:paraId="021FE83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w:t>
                  </w:r>
                </w:p>
              </w:tc>
              <w:tc>
                <w:tcPr>
                  <w:tcW w:w="1541" w:type="dxa"/>
                  <w:vAlign w:val="center"/>
                </w:tcPr>
                <w:p w14:paraId="65C2816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注塑机</w:t>
                  </w:r>
                </w:p>
              </w:tc>
              <w:tc>
                <w:tcPr>
                  <w:tcW w:w="1432" w:type="dxa"/>
                  <w:vAlign w:val="center"/>
                </w:tcPr>
                <w:p w14:paraId="7828CEB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3</w:t>
                  </w:r>
                </w:p>
              </w:tc>
              <w:tc>
                <w:tcPr>
                  <w:tcW w:w="1500" w:type="dxa"/>
                  <w:vAlign w:val="center"/>
                </w:tcPr>
                <w:p w14:paraId="3172C7F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套</w:t>
                  </w:r>
                </w:p>
              </w:tc>
              <w:tc>
                <w:tcPr>
                  <w:tcW w:w="2780" w:type="dxa"/>
                  <w:vMerge w:val="restart"/>
                  <w:shd w:val="clear" w:color="auto" w:fill="auto"/>
                  <w:vAlign w:val="center"/>
                </w:tcPr>
                <w:p w14:paraId="5ED696F6">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浙江双林机械有限公司、</w:t>
                  </w:r>
                </w:p>
                <w:p w14:paraId="4FDBAD5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苏州新驰程机械有限公司、张家港华德机械有限公司</w:t>
                  </w:r>
                </w:p>
              </w:tc>
            </w:tr>
            <w:tr w14:paraId="75236B13">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08" w:hRule="exact"/>
                <w:jc w:val="center"/>
              </w:trPr>
              <w:tc>
                <w:tcPr>
                  <w:tcW w:w="1104" w:type="dxa"/>
                  <w:vAlign w:val="center"/>
                </w:tcPr>
                <w:p w14:paraId="7A30B55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2</w:t>
                  </w:r>
                </w:p>
              </w:tc>
              <w:tc>
                <w:tcPr>
                  <w:tcW w:w="1541" w:type="dxa"/>
                  <w:vAlign w:val="center"/>
                </w:tcPr>
                <w:p w14:paraId="11132098">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挤出机</w:t>
                  </w:r>
                </w:p>
              </w:tc>
              <w:tc>
                <w:tcPr>
                  <w:tcW w:w="1432" w:type="dxa"/>
                  <w:vAlign w:val="center"/>
                </w:tcPr>
                <w:p w14:paraId="1126A34D">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3</w:t>
                  </w:r>
                </w:p>
              </w:tc>
              <w:tc>
                <w:tcPr>
                  <w:tcW w:w="1500" w:type="dxa"/>
                  <w:vAlign w:val="center"/>
                </w:tcPr>
                <w:p w14:paraId="4D6DA88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套</w:t>
                  </w:r>
                </w:p>
              </w:tc>
              <w:tc>
                <w:tcPr>
                  <w:tcW w:w="2780" w:type="dxa"/>
                  <w:vMerge w:val="continue"/>
                  <w:shd w:val="clear" w:color="auto" w:fill="auto"/>
                  <w:vAlign w:val="center"/>
                </w:tcPr>
                <w:p w14:paraId="65561A81">
                  <w:pPr>
                    <w:jc w:val="center"/>
                    <w:rPr>
                      <w:rFonts w:hint="eastAsia" w:cs="Times New Roman" w:eastAsiaTheme="minorEastAsia"/>
                      <w:sz w:val="24"/>
                      <w:szCs w:val="24"/>
                      <w:highlight w:val="none"/>
                      <w:lang w:val="en-US" w:eastAsia="zh-CN"/>
                    </w:rPr>
                  </w:pPr>
                </w:p>
              </w:tc>
            </w:tr>
            <w:tr w14:paraId="513FE404">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08" w:hRule="exact"/>
                <w:jc w:val="center"/>
              </w:trPr>
              <w:tc>
                <w:tcPr>
                  <w:tcW w:w="1104" w:type="dxa"/>
                  <w:vAlign w:val="center"/>
                </w:tcPr>
                <w:p w14:paraId="52E5D5E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3</w:t>
                  </w:r>
                </w:p>
              </w:tc>
              <w:tc>
                <w:tcPr>
                  <w:tcW w:w="1541" w:type="dxa"/>
                  <w:vAlign w:val="center"/>
                </w:tcPr>
                <w:p w14:paraId="3626017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冷却塔</w:t>
                  </w:r>
                </w:p>
              </w:tc>
              <w:tc>
                <w:tcPr>
                  <w:tcW w:w="1432" w:type="dxa"/>
                  <w:vAlign w:val="center"/>
                </w:tcPr>
                <w:p w14:paraId="56E4DE8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w:t>
                  </w:r>
                </w:p>
              </w:tc>
              <w:tc>
                <w:tcPr>
                  <w:tcW w:w="1500" w:type="dxa"/>
                  <w:vAlign w:val="center"/>
                </w:tcPr>
                <w:p w14:paraId="14BA0C8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台</w:t>
                  </w:r>
                </w:p>
              </w:tc>
              <w:tc>
                <w:tcPr>
                  <w:tcW w:w="2780" w:type="dxa"/>
                  <w:shd w:val="clear" w:color="auto" w:fill="auto"/>
                  <w:vAlign w:val="center"/>
                </w:tcPr>
                <w:p w14:paraId="06AB09C0">
                  <w:pPr>
                    <w:jc w:val="center"/>
                    <w:rPr>
                      <w:rFonts w:hint="default" w:cs="Times New Roman" w:eastAsiaTheme="minorEastAsia"/>
                      <w:sz w:val="24"/>
                      <w:szCs w:val="24"/>
                      <w:highlight w:val="none"/>
                      <w:lang w:val="en-US" w:eastAsia="zh-CN"/>
                    </w:rPr>
                  </w:pPr>
                  <w:r>
                    <w:rPr>
                      <w:rFonts w:hint="eastAsia" w:cs="Times New Roman" w:eastAsiaTheme="minorEastAsia"/>
                      <w:sz w:val="24"/>
                      <w:szCs w:val="24"/>
                      <w:highlight w:val="none"/>
                      <w:lang w:val="en-US" w:eastAsia="zh-CN"/>
                    </w:rPr>
                    <w:t>/</w:t>
                  </w:r>
                </w:p>
              </w:tc>
            </w:tr>
          </w:tbl>
          <w:p w14:paraId="48B572A5">
            <w:pPr>
              <w:adjustRightInd w:val="0"/>
              <w:snapToGrid w:val="0"/>
              <w:spacing w:line="360" w:lineRule="auto"/>
              <w:jc w:val="left"/>
              <w:rPr>
                <w:b/>
                <w:color w:val="auto"/>
                <w:sz w:val="24"/>
                <w:highlight w:val="none"/>
              </w:rPr>
            </w:pPr>
          </w:p>
          <w:p w14:paraId="494665D8">
            <w:pPr>
              <w:numPr>
                <w:ilvl w:val="0"/>
                <w:numId w:val="4"/>
              </w:numPr>
              <w:adjustRightInd w:val="0"/>
              <w:snapToGrid w:val="0"/>
              <w:spacing w:line="360" w:lineRule="auto"/>
              <w:jc w:val="left"/>
              <w:rPr>
                <w:rFonts w:hint="eastAsia"/>
                <w:b/>
                <w:color w:val="auto"/>
                <w:sz w:val="24"/>
                <w:highlight w:val="none"/>
                <w:lang w:eastAsia="zh-CN"/>
              </w:rPr>
            </w:pPr>
            <w:r>
              <w:rPr>
                <w:b/>
                <w:color w:val="auto"/>
                <w:sz w:val="24"/>
                <w:highlight w:val="none"/>
              </w:rPr>
              <w:t>主要原辅材料</w:t>
            </w:r>
            <w:r>
              <w:rPr>
                <w:rFonts w:hint="eastAsia"/>
                <w:b/>
                <w:color w:val="auto"/>
                <w:sz w:val="24"/>
                <w:highlight w:val="none"/>
                <w:lang w:eastAsia="zh-CN"/>
              </w:rPr>
              <w:t>及能源消耗</w:t>
            </w:r>
          </w:p>
          <w:p w14:paraId="5DBFFFB9">
            <w:pPr>
              <w:adjustRightInd w:val="0"/>
              <w:snapToGrid w:val="0"/>
              <w:spacing w:line="360" w:lineRule="auto"/>
              <w:ind w:firstLine="420"/>
              <w:jc w:val="left"/>
              <w:rPr>
                <w:bCs/>
                <w:color w:val="auto"/>
                <w:sz w:val="24"/>
                <w:highlight w:val="none"/>
              </w:rPr>
            </w:pPr>
            <w:r>
              <w:rPr>
                <w:bCs/>
                <w:color w:val="auto"/>
                <w:sz w:val="24"/>
                <w:highlight w:val="none"/>
              </w:rPr>
              <w:t>本项目</w:t>
            </w:r>
            <w:r>
              <w:rPr>
                <w:rFonts w:hint="eastAsia"/>
                <w:bCs/>
                <w:color w:val="auto"/>
                <w:sz w:val="24"/>
                <w:highlight w:val="none"/>
                <w:lang w:eastAsia="zh-CN"/>
              </w:rPr>
              <w:t>采用的原材料为新料，外购于延长中煤、兰州石化公司，不涉及再生塑料。</w:t>
            </w:r>
            <w:r>
              <w:rPr>
                <w:bCs/>
                <w:color w:val="auto"/>
                <w:sz w:val="24"/>
                <w:highlight w:val="none"/>
              </w:rPr>
              <w:t>主要原辅材料见表</w:t>
            </w:r>
            <w:r>
              <w:rPr>
                <w:rFonts w:hint="eastAsia"/>
                <w:bCs/>
                <w:color w:val="auto"/>
                <w:sz w:val="24"/>
                <w:highlight w:val="none"/>
              </w:rPr>
              <w:t>2-4</w:t>
            </w:r>
            <w:r>
              <w:rPr>
                <w:bCs/>
                <w:color w:val="auto"/>
                <w:sz w:val="24"/>
                <w:highlight w:val="none"/>
              </w:rPr>
              <w:t xml:space="preserve">。 </w:t>
            </w:r>
          </w:p>
          <w:p w14:paraId="7A20D42F">
            <w:pPr>
              <w:numPr>
                <w:ilvl w:val="0"/>
                <w:numId w:val="0"/>
              </w:numPr>
              <w:adjustRightInd w:val="0"/>
              <w:snapToGrid w:val="0"/>
              <w:spacing w:line="360" w:lineRule="auto"/>
              <w:ind w:firstLine="422" w:firstLineChars="200"/>
              <w:jc w:val="center"/>
              <w:rPr>
                <w:rFonts w:hint="default" w:ascii="Times New Roman" w:hAnsi="Times New Roman" w:cs="Times New Roman" w:eastAsiaTheme="majorEastAsia"/>
                <w:b/>
                <w:color w:val="auto"/>
                <w:szCs w:val="21"/>
                <w:highlight w:val="none"/>
                <w:lang w:eastAsia="zh-CN"/>
              </w:rPr>
            </w:pPr>
            <w:r>
              <w:rPr>
                <w:rFonts w:hint="default" w:ascii="Times New Roman" w:hAnsi="Times New Roman" w:cs="Times New Roman" w:eastAsiaTheme="majorEastAsia"/>
                <w:b/>
                <w:color w:val="auto"/>
                <w:szCs w:val="21"/>
                <w:highlight w:val="none"/>
              </w:rPr>
              <w:t>表2-4 原辅材料</w:t>
            </w:r>
            <w:r>
              <w:rPr>
                <w:rFonts w:hint="default" w:ascii="Times New Roman" w:hAnsi="Times New Roman" w:cs="Times New Roman" w:eastAsiaTheme="majorEastAsia"/>
                <w:b/>
                <w:color w:val="auto"/>
                <w:szCs w:val="21"/>
                <w:highlight w:val="none"/>
                <w:lang w:eastAsia="zh-CN"/>
              </w:rPr>
              <w:t>供应情况</w:t>
            </w:r>
          </w:p>
          <w:tbl>
            <w:tblPr>
              <w:tblStyle w:val="24"/>
              <w:tblW w:w="8364" w:type="dxa"/>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2446"/>
              <w:gridCol w:w="1760"/>
              <w:gridCol w:w="1633"/>
              <w:gridCol w:w="1779"/>
            </w:tblGrid>
            <w:tr w14:paraId="178060F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46" w:type="dxa"/>
                  <w:vAlign w:val="center"/>
                </w:tcPr>
                <w:p w14:paraId="65DE4AFC">
                  <w:pPr>
                    <w:jc w:val="center"/>
                    <w:rPr>
                      <w:rFonts w:hint="eastAsia"/>
                      <w:b/>
                      <w:bCs/>
                      <w:sz w:val="21"/>
                      <w:szCs w:val="21"/>
                      <w:highlight w:val="none"/>
                      <w:lang w:eastAsia="zh-CN"/>
                    </w:rPr>
                  </w:pPr>
                  <w:r>
                    <w:rPr>
                      <w:rFonts w:hint="eastAsia"/>
                      <w:b/>
                      <w:bCs/>
                      <w:sz w:val="21"/>
                      <w:szCs w:val="21"/>
                      <w:highlight w:val="none"/>
                      <w:lang w:eastAsia="zh-CN"/>
                    </w:rPr>
                    <w:t>序号</w:t>
                  </w:r>
                </w:p>
              </w:tc>
              <w:tc>
                <w:tcPr>
                  <w:tcW w:w="2446" w:type="dxa"/>
                  <w:vAlign w:val="center"/>
                </w:tcPr>
                <w:p w14:paraId="2DA3F45A">
                  <w:pPr>
                    <w:jc w:val="center"/>
                    <w:rPr>
                      <w:rFonts w:hint="eastAsia"/>
                      <w:b/>
                      <w:bCs/>
                      <w:sz w:val="21"/>
                      <w:szCs w:val="21"/>
                      <w:highlight w:val="none"/>
                      <w:lang w:eastAsia="zh-CN"/>
                    </w:rPr>
                  </w:pPr>
                  <w:r>
                    <w:rPr>
                      <w:rFonts w:hint="eastAsia"/>
                      <w:b/>
                      <w:bCs/>
                      <w:sz w:val="21"/>
                      <w:szCs w:val="21"/>
                      <w:highlight w:val="none"/>
                      <w:lang w:eastAsia="zh-CN"/>
                    </w:rPr>
                    <w:t>名称</w:t>
                  </w:r>
                </w:p>
              </w:tc>
              <w:tc>
                <w:tcPr>
                  <w:tcW w:w="1760" w:type="dxa"/>
                  <w:vAlign w:val="center"/>
                </w:tcPr>
                <w:p w14:paraId="6517830E">
                  <w:pPr>
                    <w:jc w:val="center"/>
                    <w:rPr>
                      <w:rFonts w:hint="default"/>
                      <w:b/>
                      <w:bCs/>
                      <w:sz w:val="21"/>
                      <w:szCs w:val="21"/>
                      <w:highlight w:val="none"/>
                      <w:lang w:val="en-US" w:eastAsia="zh-CN"/>
                    </w:rPr>
                  </w:pPr>
                  <w:r>
                    <w:rPr>
                      <w:rFonts w:hint="eastAsia"/>
                      <w:b/>
                      <w:bCs/>
                      <w:sz w:val="21"/>
                      <w:szCs w:val="21"/>
                      <w:highlight w:val="none"/>
                      <w:lang w:val="en-US" w:eastAsia="zh-CN"/>
                    </w:rPr>
                    <w:t>年用量</w:t>
                  </w:r>
                </w:p>
              </w:tc>
              <w:tc>
                <w:tcPr>
                  <w:tcW w:w="1633" w:type="dxa"/>
                  <w:vAlign w:val="center"/>
                </w:tcPr>
                <w:p w14:paraId="105B17DC">
                  <w:pPr>
                    <w:jc w:val="center"/>
                    <w:rPr>
                      <w:rFonts w:hint="eastAsia"/>
                      <w:b/>
                      <w:bCs/>
                      <w:sz w:val="21"/>
                      <w:szCs w:val="21"/>
                      <w:highlight w:val="none"/>
                      <w:lang w:val="en-US" w:eastAsia="zh-CN"/>
                    </w:rPr>
                  </w:pPr>
                  <w:r>
                    <w:rPr>
                      <w:rFonts w:hint="eastAsia"/>
                      <w:b/>
                      <w:bCs/>
                      <w:sz w:val="21"/>
                      <w:szCs w:val="21"/>
                      <w:highlight w:val="none"/>
                      <w:lang w:val="en-US" w:eastAsia="zh-CN"/>
                    </w:rPr>
                    <w:t>单位</w:t>
                  </w:r>
                </w:p>
              </w:tc>
              <w:tc>
                <w:tcPr>
                  <w:tcW w:w="1779" w:type="dxa"/>
                  <w:vAlign w:val="center"/>
                </w:tcPr>
                <w:p w14:paraId="6A8F5EC2">
                  <w:pPr>
                    <w:jc w:val="center"/>
                    <w:rPr>
                      <w:rFonts w:hint="eastAsia"/>
                      <w:b/>
                      <w:bCs/>
                      <w:sz w:val="21"/>
                      <w:szCs w:val="21"/>
                      <w:highlight w:val="none"/>
                      <w:lang w:eastAsia="zh-CN"/>
                    </w:rPr>
                  </w:pPr>
                  <w:r>
                    <w:rPr>
                      <w:rFonts w:hint="eastAsia"/>
                      <w:b/>
                      <w:bCs/>
                      <w:sz w:val="21"/>
                      <w:szCs w:val="21"/>
                      <w:highlight w:val="none"/>
                      <w:lang w:eastAsia="zh-CN"/>
                    </w:rPr>
                    <w:t>备注</w:t>
                  </w:r>
                </w:p>
              </w:tc>
            </w:tr>
            <w:tr w14:paraId="17A06D3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7D84014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w:t>
                  </w:r>
                </w:p>
              </w:tc>
              <w:tc>
                <w:tcPr>
                  <w:tcW w:w="2446" w:type="dxa"/>
                  <w:vAlign w:val="center"/>
                </w:tcPr>
                <w:p w14:paraId="2CEE724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聚丙烯</w:t>
                  </w:r>
                </w:p>
              </w:tc>
              <w:tc>
                <w:tcPr>
                  <w:tcW w:w="1760" w:type="dxa"/>
                  <w:vAlign w:val="center"/>
                </w:tcPr>
                <w:p w14:paraId="41D8508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1000</w:t>
                  </w:r>
                </w:p>
              </w:tc>
              <w:tc>
                <w:tcPr>
                  <w:tcW w:w="1633" w:type="dxa"/>
                  <w:vAlign w:val="center"/>
                </w:tcPr>
                <w:p w14:paraId="03A2E39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t/a</w:t>
                  </w:r>
                </w:p>
              </w:tc>
              <w:tc>
                <w:tcPr>
                  <w:tcW w:w="1779" w:type="dxa"/>
                  <w:vAlign w:val="center"/>
                </w:tcPr>
                <w:p w14:paraId="239ECE1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延长中煤</w:t>
                  </w:r>
                </w:p>
              </w:tc>
            </w:tr>
            <w:tr w14:paraId="26695CD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3A4633E6">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2</w:t>
                  </w:r>
                </w:p>
              </w:tc>
              <w:tc>
                <w:tcPr>
                  <w:tcW w:w="2446" w:type="dxa"/>
                  <w:vAlign w:val="center"/>
                </w:tcPr>
                <w:p w14:paraId="499DDB6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聚乙烯</w:t>
                  </w:r>
                </w:p>
              </w:tc>
              <w:tc>
                <w:tcPr>
                  <w:tcW w:w="1760" w:type="dxa"/>
                  <w:vAlign w:val="center"/>
                </w:tcPr>
                <w:p w14:paraId="2ADF69FF">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1000</w:t>
                  </w:r>
                </w:p>
              </w:tc>
              <w:tc>
                <w:tcPr>
                  <w:tcW w:w="1633" w:type="dxa"/>
                  <w:vAlign w:val="center"/>
                </w:tcPr>
                <w:p w14:paraId="24356D8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t/a</w:t>
                  </w:r>
                </w:p>
              </w:tc>
              <w:tc>
                <w:tcPr>
                  <w:tcW w:w="1779" w:type="dxa"/>
                  <w:vAlign w:val="center"/>
                </w:tcPr>
                <w:p w14:paraId="2C1A4EA0">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兰州石化</w:t>
                  </w:r>
                </w:p>
              </w:tc>
            </w:tr>
            <w:tr w14:paraId="7B8545D8">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5E50123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3</w:t>
                  </w:r>
                </w:p>
              </w:tc>
              <w:tc>
                <w:tcPr>
                  <w:tcW w:w="2446" w:type="dxa"/>
                  <w:vAlign w:val="center"/>
                </w:tcPr>
                <w:p w14:paraId="6C624EE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色母粒</w:t>
                  </w:r>
                </w:p>
              </w:tc>
              <w:tc>
                <w:tcPr>
                  <w:tcW w:w="1760" w:type="dxa"/>
                  <w:vAlign w:val="center"/>
                </w:tcPr>
                <w:p w14:paraId="2078F14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60</w:t>
                  </w:r>
                </w:p>
              </w:tc>
              <w:tc>
                <w:tcPr>
                  <w:tcW w:w="1633" w:type="dxa"/>
                  <w:vAlign w:val="center"/>
                </w:tcPr>
                <w:p w14:paraId="2EAA59C7">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t/a</w:t>
                  </w:r>
                </w:p>
              </w:tc>
              <w:tc>
                <w:tcPr>
                  <w:tcW w:w="1779" w:type="dxa"/>
                  <w:vAlign w:val="center"/>
                </w:tcPr>
                <w:p w14:paraId="4E85D62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r>
            <w:tr w14:paraId="7D161698">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2C388FE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4</w:t>
                  </w:r>
                </w:p>
              </w:tc>
              <w:tc>
                <w:tcPr>
                  <w:tcW w:w="2446" w:type="dxa"/>
                  <w:vAlign w:val="center"/>
                </w:tcPr>
                <w:p w14:paraId="17D537B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润滑油</w:t>
                  </w:r>
                </w:p>
              </w:tc>
              <w:tc>
                <w:tcPr>
                  <w:tcW w:w="1760" w:type="dxa"/>
                  <w:vAlign w:val="center"/>
                </w:tcPr>
                <w:p w14:paraId="357BE39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bCs/>
                      <w:color w:val="auto"/>
                      <w:lang w:val="en-US" w:eastAsia="zh-CN"/>
                    </w:rPr>
                    <w:t>0.2</w:t>
                  </w:r>
                </w:p>
              </w:tc>
              <w:tc>
                <w:tcPr>
                  <w:tcW w:w="1633" w:type="dxa"/>
                  <w:vAlign w:val="center"/>
                </w:tcPr>
                <w:p w14:paraId="5939B19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bCs/>
                      <w:color w:val="auto"/>
                      <w:lang w:val="en-US" w:eastAsia="zh-CN"/>
                    </w:rPr>
                    <w:t>t/a</w:t>
                  </w:r>
                </w:p>
              </w:tc>
              <w:tc>
                <w:tcPr>
                  <w:tcW w:w="1779" w:type="dxa"/>
                  <w:shd w:val="clear" w:color="auto" w:fill="auto"/>
                  <w:vAlign w:val="center"/>
                </w:tcPr>
                <w:p w14:paraId="2E1FF26B">
                  <w:pPr>
                    <w:keepNext w:val="0"/>
                    <w:keepLines w:val="0"/>
                    <w:pageBreakBefore w:val="0"/>
                    <w:kinsoku/>
                    <w:wordWrap/>
                    <w:topLinePunct w:val="0"/>
                    <w:autoSpaceDE/>
                    <w:autoSpaceDN/>
                    <w:bidi w:val="0"/>
                    <w:adjustRightInd/>
                    <w:spacing w:line="360" w:lineRule="exact"/>
                    <w:jc w:val="center"/>
                    <w:textAlignment w:val="auto"/>
                    <w:rPr>
                      <w:rFonts w:hint="default" w:ascii="Times New Roman" w:hAnsi="Times New Roman" w:eastAsia="宋体" w:cs="Times New Roman"/>
                      <w:bCs/>
                      <w:color w:val="auto"/>
                      <w:kern w:val="2"/>
                      <w:sz w:val="21"/>
                      <w:szCs w:val="24"/>
                      <w:lang w:val="en-US" w:eastAsia="zh-CN" w:bidi="ar-SA"/>
                    </w:rPr>
                  </w:pPr>
                  <w:r>
                    <w:rPr>
                      <w:rFonts w:hint="eastAsia" w:ascii="Times New Roman" w:hAnsi="Times New Roman" w:cs="Times New Roman" w:eastAsiaTheme="minorEastAsia"/>
                      <w:sz w:val="21"/>
                      <w:szCs w:val="21"/>
                      <w:highlight w:val="none"/>
                      <w:lang w:val="en-US" w:eastAsia="zh-CN"/>
                    </w:rPr>
                    <w:t>200L/桶、铁桶，用于设备维护，最大存贮量0.2t</w:t>
                  </w:r>
                  <w:r>
                    <w:rPr>
                      <w:rFonts w:hint="eastAsia"/>
                      <w:bCs/>
                      <w:color w:val="auto"/>
                      <w:lang w:val="en-US" w:eastAsia="zh-CN"/>
                    </w:rPr>
                    <w:t xml:space="preserve"> </w:t>
                  </w:r>
                </w:p>
              </w:tc>
            </w:tr>
          </w:tbl>
          <w:p w14:paraId="2AD85812">
            <w:pPr>
              <w:keepNext w:val="0"/>
              <w:keepLines w:val="0"/>
              <w:pageBreakBefore w:val="0"/>
              <w:widowControl w:val="0"/>
              <w:kinsoku/>
              <w:wordWrap/>
              <w:overflowPunct/>
              <w:topLinePunct w:val="0"/>
              <w:autoSpaceDE/>
              <w:autoSpaceDN/>
              <w:bidi w:val="0"/>
              <w:adjustRightInd w:val="0"/>
              <w:snapToGrid w:val="0"/>
              <w:spacing w:before="120" w:line="360" w:lineRule="auto"/>
              <w:ind w:firstLine="480" w:firstLineChars="200"/>
              <w:jc w:val="left"/>
              <w:textAlignment w:val="auto"/>
              <w:rPr>
                <w:rFonts w:hint="default" w:ascii="Times New Roman" w:hAnsi="Times New Roman" w:eastAsia="宋体" w:cs="Times New Roman"/>
                <w:bCs/>
                <w:color w:val="auto"/>
                <w:sz w:val="24"/>
                <w:highlight w:val="none"/>
                <w:lang w:eastAsia="zh-CN"/>
              </w:rPr>
            </w:pPr>
            <w:r>
              <w:rPr>
                <w:rFonts w:hint="default" w:ascii="Times New Roman" w:hAnsi="Times New Roman" w:eastAsia="宋体" w:cs="Times New Roman"/>
                <w:bCs/>
                <w:color w:val="auto"/>
                <w:sz w:val="24"/>
                <w:highlight w:val="none"/>
              </w:rPr>
              <w:t>主要原辅材料理化性质见表</w:t>
            </w:r>
            <w:r>
              <w:rPr>
                <w:rFonts w:hint="default" w:ascii="Times New Roman" w:hAnsi="Times New Roman" w:eastAsia="宋体" w:cs="Times New Roman"/>
                <w:bCs/>
                <w:color w:val="auto"/>
                <w:sz w:val="24"/>
                <w:highlight w:val="none"/>
                <w:lang w:val="en-US" w:eastAsia="zh-CN"/>
              </w:rPr>
              <w:t>2-</w:t>
            </w:r>
            <w:r>
              <w:rPr>
                <w:rFonts w:hint="eastAsia" w:cs="Times New Roman"/>
                <w:bCs/>
                <w:color w:val="auto"/>
                <w:sz w:val="24"/>
                <w:highlight w:val="none"/>
                <w:lang w:val="en-US" w:eastAsia="zh-CN"/>
              </w:rPr>
              <w:t>5</w:t>
            </w:r>
            <w:r>
              <w:rPr>
                <w:rFonts w:hint="default" w:ascii="Times New Roman" w:hAnsi="Times New Roman" w:eastAsia="宋体" w:cs="Times New Roman"/>
                <w:bCs/>
                <w:color w:val="auto"/>
                <w:sz w:val="24"/>
                <w:highlight w:val="none"/>
                <w:lang w:eastAsia="zh-CN"/>
              </w:rPr>
              <w:t>。</w:t>
            </w:r>
          </w:p>
          <w:p w14:paraId="02D0707E">
            <w:pPr>
              <w:adjustRightInd w:val="0"/>
              <w:snapToGrid w:val="0"/>
              <w:spacing w:line="360" w:lineRule="auto"/>
              <w:ind w:firstLine="422" w:firstLineChars="200"/>
              <w:jc w:val="center"/>
              <w:rPr>
                <w:rFonts w:hint="default" w:ascii="Times New Roman" w:hAnsi="Times New Roman" w:cs="Times New Roman" w:eastAsiaTheme="majorEastAsia"/>
                <w:b/>
                <w:snapToGrid w:val="0"/>
                <w:color w:val="auto"/>
                <w:kern w:val="0"/>
                <w:sz w:val="24"/>
                <w:szCs w:val="24"/>
                <w:highlight w:val="none"/>
              </w:rPr>
            </w:pPr>
            <w:r>
              <w:rPr>
                <w:rFonts w:hint="default" w:ascii="Times New Roman" w:hAnsi="Times New Roman" w:cs="Times New Roman" w:eastAsiaTheme="majorEastAsia"/>
                <w:b/>
                <w:color w:val="auto"/>
                <w:sz w:val="21"/>
                <w:szCs w:val="21"/>
                <w:highlight w:val="none"/>
              </w:rPr>
              <w:t>表</w:t>
            </w:r>
            <w:r>
              <w:rPr>
                <w:rFonts w:hint="default" w:ascii="Times New Roman" w:hAnsi="Times New Roman" w:cs="Times New Roman" w:eastAsiaTheme="majorEastAsia"/>
                <w:b/>
                <w:color w:val="auto"/>
                <w:sz w:val="21"/>
                <w:szCs w:val="21"/>
                <w:highlight w:val="none"/>
                <w:lang w:val="en-US" w:eastAsia="zh-CN"/>
              </w:rPr>
              <w:t>2-5</w:t>
            </w:r>
            <w:r>
              <w:rPr>
                <w:rFonts w:hint="default" w:ascii="Times New Roman" w:hAnsi="Times New Roman" w:cs="Times New Roman" w:eastAsiaTheme="majorEastAsia"/>
                <w:b/>
                <w:color w:val="auto"/>
                <w:sz w:val="21"/>
                <w:szCs w:val="21"/>
                <w:highlight w:val="none"/>
              </w:rPr>
              <w:t xml:space="preserve">  原辅材料理化性质</w:t>
            </w:r>
          </w:p>
          <w:tbl>
            <w:tblPr>
              <w:tblStyle w:val="24"/>
              <w:tblW w:w="4966"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136"/>
              <w:gridCol w:w="6517"/>
            </w:tblGrid>
            <w:tr w14:paraId="799276AE">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tcBorders>
                    <w:tl2br w:val="nil"/>
                    <w:tr2bl w:val="nil"/>
                  </w:tcBorders>
                  <w:noWrap w:val="0"/>
                  <w:vAlign w:val="center"/>
                </w:tcPr>
                <w:p w14:paraId="0F80D420">
                  <w:pPr>
                    <w:jc w:val="center"/>
                    <w:rPr>
                      <w:rFonts w:hint="default"/>
                      <w:b/>
                      <w:bCs/>
                      <w:sz w:val="21"/>
                      <w:szCs w:val="21"/>
                      <w:highlight w:val="none"/>
                      <w:lang w:eastAsia="zh-CN"/>
                    </w:rPr>
                  </w:pPr>
                  <w:r>
                    <w:rPr>
                      <w:rFonts w:hint="default"/>
                      <w:b/>
                      <w:bCs/>
                      <w:sz w:val="21"/>
                      <w:szCs w:val="21"/>
                      <w:highlight w:val="none"/>
                      <w:lang w:eastAsia="zh-CN"/>
                    </w:rPr>
                    <w:t>序号</w:t>
                  </w:r>
                </w:p>
              </w:tc>
              <w:tc>
                <w:tcPr>
                  <w:tcW w:w="679" w:type="pct"/>
                  <w:tcBorders>
                    <w:tl2br w:val="nil"/>
                    <w:tr2bl w:val="nil"/>
                  </w:tcBorders>
                  <w:noWrap w:val="0"/>
                  <w:vAlign w:val="center"/>
                </w:tcPr>
                <w:p w14:paraId="3679F0FD">
                  <w:pPr>
                    <w:jc w:val="center"/>
                    <w:rPr>
                      <w:rFonts w:hint="default"/>
                      <w:b/>
                      <w:bCs/>
                      <w:sz w:val="21"/>
                      <w:szCs w:val="21"/>
                      <w:highlight w:val="none"/>
                      <w:lang w:eastAsia="zh-CN"/>
                    </w:rPr>
                  </w:pPr>
                  <w:r>
                    <w:rPr>
                      <w:rFonts w:hint="default"/>
                      <w:b/>
                      <w:bCs/>
                      <w:sz w:val="21"/>
                      <w:szCs w:val="21"/>
                      <w:highlight w:val="none"/>
                      <w:lang w:eastAsia="zh-CN"/>
                    </w:rPr>
                    <w:t>名称</w:t>
                  </w:r>
                </w:p>
              </w:tc>
              <w:tc>
                <w:tcPr>
                  <w:tcW w:w="3897" w:type="pct"/>
                  <w:tcBorders>
                    <w:tl2br w:val="nil"/>
                    <w:tr2bl w:val="nil"/>
                  </w:tcBorders>
                  <w:noWrap w:val="0"/>
                  <w:vAlign w:val="center"/>
                </w:tcPr>
                <w:p w14:paraId="4A474AA9">
                  <w:pPr>
                    <w:jc w:val="center"/>
                    <w:rPr>
                      <w:rFonts w:hint="default"/>
                      <w:b/>
                      <w:bCs/>
                      <w:sz w:val="21"/>
                      <w:szCs w:val="21"/>
                      <w:highlight w:val="none"/>
                      <w:lang w:eastAsia="zh-CN"/>
                    </w:rPr>
                  </w:pPr>
                  <w:r>
                    <w:rPr>
                      <w:rFonts w:hint="default"/>
                      <w:b/>
                      <w:bCs/>
                      <w:sz w:val="21"/>
                      <w:szCs w:val="21"/>
                      <w:highlight w:val="none"/>
                      <w:lang w:eastAsia="zh-CN"/>
                    </w:rPr>
                    <w:t>理化性质</w:t>
                  </w:r>
                </w:p>
              </w:tc>
            </w:tr>
            <w:tr w14:paraId="07426BA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pct"/>
                  <w:tcBorders>
                    <w:tl2br w:val="nil"/>
                    <w:tr2bl w:val="nil"/>
                  </w:tcBorders>
                  <w:noWrap w:val="0"/>
                  <w:vAlign w:val="center"/>
                </w:tcPr>
                <w:p w14:paraId="55547EE9">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eastAsia" w:asciiTheme="minorEastAsia" w:hAnsiTheme="minorEastAsia" w:eastAsiaTheme="minorEastAsia" w:cstheme="minorEastAsia"/>
                      <w:b w:val="0"/>
                      <w:bCs w:val="0"/>
                      <w:color w:val="auto"/>
                      <w:kern w:val="0"/>
                      <w:sz w:val="21"/>
                      <w:szCs w:val="21"/>
                      <w:highlight w:val="none"/>
                    </w:rPr>
                  </w:pPr>
                  <w:r>
                    <w:rPr>
                      <w:rFonts w:hint="eastAsia" w:asciiTheme="minorEastAsia" w:hAnsiTheme="minorEastAsia" w:eastAsiaTheme="minorEastAsia" w:cstheme="minorEastAsia"/>
                      <w:b w:val="0"/>
                      <w:bCs w:val="0"/>
                      <w:color w:val="auto"/>
                      <w:kern w:val="0"/>
                      <w:sz w:val="21"/>
                      <w:szCs w:val="21"/>
                      <w:highlight w:val="none"/>
                    </w:rPr>
                    <w:t>1</w:t>
                  </w:r>
                </w:p>
              </w:tc>
              <w:tc>
                <w:tcPr>
                  <w:tcW w:w="679" w:type="pct"/>
                  <w:tcBorders>
                    <w:tl2br w:val="nil"/>
                    <w:tr2bl w:val="nil"/>
                  </w:tcBorders>
                  <w:noWrap w:val="0"/>
                  <w:vAlign w:val="center"/>
                </w:tcPr>
                <w:p w14:paraId="16FCBD5E">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eastAsia="zh-CN"/>
                    </w:rPr>
                    <w:t>聚丙烯</w:t>
                  </w:r>
                </w:p>
              </w:tc>
              <w:tc>
                <w:tcPr>
                  <w:tcW w:w="3897" w:type="pct"/>
                  <w:tcBorders>
                    <w:tl2br w:val="nil"/>
                    <w:tr2bl w:val="nil"/>
                  </w:tcBorders>
                  <w:noWrap w:val="0"/>
                  <w:vAlign w:val="center"/>
                </w:tcPr>
                <w:p w14:paraId="48C0083C">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kern w:val="0"/>
                      <w:sz w:val="21"/>
                      <w:szCs w:val="21"/>
                      <w:highlight w:val="none"/>
                      <w:lang w:val="en-US"/>
                    </w:rPr>
                  </w:pPr>
                  <w:r>
                    <w:rPr>
                      <w:rFonts w:hint="default" w:ascii="Times New Roman" w:hAnsi="Times New Roman" w:cs="Times New Roman" w:eastAsiaTheme="minorEastAsia"/>
                      <w:color w:val="auto"/>
                      <w:sz w:val="21"/>
                      <w:szCs w:val="21"/>
                      <w:highlight w:val="none"/>
                      <w:lang w:eastAsia="zh-CN"/>
                    </w:rPr>
                    <w:t>聚丙烯（PP）是由丙烯单体通过加聚反应制成的半结晶的热塑性聚合物。通常呈白色蜡状固体，无毒、无味，外观透明且质地轻盈。其化学式为(C</w:t>
                  </w:r>
                  <w:r>
                    <w:rPr>
                      <w:rFonts w:hint="default" w:ascii="Times New Roman" w:hAnsi="Times New Roman" w:cs="Times New Roman" w:eastAsiaTheme="minorEastAsia"/>
                      <w:color w:val="auto"/>
                      <w:sz w:val="21"/>
                      <w:szCs w:val="21"/>
                      <w:highlight w:val="none"/>
                      <w:vertAlign w:val="subscript"/>
                      <w:lang w:eastAsia="zh-CN"/>
                    </w:rPr>
                    <w:t>3</w:t>
                  </w:r>
                  <w:r>
                    <w:rPr>
                      <w:rFonts w:hint="default" w:ascii="Times New Roman" w:hAnsi="Times New Roman" w:cs="Times New Roman" w:eastAsiaTheme="minorEastAsia"/>
                      <w:color w:val="auto"/>
                      <w:sz w:val="21"/>
                      <w:szCs w:val="21"/>
                      <w:highlight w:val="none"/>
                      <w:lang w:eastAsia="zh-CN"/>
                    </w:rPr>
                    <w:t>H</w:t>
                  </w:r>
                  <w:r>
                    <w:rPr>
                      <w:rFonts w:hint="default" w:ascii="Times New Roman" w:hAnsi="Times New Roman" w:cs="Times New Roman" w:eastAsiaTheme="minorEastAsia"/>
                      <w:color w:val="auto"/>
                      <w:sz w:val="21"/>
                      <w:szCs w:val="21"/>
                      <w:highlight w:val="none"/>
                      <w:vertAlign w:val="subscript"/>
                      <w:lang w:eastAsia="zh-CN"/>
                    </w:rPr>
                    <w:t>6</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vertAlign w:val="subscript"/>
                      <w:lang w:eastAsia="zh-CN"/>
                    </w:rPr>
                    <w:t>n</w:t>
                  </w:r>
                  <w:r>
                    <w:rPr>
                      <w:rFonts w:hint="default" w:ascii="Times New Roman" w:hAnsi="Times New Roman" w:cs="Times New Roman" w:eastAsiaTheme="minorEastAsia"/>
                      <w:color w:val="auto"/>
                      <w:sz w:val="21"/>
                      <w:szCs w:val="21"/>
                      <w:highlight w:val="none"/>
                      <w:lang w:eastAsia="zh-CN"/>
                    </w:rPr>
                    <w:t>，密度为0.89～0.92g/cm</w:t>
                  </w:r>
                  <w:r>
                    <w:rPr>
                      <w:rFonts w:hint="default" w:ascii="Times New Roman" w:hAnsi="Times New Roman" w:cs="Times New Roman" w:eastAsiaTheme="minorEastAsia"/>
                      <w:color w:val="auto"/>
                      <w:sz w:val="21"/>
                      <w:szCs w:val="21"/>
                      <w:highlight w:val="none"/>
                      <w:vertAlign w:val="superscript"/>
                      <w:lang w:eastAsia="zh-CN"/>
                    </w:rPr>
                    <w:t>3</w:t>
                  </w:r>
                  <w:r>
                    <w:rPr>
                      <w:rFonts w:hint="default" w:ascii="Times New Roman" w:hAnsi="Times New Roman" w:cs="Times New Roman" w:eastAsiaTheme="minorEastAsia"/>
                      <w:color w:val="auto"/>
                      <w:sz w:val="21"/>
                      <w:szCs w:val="21"/>
                      <w:highlight w:val="none"/>
                      <w:lang w:eastAsia="zh-CN"/>
                    </w:rPr>
                    <w:t>，是密度最小的热塑性树脂；熔点为164~176℃，在155℃左右软化，使用温度范围为-30～140℃。聚丙烯具有轻巧、耐磨损、抗菌性和易染色等特性，具有良好的绝缘性能；具有良好的化学稳定性、耐热性、透明度和机械性能；具有良好的耐腐蚀性、耐候性和可塑性</w:t>
                  </w:r>
                  <w:r>
                    <w:rPr>
                      <w:rFonts w:hint="default" w:ascii="Times New Roman" w:hAnsi="Times New Roman" w:cs="Times New Roman" w:eastAsiaTheme="minorEastAsia"/>
                      <w:color w:val="auto"/>
                      <w:sz w:val="21"/>
                      <w:szCs w:val="21"/>
                      <w:highlight w:val="none"/>
                      <w:shd w:val="clear" w:color="auto" w:fill="FFFFFF"/>
                    </w:rPr>
                    <w:t>。</w:t>
                  </w:r>
                </w:p>
              </w:tc>
            </w:tr>
            <w:tr w14:paraId="4D82678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422" w:type="pct"/>
                  <w:tcBorders>
                    <w:tl2br w:val="nil"/>
                    <w:tr2bl w:val="nil"/>
                  </w:tcBorders>
                  <w:noWrap w:val="0"/>
                  <w:vAlign w:val="center"/>
                </w:tcPr>
                <w:p w14:paraId="2DD2E264">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eastAsia" w:asciiTheme="minorEastAsia" w:hAnsiTheme="minorEastAsia" w:eastAsiaTheme="minorEastAsia" w:cstheme="minorEastAsia"/>
                      <w:b w:val="0"/>
                      <w:bCs w:val="0"/>
                      <w:color w:val="auto"/>
                      <w:kern w:val="0"/>
                      <w:sz w:val="21"/>
                      <w:szCs w:val="21"/>
                      <w:highlight w:val="none"/>
                      <w:lang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2</w:t>
                  </w:r>
                </w:p>
              </w:tc>
              <w:tc>
                <w:tcPr>
                  <w:tcW w:w="679" w:type="pct"/>
                  <w:tcBorders>
                    <w:tl2br w:val="nil"/>
                    <w:tr2bl w:val="nil"/>
                  </w:tcBorders>
                  <w:noWrap w:val="0"/>
                  <w:vAlign w:val="center"/>
                </w:tcPr>
                <w:p w14:paraId="633768D5">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rPr>
                  </w:pPr>
                  <w:r>
                    <w:rPr>
                      <w:rFonts w:hint="eastAsia" w:asciiTheme="minorEastAsia" w:hAnsiTheme="minorEastAsia" w:eastAsiaTheme="minorEastAsia" w:cstheme="minorEastAsia"/>
                      <w:sz w:val="21"/>
                      <w:szCs w:val="21"/>
                      <w:highlight w:val="none"/>
                      <w:lang w:val="en-US" w:eastAsia="zh-CN"/>
                    </w:rPr>
                    <w:t>聚乙烯</w:t>
                  </w:r>
                </w:p>
              </w:tc>
              <w:tc>
                <w:tcPr>
                  <w:tcW w:w="3897" w:type="pct"/>
                  <w:tcBorders>
                    <w:tl2br w:val="nil"/>
                    <w:tr2bl w:val="nil"/>
                  </w:tcBorders>
                  <w:noWrap w:val="0"/>
                  <w:vAlign w:val="center"/>
                </w:tcPr>
                <w:p w14:paraId="7577F4F5">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kern w:val="0"/>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聚乙烯（polyethylene ，简称PE）是乙烯经聚合制得的一种热塑性树脂。在工业上，也包括乙烯与少量α-烯烃的共聚物。聚乙烯无臭，无毒，手感似蜡，具有优良的耐低温性能（最低使用温度可达-100~-70°C），化学稳定性好，因聚合物分子内通过碳-碳单键相连，能耐大多数酸碱的侵蚀（不耐具有氧化性质的酸）。常温下不溶于一般溶剂，吸水性小，电绝缘性优良。</w:t>
                  </w:r>
                </w:p>
              </w:tc>
            </w:tr>
            <w:tr w14:paraId="14BAF784">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180" w:hRule="atLeast"/>
                <w:jc w:val="center"/>
              </w:trPr>
              <w:tc>
                <w:tcPr>
                  <w:tcW w:w="422" w:type="pct"/>
                  <w:tcBorders>
                    <w:tl2br w:val="nil"/>
                    <w:tr2bl w:val="nil"/>
                  </w:tcBorders>
                  <w:noWrap w:val="0"/>
                  <w:vAlign w:val="center"/>
                </w:tcPr>
                <w:p w14:paraId="7A54FBA2">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eastAsia" w:asciiTheme="minorEastAsia" w:hAnsiTheme="minorEastAsia" w:eastAsiaTheme="minorEastAsia" w:cstheme="minorEastAsia"/>
                      <w:b w:val="0"/>
                      <w:bCs w:val="0"/>
                      <w:color w:val="auto"/>
                      <w:kern w:val="0"/>
                      <w:sz w:val="21"/>
                      <w:szCs w:val="21"/>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3</w:t>
                  </w:r>
                </w:p>
              </w:tc>
              <w:tc>
                <w:tcPr>
                  <w:tcW w:w="679" w:type="pct"/>
                  <w:tcBorders>
                    <w:tl2br w:val="nil"/>
                    <w:tr2bl w:val="nil"/>
                  </w:tcBorders>
                  <w:noWrap w:val="0"/>
                  <w:vAlign w:val="center"/>
                </w:tcPr>
                <w:p w14:paraId="7B3BA3F6">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色母粒</w:t>
                  </w:r>
                </w:p>
              </w:tc>
              <w:tc>
                <w:tcPr>
                  <w:tcW w:w="3897" w:type="pct"/>
                  <w:tcBorders>
                    <w:tl2br w:val="nil"/>
                    <w:tr2bl w:val="nil"/>
                  </w:tcBorders>
                  <w:noWrap w:val="0"/>
                  <w:vAlign w:val="center"/>
                </w:tcPr>
                <w:p w14:paraId="607488F3">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"https://baike.baidu.com/item/%E8%89%B2%E6%AF%8D%E7%B2%92/735898?fromModule=lemma_inlink"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色母粒</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，也叫</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"https://baike.baidu.com/item/%E8%89%B2%E7%A7%8D/917214?fromModule=lemma_inlink"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色种</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，是一种新型高分子</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"https://baike.baidu.com/item/%E6%9D%90%E6%96%99/0?fromModule=lemma_inlink"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材料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专用</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"https://baike.baidu.com/item/%E7%9D%80%E8%89%B2%E5%89%82/2531263?fromModule=lemma_inlink"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着色剂</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，亦称颜料制备物（Pigment Preparation）。色母主要用在塑料上。色母由</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"https://baike.baidu.com/item/%E9%A2%9C%E6%96%99/465850?fromModule=lemma_inlink"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颜料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或</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"https://baike.baidu.com/item/%E6%9F%93%E6%96%99/1145782?fromModule=lemma_inlink"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染料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、载体和</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"https://baike.baidu.com/item/%E6%B7%BB%E5%8A%A0%E5%89%82/5134870?fromModule=lemma_inlink"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添加剂</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三种基本</w:t>
                  </w:r>
                  <w:r>
                    <w:rPr>
                      <w:rFonts w:hint="eastAsia" w:asciiTheme="minorEastAsia" w:hAnsiTheme="minorEastAsia" w:eastAsiaTheme="minorEastAsia" w:cstheme="minorEastAsia"/>
                      <w:color w:val="auto"/>
                      <w:sz w:val="21"/>
                      <w:szCs w:val="21"/>
                      <w:highlight w:val="none"/>
                      <w:lang w:eastAsia="zh-CN"/>
                    </w:rPr>
                    <w:t>要素所组成，是把超常量的</w:t>
                  </w:r>
                  <w:r>
                    <w:rPr>
                      <w:rFonts w:hint="eastAsia" w:asciiTheme="minorEastAsia" w:hAnsiTheme="minorEastAsia" w:eastAsiaTheme="minorEastAsia" w:cstheme="minorEastAsia"/>
                      <w:color w:val="auto"/>
                      <w:sz w:val="21"/>
                      <w:szCs w:val="21"/>
                      <w:highlight w:val="none"/>
                      <w:lang w:eastAsia="zh-CN"/>
                    </w:rPr>
                    <w:fldChar w:fldCharType="begin"/>
                  </w:r>
                  <w:r>
                    <w:rPr>
                      <w:rFonts w:hint="eastAsia" w:asciiTheme="minorEastAsia" w:hAnsiTheme="minorEastAsia" w:eastAsiaTheme="minorEastAsia" w:cstheme="minorEastAsia"/>
                      <w:color w:val="auto"/>
                      <w:sz w:val="21"/>
                      <w:szCs w:val="21"/>
                      <w:highlight w:val="none"/>
                      <w:lang w:eastAsia="zh-CN"/>
                    </w:rPr>
                    <w:instrText xml:space="preserve"> HYPERLINK "https://baike.baidu.com/item/%E9%A2%9C%E6%96%99/465850?fromModule=lemma_inlink" \t "https://baike.baidu.com/item/%E8%89%B2%E6%AF%8D/_blank" </w:instrText>
                  </w:r>
                  <w:r>
                    <w:rPr>
                      <w:rFonts w:hint="eastAsia" w:asciiTheme="minorEastAsia" w:hAnsiTheme="minorEastAsia" w:eastAsiaTheme="minorEastAsia" w:cstheme="minorEastAsia"/>
                      <w:color w:val="auto"/>
                      <w:sz w:val="21"/>
                      <w:szCs w:val="21"/>
                      <w:highlight w:val="none"/>
                      <w:lang w:eastAsia="zh-CN"/>
                    </w:rPr>
                    <w:fldChar w:fldCharType="separate"/>
                  </w:r>
                  <w:r>
                    <w:rPr>
                      <w:rFonts w:hint="eastAsia" w:asciiTheme="minorEastAsia" w:hAnsiTheme="minorEastAsia" w:eastAsiaTheme="minorEastAsia" w:cstheme="minorEastAsia"/>
                      <w:color w:val="auto"/>
                      <w:sz w:val="21"/>
                      <w:szCs w:val="21"/>
                      <w:highlight w:val="none"/>
                      <w:lang w:eastAsia="zh-CN"/>
                    </w:rPr>
                    <w:t>颜料</w:t>
                  </w:r>
                  <w:r>
                    <w:rPr>
                      <w:rFonts w:hint="eastAsia" w:asciiTheme="minorEastAsia" w:hAnsiTheme="minorEastAsia" w:eastAsiaTheme="minorEastAsia" w:cstheme="minorEastAsia"/>
                      <w:color w:val="auto"/>
                      <w:sz w:val="21"/>
                      <w:szCs w:val="21"/>
                      <w:highlight w:val="none"/>
                      <w:lang w:eastAsia="zh-CN"/>
                    </w:rPr>
                    <w:fldChar w:fldCharType="end"/>
                  </w:r>
                  <w:r>
                    <w:rPr>
                      <w:rFonts w:hint="eastAsia" w:asciiTheme="minorEastAsia" w:hAnsiTheme="minorEastAsia" w:eastAsiaTheme="minorEastAsia" w:cstheme="minorEastAsia"/>
                      <w:color w:val="auto"/>
                      <w:sz w:val="21"/>
                      <w:szCs w:val="21"/>
                      <w:highlight w:val="none"/>
                      <w:lang w:eastAsia="zh-CN"/>
                    </w:rPr>
                    <w:t>均匀载附于</w:t>
                  </w:r>
                  <w:r>
                    <w:rPr>
                      <w:rFonts w:hint="eastAsia" w:asciiTheme="minorEastAsia" w:hAnsiTheme="minorEastAsia" w:eastAsiaTheme="minorEastAsia" w:cstheme="minorEastAsia"/>
                      <w:color w:val="auto"/>
                      <w:sz w:val="21"/>
                      <w:szCs w:val="21"/>
                      <w:highlight w:val="none"/>
                      <w:lang w:eastAsia="zh-CN"/>
                    </w:rPr>
                    <w:fldChar w:fldCharType="begin"/>
                  </w:r>
                  <w:r>
                    <w:rPr>
                      <w:rFonts w:hint="eastAsia" w:asciiTheme="minorEastAsia" w:hAnsiTheme="minorEastAsia" w:eastAsiaTheme="minorEastAsia" w:cstheme="minorEastAsia"/>
                      <w:color w:val="auto"/>
                      <w:sz w:val="21"/>
                      <w:szCs w:val="21"/>
                      <w:highlight w:val="none"/>
                      <w:lang w:eastAsia="zh-CN"/>
                    </w:rPr>
                    <w:instrText xml:space="preserve"> HYPERLINK "https://baike.baidu.com/item/%E6%A0%91%E8%84%82/281282?fromModule=lemma_inlink" \t "https://baike.baidu.com/item/%E8%89%B2%E6%AF%8D/_blank" </w:instrText>
                  </w:r>
                  <w:r>
                    <w:rPr>
                      <w:rFonts w:hint="eastAsia" w:asciiTheme="minorEastAsia" w:hAnsiTheme="minorEastAsia" w:eastAsiaTheme="minorEastAsia" w:cstheme="minorEastAsia"/>
                      <w:color w:val="auto"/>
                      <w:sz w:val="21"/>
                      <w:szCs w:val="21"/>
                      <w:highlight w:val="none"/>
                      <w:lang w:eastAsia="zh-CN"/>
                    </w:rPr>
                    <w:fldChar w:fldCharType="separate"/>
                  </w:r>
                  <w:r>
                    <w:rPr>
                      <w:rFonts w:hint="eastAsia" w:asciiTheme="minorEastAsia" w:hAnsiTheme="minorEastAsia" w:eastAsiaTheme="minorEastAsia" w:cstheme="minorEastAsia"/>
                      <w:color w:val="auto"/>
                      <w:sz w:val="21"/>
                      <w:szCs w:val="21"/>
                      <w:highlight w:val="none"/>
                      <w:lang w:eastAsia="zh-CN"/>
                    </w:rPr>
                    <w:t>树脂</w:t>
                  </w:r>
                  <w:r>
                    <w:rPr>
                      <w:rFonts w:hint="eastAsia" w:asciiTheme="minorEastAsia" w:hAnsiTheme="minorEastAsia" w:eastAsiaTheme="minorEastAsia" w:cstheme="minorEastAsia"/>
                      <w:color w:val="auto"/>
                      <w:sz w:val="21"/>
                      <w:szCs w:val="21"/>
                      <w:highlight w:val="none"/>
                      <w:lang w:eastAsia="zh-CN"/>
                    </w:rPr>
                    <w:fldChar w:fldCharType="end"/>
                  </w:r>
                  <w:r>
                    <w:rPr>
                      <w:rFonts w:hint="eastAsia" w:asciiTheme="minorEastAsia" w:hAnsiTheme="minorEastAsia" w:eastAsiaTheme="minorEastAsia" w:cstheme="minorEastAsia"/>
                      <w:color w:val="auto"/>
                      <w:sz w:val="21"/>
                      <w:szCs w:val="21"/>
                      <w:highlight w:val="none"/>
                      <w:lang w:eastAsia="zh-CN"/>
                    </w:rPr>
                    <w:t>之中而制得的聚集</w:t>
                  </w:r>
                  <w:r>
                    <w:rPr>
                      <w:rFonts w:hint="default" w:ascii="Times New Roman" w:hAnsi="Times New Roman" w:cs="Times New Roman" w:eastAsiaTheme="minorEastAsia"/>
                      <w:color w:val="auto"/>
                      <w:sz w:val="21"/>
                      <w:szCs w:val="21"/>
                      <w:highlight w:val="none"/>
                      <w:lang w:eastAsia="zh-CN"/>
                    </w:rPr>
                    <w:t>体，可称颜料浓缩物（Pigment Concentration），所以它的着色力高于</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"https://baike.baidu.com/item/%E9%A2%9C%E6%96%99/465850?fromModule=lemma_inlink"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颜料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本身。加工时用少量色母料和未着色树脂掺混，就可达到设计颜料浓度的着色树脂或制品。</w:t>
                  </w:r>
                </w:p>
              </w:tc>
            </w:tr>
            <w:tr w14:paraId="4BA9D65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422" w:type="pct"/>
                  <w:tcBorders>
                    <w:tl2br w:val="nil"/>
                    <w:tr2bl w:val="nil"/>
                  </w:tcBorders>
                  <w:noWrap w:val="0"/>
                  <w:vAlign w:val="center"/>
                </w:tcPr>
                <w:p w14:paraId="79014586">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default" w:asciiTheme="minorEastAsia" w:hAnsiTheme="minorEastAsia" w:eastAsiaTheme="minorEastAsia" w:cstheme="minorEastAsia"/>
                      <w:b w:val="0"/>
                      <w:bCs w:val="0"/>
                      <w:color w:val="auto"/>
                      <w:kern w:val="0"/>
                      <w:sz w:val="21"/>
                      <w:szCs w:val="21"/>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4</w:t>
                  </w:r>
                </w:p>
              </w:tc>
              <w:tc>
                <w:tcPr>
                  <w:tcW w:w="679" w:type="pct"/>
                  <w:tcBorders>
                    <w:tl2br w:val="nil"/>
                    <w:tr2bl w:val="nil"/>
                  </w:tcBorders>
                  <w:noWrap w:val="0"/>
                  <w:vAlign w:val="center"/>
                </w:tcPr>
                <w:p w14:paraId="4123D670">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润滑油</w:t>
                  </w:r>
                </w:p>
              </w:tc>
              <w:tc>
                <w:tcPr>
                  <w:tcW w:w="3897" w:type="pct"/>
                  <w:tcBorders>
                    <w:tl2br w:val="nil"/>
                    <w:tr2bl w:val="nil"/>
                  </w:tcBorders>
                  <w:noWrap w:val="0"/>
                  <w:vAlign w:val="center"/>
                </w:tcPr>
                <w:p w14:paraId="172FC931">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color w:val="auto"/>
                      <w:szCs w:val="21"/>
                      <w:lang w:val="en-US"/>
                    </w:rPr>
                    <w:t>淡黄色粘稠液体，溶于苯、乙醇、乙醚等有机溶剂</w:t>
                  </w:r>
                  <w:r>
                    <w:rPr>
                      <w:rFonts w:hint="eastAsia" w:ascii="Times New Roman" w:hAnsi="Times New Roman"/>
                      <w:color w:val="auto"/>
                      <w:szCs w:val="21"/>
                      <w:lang w:val="en-US" w:eastAsia="zh-CN"/>
                    </w:rPr>
                    <w:t>。</w:t>
                  </w:r>
                </w:p>
              </w:tc>
            </w:tr>
          </w:tbl>
          <w:p w14:paraId="73E7A863">
            <w:pPr>
              <w:pStyle w:val="7"/>
              <w:rPr>
                <w:highlight w:val="none"/>
              </w:rPr>
            </w:pPr>
          </w:p>
          <w:p w14:paraId="270FAA96">
            <w:pPr>
              <w:numPr>
                <w:ilvl w:val="0"/>
                <w:numId w:val="5"/>
              </w:numPr>
              <w:adjustRightInd w:val="0"/>
              <w:snapToGrid w:val="0"/>
              <w:spacing w:line="360" w:lineRule="auto"/>
              <w:jc w:val="left"/>
              <w:rPr>
                <w:b/>
                <w:color w:val="auto"/>
                <w:sz w:val="24"/>
                <w:highlight w:val="none"/>
              </w:rPr>
            </w:pPr>
            <w:r>
              <w:rPr>
                <w:rFonts w:hint="eastAsia"/>
                <w:b/>
                <w:color w:val="auto"/>
                <w:sz w:val="24"/>
                <w:highlight w:val="none"/>
                <w:lang w:eastAsia="zh-CN"/>
              </w:rPr>
              <w:t>公用</w:t>
            </w:r>
            <w:r>
              <w:rPr>
                <w:b/>
                <w:color w:val="auto"/>
                <w:sz w:val="24"/>
                <w:highlight w:val="none"/>
              </w:rPr>
              <w:t>工程</w:t>
            </w:r>
          </w:p>
          <w:p w14:paraId="18A09604">
            <w:pPr>
              <w:numPr>
                <w:ilvl w:val="0"/>
                <w:numId w:val="0"/>
              </w:numPr>
              <w:adjustRightInd w:val="0"/>
              <w:snapToGrid w:val="0"/>
              <w:spacing w:line="360" w:lineRule="auto"/>
              <w:ind w:firstLine="482" w:firstLineChars="200"/>
              <w:jc w:val="left"/>
              <w:rPr>
                <w:rFonts w:hint="eastAsia"/>
                <w:bCs/>
                <w:color w:val="auto"/>
                <w:sz w:val="24"/>
                <w:szCs w:val="24"/>
                <w:highlight w:val="none"/>
                <w:lang w:val="en-US" w:eastAsia="zh-CN"/>
              </w:rPr>
            </w:pPr>
            <w:r>
              <w:rPr>
                <w:rFonts w:hint="eastAsia" w:ascii="Times New Roman" w:hAnsi="Times New Roman" w:eastAsia="宋体" w:cs="Times New Roman"/>
                <w:b/>
                <w:color w:val="auto"/>
                <w:sz w:val="24"/>
                <w:szCs w:val="22"/>
                <w:highlight w:val="none"/>
                <w:lang w:val="en-US" w:eastAsia="zh-CN"/>
              </w:rPr>
              <w:t>1、给排水</w:t>
            </w:r>
          </w:p>
          <w:p w14:paraId="17983343">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（1）给水</w:t>
            </w:r>
          </w:p>
          <w:p w14:paraId="01935738">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eastAsia="宋体" w:cs="Times New Roman"/>
                <w:bCs/>
                <w:caps w:val="0"/>
                <w:color w:val="auto"/>
                <w:sz w:val="24"/>
                <w:szCs w:val="24"/>
                <w:highlight w:val="none"/>
                <w:lang w:val="en-US" w:eastAsia="zh-CN"/>
              </w:rPr>
            </w:pPr>
            <w:r>
              <w:rPr>
                <w:rFonts w:hint="default" w:ascii="Times New Roman" w:hAnsi="Times New Roman" w:eastAsia="宋体" w:cs="Times New Roman"/>
                <w:bCs/>
                <w:color w:val="auto"/>
                <w:sz w:val="24"/>
                <w:szCs w:val="24"/>
                <w:highlight w:val="none"/>
              </w:rPr>
              <w:t>本项目</w:t>
            </w:r>
            <w:r>
              <w:rPr>
                <w:rFonts w:hint="default" w:ascii="Times New Roman" w:hAnsi="Times New Roman" w:cs="Times New Roman"/>
                <w:bCs/>
                <w:color w:val="auto"/>
                <w:sz w:val="24"/>
                <w:szCs w:val="24"/>
                <w:highlight w:val="none"/>
                <w:lang w:eastAsia="zh-CN"/>
              </w:rPr>
              <w:t>依托租赁厂房</w:t>
            </w:r>
            <w:r>
              <w:rPr>
                <w:rFonts w:hint="default" w:ascii="Times New Roman" w:hAnsi="Times New Roman" w:cs="Times New Roman"/>
                <w:bCs/>
                <w:color w:val="auto"/>
                <w:sz w:val="24"/>
                <w:szCs w:val="24"/>
                <w:highlight w:val="none"/>
                <w:lang w:val="en-US" w:eastAsia="zh-CN"/>
              </w:rPr>
              <w:t>供水</w:t>
            </w:r>
            <w:r>
              <w:rPr>
                <w:rFonts w:hint="default" w:ascii="Times New Roman" w:hAnsi="Times New Roman" w:eastAsia="宋体" w:cs="Times New Roman"/>
                <w:bCs/>
                <w:caps w:val="0"/>
                <w:color w:val="auto"/>
                <w:sz w:val="24"/>
                <w:szCs w:val="24"/>
                <w:highlight w:val="none"/>
              </w:rPr>
              <w:t>，总用水量约</w:t>
            </w:r>
            <w:r>
              <w:rPr>
                <w:rFonts w:hint="default" w:ascii="Times New Roman" w:hAnsi="Times New Roman" w:cs="Times New Roman"/>
                <w:bCs/>
                <w:caps w:val="0"/>
                <w:color w:val="auto"/>
                <w:sz w:val="24"/>
                <w:szCs w:val="24"/>
                <w:highlight w:val="none"/>
                <w:lang w:val="en-US" w:eastAsia="zh-CN"/>
              </w:rPr>
              <w:t>1.</w:t>
            </w:r>
            <w:r>
              <w:rPr>
                <w:rFonts w:hint="eastAsia" w:cs="Times New Roman"/>
                <w:bCs/>
                <w:caps w:val="0"/>
                <w:color w:val="auto"/>
                <w:sz w:val="24"/>
                <w:szCs w:val="24"/>
                <w:highlight w:val="none"/>
                <w:lang w:val="en-US" w:eastAsia="zh-CN"/>
              </w:rPr>
              <w:t>136</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/d</w:t>
            </w:r>
            <w:r>
              <w:rPr>
                <w:rFonts w:hint="default" w:ascii="Times New Roman" w:hAnsi="Times New Roman" w:eastAsia="宋体" w:cs="Times New Roman"/>
                <w:bCs/>
                <w:caps w:val="0"/>
                <w:color w:val="auto"/>
                <w:sz w:val="24"/>
                <w:szCs w:val="24"/>
                <w:highlight w:val="none"/>
                <w:lang w:eastAsia="zh-CN"/>
              </w:rPr>
              <w:t>（</w:t>
            </w:r>
            <w:r>
              <w:rPr>
                <w:rFonts w:hint="eastAsia" w:cs="Times New Roman"/>
                <w:bCs/>
                <w:caps w:val="0"/>
                <w:color w:val="auto"/>
                <w:sz w:val="24"/>
                <w:szCs w:val="24"/>
                <w:highlight w:val="none"/>
                <w:lang w:val="en-US" w:eastAsia="zh-CN"/>
              </w:rPr>
              <w:t>170.4</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/a</w:t>
            </w:r>
            <w:r>
              <w:rPr>
                <w:rFonts w:hint="default" w:ascii="Times New Roman" w:hAnsi="Times New Roman" w:eastAsia="宋体" w:cs="Times New Roman"/>
                <w:bCs/>
                <w:caps w:val="0"/>
                <w:color w:val="auto"/>
                <w:sz w:val="24"/>
                <w:szCs w:val="24"/>
                <w:highlight w:val="none"/>
                <w:lang w:eastAsia="zh-CN"/>
              </w:rPr>
              <w:t>）</w:t>
            </w:r>
            <w:r>
              <w:rPr>
                <w:rFonts w:hint="default" w:ascii="Times New Roman" w:hAnsi="Times New Roman" w:eastAsia="宋体" w:cs="Times New Roman"/>
                <w:bCs/>
                <w:caps w:val="0"/>
                <w:color w:val="auto"/>
                <w:sz w:val="24"/>
                <w:szCs w:val="24"/>
                <w:highlight w:val="none"/>
              </w:rPr>
              <w:t>。主要</w:t>
            </w:r>
            <w:r>
              <w:rPr>
                <w:rFonts w:hint="default" w:ascii="Times New Roman" w:hAnsi="Times New Roman" w:eastAsia="宋体" w:cs="Times New Roman"/>
                <w:bCs/>
                <w:caps w:val="0"/>
                <w:color w:val="auto"/>
                <w:sz w:val="24"/>
                <w:szCs w:val="24"/>
                <w:highlight w:val="none"/>
                <w:lang w:val="en-US" w:eastAsia="zh-CN"/>
              </w:rPr>
              <w:t>为</w:t>
            </w:r>
            <w:r>
              <w:rPr>
                <w:rFonts w:hint="default" w:ascii="Times New Roman" w:hAnsi="Times New Roman" w:eastAsia="宋体" w:cs="Times New Roman"/>
                <w:bCs/>
                <w:caps w:val="0"/>
                <w:color w:val="auto"/>
                <w:sz w:val="24"/>
                <w:szCs w:val="24"/>
                <w:highlight w:val="none"/>
              </w:rPr>
              <w:t>生活用水</w:t>
            </w:r>
            <w:r>
              <w:rPr>
                <w:rFonts w:hint="default" w:ascii="Times New Roman" w:hAnsi="Times New Roman" w:eastAsia="宋体" w:cs="Times New Roman"/>
                <w:bCs/>
                <w:caps w:val="0"/>
                <w:color w:val="auto"/>
                <w:sz w:val="24"/>
                <w:szCs w:val="24"/>
                <w:highlight w:val="none"/>
                <w:lang w:val="en-US" w:eastAsia="zh-CN"/>
              </w:rPr>
              <w:t>和</w:t>
            </w:r>
            <w:r>
              <w:rPr>
                <w:rFonts w:hint="default" w:ascii="Times New Roman" w:hAnsi="Times New Roman" w:cs="Times New Roman"/>
                <w:bCs/>
                <w:caps w:val="0"/>
                <w:color w:val="auto"/>
                <w:sz w:val="24"/>
                <w:szCs w:val="24"/>
                <w:highlight w:val="none"/>
                <w:lang w:val="en-US" w:eastAsia="zh-CN"/>
              </w:rPr>
              <w:t>循环设备</w:t>
            </w:r>
            <w:r>
              <w:rPr>
                <w:rFonts w:hint="default" w:ascii="Times New Roman" w:hAnsi="Times New Roman" w:eastAsia="宋体" w:cs="Times New Roman"/>
                <w:bCs/>
                <w:caps w:val="0"/>
                <w:color w:val="auto"/>
                <w:sz w:val="24"/>
                <w:szCs w:val="24"/>
                <w:highlight w:val="none"/>
                <w:lang w:val="en-US" w:eastAsia="zh-CN"/>
              </w:rPr>
              <w:t>冷却用水；</w:t>
            </w:r>
          </w:p>
          <w:p w14:paraId="2A513EA3">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eastAsia="宋体" w:cs="Times New Roman"/>
                <w:bCs/>
                <w:caps w:val="0"/>
                <w:color w:val="auto"/>
                <w:sz w:val="24"/>
                <w:szCs w:val="24"/>
                <w:highlight w:val="none"/>
                <w:lang w:val="en-US" w:eastAsia="zh-CN"/>
              </w:rPr>
            </w:pPr>
            <w:r>
              <w:rPr>
                <w:rFonts w:hint="default" w:ascii="Times New Roman" w:hAnsi="Times New Roman" w:eastAsia="宋体" w:cs="Times New Roman"/>
                <w:color w:val="auto"/>
                <w:sz w:val="24"/>
                <w:szCs w:val="24"/>
                <w:highlight w:val="none"/>
                <w:lang w:val="zh-CN"/>
              </w:rPr>
              <w:t>①</w:t>
            </w:r>
            <w:r>
              <w:rPr>
                <w:rFonts w:hint="default" w:ascii="Times New Roman" w:hAnsi="Times New Roman" w:eastAsia="宋体" w:cs="Times New Roman"/>
                <w:bCs/>
                <w:caps w:val="0"/>
                <w:color w:val="auto"/>
                <w:sz w:val="24"/>
                <w:szCs w:val="24"/>
                <w:highlight w:val="none"/>
                <w:lang w:val="en-US" w:eastAsia="zh-CN"/>
              </w:rPr>
              <w:t>生活用水</w:t>
            </w:r>
          </w:p>
          <w:p w14:paraId="1B66FB9A">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eastAsia="宋体" w:cs="Times New Roman"/>
                <w:bCs/>
                <w:caps w:val="0"/>
                <w:color w:val="auto"/>
                <w:sz w:val="24"/>
                <w:szCs w:val="24"/>
                <w:highlight w:val="none"/>
                <w:lang w:eastAsia="zh-CN"/>
              </w:rPr>
            </w:pPr>
            <w:r>
              <w:rPr>
                <w:rFonts w:hint="default" w:ascii="Times New Roman" w:hAnsi="Times New Roman" w:eastAsia="宋体" w:cs="Times New Roman"/>
                <w:bCs/>
                <w:caps w:val="0"/>
                <w:color w:val="auto"/>
                <w:sz w:val="24"/>
                <w:szCs w:val="24"/>
                <w:highlight w:val="none"/>
              </w:rPr>
              <w:t>参考</w:t>
            </w:r>
            <w:r>
              <w:rPr>
                <w:rFonts w:ascii="Times New Roman" w:hAnsi="Times New Roman"/>
                <w:color w:val="auto"/>
                <w:sz w:val="24"/>
                <w:szCs w:val="24"/>
              </w:rPr>
              <w:t>《陕西省行业用水定额》（DB 61/T943-20</w:t>
            </w:r>
            <w:r>
              <w:rPr>
                <w:rFonts w:hint="eastAsia" w:ascii="Times New Roman" w:hAnsi="Times New Roman"/>
                <w:color w:val="auto"/>
                <w:sz w:val="24"/>
                <w:szCs w:val="24"/>
              </w:rPr>
              <w:t>20</w:t>
            </w:r>
            <w:r>
              <w:rPr>
                <w:rFonts w:ascii="Times New Roman" w:hAnsi="Times New Roman"/>
                <w:color w:val="auto"/>
                <w:sz w:val="24"/>
                <w:szCs w:val="24"/>
              </w:rPr>
              <w:t>）</w:t>
            </w:r>
            <w:r>
              <w:rPr>
                <w:rFonts w:hint="eastAsia" w:ascii="Times New Roman" w:hAnsi="Times New Roman"/>
                <w:color w:val="auto"/>
                <w:sz w:val="24"/>
                <w:szCs w:val="24"/>
              </w:rPr>
              <w:t>（修订稿）</w:t>
            </w:r>
            <w:r>
              <w:rPr>
                <w:rFonts w:ascii="Times New Roman" w:hAnsi="Times New Roman"/>
                <w:color w:val="auto"/>
                <w:sz w:val="24"/>
                <w:szCs w:val="24"/>
              </w:rPr>
              <w:t>》，</w:t>
            </w:r>
            <w:r>
              <w:rPr>
                <w:rFonts w:hint="eastAsia" w:ascii="Times New Roman" w:hAnsi="Times New Roman"/>
                <w:color w:val="auto"/>
                <w:sz w:val="24"/>
                <w:szCs w:val="24"/>
                <w:lang w:val="en-US" w:eastAsia="zh-CN"/>
              </w:rPr>
              <w:t>关中农村生活用水量为</w:t>
            </w:r>
            <w:r>
              <w:rPr>
                <w:rFonts w:hint="default" w:ascii="Times New Roman" w:hAnsi="Times New Roman" w:cs="Times New Roman"/>
                <w:color w:val="auto"/>
                <w:sz w:val="24"/>
                <w:szCs w:val="24"/>
                <w:lang w:val="en-US" w:eastAsia="zh-CN"/>
              </w:rPr>
              <w:t>70L/（人·d），厂区不提供餐饮，故</w:t>
            </w:r>
            <w:r>
              <w:rPr>
                <w:rFonts w:hint="default" w:ascii="Times New Roman" w:hAnsi="Times New Roman" w:cs="Times New Roman"/>
                <w:color w:val="auto"/>
                <w:sz w:val="24"/>
                <w:szCs w:val="24"/>
              </w:rPr>
              <w:t>生活用水量取</w:t>
            </w:r>
            <w:r>
              <w:rPr>
                <w:rFonts w:hint="default" w:ascii="Times New Roman" w:hAnsi="Times New Roman" w:cs="Times New Roman"/>
                <w:color w:val="auto"/>
                <w:sz w:val="24"/>
                <w:szCs w:val="24"/>
                <w:lang w:val="en-US" w:eastAsia="zh-CN"/>
              </w:rPr>
              <w:t>60%，即42</w:t>
            </w:r>
            <w:r>
              <w:rPr>
                <w:rFonts w:hint="default" w:ascii="Times New Roman" w:hAnsi="Times New Roman" w:cs="Times New Roman"/>
                <w:color w:val="auto"/>
                <w:sz w:val="24"/>
                <w:szCs w:val="24"/>
              </w:rPr>
              <w:t>L/人·d，则生活用水量为</w:t>
            </w:r>
            <w:r>
              <w:rPr>
                <w:rFonts w:hint="eastAsia" w:ascii="Times New Roman" w:hAnsi="Times New Roman" w:cs="Times New Roman"/>
                <w:color w:val="auto"/>
                <w:sz w:val="24"/>
                <w:szCs w:val="24"/>
                <w:lang w:val="en-US" w:eastAsia="zh-CN"/>
              </w:rPr>
              <w:t>0.336</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/d，合</w:t>
            </w:r>
            <w:r>
              <w:rPr>
                <w:rFonts w:hint="eastAsia" w:ascii="Times New Roman" w:hAnsi="Times New Roman" w:cs="Times New Roman"/>
                <w:color w:val="auto"/>
                <w:sz w:val="24"/>
                <w:szCs w:val="24"/>
                <w:lang w:val="en-US" w:eastAsia="zh-CN"/>
              </w:rPr>
              <w:t>50.4</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3</w:t>
            </w:r>
            <w:r>
              <w:rPr>
                <w:rFonts w:hint="default" w:ascii="Times New Roman" w:hAnsi="Times New Roman" w:cs="Times New Roman"/>
                <w:color w:val="auto"/>
                <w:sz w:val="24"/>
                <w:szCs w:val="24"/>
              </w:rPr>
              <w:t>/a</w:t>
            </w:r>
            <w:r>
              <w:rPr>
                <w:rFonts w:hint="default" w:ascii="Times New Roman" w:hAnsi="Times New Roman" w:cs="Times New Roman"/>
                <w:color w:val="auto"/>
                <w:sz w:val="24"/>
                <w:szCs w:val="24"/>
                <w:lang w:eastAsia="zh-CN"/>
              </w:rPr>
              <w:t>。</w:t>
            </w:r>
          </w:p>
          <w:p w14:paraId="7830FCDA">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cs="Times New Roman"/>
                <w:color w:val="auto"/>
                <w:sz w:val="24"/>
                <w:szCs w:val="24"/>
                <w:highlight w:val="none"/>
              </w:rPr>
            </w:pPr>
            <w:r>
              <w:rPr>
                <w:rFonts w:hint="default" w:ascii="Times New Roman" w:hAnsi="Times New Roman" w:eastAsia="宋体" w:cs="Times New Roman"/>
                <w:bCs/>
                <w:caps w:val="0"/>
                <w:color w:val="auto"/>
                <w:sz w:val="24"/>
                <w:szCs w:val="24"/>
                <w:highlight w:val="none"/>
                <w:lang w:val="zh-CN" w:eastAsia="zh-CN"/>
              </w:rPr>
              <w:t>②冷却循环补充水</w:t>
            </w:r>
          </w:p>
          <w:p w14:paraId="2029DA0A">
            <w:pPr>
              <w:pStyle w:val="12"/>
              <w:tabs>
                <w:tab w:val="left" w:pos="6855"/>
              </w:tabs>
              <w:spacing w:line="360" w:lineRule="auto"/>
              <w:ind w:left="0" w:leftChars="0" w:firstLine="420" w:firstLineChars="175"/>
              <w:rPr>
                <w:rFonts w:hint="default" w:ascii="Times New Roman" w:hAnsi="Times New Roman" w:eastAsia="宋体" w:cs="Times New Roman"/>
                <w:bCs/>
                <w:caps w:val="0"/>
                <w:color w:val="auto"/>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bidi="ar-SA"/>
              </w:rPr>
              <w:t>项目注塑过程中冷却塔冷却循环水约为5m</w:t>
            </w:r>
            <w:r>
              <w:rPr>
                <w:rFonts w:hint="default" w:ascii="Times New Roman" w:hAnsi="Times New Roman" w:eastAsia="宋体" w:cs="Times New Roman"/>
                <w:color w:val="000000"/>
                <w:kern w:val="0"/>
                <w:sz w:val="24"/>
                <w:szCs w:val="24"/>
                <w:highlight w:val="none"/>
                <w:vertAlign w:val="superscript"/>
                <w:lang w:val="en-US" w:eastAsia="zh-CN" w:bidi="ar-SA"/>
              </w:rPr>
              <w:t>3</w:t>
            </w:r>
            <w:r>
              <w:rPr>
                <w:rFonts w:hint="default" w:ascii="Times New Roman" w:hAnsi="Times New Roman" w:eastAsia="宋体" w:cs="Times New Roman"/>
                <w:color w:val="000000"/>
                <w:kern w:val="0"/>
                <w:sz w:val="24"/>
                <w:szCs w:val="24"/>
                <w:highlight w:val="none"/>
                <w:lang w:val="en-US" w:eastAsia="zh-CN" w:bidi="ar-SA"/>
              </w:rPr>
              <w:t>/h，</w:t>
            </w:r>
            <w:r>
              <w:rPr>
                <w:rFonts w:hint="default" w:ascii="Times New Roman" w:hAnsi="Times New Roman" w:cs="Times New Roman"/>
                <w:color w:val="auto"/>
                <w:sz w:val="24"/>
                <w:szCs w:val="24"/>
                <w:highlight w:val="none"/>
              </w:rPr>
              <w:t>每天工作</w:t>
            </w:r>
            <w:r>
              <w:rPr>
                <w:rFonts w:hint="eastAsia" w:cs="Times New Roman"/>
                <w:color w:val="auto"/>
                <w:sz w:val="24"/>
                <w:szCs w:val="24"/>
                <w:highlight w:val="none"/>
                <w:lang w:val="en-US" w:eastAsia="zh-CN"/>
              </w:rPr>
              <w:t>16</w:t>
            </w:r>
            <w:r>
              <w:rPr>
                <w:rFonts w:hint="default" w:ascii="Times New Roman" w:hAnsi="Times New Roman" w:cs="Times New Roman"/>
                <w:color w:val="auto"/>
                <w:sz w:val="24"/>
                <w:szCs w:val="24"/>
                <w:highlight w:val="none"/>
              </w:rPr>
              <w:t>小时，则每天循环水量为</w:t>
            </w:r>
            <w:r>
              <w:rPr>
                <w:rFonts w:hint="eastAsia" w:cs="Times New Roman"/>
                <w:color w:val="auto"/>
                <w:sz w:val="24"/>
                <w:szCs w:val="24"/>
                <w:highlight w:val="none"/>
                <w:lang w:val="en-US" w:eastAsia="zh-CN"/>
              </w:rPr>
              <w:t>80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w:t>
            </w:r>
            <w:r>
              <w:rPr>
                <w:rFonts w:hint="default" w:ascii="Times New Roman" w:hAnsi="Times New Roman" w:eastAsia="宋体" w:cs="Times New Roman"/>
                <w:color w:val="000000"/>
                <w:kern w:val="0"/>
                <w:sz w:val="24"/>
                <w:szCs w:val="24"/>
                <w:highlight w:val="none"/>
                <w:lang w:val="en-US" w:eastAsia="zh-CN" w:bidi="ar-SA"/>
              </w:rPr>
              <w:t>根据《工业循环冷却水处理技术规范》的说明，冷却设备的补充水量可按冷却水循环水量的1%确定，则单体新鲜水补充水量约为</w:t>
            </w:r>
            <w:r>
              <w:rPr>
                <w:rFonts w:hint="eastAsia" w:cs="Times New Roman"/>
                <w:color w:val="000000"/>
                <w:kern w:val="0"/>
                <w:sz w:val="24"/>
                <w:szCs w:val="24"/>
                <w:highlight w:val="none"/>
                <w:lang w:val="en-US" w:eastAsia="zh-CN" w:bidi="ar-SA"/>
              </w:rPr>
              <w:t>0.8</w:t>
            </w:r>
            <w:r>
              <w:rPr>
                <w:rFonts w:hint="default" w:ascii="Times New Roman" w:hAnsi="Times New Roman" w:eastAsia="宋体" w:cs="Times New Roman"/>
                <w:color w:val="000000"/>
                <w:kern w:val="0"/>
                <w:sz w:val="24"/>
                <w:szCs w:val="24"/>
                <w:highlight w:val="none"/>
                <w:lang w:val="en-US" w:eastAsia="zh-CN" w:bidi="ar-SA"/>
              </w:rPr>
              <w:t>m</w:t>
            </w:r>
            <w:r>
              <w:rPr>
                <w:rFonts w:hint="default" w:ascii="Times New Roman" w:hAnsi="Times New Roman" w:eastAsia="宋体" w:cs="Times New Roman"/>
                <w:color w:val="000000"/>
                <w:kern w:val="0"/>
                <w:sz w:val="24"/>
                <w:szCs w:val="24"/>
                <w:highlight w:val="none"/>
                <w:vertAlign w:val="superscript"/>
                <w:lang w:val="en-US" w:eastAsia="zh-CN" w:bidi="ar-SA"/>
              </w:rPr>
              <w:t>3</w:t>
            </w:r>
            <w:r>
              <w:rPr>
                <w:rFonts w:hint="default" w:ascii="Times New Roman" w:hAnsi="Times New Roman" w:eastAsia="宋体" w:cs="Times New Roman"/>
                <w:color w:val="000000"/>
                <w:kern w:val="0"/>
                <w:sz w:val="24"/>
                <w:szCs w:val="24"/>
                <w:highlight w:val="none"/>
                <w:lang w:val="en-US" w:eastAsia="zh-CN" w:bidi="ar-SA"/>
              </w:rPr>
              <w:t>/d，1</w:t>
            </w:r>
            <w:r>
              <w:rPr>
                <w:rFonts w:hint="eastAsia" w:cs="Times New Roman"/>
                <w:color w:val="000000"/>
                <w:kern w:val="0"/>
                <w:sz w:val="24"/>
                <w:szCs w:val="24"/>
                <w:highlight w:val="none"/>
                <w:lang w:val="en-US" w:eastAsia="zh-CN" w:bidi="ar-SA"/>
              </w:rPr>
              <w:t>2</w:t>
            </w:r>
            <w:r>
              <w:rPr>
                <w:rFonts w:hint="default" w:ascii="Times New Roman" w:hAnsi="Times New Roman" w:eastAsia="宋体" w:cs="Times New Roman"/>
                <w:color w:val="000000"/>
                <w:kern w:val="0"/>
                <w:sz w:val="24"/>
                <w:szCs w:val="24"/>
                <w:highlight w:val="none"/>
                <w:lang w:val="en-US" w:eastAsia="zh-CN" w:bidi="ar-SA"/>
              </w:rPr>
              <w:t>0m</w:t>
            </w:r>
            <w:r>
              <w:rPr>
                <w:rFonts w:hint="default" w:ascii="Times New Roman" w:hAnsi="Times New Roman" w:eastAsia="宋体" w:cs="Times New Roman"/>
                <w:color w:val="000000"/>
                <w:kern w:val="0"/>
                <w:sz w:val="24"/>
                <w:szCs w:val="24"/>
                <w:highlight w:val="none"/>
                <w:vertAlign w:val="superscript"/>
                <w:lang w:val="en-US" w:eastAsia="zh-CN" w:bidi="ar-SA"/>
              </w:rPr>
              <w:t>3</w:t>
            </w:r>
            <w:r>
              <w:rPr>
                <w:rFonts w:hint="default" w:ascii="Times New Roman" w:hAnsi="Times New Roman" w:eastAsia="宋体" w:cs="Times New Roman"/>
                <w:color w:val="000000"/>
                <w:kern w:val="0"/>
                <w:sz w:val="24"/>
                <w:szCs w:val="24"/>
                <w:highlight w:val="none"/>
                <w:lang w:val="en-US" w:eastAsia="zh-CN" w:bidi="ar-SA"/>
              </w:rPr>
              <w:t>/a。</w:t>
            </w:r>
          </w:p>
          <w:p w14:paraId="6B0B34A0">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（2）排水</w:t>
            </w:r>
          </w:p>
          <w:p w14:paraId="116861EF">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default" w:ascii="Times New Roman" w:hAnsi="Times New Roman" w:eastAsia="宋体" w:cs="Times New Roman"/>
                <w:bCs/>
                <w:caps w:val="0"/>
                <w:color w:val="auto"/>
                <w:sz w:val="24"/>
                <w:szCs w:val="24"/>
                <w:highlight w:val="none"/>
                <w:lang w:val="en-US" w:eastAsia="zh-CN"/>
              </w:rPr>
            </w:pPr>
            <w:r>
              <w:rPr>
                <w:rFonts w:hint="default" w:ascii="Times New Roman" w:hAnsi="Times New Roman" w:eastAsia="宋体" w:cs="Times New Roman"/>
                <w:bCs/>
                <w:caps w:val="0"/>
                <w:color w:val="auto"/>
                <w:sz w:val="24"/>
                <w:szCs w:val="24"/>
                <w:highlight w:val="none"/>
                <w:lang w:val="en-US" w:eastAsia="zh-CN"/>
              </w:rPr>
              <w:t>项目设备冷却水循环使用，不外排；</w:t>
            </w:r>
            <w:r>
              <w:rPr>
                <w:rFonts w:hint="default" w:ascii="Times New Roman" w:hAnsi="Times New Roman" w:eastAsia="宋体" w:cs="Times New Roman"/>
                <w:bCs/>
                <w:caps w:val="0"/>
                <w:color w:val="auto"/>
                <w:sz w:val="24"/>
                <w:szCs w:val="24"/>
                <w:highlight w:val="none"/>
              </w:rPr>
              <w:t>生活污水量以用水量的80%计，则生活污水排放量为</w:t>
            </w:r>
            <w:r>
              <w:rPr>
                <w:rFonts w:hint="eastAsia" w:cs="Times New Roman"/>
                <w:bCs/>
                <w:caps w:val="0"/>
                <w:color w:val="auto"/>
                <w:sz w:val="24"/>
                <w:szCs w:val="24"/>
                <w:highlight w:val="none"/>
                <w:lang w:val="en-US" w:eastAsia="zh-CN"/>
              </w:rPr>
              <w:t>1.008</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/d</w:t>
            </w:r>
            <w:r>
              <w:rPr>
                <w:rFonts w:hint="default" w:ascii="Times New Roman" w:hAnsi="Times New Roman" w:eastAsia="宋体" w:cs="Times New Roman"/>
                <w:bCs/>
                <w:caps w:val="0"/>
                <w:color w:val="auto"/>
                <w:sz w:val="24"/>
                <w:szCs w:val="24"/>
                <w:highlight w:val="none"/>
                <w:lang w:eastAsia="zh-CN"/>
              </w:rPr>
              <w:t>（</w:t>
            </w:r>
            <w:r>
              <w:rPr>
                <w:rFonts w:hint="eastAsia" w:cs="Times New Roman"/>
                <w:bCs/>
                <w:caps w:val="0"/>
                <w:color w:val="auto"/>
                <w:sz w:val="24"/>
                <w:szCs w:val="24"/>
                <w:highlight w:val="none"/>
                <w:lang w:val="en-US" w:eastAsia="zh-CN"/>
              </w:rPr>
              <w:t>151.2</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/a</w:t>
            </w:r>
            <w:r>
              <w:rPr>
                <w:rFonts w:hint="default" w:ascii="Times New Roman" w:hAnsi="Times New Roman" w:eastAsia="宋体" w:cs="Times New Roman"/>
                <w:bCs/>
                <w:caps w:val="0"/>
                <w:color w:val="auto"/>
                <w:sz w:val="24"/>
                <w:szCs w:val="24"/>
                <w:highlight w:val="none"/>
                <w:lang w:eastAsia="zh-CN"/>
              </w:rPr>
              <w:t>），</w:t>
            </w:r>
            <w:r>
              <w:rPr>
                <w:rFonts w:hint="default" w:ascii="Times New Roman" w:hAnsi="Times New Roman" w:eastAsia="宋体" w:cs="Times New Roman"/>
                <w:bCs/>
                <w:caps w:val="0"/>
                <w:color w:val="auto"/>
                <w:sz w:val="24"/>
                <w:szCs w:val="24"/>
                <w:highlight w:val="none"/>
                <w:lang w:val="en-US" w:eastAsia="zh-CN"/>
              </w:rPr>
              <w:t>排入化粪池预处理后，定期清掏，</w:t>
            </w:r>
            <w:r>
              <w:rPr>
                <w:rFonts w:hint="default" w:ascii="Times New Roman" w:hAnsi="Times New Roman" w:cs="Times New Roman"/>
                <w:bCs/>
                <w:caps w:val="0"/>
                <w:color w:val="auto"/>
                <w:sz w:val="24"/>
                <w:szCs w:val="24"/>
                <w:highlight w:val="none"/>
                <w:lang w:val="en-US" w:eastAsia="zh-CN"/>
              </w:rPr>
              <w:t>后用于农田施肥</w:t>
            </w:r>
            <w:r>
              <w:rPr>
                <w:rFonts w:hint="default" w:ascii="Times New Roman" w:hAnsi="Times New Roman" w:eastAsia="宋体" w:cs="Times New Roman"/>
                <w:bCs/>
                <w:caps w:val="0"/>
                <w:color w:val="auto"/>
                <w:sz w:val="24"/>
                <w:szCs w:val="24"/>
                <w:highlight w:val="none"/>
                <w:lang w:val="en-US" w:eastAsia="zh-CN"/>
              </w:rPr>
              <w:t>。</w:t>
            </w:r>
          </w:p>
          <w:p w14:paraId="49CFF29C">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default" w:ascii="Times New Roman" w:hAnsi="Times New Roman" w:cs="Times New Roman"/>
                <w:sz w:val="24"/>
                <w:szCs w:val="24"/>
                <w:highlight w:val="none"/>
              </w:rPr>
            </w:pPr>
            <w:r>
              <w:rPr>
                <w:rFonts w:hint="default" w:ascii="Times New Roman" w:hAnsi="Times New Roman" w:eastAsia="宋体" w:cs="Times New Roman"/>
                <w:bCs/>
                <w:caps w:val="0"/>
                <w:color w:val="auto"/>
                <w:sz w:val="24"/>
                <w:szCs w:val="24"/>
                <w:highlight w:val="none"/>
              </w:rPr>
              <w:t>根据计算本项目给排水平衡表见表</w:t>
            </w:r>
            <w:r>
              <w:rPr>
                <w:rFonts w:hint="default" w:ascii="Times New Roman" w:hAnsi="Times New Roman" w:eastAsia="宋体" w:cs="Times New Roman"/>
                <w:bCs/>
                <w:caps w:val="0"/>
                <w:color w:val="auto"/>
                <w:sz w:val="24"/>
                <w:szCs w:val="24"/>
                <w:highlight w:val="none"/>
                <w:lang w:val="en-US" w:eastAsia="zh-CN"/>
              </w:rPr>
              <w:t>2-</w:t>
            </w:r>
            <w:r>
              <w:rPr>
                <w:rFonts w:hint="default" w:ascii="Times New Roman" w:hAnsi="Times New Roman" w:cs="Times New Roman"/>
                <w:bCs/>
                <w:caps w:val="0"/>
                <w:color w:val="auto"/>
                <w:sz w:val="24"/>
                <w:szCs w:val="24"/>
                <w:highlight w:val="none"/>
                <w:lang w:val="en-US" w:eastAsia="zh-CN"/>
              </w:rPr>
              <w:t>6</w:t>
            </w:r>
            <w:r>
              <w:rPr>
                <w:rFonts w:hint="default" w:ascii="Times New Roman" w:hAnsi="Times New Roman" w:eastAsia="宋体" w:cs="Times New Roman"/>
                <w:bCs/>
                <w:caps w:val="0"/>
                <w:color w:val="auto"/>
                <w:sz w:val="24"/>
                <w:szCs w:val="24"/>
                <w:highlight w:val="none"/>
              </w:rPr>
              <w:t>，项目水平衡图见图</w:t>
            </w:r>
            <w:r>
              <w:rPr>
                <w:rFonts w:hint="default" w:ascii="Times New Roman" w:hAnsi="Times New Roman" w:cs="Times New Roman"/>
                <w:bCs/>
                <w:caps w:val="0"/>
                <w:color w:val="auto"/>
                <w:sz w:val="24"/>
                <w:szCs w:val="24"/>
                <w:highlight w:val="none"/>
                <w:lang w:val="en-US" w:eastAsia="zh-CN"/>
              </w:rPr>
              <w:t>2-</w:t>
            </w:r>
            <w:r>
              <w:rPr>
                <w:rFonts w:hint="default" w:ascii="Times New Roman" w:hAnsi="Times New Roman" w:eastAsia="宋体" w:cs="Times New Roman"/>
                <w:bCs/>
                <w:caps w:val="0"/>
                <w:color w:val="auto"/>
                <w:sz w:val="24"/>
                <w:szCs w:val="24"/>
                <w:highlight w:val="none"/>
              </w:rPr>
              <w:t>1。</w:t>
            </w:r>
          </w:p>
          <w:p w14:paraId="72D5F91C">
            <w:pPr>
              <w:pStyle w:val="46"/>
              <w:adjustRightInd w:val="0"/>
              <w:snapToGrid w:val="0"/>
              <w:jc w:val="center"/>
              <w:rPr>
                <w:rFonts w:hint="eastAsia" w:ascii="Times New Roman" w:hAnsi="Times New Roman" w:cs="Times New Roman" w:eastAsiaTheme="majorEastAsia"/>
                <w:b/>
                <w:bCs w:val="0"/>
                <w:color w:val="auto"/>
                <w:kern w:val="2"/>
                <w:sz w:val="21"/>
                <w:szCs w:val="21"/>
                <w:highlight w:val="none"/>
                <w:lang w:val="en-US" w:eastAsia="zh-CN" w:bidi="ar-SA"/>
              </w:rPr>
            </w:pPr>
            <w:r>
              <w:rPr>
                <w:rFonts w:hint="eastAsia" w:ascii="Times New Roman" w:hAnsi="Times New Roman" w:cs="Times New Roman" w:eastAsiaTheme="majorEastAsia"/>
                <w:b/>
                <w:bCs w:val="0"/>
                <w:color w:val="auto"/>
                <w:kern w:val="2"/>
                <w:sz w:val="21"/>
                <w:szCs w:val="21"/>
                <w:highlight w:val="none"/>
                <w:lang w:val="en-US" w:eastAsia="zh-CN" w:bidi="ar-SA"/>
              </w:rPr>
              <w:t>表2-6 项目给排水平衡表  单位：m</w:t>
            </w:r>
            <w:r>
              <w:rPr>
                <w:rFonts w:hint="eastAsia" w:ascii="Times New Roman" w:hAnsi="Times New Roman" w:cs="Times New Roman" w:eastAsiaTheme="majorEastAsia"/>
                <w:b/>
                <w:bCs w:val="0"/>
                <w:color w:val="auto"/>
                <w:kern w:val="2"/>
                <w:sz w:val="21"/>
                <w:szCs w:val="21"/>
                <w:highlight w:val="none"/>
                <w:vertAlign w:val="superscript"/>
                <w:lang w:val="en-US" w:eastAsia="zh-CN" w:bidi="ar-SA"/>
              </w:rPr>
              <w:t>3</w:t>
            </w:r>
            <w:r>
              <w:rPr>
                <w:rFonts w:hint="eastAsia" w:ascii="Times New Roman" w:hAnsi="Times New Roman" w:cs="Times New Roman" w:eastAsiaTheme="majorEastAsia"/>
                <w:b/>
                <w:bCs w:val="0"/>
                <w:color w:val="auto"/>
                <w:kern w:val="2"/>
                <w:sz w:val="21"/>
                <w:szCs w:val="21"/>
                <w:highlight w:val="none"/>
                <w:lang w:val="en-US" w:eastAsia="zh-CN" w:bidi="ar-SA"/>
              </w:rPr>
              <w:t>/d</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605"/>
              <w:gridCol w:w="1234"/>
              <w:gridCol w:w="891"/>
              <w:gridCol w:w="1113"/>
              <w:gridCol w:w="886"/>
              <w:gridCol w:w="999"/>
            </w:tblGrid>
            <w:tr w14:paraId="5C0B0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8" w:type="pct"/>
                  <w:vMerge w:val="restart"/>
                  <w:noWrap w:val="0"/>
                  <w:vAlign w:val="center"/>
                </w:tcPr>
                <w:p w14:paraId="641D9D7A">
                  <w:pPr>
                    <w:pStyle w:val="47"/>
                    <w:rPr>
                      <w:b/>
                      <w:bCs/>
                      <w:highlight w:val="none"/>
                    </w:rPr>
                  </w:pPr>
                  <w:r>
                    <w:rPr>
                      <w:b/>
                      <w:bCs/>
                      <w:highlight w:val="none"/>
                    </w:rPr>
                    <w:t>序号</w:t>
                  </w:r>
                </w:p>
              </w:tc>
              <w:tc>
                <w:tcPr>
                  <w:tcW w:w="1547" w:type="pct"/>
                  <w:vMerge w:val="restart"/>
                  <w:noWrap w:val="0"/>
                  <w:vAlign w:val="center"/>
                </w:tcPr>
                <w:p w14:paraId="6DFC01F6">
                  <w:pPr>
                    <w:pStyle w:val="47"/>
                    <w:rPr>
                      <w:b/>
                      <w:bCs/>
                      <w:highlight w:val="none"/>
                    </w:rPr>
                  </w:pPr>
                  <w:r>
                    <w:rPr>
                      <w:b/>
                      <w:bCs/>
                      <w:highlight w:val="none"/>
                    </w:rPr>
                    <w:t>名  称</w:t>
                  </w:r>
                </w:p>
              </w:tc>
              <w:tc>
                <w:tcPr>
                  <w:tcW w:w="733" w:type="pct"/>
                  <w:vMerge w:val="restart"/>
                  <w:noWrap w:val="0"/>
                  <w:vAlign w:val="center"/>
                </w:tcPr>
                <w:p w14:paraId="4BB4F0C4">
                  <w:pPr>
                    <w:pStyle w:val="47"/>
                    <w:rPr>
                      <w:b/>
                      <w:bCs/>
                      <w:highlight w:val="none"/>
                    </w:rPr>
                  </w:pPr>
                  <w:r>
                    <w:rPr>
                      <w:b/>
                      <w:bCs/>
                      <w:highlight w:val="none"/>
                    </w:rPr>
                    <w:t>用水标准</w:t>
                  </w:r>
                </w:p>
              </w:tc>
              <w:tc>
                <w:tcPr>
                  <w:tcW w:w="1190" w:type="pct"/>
                  <w:gridSpan w:val="2"/>
                  <w:noWrap w:val="0"/>
                  <w:vAlign w:val="center"/>
                </w:tcPr>
                <w:p w14:paraId="10E971F4">
                  <w:pPr>
                    <w:pStyle w:val="47"/>
                    <w:rPr>
                      <w:b/>
                      <w:bCs/>
                      <w:highlight w:val="none"/>
                    </w:rPr>
                  </w:pPr>
                  <w:r>
                    <w:rPr>
                      <w:b/>
                      <w:bCs/>
                      <w:highlight w:val="none"/>
                    </w:rPr>
                    <w:t>用水量</w:t>
                  </w:r>
                </w:p>
              </w:tc>
              <w:tc>
                <w:tcPr>
                  <w:tcW w:w="1119" w:type="pct"/>
                  <w:gridSpan w:val="2"/>
                  <w:noWrap w:val="0"/>
                  <w:vAlign w:val="center"/>
                </w:tcPr>
                <w:p w14:paraId="716C85A2">
                  <w:pPr>
                    <w:pStyle w:val="47"/>
                    <w:rPr>
                      <w:b/>
                      <w:bCs/>
                      <w:highlight w:val="none"/>
                    </w:rPr>
                  </w:pPr>
                  <w:r>
                    <w:rPr>
                      <w:b/>
                      <w:bCs/>
                      <w:highlight w:val="none"/>
                    </w:rPr>
                    <w:t>排水量</w:t>
                  </w:r>
                </w:p>
              </w:tc>
            </w:tr>
            <w:tr w14:paraId="6C95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8" w:type="pct"/>
                  <w:vMerge w:val="continue"/>
                  <w:noWrap w:val="0"/>
                  <w:vAlign w:val="center"/>
                </w:tcPr>
                <w:p w14:paraId="3012D1FE">
                  <w:pPr>
                    <w:pStyle w:val="47"/>
                    <w:rPr>
                      <w:highlight w:val="none"/>
                    </w:rPr>
                  </w:pPr>
                </w:p>
              </w:tc>
              <w:tc>
                <w:tcPr>
                  <w:tcW w:w="1547" w:type="pct"/>
                  <w:vMerge w:val="continue"/>
                  <w:noWrap w:val="0"/>
                  <w:vAlign w:val="center"/>
                </w:tcPr>
                <w:p w14:paraId="4DE43513">
                  <w:pPr>
                    <w:pStyle w:val="47"/>
                    <w:rPr>
                      <w:highlight w:val="none"/>
                    </w:rPr>
                  </w:pPr>
                </w:p>
              </w:tc>
              <w:tc>
                <w:tcPr>
                  <w:tcW w:w="733" w:type="pct"/>
                  <w:vMerge w:val="continue"/>
                  <w:noWrap w:val="0"/>
                  <w:vAlign w:val="center"/>
                </w:tcPr>
                <w:p w14:paraId="5BF1211C">
                  <w:pPr>
                    <w:pStyle w:val="47"/>
                    <w:rPr>
                      <w:highlight w:val="none"/>
                    </w:rPr>
                  </w:pPr>
                </w:p>
              </w:tc>
              <w:tc>
                <w:tcPr>
                  <w:tcW w:w="529" w:type="pct"/>
                  <w:noWrap w:val="0"/>
                  <w:vAlign w:val="center"/>
                </w:tcPr>
                <w:p w14:paraId="17453BF8">
                  <w:pPr>
                    <w:pStyle w:val="47"/>
                    <w:rPr>
                      <w:highlight w:val="none"/>
                    </w:rPr>
                  </w:pPr>
                  <w:r>
                    <w:rPr>
                      <w:highlight w:val="none"/>
                    </w:rPr>
                    <w:t>t/d</w:t>
                  </w:r>
                </w:p>
              </w:tc>
              <w:tc>
                <w:tcPr>
                  <w:tcW w:w="661" w:type="pct"/>
                  <w:noWrap w:val="0"/>
                  <w:vAlign w:val="center"/>
                </w:tcPr>
                <w:p w14:paraId="4B289AFB">
                  <w:pPr>
                    <w:pStyle w:val="47"/>
                    <w:rPr>
                      <w:highlight w:val="none"/>
                    </w:rPr>
                  </w:pPr>
                  <w:r>
                    <w:rPr>
                      <w:highlight w:val="none"/>
                    </w:rPr>
                    <w:t>t/a</w:t>
                  </w:r>
                </w:p>
              </w:tc>
              <w:tc>
                <w:tcPr>
                  <w:tcW w:w="526" w:type="pct"/>
                  <w:noWrap w:val="0"/>
                  <w:vAlign w:val="center"/>
                </w:tcPr>
                <w:p w14:paraId="61CB269F">
                  <w:pPr>
                    <w:pStyle w:val="47"/>
                    <w:rPr>
                      <w:highlight w:val="none"/>
                    </w:rPr>
                  </w:pPr>
                  <w:r>
                    <w:rPr>
                      <w:highlight w:val="none"/>
                    </w:rPr>
                    <w:t>t/d</w:t>
                  </w:r>
                </w:p>
              </w:tc>
              <w:tc>
                <w:tcPr>
                  <w:tcW w:w="593" w:type="pct"/>
                  <w:noWrap w:val="0"/>
                  <w:vAlign w:val="center"/>
                </w:tcPr>
                <w:p w14:paraId="076BA157">
                  <w:pPr>
                    <w:pStyle w:val="47"/>
                    <w:rPr>
                      <w:highlight w:val="none"/>
                    </w:rPr>
                  </w:pPr>
                  <w:r>
                    <w:rPr>
                      <w:highlight w:val="none"/>
                    </w:rPr>
                    <w:t>t/a</w:t>
                  </w:r>
                </w:p>
              </w:tc>
            </w:tr>
            <w:tr w14:paraId="2E48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8" w:type="pct"/>
                  <w:noWrap w:val="0"/>
                  <w:vAlign w:val="center"/>
                </w:tcPr>
                <w:p w14:paraId="14C6FDAE">
                  <w:pPr>
                    <w:pStyle w:val="47"/>
                    <w:rPr>
                      <w:highlight w:val="none"/>
                    </w:rPr>
                  </w:pPr>
                  <w:r>
                    <w:rPr>
                      <w:highlight w:val="none"/>
                    </w:rPr>
                    <w:t>1</w:t>
                  </w:r>
                </w:p>
              </w:tc>
              <w:tc>
                <w:tcPr>
                  <w:tcW w:w="1547" w:type="pct"/>
                  <w:noWrap w:val="0"/>
                  <w:vAlign w:val="center"/>
                </w:tcPr>
                <w:p w14:paraId="4BA7D216">
                  <w:pPr>
                    <w:pStyle w:val="47"/>
                    <w:rPr>
                      <w:highlight w:val="none"/>
                    </w:rPr>
                  </w:pPr>
                  <w:r>
                    <w:rPr>
                      <w:highlight w:val="none"/>
                    </w:rPr>
                    <w:t>职工生活用水</w:t>
                  </w:r>
                </w:p>
              </w:tc>
              <w:tc>
                <w:tcPr>
                  <w:tcW w:w="733" w:type="pct"/>
                  <w:noWrap w:val="0"/>
                  <w:vAlign w:val="center"/>
                </w:tcPr>
                <w:p w14:paraId="40EF5317">
                  <w:pPr>
                    <w:pStyle w:val="47"/>
                    <w:rPr>
                      <w:highlight w:val="none"/>
                    </w:rPr>
                  </w:pPr>
                  <w:r>
                    <w:rPr>
                      <w:rFonts w:hint="eastAsia"/>
                      <w:highlight w:val="none"/>
                      <w:lang w:val="en-US" w:eastAsia="zh-CN"/>
                    </w:rPr>
                    <w:t>70</w:t>
                  </w:r>
                  <w:r>
                    <w:rPr>
                      <w:highlight w:val="none"/>
                    </w:rPr>
                    <w:t>L/d·人</w:t>
                  </w:r>
                </w:p>
              </w:tc>
              <w:tc>
                <w:tcPr>
                  <w:tcW w:w="529" w:type="pct"/>
                  <w:noWrap w:val="0"/>
                  <w:vAlign w:val="center"/>
                </w:tcPr>
                <w:p w14:paraId="1A5DC26E">
                  <w:pPr>
                    <w:pStyle w:val="47"/>
                    <w:rPr>
                      <w:rFonts w:hint="default" w:eastAsia="宋体"/>
                      <w:highlight w:val="none"/>
                      <w:lang w:val="en-US" w:eastAsia="zh-CN"/>
                    </w:rPr>
                  </w:pPr>
                  <w:r>
                    <w:rPr>
                      <w:rFonts w:hint="eastAsia"/>
                      <w:highlight w:val="none"/>
                      <w:lang w:val="en-US" w:eastAsia="zh-CN"/>
                    </w:rPr>
                    <w:t>0.336</w:t>
                  </w:r>
                </w:p>
              </w:tc>
              <w:tc>
                <w:tcPr>
                  <w:tcW w:w="661" w:type="pct"/>
                  <w:noWrap w:val="0"/>
                  <w:vAlign w:val="center"/>
                </w:tcPr>
                <w:p w14:paraId="4AA41878">
                  <w:pPr>
                    <w:pStyle w:val="47"/>
                    <w:rPr>
                      <w:rFonts w:hint="default" w:eastAsia="宋体"/>
                      <w:highlight w:val="none"/>
                      <w:lang w:val="en-US" w:eastAsia="zh-CN"/>
                    </w:rPr>
                  </w:pPr>
                  <w:r>
                    <w:rPr>
                      <w:rFonts w:hint="eastAsia"/>
                      <w:highlight w:val="none"/>
                      <w:lang w:val="en-US" w:eastAsia="zh-CN"/>
                    </w:rPr>
                    <w:t>50.4</w:t>
                  </w:r>
                </w:p>
              </w:tc>
              <w:tc>
                <w:tcPr>
                  <w:tcW w:w="526" w:type="pct"/>
                  <w:noWrap w:val="0"/>
                  <w:vAlign w:val="center"/>
                </w:tcPr>
                <w:p w14:paraId="30F30B8E">
                  <w:pPr>
                    <w:pStyle w:val="47"/>
                    <w:rPr>
                      <w:rFonts w:hint="default" w:eastAsia="宋体"/>
                      <w:highlight w:val="none"/>
                      <w:lang w:val="en-US" w:eastAsia="zh-CN"/>
                    </w:rPr>
                  </w:pPr>
                  <w:r>
                    <w:rPr>
                      <w:rFonts w:hint="eastAsia"/>
                      <w:highlight w:val="none"/>
                      <w:lang w:val="en-US" w:eastAsia="zh-CN"/>
                    </w:rPr>
                    <w:t>0.2688</w:t>
                  </w:r>
                </w:p>
              </w:tc>
              <w:tc>
                <w:tcPr>
                  <w:tcW w:w="593" w:type="pct"/>
                  <w:noWrap w:val="0"/>
                  <w:vAlign w:val="center"/>
                </w:tcPr>
                <w:p w14:paraId="0862490D">
                  <w:pPr>
                    <w:pStyle w:val="47"/>
                    <w:rPr>
                      <w:rFonts w:hint="default" w:eastAsia="宋体"/>
                      <w:highlight w:val="none"/>
                      <w:lang w:val="en-US" w:eastAsia="zh-CN"/>
                    </w:rPr>
                  </w:pPr>
                  <w:r>
                    <w:rPr>
                      <w:rFonts w:hint="eastAsia"/>
                      <w:highlight w:val="none"/>
                      <w:lang w:val="en-US" w:eastAsia="zh-CN"/>
                    </w:rPr>
                    <w:t>40.32</w:t>
                  </w:r>
                </w:p>
              </w:tc>
            </w:tr>
            <w:tr w14:paraId="026D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8" w:type="pct"/>
                  <w:noWrap w:val="0"/>
                  <w:vAlign w:val="center"/>
                </w:tcPr>
                <w:p w14:paraId="7A768E23">
                  <w:pPr>
                    <w:pStyle w:val="47"/>
                    <w:rPr>
                      <w:highlight w:val="none"/>
                    </w:rPr>
                  </w:pPr>
                  <w:r>
                    <w:rPr>
                      <w:highlight w:val="none"/>
                    </w:rPr>
                    <w:t>2</w:t>
                  </w:r>
                </w:p>
              </w:tc>
              <w:tc>
                <w:tcPr>
                  <w:tcW w:w="1547" w:type="pct"/>
                  <w:noWrap w:val="0"/>
                  <w:vAlign w:val="center"/>
                </w:tcPr>
                <w:p w14:paraId="564DB466">
                  <w:pPr>
                    <w:pStyle w:val="47"/>
                    <w:rPr>
                      <w:highlight w:val="none"/>
                    </w:rPr>
                  </w:pPr>
                  <w:r>
                    <w:rPr>
                      <w:highlight w:val="none"/>
                    </w:rPr>
                    <w:t>循环水补水</w:t>
                  </w:r>
                </w:p>
              </w:tc>
              <w:tc>
                <w:tcPr>
                  <w:tcW w:w="733" w:type="pct"/>
                  <w:noWrap w:val="0"/>
                  <w:vAlign w:val="center"/>
                </w:tcPr>
                <w:p w14:paraId="25DDE164">
                  <w:pPr>
                    <w:pStyle w:val="47"/>
                    <w:rPr>
                      <w:highlight w:val="none"/>
                    </w:rPr>
                  </w:pPr>
                  <w:r>
                    <w:rPr>
                      <w:rFonts w:hint="eastAsia"/>
                      <w:highlight w:val="none"/>
                      <w:lang w:val="en-US" w:eastAsia="zh-CN"/>
                    </w:rPr>
                    <w:t>0.8</w:t>
                  </w:r>
                  <w:r>
                    <w:rPr>
                      <w:highlight w:val="none"/>
                    </w:rPr>
                    <w:t>t/d</w:t>
                  </w:r>
                </w:p>
              </w:tc>
              <w:tc>
                <w:tcPr>
                  <w:tcW w:w="529" w:type="pct"/>
                  <w:noWrap w:val="0"/>
                  <w:vAlign w:val="center"/>
                </w:tcPr>
                <w:p w14:paraId="1226A846">
                  <w:pPr>
                    <w:pStyle w:val="47"/>
                    <w:rPr>
                      <w:rFonts w:hint="default" w:eastAsia="宋体"/>
                      <w:highlight w:val="none"/>
                      <w:lang w:val="en-US" w:eastAsia="zh-CN"/>
                    </w:rPr>
                  </w:pPr>
                  <w:r>
                    <w:rPr>
                      <w:rFonts w:hint="eastAsia"/>
                      <w:highlight w:val="none"/>
                      <w:lang w:val="en-US" w:eastAsia="zh-CN"/>
                    </w:rPr>
                    <w:t>0.8</w:t>
                  </w:r>
                </w:p>
              </w:tc>
              <w:tc>
                <w:tcPr>
                  <w:tcW w:w="661" w:type="pct"/>
                  <w:noWrap w:val="0"/>
                  <w:vAlign w:val="center"/>
                </w:tcPr>
                <w:p w14:paraId="44A45217">
                  <w:pPr>
                    <w:pStyle w:val="47"/>
                    <w:rPr>
                      <w:rFonts w:hint="default" w:eastAsia="宋体"/>
                      <w:highlight w:val="none"/>
                      <w:lang w:val="en-US" w:eastAsia="zh-CN"/>
                    </w:rPr>
                  </w:pPr>
                  <w:r>
                    <w:rPr>
                      <w:rFonts w:hint="eastAsia"/>
                      <w:highlight w:val="none"/>
                      <w:lang w:val="en-US" w:eastAsia="zh-CN"/>
                    </w:rPr>
                    <w:t>120</w:t>
                  </w:r>
                </w:p>
              </w:tc>
              <w:tc>
                <w:tcPr>
                  <w:tcW w:w="526" w:type="pct"/>
                  <w:noWrap w:val="0"/>
                  <w:vAlign w:val="center"/>
                </w:tcPr>
                <w:p w14:paraId="450AE178">
                  <w:pPr>
                    <w:pStyle w:val="47"/>
                    <w:rPr>
                      <w:highlight w:val="none"/>
                    </w:rPr>
                  </w:pPr>
                  <w:r>
                    <w:rPr>
                      <w:highlight w:val="none"/>
                    </w:rPr>
                    <w:t>0</w:t>
                  </w:r>
                </w:p>
              </w:tc>
              <w:tc>
                <w:tcPr>
                  <w:tcW w:w="593" w:type="pct"/>
                  <w:noWrap w:val="0"/>
                  <w:vAlign w:val="center"/>
                </w:tcPr>
                <w:p w14:paraId="7F1AF70E">
                  <w:pPr>
                    <w:pStyle w:val="47"/>
                    <w:rPr>
                      <w:highlight w:val="none"/>
                    </w:rPr>
                  </w:pPr>
                  <w:r>
                    <w:rPr>
                      <w:highlight w:val="none"/>
                    </w:rPr>
                    <w:t>0</w:t>
                  </w:r>
                </w:p>
              </w:tc>
            </w:tr>
            <w:tr w14:paraId="3AE6C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8" w:type="pct"/>
                  <w:noWrap w:val="0"/>
                  <w:vAlign w:val="center"/>
                </w:tcPr>
                <w:p w14:paraId="4D684148">
                  <w:pPr>
                    <w:pStyle w:val="47"/>
                    <w:rPr>
                      <w:rFonts w:hint="eastAsia" w:eastAsia="宋体"/>
                      <w:highlight w:val="none"/>
                      <w:lang w:val="en-US" w:eastAsia="zh-CN"/>
                    </w:rPr>
                  </w:pPr>
                  <w:r>
                    <w:rPr>
                      <w:rFonts w:hint="eastAsia"/>
                      <w:highlight w:val="none"/>
                      <w:lang w:val="en-US" w:eastAsia="zh-CN"/>
                    </w:rPr>
                    <w:t>3</w:t>
                  </w:r>
                </w:p>
              </w:tc>
              <w:tc>
                <w:tcPr>
                  <w:tcW w:w="1547" w:type="pct"/>
                  <w:noWrap w:val="0"/>
                  <w:vAlign w:val="center"/>
                </w:tcPr>
                <w:p w14:paraId="68C57A1C">
                  <w:pPr>
                    <w:pStyle w:val="47"/>
                    <w:rPr>
                      <w:highlight w:val="none"/>
                    </w:rPr>
                  </w:pPr>
                  <w:r>
                    <w:rPr>
                      <w:highlight w:val="none"/>
                    </w:rPr>
                    <w:t>合计</w:t>
                  </w:r>
                </w:p>
              </w:tc>
              <w:tc>
                <w:tcPr>
                  <w:tcW w:w="733" w:type="pct"/>
                  <w:noWrap w:val="0"/>
                  <w:vAlign w:val="center"/>
                </w:tcPr>
                <w:p w14:paraId="64602648">
                  <w:pPr>
                    <w:pStyle w:val="47"/>
                    <w:rPr>
                      <w:highlight w:val="none"/>
                    </w:rPr>
                  </w:pPr>
                  <w:r>
                    <w:rPr>
                      <w:highlight w:val="none"/>
                    </w:rPr>
                    <w:t>/</w:t>
                  </w:r>
                </w:p>
              </w:tc>
              <w:tc>
                <w:tcPr>
                  <w:tcW w:w="529" w:type="pct"/>
                  <w:noWrap w:val="0"/>
                  <w:vAlign w:val="center"/>
                </w:tcPr>
                <w:p w14:paraId="651AC5B1">
                  <w:pPr>
                    <w:pStyle w:val="47"/>
                    <w:rPr>
                      <w:rFonts w:hint="default" w:eastAsia="宋体"/>
                      <w:highlight w:val="none"/>
                      <w:lang w:val="en-US" w:eastAsia="zh-CN"/>
                    </w:rPr>
                  </w:pPr>
                  <w:r>
                    <w:rPr>
                      <w:rFonts w:hint="eastAsia"/>
                      <w:highlight w:val="none"/>
                      <w:lang w:val="en-US" w:eastAsia="zh-CN"/>
                    </w:rPr>
                    <w:t>1.136</w:t>
                  </w:r>
                </w:p>
              </w:tc>
              <w:tc>
                <w:tcPr>
                  <w:tcW w:w="661" w:type="pct"/>
                  <w:noWrap w:val="0"/>
                  <w:vAlign w:val="center"/>
                </w:tcPr>
                <w:p w14:paraId="6EF12832">
                  <w:pPr>
                    <w:pStyle w:val="47"/>
                    <w:jc w:val="center"/>
                    <w:rPr>
                      <w:rFonts w:hint="default" w:eastAsia="宋体"/>
                      <w:highlight w:val="none"/>
                      <w:lang w:val="en-US" w:eastAsia="zh-CN"/>
                    </w:rPr>
                  </w:pPr>
                  <w:r>
                    <w:rPr>
                      <w:rFonts w:hint="eastAsia"/>
                      <w:highlight w:val="none"/>
                      <w:lang w:val="en-US" w:eastAsia="zh-CN"/>
                    </w:rPr>
                    <w:t>170.4</w:t>
                  </w:r>
                </w:p>
              </w:tc>
              <w:tc>
                <w:tcPr>
                  <w:tcW w:w="526" w:type="pct"/>
                  <w:noWrap w:val="0"/>
                  <w:vAlign w:val="center"/>
                </w:tcPr>
                <w:p w14:paraId="70BDFF1A">
                  <w:pPr>
                    <w:pStyle w:val="47"/>
                    <w:rPr>
                      <w:rFonts w:hint="default" w:eastAsia="宋体"/>
                      <w:highlight w:val="none"/>
                      <w:lang w:val="en-US" w:eastAsia="zh-CN"/>
                    </w:rPr>
                  </w:pPr>
                  <w:r>
                    <w:rPr>
                      <w:rFonts w:hint="eastAsia"/>
                      <w:highlight w:val="none"/>
                      <w:lang w:val="en-US" w:eastAsia="zh-CN"/>
                    </w:rPr>
                    <w:t>0.2688</w:t>
                  </w:r>
                </w:p>
              </w:tc>
              <w:tc>
                <w:tcPr>
                  <w:tcW w:w="593" w:type="pct"/>
                  <w:noWrap w:val="0"/>
                  <w:vAlign w:val="center"/>
                </w:tcPr>
                <w:p w14:paraId="2D247897">
                  <w:pPr>
                    <w:pStyle w:val="47"/>
                    <w:rPr>
                      <w:rFonts w:hint="default" w:eastAsia="宋体"/>
                      <w:highlight w:val="none"/>
                      <w:lang w:val="en-US" w:eastAsia="zh-CN"/>
                    </w:rPr>
                  </w:pPr>
                  <w:r>
                    <w:rPr>
                      <w:rFonts w:hint="eastAsia"/>
                      <w:highlight w:val="none"/>
                      <w:lang w:val="en-US" w:eastAsia="zh-CN"/>
                    </w:rPr>
                    <w:t>40.32</w:t>
                  </w:r>
                </w:p>
              </w:tc>
            </w:tr>
          </w:tbl>
          <w:p w14:paraId="647917A9">
            <w:pPr>
              <w:adjustRightInd w:val="0"/>
              <w:snapToGrid w:val="0"/>
              <w:spacing w:line="360" w:lineRule="auto"/>
              <w:jc w:val="both"/>
            </w:pPr>
            <w:r>
              <mc:AlternateContent>
                <mc:Choice Requires="wpc">
                  <w:drawing>
                    <wp:inline distT="0" distB="0" distL="0" distR="0">
                      <wp:extent cx="5349240" cy="1572260"/>
                      <wp:effectExtent l="0" t="0" r="0" b="0"/>
                      <wp:docPr id="30" name="画布 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49" name="Text Box 36"/>
                              <wps:cNvSpPr txBox="1">
                                <a:spLocks noChangeArrowheads="1"/>
                              </wps:cNvSpPr>
                              <wps:spPr bwMode="auto">
                                <a:xfrm>
                                  <a:off x="1263650" y="905510"/>
                                  <a:ext cx="457200" cy="390525"/>
                                </a:xfrm>
                                <a:prstGeom prst="rect">
                                  <a:avLst/>
                                </a:prstGeom>
                                <a:solidFill>
                                  <a:srgbClr val="FFFFFF"/>
                                </a:solidFill>
                                <a:ln>
                                  <a:noFill/>
                                </a:ln>
                              </wps:spPr>
                              <wps:txbx>
                                <w:txbxContent>
                                  <w:p w14:paraId="0A81C611">
                                    <w:pPr>
                                      <w:rPr>
                                        <w:rFonts w:hint="default" w:eastAsia="宋体"/>
                                        <w:lang w:val="en-US" w:eastAsia="zh-CN"/>
                                      </w:rPr>
                                    </w:pPr>
                                    <w:r>
                                      <w:rPr>
                                        <w:rFonts w:hint="eastAsia"/>
                                        <w:lang w:val="en-US" w:eastAsia="zh-CN"/>
                                      </w:rPr>
                                      <w:t>0.8</w:t>
                                    </w:r>
                                  </w:p>
                                </w:txbxContent>
                              </wps:txbx>
                              <wps:bodyPr rot="0" vert="horz" wrap="square" lIns="91440" tIns="45720" rIns="91440" bIns="45720" anchor="t" anchorCtr="0" upright="1">
                                <a:noAutofit/>
                              </wps:bodyPr>
                            </wps:wsp>
                            <wps:wsp>
                              <wps:cNvPr id="150" name="Text Box 37"/>
                              <wps:cNvSpPr txBox="1">
                                <a:spLocks noChangeArrowheads="1"/>
                              </wps:cNvSpPr>
                              <wps:spPr bwMode="auto">
                                <a:xfrm>
                                  <a:off x="1268730" y="288925"/>
                                  <a:ext cx="640080" cy="390525"/>
                                </a:xfrm>
                                <a:prstGeom prst="rect">
                                  <a:avLst/>
                                </a:prstGeom>
                                <a:solidFill>
                                  <a:srgbClr val="FFFFFF"/>
                                </a:solidFill>
                                <a:ln>
                                  <a:noFill/>
                                </a:ln>
                              </wps:spPr>
                              <wps:txbx>
                                <w:txbxContent>
                                  <w:p w14:paraId="42868A00">
                                    <w:pPr>
                                      <w:rPr>
                                        <w:rFonts w:hint="default" w:eastAsia="宋体"/>
                                        <w:lang w:val="en-US" w:eastAsia="zh-CN"/>
                                      </w:rPr>
                                    </w:pPr>
                                    <w:r>
                                      <w:rPr>
                                        <w:rFonts w:hint="eastAsia"/>
                                        <w:lang w:val="en-US" w:eastAsia="zh-CN"/>
                                      </w:rPr>
                                      <w:t>0.336</w:t>
                                    </w:r>
                                  </w:p>
                                </w:txbxContent>
                              </wps:txbx>
                              <wps:bodyPr rot="0" vert="horz" wrap="square" lIns="91440" tIns="45720" rIns="91440" bIns="45720" anchor="t" anchorCtr="0" upright="1">
                                <a:noAutofit/>
                              </wps:bodyPr>
                            </wps:wsp>
                            <wps:wsp>
                              <wps:cNvPr id="151" name="Text Box 38"/>
                              <wps:cNvSpPr txBox="1">
                                <a:spLocks noChangeArrowheads="1"/>
                              </wps:cNvSpPr>
                              <wps:spPr bwMode="auto">
                                <a:xfrm>
                                  <a:off x="796925" y="459105"/>
                                  <a:ext cx="551815" cy="390525"/>
                                </a:xfrm>
                                <a:prstGeom prst="rect">
                                  <a:avLst/>
                                </a:prstGeom>
                                <a:solidFill>
                                  <a:srgbClr val="FFFFFF"/>
                                </a:solidFill>
                                <a:ln>
                                  <a:noFill/>
                                </a:ln>
                              </wps:spPr>
                              <wps:txbx>
                                <w:txbxContent>
                                  <w:p w14:paraId="6EE3C347">
                                    <w:pPr>
                                      <w:rPr>
                                        <w:rFonts w:hint="default" w:eastAsia="宋体"/>
                                        <w:lang w:val="en-US" w:eastAsia="zh-CN"/>
                                      </w:rPr>
                                    </w:pPr>
                                    <w:r>
                                      <w:rPr>
                                        <w:rFonts w:hint="eastAsia"/>
                                        <w:lang w:val="en-US" w:eastAsia="zh-CN"/>
                                      </w:rPr>
                                      <w:t>1.136</w:t>
                                    </w:r>
                                  </w:p>
                                </w:txbxContent>
                              </wps:txbx>
                              <wps:bodyPr rot="0" vert="horz" wrap="square" lIns="91440" tIns="45720" rIns="91440" bIns="45720" anchor="t" anchorCtr="0" upright="1">
                                <a:noAutofit/>
                              </wps:bodyPr>
                            </wps:wsp>
                            <wps:wsp>
                              <wps:cNvPr id="152" name="Text Box 39"/>
                              <wps:cNvSpPr txBox="1">
                                <a:spLocks noChangeArrowheads="1"/>
                              </wps:cNvSpPr>
                              <wps:spPr bwMode="auto">
                                <a:xfrm>
                                  <a:off x="109220" y="677545"/>
                                  <a:ext cx="839470" cy="304165"/>
                                </a:xfrm>
                                <a:prstGeom prst="rect">
                                  <a:avLst/>
                                </a:prstGeom>
                                <a:solidFill>
                                  <a:srgbClr val="FFFFFF"/>
                                </a:solidFill>
                                <a:ln w="9525">
                                  <a:solidFill>
                                    <a:srgbClr val="000000"/>
                                  </a:solidFill>
                                  <a:miter lim="800000"/>
                                </a:ln>
                              </wps:spPr>
                              <wps:txbx>
                                <w:txbxContent>
                                  <w:p w14:paraId="11F15705">
                                    <w:pPr>
                                      <w:jc w:val="center"/>
                                      <w:rPr>
                                        <w:rFonts w:hint="eastAsia" w:eastAsia="宋体"/>
                                        <w:lang w:eastAsia="zh-CN"/>
                                      </w:rPr>
                                    </w:pPr>
                                    <w:r>
                                      <w:rPr>
                                        <w:rFonts w:hint="eastAsia"/>
                                        <w:lang w:eastAsia="zh-CN"/>
                                      </w:rPr>
                                      <w:t>厂房供水</w:t>
                                    </w:r>
                                  </w:p>
                                </w:txbxContent>
                              </wps:txbx>
                              <wps:bodyPr rot="0" vert="horz" wrap="square" lIns="91440" tIns="45720" rIns="91440" bIns="45720" anchor="t" anchorCtr="0" upright="1">
                                <a:noAutofit/>
                              </wps:bodyPr>
                            </wps:wsp>
                            <wps:wsp>
                              <wps:cNvPr id="153" name="AutoShape 40"/>
                              <wps:cNvCnPr>
                                <a:cxnSpLocks noChangeShapeType="1"/>
                                <a:stCxn id="10" idx="3"/>
                              </wps:cNvCnPr>
                              <wps:spPr bwMode="auto">
                                <a:xfrm>
                                  <a:off x="1908810" y="484505"/>
                                  <a:ext cx="314325" cy="4445"/>
                                </a:xfrm>
                                <a:prstGeom prst="straightConnector1">
                                  <a:avLst/>
                                </a:prstGeom>
                                <a:noFill/>
                                <a:ln w="9525">
                                  <a:solidFill>
                                    <a:srgbClr val="000000"/>
                                  </a:solidFill>
                                  <a:round/>
                                </a:ln>
                              </wps:spPr>
                              <wps:bodyPr/>
                            </wps:wsp>
                            <wps:wsp>
                              <wps:cNvPr id="154" name="AutoShape 41"/>
                              <wps:cNvCnPr>
                                <a:cxnSpLocks noChangeShapeType="1"/>
                              </wps:cNvCnPr>
                              <wps:spPr bwMode="auto">
                                <a:xfrm flipH="1">
                                  <a:off x="1263015" y="543560"/>
                                  <a:ext cx="635" cy="590550"/>
                                </a:xfrm>
                                <a:prstGeom prst="straightConnector1">
                                  <a:avLst/>
                                </a:prstGeom>
                                <a:noFill/>
                                <a:ln w="9525">
                                  <a:solidFill>
                                    <a:srgbClr val="000000"/>
                                  </a:solidFill>
                                  <a:round/>
                                </a:ln>
                              </wps:spPr>
                              <wps:bodyPr/>
                            </wps:wsp>
                            <wps:wsp>
                              <wps:cNvPr id="155" name="AutoShape 42"/>
                              <wps:cNvCnPr>
                                <a:cxnSpLocks noChangeShapeType="1"/>
                              </wps:cNvCnPr>
                              <wps:spPr bwMode="auto">
                                <a:xfrm>
                                  <a:off x="1263650" y="543560"/>
                                  <a:ext cx="618490" cy="635"/>
                                </a:xfrm>
                                <a:prstGeom prst="straightConnector1">
                                  <a:avLst/>
                                </a:prstGeom>
                                <a:noFill/>
                                <a:ln w="9525">
                                  <a:solidFill>
                                    <a:srgbClr val="000000"/>
                                  </a:solidFill>
                                  <a:round/>
                                  <a:tailEnd type="triangle" w="med" len="med"/>
                                </a:ln>
                              </wps:spPr>
                              <wps:bodyPr/>
                            </wps:wsp>
                            <wps:wsp>
                              <wps:cNvPr id="156" name="AutoShape 43"/>
                              <wps:cNvCnPr>
                                <a:cxnSpLocks noChangeShapeType="1"/>
                              </wps:cNvCnPr>
                              <wps:spPr bwMode="auto">
                                <a:xfrm>
                                  <a:off x="1263015" y="1134110"/>
                                  <a:ext cx="619125" cy="635"/>
                                </a:xfrm>
                                <a:prstGeom prst="straightConnector1">
                                  <a:avLst/>
                                </a:prstGeom>
                                <a:noFill/>
                                <a:ln w="9525">
                                  <a:solidFill>
                                    <a:srgbClr val="000000"/>
                                  </a:solidFill>
                                  <a:round/>
                                  <a:tailEnd type="triangle" w="med" len="med"/>
                                </a:ln>
                              </wps:spPr>
                              <wps:bodyPr/>
                            </wps:wsp>
                            <wps:wsp>
                              <wps:cNvPr id="157" name="Text Box 44"/>
                              <wps:cNvSpPr txBox="1">
                                <a:spLocks noChangeArrowheads="1"/>
                              </wps:cNvSpPr>
                              <wps:spPr bwMode="auto">
                                <a:xfrm>
                                  <a:off x="1882140" y="410210"/>
                                  <a:ext cx="1042035" cy="276225"/>
                                </a:xfrm>
                                <a:prstGeom prst="rect">
                                  <a:avLst/>
                                </a:prstGeom>
                                <a:solidFill>
                                  <a:srgbClr val="FFFFFF"/>
                                </a:solidFill>
                                <a:ln w="9525">
                                  <a:solidFill>
                                    <a:srgbClr val="000000"/>
                                  </a:solidFill>
                                  <a:miter lim="800000"/>
                                </a:ln>
                              </wps:spPr>
                              <wps:txbx>
                                <w:txbxContent>
                                  <w:p w14:paraId="60B42EE6">
                                    <w:pPr>
                                      <w:jc w:val="center"/>
                                    </w:pPr>
                                    <w:r>
                                      <w:rPr>
                                        <w:rFonts w:hint="eastAsia"/>
                                        <w:lang w:eastAsia="zh-CN"/>
                                      </w:rPr>
                                      <w:t>职工</w:t>
                                    </w:r>
                                    <w:r>
                                      <w:t>生活用水</w:t>
                                    </w:r>
                                  </w:p>
                                </w:txbxContent>
                              </wps:txbx>
                              <wps:bodyPr rot="0" vert="horz" wrap="square" lIns="91440" tIns="45720" rIns="91440" bIns="45720" anchor="t" anchorCtr="0" upright="1">
                                <a:noAutofit/>
                              </wps:bodyPr>
                            </wps:wsp>
                            <wps:wsp>
                              <wps:cNvPr id="158" name="AutoShape 48"/>
                              <wps:cNvCnPr>
                                <a:cxnSpLocks noChangeShapeType="1"/>
                              </wps:cNvCnPr>
                              <wps:spPr bwMode="auto">
                                <a:xfrm flipV="1">
                                  <a:off x="2914015" y="557530"/>
                                  <a:ext cx="444500" cy="2540"/>
                                </a:xfrm>
                                <a:prstGeom prst="straightConnector1">
                                  <a:avLst/>
                                </a:prstGeom>
                                <a:noFill/>
                                <a:ln w="9525">
                                  <a:solidFill>
                                    <a:srgbClr val="000000"/>
                                  </a:solidFill>
                                  <a:round/>
                                  <a:tailEnd type="triangle" w="med" len="med"/>
                                </a:ln>
                              </wps:spPr>
                              <wps:bodyPr/>
                            </wps:wsp>
                            <wps:wsp>
                              <wps:cNvPr id="159" name="Text Box 49"/>
                              <wps:cNvSpPr txBox="1">
                                <a:spLocks noChangeArrowheads="1"/>
                              </wps:cNvSpPr>
                              <wps:spPr bwMode="auto">
                                <a:xfrm>
                                  <a:off x="3358515" y="410210"/>
                                  <a:ext cx="789305" cy="276225"/>
                                </a:xfrm>
                                <a:prstGeom prst="rect">
                                  <a:avLst/>
                                </a:prstGeom>
                                <a:solidFill>
                                  <a:srgbClr val="FFFFFF"/>
                                </a:solidFill>
                                <a:ln w="9525">
                                  <a:solidFill>
                                    <a:srgbClr val="000000"/>
                                  </a:solidFill>
                                  <a:miter lim="800000"/>
                                </a:ln>
                              </wps:spPr>
                              <wps:txbx>
                                <w:txbxContent>
                                  <w:p w14:paraId="18296B97">
                                    <w:pPr>
                                      <w:jc w:val="center"/>
                                    </w:pPr>
                                    <w:r>
                                      <w:rPr>
                                        <w:rFonts w:hint="eastAsia"/>
                                      </w:rPr>
                                      <w:t>化粪池</w:t>
                                    </w:r>
                                  </w:p>
                                </w:txbxContent>
                              </wps:txbx>
                              <wps:bodyPr rot="0" vert="horz" wrap="square" lIns="91440" tIns="45720" rIns="91440" bIns="45720" anchor="t" anchorCtr="0" upright="1">
                                <a:noAutofit/>
                              </wps:bodyPr>
                            </wps:wsp>
                            <wps:wsp>
                              <wps:cNvPr id="160" name="Text Box 50"/>
                              <wps:cNvSpPr txBox="1">
                                <a:spLocks noChangeArrowheads="1"/>
                              </wps:cNvSpPr>
                              <wps:spPr bwMode="auto">
                                <a:xfrm>
                                  <a:off x="1872615" y="1000760"/>
                                  <a:ext cx="904875" cy="276225"/>
                                </a:xfrm>
                                <a:prstGeom prst="rect">
                                  <a:avLst/>
                                </a:prstGeom>
                                <a:solidFill>
                                  <a:srgbClr val="FFFFFF"/>
                                </a:solidFill>
                                <a:ln w="9525">
                                  <a:solidFill>
                                    <a:srgbClr val="000000"/>
                                  </a:solidFill>
                                  <a:miter lim="800000"/>
                                </a:ln>
                              </wps:spPr>
                              <wps:txbx>
                                <w:txbxContent>
                                  <w:p w14:paraId="4C08D0E2">
                                    <w:pPr>
                                      <w:jc w:val="center"/>
                                    </w:pPr>
                                    <w:r>
                                      <w:rPr>
                                        <w:rFonts w:hint="eastAsia"/>
                                      </w:rPr>
                                      <w:t>循环冷却水</w:t>
                                    </w:r>
                                  </w:p>
                                </w:txbxContent>
                              </wps:txbx>
                              <wps:bodyPr rot="0" vert="horz" wrap="square" lIns="91440" tIns="45720" rIns="91440" bIns="45720" anchor="t" anchorCtr="0" upright="1">
                                <a:noAutofit/>
                              </wps:bodyPr>
                            </wps:wsp>
                            <wps:wsp>
                              <wps:cNvPr id="161" name="AutoShape 51"/>
                              <wps:cNvCnPr>
                                <a:cxnSpLocks noChangeShapeType="1"/>
                                <a:stCxn id="21" idx="3"/>
                                <a:endCxn id="21" idx="2"/>
                              </wps:cNvCnPr>
                              <wps:spPr bwMode="auto">
                                <a:xfrm flipH="1">
                                  <a:off x="2325370" y="1139190"/>
                                  <a:ext cx="452120" cy="137795"/>
                                </a:xfrm>
                                <a:prstGeom prst="bentConnector4">
                                  <a:avLst>
                                    <a:gd name="adj1" fmla="val -50421"/>
                                    <a:gd name="adj2" fmla="val 265440"/>
                                  </a:avLst>
                                </a:prstGeom>
                                <a:noFill/>
                                <a:ln w="9525">
                                  <a:solidFill>
                                    <a:srgbClr val="000000"/>
                                  </a:solidFill>
                                  <a:miter lim="800000"/>
                                  <a:tailEnd type="triangle" w="med" len="med"/>
                                </a:ln>
                              </wps:spPr>
                              <wps:bodyPr/>
                            </wps:wsp>
                            <wps:wsp>
                              <wps:cNvPr id="162" name="AutoShape 52"/>
                              <wps:cNvCnPr>
                                <a:cxnSpLocks noChangeShapeType="1"/>
                                <a:stCxn id="23" idx="3"/>
                                <a:endCxn id="28" idx="1"/>
                              </wps:cNvCnPr>
                              <wps:spPr bwMode="auto">
                                <a:xfrm flipV="1">
                                  <a:off x="4147820" y="543560"/>
                                  <a:ext cx="342900" cy="5080"/>
                                </a:xfrm>
                                <a:prstGeom prst="straightConnector1">
                                  <a:avLst/>
                                </a:prstGeom>
                                <a:noFill/>
                                <a:ln w="9525">
                                  <a:solidFill>
                                    <a:srgbClr val="000000"/>
                                  </a:solidFill>
                                  <a:round/>
                                  <a:tailEnd type="triangle" w="med" len="med"/>
                                </a:ln>
                              </wps:spPr>
                              <wps:bodyPr/>
                            </wps:wsp>
                            <wps:wsp>
                              <wps:cNvPr id="163" name="Text Box 53"/>
                              <wps:cNvSpPr txBox="1">
                                <a:spLocks noChangeArrowheads="1"/>
                              </wps:cNvSpPr>
                              <wps:spPr bwMode="auto">
                                <a:xfrm>
                                  <a:off x="4490720" y="401320"/>
                                  <a:ext cx="760730" cy="283845"/>
                                </a:xfrm>
                                <a:prstGeom prst="rect">
                                  <a:avLst/>
                                </a:prstGeom>
                                <a:solidFill>
                                  <a:srgbClr val="FFFFFF"/>
                                </a:solidFill>
                                <a:ln w="9525">
                                  <a:solidFill>
                                    <a:srgbClr val="000000"/>
                                  </a:solidFill>
                                  <a:miter lim="800000"/>
                                </a:ln>
                              </wps:spPr>
                              <wps:txbx>
                                <w:txbxContent>
                                  <w:p w14:paraId="1E12FA8F">
                                    <w:pPr>
                                      <w:jc w:val="both"/>
                                      <w:rPr>
                                        <w:rFonts w:hint="eastAsia" w:eastAsia="宋体"/>
                                        <w:lang w:eastAsia="zh-CN"/>
                                      </w:rPr>
                                    </w:pPr>
                                    <w:r>
                                      <w:rPr>
                                        <w:rFonts w:hint="eastAsia"/>
                                        <w:lang w:eastAsia="zh-CN"/>
                                      </w:rPr>
                                      <w:t>定期清掏</w:t>
                                    </w:r>
                                  </w:p>
                                </w:txbxContent>
                              </wps:txbx>
                              <wps:bodyPr rot="0" vert="horz" wrap="square" lIns="91440" tIns="45720" rIns="91440" bIns="45720" anchor="t" anchorCtr="0" upright="1">
                                <a:noAutofit/>
                              </wps:bodyPr>
                            </wps:wsp>
                            <wpg:wgp>
                              <wpg:cNvPr id="164" name="Group 32"/>
                              <wpg:cNvGrpSpPr/>
                              <wpg:grpSpPr>
                                <a:xfrm>
                                  <a:off x="2326640" y="26035"/>
                                  <a:ext cx="1299210" cy="383540"/>
                                  <a:chOff x="5085" y="8636"/>
                                  <a:chExt cx="2046" cy="604"/>
                                </a:xfrm>
                              </wpg:grpSpPr>
                              <wps:wsp>
                                <wps:cNvPr id="165" name="Text Box 33"/>
                                <wps:cNvSpPr txBox="1">
                                  <a:spLocks noChangeArrowheads="1"/>
                                </wps:cNvSpPr>
                                <wps:spPr bwMode="auto">
                                  <a:xfrm>
                                    <a:off x="5493" y="8636"/>
                                    <a:ext cx="1638" cy="535"/>
                                  </a:xfrm>
                                  <a:prstGeom prst="rect">
                                    <a:avLst/>
                                  </a:prstGeom>
                                  <a:solidFill>
                                    <a:srgbClr val="FFFFFF"/>
                                  </a:solidFill>
                                  <a:ln>
                                    <a:noFill/>
                                  </a:ln>
                                </wps:spPr>
                                <wps:txbx>
                                  <w:txbxContent>
                                    <w:p w14:paraId="7E93BA4D">
                                      <w:pPr>
                                        <w:rPr>
                                          <w:rFonts w:hint="default" w:eastAsia="宋体"/>
                                          <w:lang w:val="en-US" w:eastAsia="zh-CN"/>
                                        </w:rPr>
                                      </w:pPr>
                                      <w:r>
                                        <w:t>损耗</w:t>
                                      </w:r>
                                      <w:r>
                                        <w:rPr>
                                          <w:rFonts w:hint="eastAsia"/>
                                          <w:lang w:val="en-US" w:eastAsia="zh-CN"/>
                                        </w:rPr>
                                        <w:t>0.0672</w:t>
                                      </w:r>
                                    </w:p>
                                  </w:txbxContent>
                                </wps:txbx>
                                <wps:bodyPr rot="0" vert="horz" wrap="square" lIns="91440" tIns="45720" rIns="91440" bIns="45720" anchor="t" anchorCtr="0" upright="1">
                                  <a:noAutofit/>
                                </wps:bodyPr>
                              </wps:wsp>
                              <wps:wsp>
                                <wps:cNvPr id="166" name="Freeform 34"/>
                                <wps:cNvSpPr/>
                                <wps:spPr bwMode="auto">
                                  <a:xfrm>
                                    <a:off x="5085" y="8915"/>
                                    <a:ext cx="735" cy="325"/>
                                  </a:xfrm>
                                  <a:custGeom>
                                    <a:avLst/>
                                    <a:gdLst>
                                      <a:gd name="T0" fmla="*/ 0 w 735"/>
                                      <a:gd name="T1" fmla="*/ 325 h 325"/>
                                      <a:gd name="T2" fmla="*/ 300 w 735"/>
                                      <a:gd name="T3" fmla="*/ 16 h 325"/>
                                      <a:gd name="T4" fmla="*/ 465 w 735"/>
                                      <a:gd name="T5" fmla="*/ 226 h 325"/>
                                      <a:gd name="T6" fmla="*/ 735 w 735"/>
                                      <a:gd name="T7" fmla="*/ 1 h 325"/>
                                    </a:gdLst>
                                    <a:ahLst/>
                                    <a:cxnLst>
                                      <a:cxn ang="0">
                                        <a:pos x="T0" y="T1"/>
                                      </a:cxn>
                                      <a:cxn ang="0">
                                        <a:pos x="T2" y="T3"/>
                                      </a:cxn>
                                      <a:cxn ang="0">
                                        <a:pos x="T4" y="T5"/>
                                      </a:cxn>
                                      <a:cxn ang="0">
                                        <a:pos x="T6" y="T7"/>
                                      </a:cxn>
                                    </a:cxnLst>
                                    <a:rect l="0" t="0" r="r" b="b"/>
                                    <a:pathLst>
                                      <a:path w="735" h="325">
                                        <a:moveTo>
                                          <a:pt x="0" y="325"/>
                                        </a:moveTo>
                                        <a:cubicBezTo>
                                          <a:pt x="111" y="178"/>
                                          <a:pt x="223" y="32"/>
                                          <a:pt x="300" y="16"/>
                                        </a:cubicBezTo>
                                        <a:cubicBezTo>
                                          <a:pt x="377" y="0"/>
                                          <a:pt x="393" y="228"/>
                                          <a:pt x="465" y="226"/>
                                        </a:cubicBezTo>
                                        <a:cubicBezTo>
                                          <a:pt x="537" y="224"/>
                                          <a:pt x="636" y="112"/>
                                          <a:pt x="735" y="1"/>
                                        </a:cubicBezTo>
                                      </a:path>
                                    </a:pathLst>
                                  </a:custGeom>
                                  <a:noFill/>
                                  <a:ln w="9525">
                                    <a:solidFill>
                                      <a:srgbClr val="000000"/>
                                    </a:solidFill>
                                    <a:round/>
                                    <a:tailEnd type="triangle" w="med" len="med"/>
                                  </a:ln>
                                </wps:spPr>
                                <wps:bodyPr rot="0" vert="horz" wrap="square" lIns="91440" tIns="45720" rIns="91440" bIns="45720" anchor="t" anchorCtr="0" upright="1">
                                  <a:noAutofit/>
                                </wps:bodyPr>
                              </wps:wsp>
                            </wpg:wgp>
                            <wps:wsp>
                              <wps:cNvPr id="167" name="Text Box 37"/>
                              <wps:cNvSpPr txBox="1">
                                <a:spLocks noChangeArrowheads="1"/>
                              </wps:cNvSpPr>
                              <wps:spPr bwMode="auto">
                                <a:xfrm>
                                  <a:off x="2940050" y="241300"/>
                                  <a:ext cx="583565" cy="252095"/>
                                </a:xfrm>
                                <a:prstGeom prst="rect">
                                  <a:avLst/>
                                </a:prstGeom>
                                <a:solidFill>
                                  <a:srgbClr val="FFFFFF"/>
                                </a:solidFill>
                                <a:ln>
                                  <a:noFill/>
                                </a:ln>
                              </wps:spPr>
                              <wps:txbx>
                                <w:txbxContent>
                                  <w:p w14:paraId="65DDDC4D">
                                    <w:pPr>
                                      <w:rPr>
                                        <w:rFonts w:hint="default" w:eastAsia="宋体"/>
                                        <w:lang w:val="en-US" w:eastAsia="zh-CN"/>
                                      </w:rPr>
                                    </w:pPr>
                                    <w:r>
                                      <w:rPr>
                                        <w:rFonts w:hint="eastAsia" w:eastAsia="宋体"/>
                                        <w:lang w:val="en-US" w:eastAsia="zh-CN"/>
                                      </w:rPr>
                                      <w:t>0.2688</w:t>
                                    </w:r>
                                  </w:p>
                                </w:txbxContent>
                              </wps:txbx>
                              <wps:bodyPr rot="0" vert="horz" wrap="square" lIns="91440" tIns="45720" rIns="91440" bIns="45720" anchor="t" anchorCtr="0" upright="1">
                                <a:noAutofit/>
                              </wps:bodyPr>
                            </wps:wsp>
                            <wps:wsp>
                              <wps:cNvPr id="168" name="AutoShape 52"/>
                              <wps:cNvCnPr>
                                <a:cxnSpLocks noChangeShapeType="1"/>
                              </wps:cNvCnPr>
                              <wps:spPr bwMode="auto">
                                <a:xfrm flipV="1">
                                  <a:off x="941705" y="817880"/>
                                  <a:ext cx="342900" cy="5080"/>
                                </a:xfrm>
                                <a:prstGeom prst="straightConnector1">
                                  <a:avLst/>
                                </a:prstGeom>
                                <a:noFill/>
                                <a:ln w="9525">
                                  <a:solidFill>
                                    <a:srgbClr val="000000"/>
                                  </a:solidFill>
                                  <a:round/>
                                  <a:tailEnd type="triangle" w="med" len="med"/>
                                </a:ln>
                              </wps:spPr>
                              <wps:bodyPr/>
                            </wps:wsp>
                          </wpc:wpc>
                        </a:graphicData>
                      </a:graphic>
                    </wp:inline>
                  </w:drawing>
                </mc:Choice>
                <mc:Fallback>
                  <w:pict>
                    <v:group id="_x0000_s1026" o:spid="_x0000_s1026" o:spt="203" style="height:123.8pt;width:421.2pt;" coordsize="5349240,1572260" editas="canvas" o:gfxdata="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">
                      <o:lock v:ext="edit" aspectratio="f"/>
                      <v:shape id="_x0000_s1026" o:spid="_x0000_s1026" style="position:absolute;left:0;top:0;height:1572260;width:5349240;" filled="f" stroked="f" coordsize="21600,21600" o:gfxdata="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">
                        <v:fill on="f" focussize="0,0"/>
                        <v:stroke on="f"/>
                        <v:imagedata o:title=""/>
                        <o:lock v:ext="edit" aspectratio="t"/>
                      </v:shape>
                      <v:shape id="Text Box 36" o:spid="_x0000_s1026" o:spt="202" type="#_x0000_t202" style="position:absolute;left:1263650;top:905510;height:390525;width:457200;"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OR5FfV&#10;AAAABQEAAA8AAAAAAAAAAQAgAAAAIgAAAGRycy9kb3ducmV2LnhtbFBLAQIUABQAAAAIAIdO4kDr&#10;X7vnIwIAAEoEAAAOAAAAAAAAAAEAIAAAACQBAABkcnMvZTJvRG9jLnhtbFBLBQYAAAAABgAGAFkB&#10;AAC5BQAAAAA=&#10;">
                        <v:fill on="t" focussize="0,0"/>
                        <v:stroke on="f"/>
                        <v:imagedata o:title=""/>
                        <o:lock v:ext="edit" aspectratio="f"/>
                        <v:textbox>
                          <w:txbxContent>
                            <w:p w14:paraId="0A81C611">
                              <w:pPr>
                                <w:rPr>
                                  <w:rFonts w:hint="default" w:eastAsia="宋体"/>
                                  <w:lang w:val="en-US" w:eastAsia="zh-CN"/>
                                </w:rPr>
                              </w:pPr>
                              <w:r>
                                <w:rPr>
                                  <w:rFonts w:hint="eastAsia"/>
                                  <w:lang w:val="en-US" w:eastAsia="zh-CN"/>
                                </w:rPr>
                                <w:t>0.8</w:t>
                              </w:r>
                            </w:p>
                          </w:txbxContent>
                        </v:textbox>
                      </v:shape>
                      <v:shape id="Text Box 37" o:spid="_x0000_s1026" o:spt="202" type="#_x0000_t202" style="position:absolute;left:1268730;top:288925;height:390525;width:640080;"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OR&#10;5FfVAAAABQEAAA8AAAAAAAAAAQAgAAAAIgAAAGRycy9kb3ducmV2LnhtbFBLAQIUABQAAAAIAIdO&#10;4kDgPZIwJgIAAEoEAAAOAAAAAAAAAAEAIAAAACQBAABkcnMvZTJvRG9jLnhtbFBLBQYAAAAABgAG&#10;AFkBAAC8BQAAAAA=&#10;">
                        <v:fill on="t" focussize="0,0"/>
                        <v:stroke on="f"/>
                        <v:imagedata o:title=""/>
                        <o:lock v:ext="edit" aspectratio="f"/>
                        <v:textbox>
                          <w:txbxContent>
                            <w:p w14:paraId="42868A00">
                              <w:pPr>
                                <w:rPr>
                                  <w:rFonts w:hint="default" w:eastAsia="宋体"/>
                                  <w:lang w:val="en-US" w:eastAsia="zh-CN"/>
                                </w:rPr>
                              </w:pPr>
                              <w:r>
                                <w:rPr>
                                  <w:rFonts w:hint="eastAsia"/>
                                  <w:lang w:val="en-US" w:eastAsia="zh-CN"/>
                                </w:rPr>
                                <w:t>0.336</w:t>
                              </w:r>
                            </w:p>
                          </w:txbxContent>
                        </v:textbox>
                      </v:shape>
                      <v:shape id="Text Box 38" o:spid="_x0000_s1026" o:spt="202" type="#_x0000_t202" style="position:absolute;left:796925;top:459105;height:390525;width:551815;"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OR&#10;5FfVAAAABQEAAA8AAAAAAAAAAQAgAAAAIgAAAGRycy9kb3ducmV2LnhtbFBLAQIUABQAAAAIAIdO&#10;4kAoJ2wSJgIAAEkEAAAOAAAAAAAAAAEAIAAAACQBAABkcnMvZTJvRG9jLnhtbFBLBQYAAAAABgAG&#10;AFkBAAC8BQAAAAA=&#10;">
                        <v:fill on="t" focussize="0,0"/>
                        <v:stroke on="f"/>
                        <v:imagedata o:title=""/>
                        <o:lock v:ext="edit" aspectratio="f"/>
                        <v:textbox>
                          <w:txbxContent>
                            <w:p w14:paraId="6EE3C347">
                              <w:pPr>
                                <w:rPr>
                                  <w:rFonts w:hint="default" w:eastAsia="宋体"/>
                                  <w:lang w:val="en-US" w:eastAsia="zh-CN"/>
                                </w:rPr>
                              </w:pPr>
                              <w:r>
                                <w:rPr>
                                  <w:rFonts w:hint="eastAsia"/>
                                  <w:lang w:val="en-US" w:eastAsia="zh-CN"/>
                                </w:rPr>
                                <w:t>1.136</w:t>
                              </w:r>
                            </w:p>
                          </w:txbxContent>
                        </v:textbox>
                      </v:shape>
                      <v:shape id="Text Box 39" o:spid="_x0000_s1026" o:spt="202" type="#_x0000_t202" style="position:absolute;left:109220;top:677545;height:304165;width:839470;"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3ao2DWAAAABQEAAA8AAAAAAAAAAQAgAAAAIgAAAGRycy9kb3du&#10;cmV2LnhtbFBLAQIUABQAAAAIAIdO4kBoOCuQOgIAAJIEAAAOAAAAAAAAAAEAIAAAACUBAABkcnMv&#10;ZTJvRG9jLnhtbFBLBQYAAAAABgAGAFkBAADRBQAAAAA=&#10;">
                        <v:fill on="t" focussize="0,0"/>
                        <v:stroke color="#000000" miterlimit="8" joinstyle="miter"/>
                        <v:imagedata o:title=""/>
                        <o:lock v:ext="edit" aspectratio="f"/>
                        <v:textbox>
                          <w:txbxContent>
                            <w:p w14:paraId="11F15705">
                              <w:pPr>
                                <w:jc w:val="center"/>
                                <w:rPr>
                                  <w:rFonts w:hint="eastAsia" w:eastAsia="宋体"/>
                                  <w:lang w:eastAsia="zh-CN"/>
                                </w:rPr>
                              </w:pPr>
                              <w:r>
                                <w:rPr>
                                  <w:rFonts w:hint="eastAsia"/>
                                  <w:lang w:eastAsia="zh-CN"/>
                                </w:rPr>
                                <w:t>厂房供水</w:t>
                              </w:r>
                            </w:p>
                          </w:txbxContent>
                        </v:textbox>
                      </v:shape>
                      <v:shape id="AutoShape 40" o:spid="_x0000_s1026" o:spt="32" type="#_x0000_t32" style="position:absolute;left:1908810;top:484505;height:4445;width:314325;" filled="f" stroked="t" coordsize="21600,21600" o:gfxdata="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R7gu21gAAAAUBAAAPAAAAAAAAAAEAIAAAACIAAABkcnMvZG93bnJldi54bWxQSwECFAAUAAAA&#10;CACHTuJA5bBf3/ABAADcAwAADgAAAAAAAAABACAAAAAlAQAAZHJzL2Uyb0RvYy54bWxQSwUGAAAA&#10;AAYABgBZAQAAhwUAAAAA&#10;">
                        <v:fill on="f" focussize="0,0"/>
                        <v:stroke color="#000000" joinstyle="round"/>
                        <v:imagedata o:title=""/>
                        <o:lock v:ext="edit" aspectratio="f"/>
                      </v:shape>
                      <v:shape id="AutoShape 41" o:spid="_x0000_s1026" o:spt="32" type="#_x0000_t32" style="position:absolute;left:1263015;top:543560;flip:x;height:590550;width:635;" filled="f" stroked="t" coordsize="21600,21600" o:gfxdata="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sPp+B&#10;1QAAAAUBAAAPAAAAAAAAAAEAIAAAACIAAABkcnMvZG93bnJldi54bWxQSwECFAAUAAAACACHTuJA&#10;1T0iYesBAADLAwAADgAAAAAAAAABACAAAAAkAQAAZHJzL2Uyb0RvYy54bWxQSwUGAAAAAAYABgBZ&#10;AQAAgQUAAAAA&#10;">
                        <v:fill on="f" focussize="0,0"/>
                        <v:stroke color="#000000" joinstyle="round"/>
                        <v:imagedata o:title=""/>
                        <o:lock v:ext="edit" aspectratio="f"/>
                      </v:shape>
                      <v:shape id="AutoShape 42" o:spid="_x0000_s1026" o:spt="32" type="#_x0000_t32" style="position:absolute;left:1263650;top:543560;height:635;width:618490;" filled="f" stroked="t" coordsize="21600,21600" o:gfxdata="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qYXrWAAAABQEAAA8AAAAAAAAAAQAgAAAAIgAAAGRycy9kb3ducmV2&#10;LnhtbFBLAQIUABQAAAAIAIdO4kCBMDEl/gEAAO8DAAAOAAAAAAAAAAEAIAAAACUBAABkcnMvZTJv&#10;RG9jLnhtbFBLBQYAAAAABgAGAFkBAACVBQAAAAA=&#10;">
                        <v:fill on="f" focussize="0,0"/>
                        <v:stroke color="#000000" joinstyle="round" endarrow="block"/>
                        <v:imagedata o:title=""/>
                        <o:lock v:ext="edit" aspectratio="f"/>
                      </v:shape>
                      <v:shape id="AutoShape 43" o:spid="_x0000_s1026" o:spt="32" type="#_x0000_t32" style="position:absolute;left:1263015;top:1134110;height:635;width:619125;" filled="f" stroked="t" coordsize="21600,21600" o:gfxdata="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SphetYAAAAFAQAADwAAAAAAAAABACAAAAAiAAAAZHJzL2Rvd25yZXYu&#10;eG1sUEsBAhQAFAAAAAgAh07iQJOMTKr9AQAA8AMAAA4AAAAAAAAAAQAgAAAAJQEAAGRycy9lMm9E&#10;b2MueG1sUEsFBgAAAAAGAAYAWQEAAJQFAAAAAA==&#10;">
                        <v:fill on="f" focussize="0,0"/>
                        <v:stroke color="#000000" joinstyle="round" endarrow="block"/>
                        <v:imagedata o:title=""/>
                        <o:lock v:ext="edit" aspectratio="f"/>
                      </v:shape>
                      <v:shape id="Text Box 44" o:spid="_x0000_s1026" o:spt="202" type="#_x0000_t202" style="position:absolute;left:1882140;top:410210;height:276225;width:1042035;"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dqjYNYAAAAFAQAADwAAAAAAAAABACAAAAAiAAAAZHJzL2Rvd25y&#10;ZXYueG1sUEsBAhQAFAAAAAgAh07iQLdC5845AgAAlAQAAA4AAAAAAAAAAQAgAAAAJQEAAGRycy9l&#10;Mm9Eb2MueG1sUEsFBgAAAAAGAAYAWQEAANAFAAAAAA==&#10;">
                        <v:fill on="t" focussize="0,0"/>
                        <v:stroke color="#000000" miterlimit="8" joinstyle="miter"/>
                        <v:imagedata o:title=""/>
                        <o:lock v:ext="edit" aspectratio="f"/>
                        <v:textbox>
                          <w:txbxContent>
                            <w:p w14:paraId="60B42EE6">
                              <w:pPr>
                                <w:jc w:val="center"/>
                              </w:pPr>
                              <w:r>
                                <w:rPr>
                                  <w:rFonts w:hint="eastAsia"/>
                                  <w:lang w:eastAsia="zh-CN"/>
                                </w:rPr>
                                <w:t>职工</w:t>
                              </w:r>
                              <w:r>
                                <w:t>生活用水</w:t>
                              </w:r>
                            </w:p>
                          </w:txbxContent>
                        </v:textbox>
                      </v:shape>
                      <v:shape id="AutoShape 48" o:spid="_x0000_s1026" o:spt="32" type="#_x0000_t32" style="position:absolute;left:2914015;top:557530;flip:y;height:2540;width:444500;" filled="f" stroked="t" coordsize="21600,21600" o:gfxdata="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bZJBNYAAAAFAQAADwAAAAAAAAABACAAAAAiAAAAZHJz&#10;L2Rvd25yZXYueG1sUEsBAhQAFAAAAAgAh07iQGigN5AGAgAA+gMAAA4AAAAAAAAAAQAgAAAAJQEA&#10;AGRycy9lMm9Eb2MueG1sUEsFBgAAAAAGAAYAWQEAAJ0FAAAAAA==&#10;">
                        <v:fill on="f" focussize="0,0"/>
                        <v:stroke color="#000000" joinstyle="round" endarrow="block"/>
                        <v:imagedata o:title=""/>
                        <o:lock v:ext="edit" aspectratio="f"/>
                      </v:shape>
                      <v:shape id="Text Box 49" o:spid="_x0000_s1026" o:spt="202" type="#_x0000_t202" style="position:absolute;left:3358515;top:410210;height:276225;width:789305;"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t2qNg1gAAAAUBAAAPAAAAAAAAAAEAIAAAACIAAABkcnMvZG93&#10;bnJldi54bWxQSwECFAAUAAAACACHTuJAPqjLKjsCAACTBAAADgAAAAAAAAABACAAAAAlAQAAZHJz&#10;L2Uyb0RvYy54bWxQSwUGAAAAAAYABgBZAQAA0gUAAAAA&#10;">
                        <v:fill on="t" focussize="0,0"/>
                        <v:stroke color="#000000" miterlimit="8" joinstyle="miter"/>
                        <v:imagedata o:title=""/>
                        <o:lock v:ext="edit" aspectratio="f"/>
                        <v:textbox>
                          <w:txbxContent>
                            <w:p w14:paraId="18296B97">
                              <w:pPr>
                                <w:jc w:val="center"/>
                              </w:pPr>
                              <w:r>
                                <w:rPr>
                                  <w:rFonts w:hint="eastAsia"/>
                                </w:rPr>
                                <w:t>化粪池</w:t>
                              </w:r>
                            </w:p>
                          </w:txbxContent>
                        </v:textbox>
                      </v:shape>
                      <v:shape id="Text Box 50" o:spid="_x0000_s1026" o:spt="202" type="#_x0000_t202" style="position:absolute;left:1872615;top:1000760;height:276225;width:904875;"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3ao2DWAAAABQEAAA8AAAAAAAAAAQAgAAAAIgAAAGRycy9kb3du&#10;cmV2LnhtbFBLAQIUABQAAAAIAIdO4kDGKwHnOgIAAJQEAAAOAAAAAAAAAAEAIAAAACUBAABkcnMv&#10;ZTJvRG9jLnhtbFBLBQYAAAAABgAGAFkBAADRBQAAAAA=&#10;">
                        <v:fill on="t" focussize="0,0"/>
                        <v:stroke color="#000000" miterlimit="8" joinstyle="miter"/>
                        <v:imagedata o:title=""/>
                        <o:lock v:ext="edit" aspectratio="f"/>
                        <v:textbox>
                          <w:txbxContent>
                            <w:p w14:paraId="4C08D0E2">
                              <w:pPr>
                                <w:jc w:val="center"/>
                              </w:pPr>
                              <w:r>
                                <w:rPr>
                                  <w:rFonts w:hint="eastAsia"/>
                                </w:rPr>
                                <w:t>循环冷却水</w:t>
                              </w:r>
                            </w:p>
                          </w:txbxContent>
                        </v:textbox>
                      </v:shape>
                      <v:shape id="AutoShape 51" o:spid="_x0000_s1026" o:spt="35" type="#_x0000_t35" style="position:absolute;left:2325370;top:1139190;flip:x;height:137795;width:452120;" filled="f" stroked="t" coordsize="21600,21600" o:gfxdata="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LU5Nz/UAAAABQEAAA8AAAAAAAAAAQAgAAAA&#10;IgAAAGRycy9kb3ducmV2LnhtbFBLAQIUABQAAAAIAIdO4kBtH53RSAIAAI4EAAAOAAAAAAAAAAEA&#10;IAAAACMBAABkcnMvZTJvRG9jLnhtbFBLBQYAAAAABgAGAFkBAADdBQAAAAA=&#10;" adj="-10891,57335">
                        <v:fill on="f" focussize="0,0"/>
                        <v:stroke color="#000000" miterlimit="8" joinstyle="miter" endarrow="block"/>
                        <v:imagedata o:title=""/>
                        <o:lock v:ext="edit" aspectratio="f"/>
                      </v:shape>
                      <v:shape id="AutoShape 52" o:spid="_x0000_s1026" o:spt="32" type="#_x0000_t32" style="position:absolute;left:4147820;top:543560;flip:y;height:5080;width:342900;" filled="f" stroked="t" coordsize="21600,21600" o:gfxdata="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1tkkE1gAAAAUB&#10;AAAPAAAAAAAAAAEAIAAAACIAAABkcnMvZG93bnJldi54bWxQSwECFAAUAAAACACHTuJAzJ5aRx0C&#10;AAAvBAAADgAAAAAAAAABACAAAAAlAQAAZHJzL2Uyb0RvYy54bWxQSwUGAAAAAAYABgBZAQAAtAUA&#10;AAAA&#10;">
                        <v:fill on="f" focussize="0,0"/>
                        <v:stroke color="#000000" joinstyle="round" endarrow="block"/>
                        <v:imagedata o:title=""/>
                        <o:lock v:ext="edit" aspectratio="f"/>
                      </v:shape>
                      <v:shape id="Text Box 53" o:spid="_x0000_s1026" o:spt="202" type="#_x0000_t202" style="position:absolute;left:4490720;top:401320;height:283845;width:760730;"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3ao2DWAAAABQEAAA8AAAAAAAAAAQAgAAAAIgAAAGRycy9kb3du&#10;cmV2LnhtbFBLAQIUABQAAAAIAIdO4kATAmRIOgIAAJMEAAAOAAAAAAAAAAEAIAAAACUBAABkcnMv&#10;ZTJvRG9jLnhtbFBLBQYAAAAABgAGAFkBAADRBQAAAAA=&#10;">
                        <v:fill on="t" focussize="0,0"/>
                        <v:stroke color="#000000" miterlimit="8" joinstyle="miter"/>
                        <v:imagedata o:title=""/>
                        <o:lock v:ext="edit" aspectratio="f"/>
                        <v:textbox>
                          <w:txbxContent>
                            <w:p w14:paraId="1E12FA8F">
                              <w:pPr>
                                <w:jc w:val="both"/>
                                <w:rPr>
                                  <w:rFonts w:hint="eastAsia" w:eastAsia="宋体"/>
                                  <w:lang w:eastAsia="zh-CN"/>
                                </w:rPr>
                              </w:pPr>
                              <w:r>
                                <w:rPr>
                                  <w:rFonts w:hint="eastAsia"/>
                                  <w:lang w:eastAsia="zh-CN"/>
                                </w:rPr>
                                <w:t>定期清掏</w:t>
                              </w:r>
                            </w:p>
                          </w:txbxContent>
                        </v:textbox>
                      </v:shape>
                      <v:group id="Group 32" o:spid="_x0000_s1026" o:spt="203" style="position:absolute;left:2326640;top:26035;height:383540;width:1299210;" coordorigin="5085,8636" coordsize="2046,604" o:gfxdata="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">
                        <o:lock v:ext="edit" aspectratio="f"/>
                        <v:shape id="Text Box 33" o:spid="_x0000_s1026" o:spt="202" type="#_x0000_t202" style="position:absolute;left:5493;top:8636;height:535;width:1638;" fillcolor="#FFFFFF" filled="t" stroked="f" coordsize="21600,21600" o:gfxdata="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Eag6ktwAAANwAAAAP&#10;AAAAAAAAAAEAIAAAACIAAABkcnMvZG93bnJldi54bWxQSwECFAAUAAAACACHTuJAMy8FnjsAAAA5&#10;AAAAEAAAAAAAAAABACAAAAAGAQAAZHJzL3NoYXBleG1sLnhtbFBLBQYAAAAABgAGAFsBAACwAwAA&#10;AAA=&#10;">
                          <v:fill on="t" focussize="0,0"/>
                          <v:stroke on="f"/>
                          <v:imagedata o:title=""/>
                          <o:lock v:ext="edit" aspectratio="f"/>
                          <v:textbox>
                            <w:txbxContent>
                              <w:p w14:paraId="7E93BA4D">
                                <w:pPr>
                                  <w:rPr>
                                    <w:rFonts w:hint="default" w:eastAsia="宋体"/>
                                    <w:lang w:val="en-US" w:eastAsia="zh-CN"/>
                                  </w:rPr>
                                </w:pPr>
                                <w:r>
                                  <w:t>损耗</w:t>
                                </w:r>
                                <w:r>
                                  <w:rPr>
                                    <w:rFonts w:hint="eastAsia"/>
                                    <w:lang w:val="en-US" w:eastAsia="zh-CN"/>
                                  </w:rPr>
                                  <w:t>0.0672</w:t>
                                </w:r>
                              </w:p>
                            </w:txbxContent>
                          </v:textbox>
                        </v:shape>
                        <v:shape id="Freeform 34" o:spid="_x0000_s1026" o:spt="100" style="position:absolute;left:5085;top:8915;height:325;width:735;" filled="f" stroked="t" coordsize="735,325" o:gfxdata="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h+PjugAAANwA&#10;AAAPAAAAAAAAAAEAIAAAACIAAABkcnMvZG93bnJldi54bWxQSwECFAAUAAAACACHTuJAMy8FnjsA&#10;AAA5AAAAEAAAAAAAAAABACAAAAAJAQAAZHJzL3NoYXBleG1sLnhtbFBLBQYAAAAABgAGAFsBAACz&#10;AwAAAAA=&#10;" path="m0,325c111,178,223,32,300,16c377,0,393,228,465,226c537,224,636,112,735,1e">
                          <v:path o:connectlocs="0,325;300,16;465,226;735,1" o:connectangles="0,0,0,0"/>
                          <v:fill on="f" focussize="0,0"/>
                          <v:stroke color="#000000" joinstyle="round" endarrow="block"/>
                          <v:imagedata o:title=""/>
                          <o:lock v:ext="edit" aspectratio="f"/>
                        </v:shape>
                      </v:group>
                      <v:shape id="Text Box 37" o:spid="_x0000_s1026" o:spt="202" type="#_x0000_t202" style="position:absolute;left:2940050;top:241300;height:252095;width:583565;"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j&#10;keRX1QAAAAUBAAAPAAAAAAAAAAEAIAAAACIAAABkcnMvZG93bnJldi54bWxQSwECFAAUAAAACACH&#10;TuJAyJgWbycCAABKBAAADgAAAAAAAAABACAAAAAkAQAAZHJzL2Uyb0RvYy54bWxQSwUGAAAAAAYA&#10;BgBZAQAAvQUAAAAA&#10;">
                        <v:fill on="t" focussize="0,0"/>
                        <v:stroke on="f"/>
                        <v:imagedata o:title=""/>
                        <o:lock v:ext="edit" aspectratio="f"/>
                        <v:textbox>
                          <w:txbxContent>
                            <w:p w14:paraId="65DDDC4D">
                              <w:pPr>
                                <w:rPr>
                                  <w:rFonts w:hint="default" w:eastAsia="宋体"/>
                                  <w:lang w:val="en-US" w:eastAsia="zh-CN"/>
                                </w:rPr>
                              </w:pPr>
                              <w:r>
                                <w:rPr>
                                  <w:rFonts w:hint="eastAsia" w:eastAsia="宋体"/>
                                  <w:lang w:val="en-US" w:eastAsia="zh-CN"/>
                                </w:rPr>
                                <w:t>0.2688</w:t>
                              </w:r>
                            </w:p>
                          </w:txbxContent>
                        </v:textbox>
                      </v:shape>
                      <v:shape id="AutoShape 52" o:spid="_x0000_s1026" o:spt="32" type="#_x0000_t32" style="position:absolute;left:941705;top:817880;flip:y;height:5080;width:342900;" filled="f" stroked="t" coordsize="21600,21600" o:gfxdata="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1tkkE1gAAAAUBAAAPAAAAAAAAAAEAIAAAACIAAABkcnMv&#10;ZG93bnJldi54bWxQSwECFAAUAAAACACHTuJAQ6nWPwUCAAD5AwAADgAAAAAAAAABACAAAAAlAQAA&#10;ZHJzL2Uyb0RvYy54bWxQSwUGAAAAAAYABgBZAQAAnAUAAAAA&#10;">
                        <v:fill on="f" focussize="0,0"/>
                        <v:stroke color="#000000" joinstyle="round" endarrow="block"/>
                        <v:imagedata o:title=""/>
                        <o:lock v:ext="edit" aspectratio="f"/>
                      </v:shape>
                      <w10:wrap type="none"/>
                      <w10:anchorlock/>
                    </v:group>
                  </w:pict>
                </mc:Fallback>
              </mc:AlternateContent>
            </w:r>
          </w:p>
          <w:p w14:paraId="205161C9">
            <w:pPr>
              <w:adjustRightInd w:val="0"/>
              <w:snapToGrid w:val="0"/>
              <w:spacing w:line="360" w:lineRule="auto"/>
              <w:jc w:val="center"/>
              <w:rPr>
                <w:rFonts w:hint="default" w:ascii="Times New Roman" w:hAnsi="Times New Roman" w:cs="Times New Roman" w:eastAsiaTheme="majorEastAsia"/>
                <w:b/>
                <w:color w:val="auto"/>
                <w:sz w:val="21"/>
                <w:szCs w:val="21"/>
                <w:highlight w:val="none"/>
                <w:lang w:val="en-US" w:eastAsia="zh-CN"/>
              </w:rPr>
            </w:pPr>
            <w:r>
              <w:rPr>
                <w:rFonts w:hint="default" w:ascii="Times New Roman" w:hAnsi="Times New Roman" w:cs="Times New Roman" w:eastAsiaTheme="majorEastAsia"/>
                <w:b/>
                <w:color w:val="auto"/>
                <w:sz w:val="21"/>
                <w:szCs w:val="21"/>
                <w:highlight w:val="none"/>
                <w:lang w:val="en-US" w:eastAsia="zh-CN"/>
              </w:rPr>
              <w:t>图2-1  水平衡图（m</w:t>
            </w:r>
            <w:r>
              <w:rPr>
                <w:rFonts w:hint="default" w:ascii="Times New Roman" w:hAnsi="Times New Roman" w:cs="Times New Roman" w:eastAsiaTheme="majorEastAsia"/>
                <w:b/>
                <w:color w:val="auto"/>
                <w:sz w:val="21"/>
                <w:szCs w:val="21"/>
                <w:highlight w:val="none"/>
                <w:vertAlign w:val="superscript"/>
                <w:lang w:val="en-US" w:eastAsia="zh-CN"/>
              </w:rPr>
              <w:t>3</w:t>
            </w:r>
            <w:r>
              <w:rPr>
                <w:rFonts w:hint="default" w:ascii="Times New Roman" w:hAnsi="Times New Roman" w:cs="Times New Roman" w:eastAsiaTheme="majorEastAsia"/>
                <w:b/>
                <w:color w:val="auto"/>
                <w:sz w:val="21"/>
                <w:szCs w:val="21"/>
                <w:highlight w:val="none"/>
                <w:lang w:val="en-US" w:eastAsia="zh-CN"/>
              </w:rPr>
              <w:t>/d）</w:t>
            </w:r>
          </w:p>
          <w:p w14:paraId="16C9DADE">
            <w:pPr>
              <w:keepNext w:val="0"/>
              <w:keepLines w:val="0"/>
              <w:pageBreakBefore w:val="0"/>
              <w:widowControl w:val="0"/>
              <w:kinsoku/>
              <w:wordWrap/>
              <w:overflowPunct/>
              <w:topLinePunct w:val="0"/>
              <w:autoSpaceDE w:val="0"/>
              <w:autoSpaceDN w:val="0"/>
              <w:bidi w:val="0"/>
              <w:adjustRightInd w:val="0"/>
              <w:snapToGrid w:val="0"/>
              <w:spacing w:line="520" w:lineRule="exact"/>
              <w:ind w:firstLine="482"/>
              <w:jc w:val="both"/>
              <w:rPr>
                <w:rFonts w:hint="default" w:ascii="Times New Roman" w:hAnsi="Times New Roman" w:cs="Times New Roman"/>
                <w:b/>
                <w:color w:val="auto"/>
                <w:sz w:val="24"/>
                <w:szCs w:val="22"/>
                <w:highlight w:val="none"/>
              </w:rPr>
            </w:pPr>
            <w:r>
              <w:rPr>
                <w:rFonts w:hint="default" w:ascii="Times New Roman" w:hAnsi="Times New Roman" w:cs="Times New Roman"/>
                <w:b/>
                <w:color w:val="auto"/>
                <w:sz w:val="24"/>
                <w:szCs w:val="22"/>
                <w:highlight w:val="none"/>
              </w:rPr>
              <w:t>2、供电</w:t>
            </w:r>
          </w:p>
          <w:p w14:paraId="3B37289A">
            <w:pPr>
              <w:keepNext w:val="0"/>
              <w:keepLines w:val="0"/>
              <w:pageBreakBefore w:val="0"/>
              <w:widowControl w:val="0"/>
              <w:kinsoku/>
              <w:wordWrap/>
              <w:overflowPunct/>
              <w:topLinePunct w:val="0"/>
              <w:bidi w:val="0"/>
              <w:spacing w:line="520" w:lineRule="exact"/>
              <w:ind w:firstLine="480"/>
              <w:jc w:val="both"/>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项目供电</w:t>
            </w:r>
            <w:r>
              <w:rPr>
                <w:rFonts w:hint="eastAsia" w:cs="Times New Roman"/>
                <w:color w:val="auto"/>
                <w:sz w:val="24"/>
                <w:szCs w:val="22"/>
                <w:highlight w:val="none"/>
                <w:lang w:eastAsia="zh-CN"/>
              </w:rPr>
              <w:t>由市政供电管网提供</w:t>
            </w:r>
            <w:r>
              <w:rPr>
                <w:rFonts w:hint="default" w:ascii="Times New Roman" w:hAnsi="Times New Roman" w:cs="Times New Roman"/>
                <w:color w:val="auto"/>
                <w:sz w:val="24"/>
                <w:szCs w:val="22"/>
                <w:highlight w:val="none"/>
              </w:rPr>
              <w:t>，</w:t>
            </w:r>
            <w:r>
              <w:rPr>
                <w:rFonts w:hint="default" w:ascii="Times New Roman" w:hAnsi="Times New Roman" w:cs="Times New Roman"/>
                <w:color w:val="auto"/>
                <w:sz w:val="24"/>
                <w:szCs w:val="32"/>
                <w:highlight w:val="none"/>
              </w:rPr>
              <w:t>可保证全厂生产、生活用电</w:t>
            </w:r>
            <w:r>
              <w:rPr>
                <w:rFonts w:hint="default" w:ascii="Times New Roman" w:hAnsi="Times New Roman" w:cs="Times New Roman"/>
                <w:color w:val="auto"/>
                <w:sz w:val="24"/>
                <w:szCs w:val="22"/>
                <w:highlight w:val="none"/>
              </w:rPr>
              <w:t>负荷。</w:t>
            </w:r>
          </w:p>
          <w:p w14:paraId="7755CDD8">
            <w:pPr>
              <w:keepNext w:val="0"/>
              <w:keepLines w:val="0"/>
              <w:pageBreakBefore w:val="0"/>
              <w:widowControl w:val="0"/>
              <w:kinsoku/>
              <w:wordWrap/>
              <w:overflowPunct/>
              <w:topLinePunct w:val="0"/>
              <w:bidi w:val="0"/>
              <w:spacing w:line="520" w:lineRule="exact"/>
              <w:ind w:firstLine="482"/>
              <w:jc w:val="both"/>
              <w:rPr>
                <w:rFonts w:hint="default" w:ascii="Times New Roman" w:hAnsi="Times New Roman" w:cs="Times New Roman"/>
                <w:b/>
                <w:color w:val="auto"/>
                <w:sz w:val="24"/>
                <w:szCs w:val="22"/>
                <w:highlight w:val="none"/>
              </w:rPr>
            </w:pPr>
            <w:r>
              <w:rPr>
                <w:rFonts w:hint="default" w:ascii="Times New Roman" w:hAnsi="Times New Roman" w:cs="Times New Roman"/>
                <w:b/>
                <w:color w:val="auto"/>
                <w:sz w:val="24"/>
                <w:szCs w:val="22"/>
                <w:highlight w:val="none"/>
              </w:rPr>
              <w:t>3、供热</w:t>
            </w:r>
          </w:p>
          <w:p w14:paraId="2013AA51">
            <w:pPr>
              <w:keepNext w:val="0"/>
              <w:keepLines w:val="0"/>
              <w:pageBreakBefore w:val="0"/>
              <w:widowControl w:val="0"/>
              <w:kinsoku/>
              <w:wordWrap/>
              <w:overflowPunct/>
              <w:topLinePunct w:val="0"/>
              <w:bidi w:val="0"/>
              <w:spacing w:line="520" w:lineRule="exact"/>
              <w:ind w:firstLine="480"/>
              <w:jc w:val="both"/>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本项目厂房不供暖，</w:t>
            </w:r>
            <w:r>
              <w:rPr>
                <w:rFonts w:hint="eastAsia" w:ascii="Times New Roman" w:hAnsi="Times New Roman" w:eastAsia="宋体" w:cs="Times New Roman"/>
                <w:color w:val="auto"/>
                <w:sz w:val="24"/>
                <w:szCs w:val="22"/>
                <w:highlight w:val="none"/>
                <w:lang w:eastAsia="zh-CN"/>
              </w:rPr>
              <w:t>办公、</w:t>
            </w:r>
            <w:r>
              <w:rPr>
                <w:rFonts w:hint="default" w:ascii="Times New Roman" w:hAnsi="Times New Roman" w:eastAsia="宋体" w:cs="Times New Roman"/>
                <w:color w:val="auto"/>
                <w:sz w:val="24"/>
                <w:szCs w:val="22"/>
                <w:highlight w:val="none"/>
              </w:rPr>
              <w:t>生活供暖采用空调提供。</w:t>
            </w:r>
          </w:p>
          <w:p w14:paraId="42B35389">
            <w:pPr>
              <w:keepNext w:val="0"/>
              <w:keepLines w:val="0"/>
              <w:pageBreakBefore w:val="0"/>
              <w:widowControl w:val="0"/>
              <w:kinsoku/>
              <w:wordWrap/>
              <w:overflowPunct/>
              <w:topLinePunct w:val="0"/>
              <w:bidi w:val="0"/>
              <w:spacing w:line="520" w:lineRule="exact"/>
              <w:jc w:val="both"/>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lang w:eastAsia="zh-CN"/>
              </w:rPr>
              <w:t>七、</w:t>
            </w:r>
            <w:r>
              <w:rPr>
                <w:rFonts w:ascii="Times New Roman" w:hAnsi="Times New Roman" w:eastAsia="宋体" w:cs="Times New Roman"/>
                <w:b/>
                <w:color w:val="auto"/>
                <w:sz w:val="24"/>
                <w:highlight w:val="none"/>
              </w:rPr>
              <w:t>劳动定员及工作制度</w:t>
            </w:r>
          </w:p>
          <w:p w14:paraId="49224236">
            <w:pPr>
              <w:keepNext w:val="0"/>
              <w:keepLines w:val="0"/>
              <w:pageBreakBefore w:val="0"/>
              <w:widowControl w:val="0"/>
              <w:kinsoku/>
              <w:wordWrap/>
              <w:overflowPunct/>
              <w:topLinePunct w:val="0"/>
              <w:bidi w:val="0"/>
              <w:spacing w:line="520" w:lineRule="exact"/>
              <w:ind w:firstLine="480"/>
              <w:jc w:val="both"/>
              <w:rPr>
                <w:rFonts w:hint="eastAsia" w:ascii="Times New Roman" w:hAnsi="Times New Roman" w:cs="Times New Roman"/>
                <w:color w:val="auto"/>
                <w:sz w:val="24"/>
                <w:szCs w:val="22"/>
                <w:highlight w:val="none"/>
                <w:lang w:eastAsia="zh-CN"/>
              </w:rPr>
            </w:pPr>
            <w:r>
              <w:rPr>
                <w:rFonts w:hint="eastAsia" w:ascii="Times New Roman" w:hAnsi="Times New Roman" w:cs="Times New Roman"/>
                <w:color w:val="auto"/>
                <w:sz w:val="24"/>
                <w:szCs w:val="22"/>
                <w:highlight w:val="none"/>
                <w:lang w:eastAsia="zh-CN"/>
              </w:rPr>
              <w:t>根据企业提供的资料，本项目拟设置职工</w:t>
            </w:r>
            <w:r>
              <w:rPr>
                <w:rFonts w:hint="eastAsia" w:ascii="Times New Roman" w:hAnsi="Times New Roman" w:cs="Times New Roman"/>
                <w:color w:val="auto"/>
                <w:sz w:val="24"/>
                <w:szCs w:val="22"/>
                <w:highlight w:val="none"/>
                <w:lang w:val="en-US" w:eastAsia="zh-CN"/>
              </w:rPr>
              <w:t>8</w:t>
            </w:r>
            <w:r>
              <w:rPr>
                <w:rFonts w:hint="eastAsia" w:ascii="Times New Roman" w:hAnsi="Times New Roman" w:cs="Times New Roman"/>
                <w:color w:val="auto"/>
                <w:sz w:val="24"/>
                <w:szCs w:val="22"/>
                <w:highlight w:val="none"/>
                <w:lang w:eastAsia="zh-CN"/>
              </w:rPr>
              <w:t>人，两班制，全年工作</w:t>
            </w:r>
            <w:r>
              <w:rPr>
                <w:rFonts w:hint="eastAsia" w:ascii="Times New Roman" w:hAnsi="Times New Roman" w:cs="Times New Roman"/>
                <w:color w:val="auto"/>
                <w:sz w:val="24"/>
                <w:szCs w:val="22"/>
                <w:highlight w:val="none"/>
                <w:lang w:val="en-US" w:eastAsia="zh-CN"/>
              </w:rPr>
              <w:t>150</w:t>
            </w:r>
            <w:r>
              <w:rPr>
                <w:rFonts w:hint="eastAsia" w:ascii="Times New Roman" w:hAnsi="Times New Roman" w:cs="Times New Roman"/>
                <w:color w:val="auto"/>
                <w:sz w:val="24"/>
                <w:szCs w:val="22"/>
                <w:highlight w:val="none"/>
                <w:lang w:eastAsia="zh-CN"/>
              </w:rPr>
              <w:t>天，员工不在厂区食宿。</w:t>
            </w:r>
          </w:p>
          <w:p w14:paraId="0B9D907F">
            <w:pPr>
              <w:keepNext w:val="0"/>
              <w:keepLines w:val="0"/>
              <w:pageBreakBefore w:val="0"/>
              <w:widowControl w:val="0"/>
              <w:numPr>
                <w:ilvl w:val="0"/>
                <w:numId w:val="0"/>
              </w:numPr>
              <w:kinsoku/>
              <w:wordWrap/>
              <w:overflowPunct/>
              <w:topLinePunct w:val="0"/>
              <w:bidi w:val="0"/>
              <w:spacing w:line="520" w:lineRule="exact"/>
              <w:ind w:leftChars="0"/>
              <w:jc w:val="both"/>
              <w:rPr>
                <w:rFonts w:ascii="Times New Roman" w:hAnsi="Times New Roman" w:eastAsia="宋体" w:cs="Times New Roman"/>
                <w:b/>
                <w:color w:val="auto"/>
                <w:sz w:val="24"/>
                <w:highlight w:val="none"/>
              </w:rPr>
            </w:pPr>
            <w:r>
              <w:rPr>
                <w:rFonts w:hint="eastAsia" w:cs="Times New Roman"/>
                <w:b/>
                <w:color w:val="auto"/>
                <w:sz w:val="24"/>
                <w:highlight w:val="none"/>
                <w:lang w:eastAsia="zh-CN"/>
              </w:rPr>
              <w:t>八、</w:t>
            </w:r>
            <w:r>
              <w:rPr>
                <w:rFonts w:ascii="Times New Roman" w:hAnsi="Times New Roman" w:eastAsia="宋体" w:cs="Times New Roman"/>
                <w:b/>
                <w:color w:val="auto"/>
                <w:sz w:val="24"/>
                <w:highlight w:val="none"/>
              </w:rPr>
              <w:t>厂区平面布置</w:t>
            </w:r>
          </w:p>
          <w:p w14:paraId="4C1A4418">
            <w:pPr>
              <w:keepNext w:val="0"/>
              <w:keepLines w:val="0"/>
              <w:pageBreakBefore w:val="0"/>
              <w:widowControl w:val="0"/>
              <w:kinsoku/>
              <w:wordWrap/>
              <w:overflowPunct/>
              <w:topLinePunct w:val="0"/>
              <w:bidi w:val="0"/>
              <w:spacing w:line="360" w:lineRule="auto"/>
              <w:ind w:firstLine="480"/>
              <w:jc w:val="both"/>
              <w:rPr>
                <w:rFonts w:hint="eastAsia" w:ascii="Times New Roman" w:hAnsi="Times New Roman" w:cs="Times New Roman" w:eastAsiaTheme="minorEastAsia"/>
                <w:sz w:val="24"/>
                <w:highlight w:val="none"/>
              </w:rPr>
            </w:pPr>
            <w:r>
              <w:rPr>
                <w:rFonts w:hint="default" w:ascii="Times New Roman" w:hAnsi="Times New Roman" w:cs="Times New Roman"/>
                <w:color w:val="auto"/>
                <w:sz w:val="24"/>
                <w:szCs w:val="22"/>
                <w:highlight w:val="none"/>
                <w:lang w:eastAsia="zh-CN"/>
              </w:rPr>
              <w:t>依据建设单位提供的平面布局图，项目规划租赁使用</w:t>
            </w:r>
            <w:r>
              <w:rPr>
                <w:rFonts w:hint="default" w:ascii="Times New Roman" w:hAnsi="Times New Roman" w:cs="Times New Roman"/>
                <w:color w:val="auto"/>
                <w:sz w:val="24"/>
                <w:szCs w:val="22"/>
                <w:highlight w:val="none"/>
                <w:lang w:val="en-US" w:eastAsia="zh-CN"/>
              </w:rPr>
              <w:t>5号厂房</w:t>
            </w:r>
            <w:r>
              <w:rPr>
                <w:rFonts w:hint="default" w:ascii="Times New Roman" w:hAnsi="Times New Roman" w:cs="Times New Roman"/>
                <w:color w:val="auto"/>
                <w:sz w:val="24"/>
                <w:szCs w:val="22"/>
                <w:highlight w:val="none"/>
                <w:lang w:eastAsia="zh-CN"/>
              </w:rPr>
              <w:t>，主要有</w:t>
            </w:r>
            <w:r>
              <w:rPr>
                <w:rFonts w:hint="default" w:ascii="Times New Roman" w:hAnsi="Times New Roman" w:cs="Times New Roman"/>
                <w:color w:val="auto"/>
                <w:sz w:val="24"/>
                <w:szCs w:val="22"/>
                <w:highlight w:val="none"/>
                <w:lang w:val="en-US" w:eastAsia="zh-CN"/>
              </w:rPr>
              <w:t>3个区域，分为</w:t>
            </w:r>
            <w:r>
              <w:rPr>
                <w:rFonts w:hint="default" w:ascii="Times New Roman" w:hAnsi="Times New Roman" w:cs="Times New Roman"/>
                <w:color w:val="auto"/>
                <w:sz w:val="24"/>
                <w:szCs w:val="22"/>
                <w:highlight w:val="none"/>
                <w:lang w:eastAsia="zh-CN"/>
              </w:rPr>
              <w:t>原料区</w:t>
            </w:r>
            <w:r>
              <w:rPr>
                <w:rFonts w:hint="default" w:ascii="Times New Roman" w:hAnsi="Times New Roman" w:cs="Times New Roman" w:eastAsiaTheme="minorEastAsia"/>
                <w:color w:val="auto"/>
                <w:sz w:val="24"/>
                <w:szCs w:val="22"/>
                <w:highlight w:val="none"/>
                <w:lang w:eastAsia="zh-CN"/>
              </w:rPr>
              <w:t>、生产区、成品区。东侧有两个出入口</w:t>
            </w:r>
            <w:r>
              <w:rPr>
                <w:rFonts w:hint="default" w:ascii="Times New Roman" w:hAnsi="Times New Roman" w:cs="Times New Roman" w:eastAsiaTheme="minorEastAsia"/>
                <w:sz w:val="24"/>
                <w:highlight w:val="none"/>
                <w:lang w:eastAsia="zh-CN"/>
              </w:rPr>
              <w:t>，东侧区域为原料区，西侧有一个出入口，西侧区域为成品区，北侧区域有</w:t>
            </w:r>
            <w:r>
              <w:rPr>
                <w:rFonts w:hint="default" w:ascii="Times New Roman" w:hAnsi="Times New Roman" w:cs="Times New Roman" w:eastAsiaTheme="minorEastAsia"/>
                <w:sz w:val="24"/>
                <w:highlight w:val="none"/>
                <w:lang w:val="en-US" w:eastAsia="zh-CN"/>
              </w:rPr>
              <w:t>3套注塑机、挤出机等生产设备及配套设施，厂房</w:t>
            </w:r>
            <w:r>
              <w:rPr>
                <w:rFonts w:hint="default" w:ascii="Times New Roman" w:hAnsi="Times New Roman" w:cs="Times New Roman" w:eastAsiaTheme="minorEastAsia"/>
                <w:sz w:val="24"/>
                <w:highlight w:val="none"/>
                <w:lang w:eastAsia="zh-CN"/>
              </w:rPr>
              <w:t>外</w:t>
            </w:r>
            <w:r>
              <w:rPr>
                <w:rFonts w:hint="default" w:ascii="Times New Roman" w:hAnsi="Times New Roman" w:cs="Times New Roman" w:eastAsiaTheme="minorEastAsia"/>
                <w:sz w:val="24"/>
                <w:highlight w:val="none"/>
              </w:rPr>
              <w:t>西侧设立一般固废</w:t>
            </w:r>
            <w:r>
              <w:rPr>
                <w:rFonts w:hint="default" w:ascii="Times New Roman" w:hAnsi="Times New Roman" w:cs="Times New Roman" w:eastAsiaTheme="minorEastAsia"/>
                <w:sz w:val="24"/>
                <w:highlight w:val="none"/>
                <w:lang w:eastAsia="zh-CN"/>
              </w:rPr>
              <w:t>暂存</w:t>
            </w:r>
            <w:r>
              <w:rPr>
                <w:rFonts w:hint="default" w:ascii="Times New Roman" w:hAnsi="Times New Roman" w:cs="Times New Roman" w:eastAsiaTheme="minorEastAsia"/>
                <w:sz w:val="24"/>
                <w:highlight w:val="none"/>
              </w:rPr>
              <w:t>间</w:t>
            </w: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lang w:val="en-US" w:eastAsia="zh-CN"/>
              </w:rPr>
              <w:t>30m</w:t>
            </w:r>
            <w:r>
              <w:rPr>
                <w:rFonts w:hint="default" w:ascii="Times New Roman" w:hAnsi="Times New Roman" w:cs="Times New Roman" w:eastAsiaTheme="minorEastAsia"/>
                <w:sz w:val="24"/>
                <w:highlight w:val="none"/>
                <w:vertAlign w:val="superscript"/>
                <w:lang w:val="en-US" w:eastAsia="zh-CN"/>
              </w:rPr>
              <w:t>2</w:t>
            </w:r>
            <w:r>
              <w:rPr>
                <w:rFonts w:hint="default" w:ascii="Times New Roman" w:hAnsi="Times New Roman" w:cs="Times New Roman" w:eastAsiaTheme="minorEastAsia"/>
                <w:sz w:val="24"/>
                <w:highlight w:val="none"/>
                <w:lang w:eastAsia="zh-CN"/>
              </w:rPr>
              <w:t>）和</w:t>
            </w:r>
            <w:r>
              <w:rPr>
                <w:rFonts w:hint="default" w:ascii="Times New Roman" w:hAnsi="Times New Roman" w:cs="Times New Roman" w:eastAsiaTheme="minorEastAsia"/>
                <w:sz w:val="24"/>
                <w:highlight w:val="none"/>
              </w:rPr>
              <w:t>危废</w:t>
            </w:r>
            <w:r>
              <w:rPr>
                <w:rFonts w:hint="default" w:ascii="Times New Roman" w:hAnsi="Times New Roman" w:cs="Times New Roman" w:eastAsiaTheme="minorEastAsia"/>
                <w:sz w:val="24"/>
                <w:highlight w:val="none"/>
                <w:lang w:eastAsia="zh-CN"/>
              </w:rPr>
              <w:t>贮存库（</w:t>
            </w:r>
            <w:r>
              <w:rPr>
                <w:rFonts w:hint="default" w:ascii="Times New Roman" w:hAnsi="Times New Roman" w:cs="Times New Roman" w:eastAsiaTheme="minorEastAsia"/>
                <w:sz w:val="24"/>
                <w:highlight w:val="none"/>
                <w:lang w:val="en-US" w:eastAsia="zh-CN"/>
              </w:rPr>
              <w:t>10m</w:t>
            </w:r>
            <w:r>
              <w:rPr>
                <w:rFonts w:hint="default" w:ascii="Times New Roman" w:hAnsi="Times New Roman" w:cs="Times New Roman" w:eastAsiaTheme="minorEastAsia"/>
                <w:sz w:val="24"/>
                <w:highlight w:val="none"/>
                <w:vertAlign w:val="superscript"/>
                <w:lang w:val="en-US" w:eastAsia="zh-CN"/>
              </w:rPr>
              <w:t>2</w:t>
            </w:r>
            <w:r>
              <w:rPr>
                <w:rFonts w:hint="default" w:ascii="Times New Roman" w:hAnsi="Times New Roman" w:cs="Times New Roman" w:eastAsiaTheme="minorEastAsia"/>
                <w:sz w:val="24"/>
                <w:highlight w:val="none"/>
                <w:lang w:eastAsia="zh-CN"/>
              </w:rPr>
              <w:t>）</w:t>
            </w:r>
            <w:r>
              <w:rPr>
                <w:rFonts w:hint="eastAsia" w:cs="Times New Roman" w:eastAsiaTheme="minorEastAsia"/>
                <w:sz w:val="24"/>
                <w:highlight w:val="none"/>
                <w:lang w:eastAsia="zh-CN"/>
              </w:rPr>
              <w:t>。</w:t>
            </w:r>
          </w:p>
        </w:tc>
      </w:tr>
      <w:tr w14:paraId="364D0C4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908" w:hRule="atLeast"/>
          <w:jc w:val="center"/>
        </w:trPr>
        <w:tc>
          <w:tcPr>
            <w:tcW w:w="417" w:type="dxa"/>
            <w:noWrap w:val="0"/>
            <w:vAlign w:val="center"/>
          </w:tcPr>
          <w:p w14:paraId="6DE14543">
            <w:pPr>
              <w:pStyle w:val="21"/>
              <w:adjustRightInd w:val="0"/>
              <w:snapToGrid w:val="0"/>
              <w:spacing w:before="0" w:beforeAutospacing="0" w:after="0" w:afterAutospacing="0"/>
              <w:jc w:val="center"/>
              <w:rPr>
                <w:rFonts w:cs="宋体"/>
                <w:color w:val="auto"/>
                <w:sz w:val="21"/>
                <w:szCs w:val="21"/>
                <w:highlight w:val="none"/>
              </w:rPr>
            </w:pPr>
            <w:r>
              <w:rPr>
                <w:rFonts w:hint="eastAsia" w:cs="宋体"/>
                <w:color w:val="auto"/>
                <w:sz w:val="21"/>
                <w:szCs w:val="21"/>
                <w:highlight w:val="none"/>
              </w:rPr>
              <w:t>工艺流程和产排污环节</w:t>
            </w:r>
          </w:p>
        </w:tc>
        <w:tc>
          <w:tcPr>
            <w:tcW w:w="8643" w:type="dxa"/>
            <w:shd w:val="clear" w:color="auto" w:fill="auto"/>
            <w:noWrap w:val="0"/>
            <w:vAlign w:val="top"/>
          </w:tcPr>
          <w:p w14:paraId="1F00AF4D">
            <w:pPr>
              <w:keepNext w:val="0"/>
              <w:keepLines w:val="0"/>
              <w:pageBreakBefore w:val="0"/>
              <w:widowControl w:val="0"/>
              <w:kinsoku/>
              <w:wordWrap/>
              <w:overflowPunct/>
              <w:topLinePunct w:val="0"/>
              <w:autoSpaceDE w:val="0"/>
              <w:autoSpaceDN w:val="0"/>
              <w:bidi w:val="0"/>
              <w:adjustRightInd w:val="0"/>
              <w:spacing w:line="520" w:lineRule="exact"/>
              <w:textAlignment w:val="auto"/>
              <w:rPr>
                <w:rFonts w:hint="default" w:ascii="Times New Roman" w:hAnsi="Times New Roman" w:cs="Times New Roman"/>
                <w:b/>
                <w:bCs/>
                <w:color w:val="auto"/>
                <w:kern w:val="0"/>
                <w:sz w:val="24"/>
                <w:szCs w:val="20"/>
                <w:highlight w:val="none"/>
                <w:lang w:bidi="ar"/>
              </w:rPr>
            </w:pPr>
            <w:r>
              <w:rPr>
                <w:rFonts w:hint="default" w:ascii="Times New Roman" w:hAnsi="Times New Roman" w:cs="Times New Roman"/>
                <w:b/>
                <w:bCs/>
                <w:color w:val="auto"/>
                <w:kern w:val="0"/>
                <w:sz w:val="24"/>
                <w:szCs w:val="20"/>
                <w:highlight w:val="none"/>
                <w:lang w:bidi="ar"/>
              </w:rPr>
              <w:t>施工期</w:t>
            </w:r>
          </w:p>
          <w:p w14:paraId="0968FFC1">
            <w:pPr>
              <w:keepNext w:val="0"/>
              <w:keepLines w:val="0"/>
              <w:pageBreakBefore w:val="0"/>
              <w:widowControl w:val="0"/>
              <w:kinsoku/>
              <w:wordWrap/>
              <w:overflowPunct/>
              <w:topLinePunct w:val="0"/>
              <w:bidi w:val="0"/>
              <w:snapToGrid w:val="0"/>
              <w:spacing w:line="520" w:lineRule="exact"/>
              <w:ind w:firstLine="480"/>
              <w:jc w:val="both"/>
              <w:textAlignment w:val="auto"/>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根据现场踏勘及建设单位提供的资料可知，本项目</w:t>
            </w:r>
            <w:r>
              <w:rPr>
                <w:rFonts w:hint="eastAsia" w:ascii="Times New Roman" w:hAnsi="Times New Roman" w:eastAsia="宋体" w:cs="Times New Roman"/>
                <w:color w:val="auto"/>
                <w:sz w:val="24"/>
                <w:szCs w:val="32"/>
                <w:highlight w:val="none"/>
                <w:lang w:val="en-US" w:eastAsia="zh-CN"/>
              </w:rPr>
              <w:t>租赁场地厂房及生活办公区域已建成</w:t>
            </w:r>
            <w:r>
              <w:rPr>
                <w:rFonts w:hint="default" w:ascii="Times New Roman" w:hAnsi="Times New Roman" w:eastAsia="宋体" w:cs="Times New Roman"/>
                <w:color w:val="auto"/>
                <w:sz w:val="24"/>
                <w:szCs w:val="32"/>
                <w:highlight w:val="none"/>
                <w:lang w:val="en-US" w:eastAsia="zh-CN"/>
              </w:rPr>
              <w:t>，本项目施工内容仅为生产设备</w:t>
            </w:r>
            <w:r>
              <w:rPr>
                <w:rFonts w:hint="eastAsia" w:ascii="Times New Roman" w:hAnsi="Times New Roman" w:eastAsia="宋体" w:cs="Times New Roman"/>
                <w:color w:val="auto"/>
                <w:sz w:val="24"/>
                <w:szCs w:val="32"/>
                <w:highlight w:val="none"/>
                <w:lang w:val="en-US" w:eastAsia="zh-CN"/>
              </w:rPr>
              <w:t>及环保设备</w:t>
            </w:r>
            <w:r>
              <w:rPr>
                <w:rFonts w:hint="default" w:ascii="Times New Roman" w:hAnsi="Times New Roman" w:eastAsia="宋体" w:cs="Times New Roman"/>
                <w:color w:val="auto"/>
                <w:sz w:val="24"/>
                <w:szCs w:val="32"/>
                <w:highlight w:val="none"/>
                <w:lang w:val="en-US" w:eastAsia="zh-CN"/>
              </w:rPr>
              <w:t>的安装，本项目施工期较短，不涉及土方施工。</w:t>
            </w:r>
          </w:p>
          <w:p w14:paraId="6CFD6C7C">
            <w:pPr>
              <w:keepNext w:val="0"/>
              <w:keepLines w:val="0"/>
              <w:pageBreakBefore w:val="0"/>
              <w:widowControl w:val="0"/>
              <w:kinsoku/>
              <w:wordWrap/>
              <w:overflowPunct/>
              <w:topLinePunct w:val="0"/>
              <w:autoSpaceDE w:val="0"/>
              <w:autoSpaceDN w:val="0"/>
              <w:bidi w:val="0"/>
              <w:adjustRightInd w:val="0"/>
              <w:spacing w:line="520" w:lineRule="exact"/>
              <w:textAlignment w:val="auto"/>
              <w:rPr>
                <w:rFonts w:hint="default" w:ascii="Times New Roman" w:hAnsi="Times New Roman" w:cs="Times New Roman"/>
                <w:b/>
                <w:bCs/>
                <w:color w:val="auto"/>
                <w:kern w:val="0"/>
                <w:sz w:val="24"/>
                <w:szCs w:val="20"/>
                <w:highlight w:val="none"/>
                <w:lang w:bidi="ar"/>
              </w:rPr>
            </w:pPr>
            <w:r>
              <w:rPr>
                <w:rFonts w:hint="default" w:ascii="Times New Roman" w:hAnsi="Times New Roman" w:cs="Times New Roman"/>
                <w:b/>
                <w:bCs/>
                <w:color w:val="auto"/>
                <w:kern w:val="0"/>
                <w:sz w:val="24"/>
                <w:szCs w:val="20"/>
                <w:highlight w:val="none"/>
                <w:lang w:bidi="ar"/>
              </w:rPr>
              <w:t>运营期：</w:t>
            </w:r>
          </w:p>
          <w:p w14:paraId="4C6FE819">
            <w:pPr>
              <w:spacing w:line="360" w:lineRule="auto"/>
              <w:ind w:firstLine="480" w:firstLineChars="200"/>
              <w:rPr>
                <w:sz w:val="24"/>
                <w:highlight w:val="none"/>
              </w:rPr>
            </w:pPr>
            <w:r>
              <w:rPr>
                <w:rFonts w:hint="eastAsia"/>
                <w:sz w:val="24"/>
                <w:highlight w:val="none"/>
                <w:lang w:eastAsia="zh-CN"/>
              </w:rPr>
              <w:t>运营</w:t>
            </w:r>
            <w:r>
              <w:rPr>
                <w:rFonts w:hint="eastAsia"/>
                <w:sz w:val="24"/>
                <w:highlight w:val="none"/>
              </w:rPr>
              <w:t>期</w:t>
            </w:r>
            <w:r>
              <w:rPr>
                <w:sz w:val="24"/>
                <w:highlight w:val="none"/>
              </w:rPr>
              <w:t>工艺</w:t>
            </w:r>
            <w:r>
              <w:rPr>
                <w:rFonts w:hint="eastAsia"/>
                <w:sz w:val="24"/>
                <w:highlight w:val="none"/>
              </w:rPr>
              <w:t>详细情况</w:t>
            </w:r>
            <w:r>
              <w:rPr>
                <w:sz w:val="24"/>
                <w:highlight w:val="none"/>
              </w:rPr>
              <w:t>如下：</w:t>
            </w:r>
          </w:p>
          <w:p w14:paraId="792ABA52">
            <w:pPr>
              <w:spacing w:line="360" w:lineRule="auto"/>
              <w:ind w:firstLine="480" w:firstLineChars="200"/>
              <w:rPr>
                <w:sz w:val="24"/>
                <w:highlight w:val="none"/>
              </w:rPr>
            </w:pPr>
            <w:r>
              <w:rPr>
                <w:rFonts w:hint="eastAsia"/>
                <w:sz w:val="24"/>
                <w:highlight w:val="none"/>
                <w:lang w:val="en-US" w:eastAsia="zh-CN"/>
              </w:rPr>
              <w:t xml:space="preserve">  </w:t>
            </w:r>
            <w:r>
              <w:rPr>
                <w:rFonts w:hint="default" w:ascii="Times New Roman" w:hAnsi="Times New Roman" w:cs="Times New Roman"/>
                <w:color w:val="000000"/>
                <w:sz w:val="21"/>
                <w:highlight w:val="none"/>
              </w:rPr>
              <mc:AlternateContent>
                <mc:Choice Requires="wpc">
                  <w:drawing>
                    <wp:inline distT="0" distB="0" distL="114300" distR="114300">
                      <wp:extent cx="4709160" cy="3013710"/>
                      <wp:effectExtent l="0" t="0" r="0" b="0"/>
                      <wp:docPr id="69" name="画布 69"/>
                      <wp:cNvGraphicFramePr/>
                      <a:graphic xmlns:a="http://schemas.openxmlformats.org/drawingml/2006/main">
                        <a:graphicData uri="http://schemas.microsoft.com/office/word/2010/wordprocessingCanvas">
                          <wpc:wpc>
                            <wpc:bg>
                              <a:noFill/>
                            </wpc:bg>
                            <wpc:whole>
                              <a:ln>
                                <a:noFill/>
                              </a:ln>
                            </wpc:whole>
                            <wps:wsp>
                              <wps:cNvPr id="41" name="文本框 52"/>
                              <wps:cNvSpPr txBox="1"/>
                              <wps:spPr>
                                <a:xfrm>
                                  <a:off x="1170940" y="114300"/>
                                  <a:ext cx="1663700"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2CE329">
                                    <w:pPr>
                                      <w:jc w:val="both"/>
                                      <w:rPr>
                                        <w:rFonts w:hint="default" w:eastAsia="宋体"/>
                                        <w:lang w:val="en-US" w:eastAsia="zh-CN"/>
                                      </w:rPr>
                                    </w:pPr>
                                    <w:r>
                                      <w:rPr>
                                        <w:rFonts w:hint="eastAsia" w:eastAsia="宋体"/>
                                        <w:lang w:val="en-US" w:eastAsia="zh-CN"/>
                                      </w:rPr>
                                      <w:t>聚丙烯、聚乙烯、色母粒</w:t>
                                    </w:r>
                                  </w:p>
                                </w:txbxContent>
                              </wps:txbx>
                              <wps:bodyPr upright="1"/>
                            </wps:wsp>
                            <wps:wsp>
                              <wps:cNvPr id="42" name="文本框 53"/>
                              <wps:cNvSpPr txBox="1"/>
                              <wps:spPr>
                                <a:xfrm>
                                  <a:off x="1548131" y="667385"/>
                                  <a:ext cx="814069"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EDDD39">
                                    <w:pPr>
                                      <w:jc w:val="center"/>
                                      <w:rPr>
                                        <w:rFonts w:hint="default" w:eastAsia="宋体"/>
                                        <w:lang w:val="en-US" w:eastAsia="zh-CN"/>
                                      </w:rPr>
                                    </w:pPr>
                                    <w:r>
                                      <w:rPr>
                                        <w:rFonts w:hint="eastAsia" w:eastAsia="宋体"/>
                                        <w:lang w:val="en-US" w:eastAsia="zh-CN"/>
                                      </w:rPr>
                                      <w:t>投料</w:t>
                                    </w:r>
                                  </w:p>
                                </w:txbxContent>
                              </wps:txbx>
                              <wps:bodyPr upright="1"/>
                            </wps:wsp>
                            <wps:wsp>
                              <wps:cNvPr id="43" name="文本框 54"/>
                              <wps:cNvSpPr txBox="1"/>
                              <wps:spPr>
                                <a:xfrm>
                                  <a:off x="1559561" y="1207135"/>
                                  <a:ext cx="817244"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89C0B2">
                                    <w:pPr>
                                      <w:ind w:firstLine="210" w:firstLineChars="100"/>
                                      <w:rPr>
                                        <w:rFonts w:hint="default" w:eastAsia="宋体"/>
                                        <w:lang w:val="en-US" w:eastAsia="zh-CN"/>
                                      </w:rPr>
                                    </w:pPr>
                                    <w:r>
                                      <w:rPr>
                                        <w:rFonts w:hint="eastAsia" w:eastAsia="宋体"/>
                                        <w:lang w:val="en-US" w:eastAsia="zh-CN"/>
                                      </w:rPr>
                                      <w:t>注塑</w:t>
                                    </w:r>
                                  </w:p>
                                </w:txbxContent>
                              </wps:txbx>
                              <wps:bodyPr upright="1"/>
                            </wps:wsp>
                            <wps:wsp>
                              <wps:cNvPr id="44" name="文本框 55"/>
                              <wps:cNvSpPr txBox="1"/>
                              <wps:spPr>
                                <a:xfrm>
                                  <a:off x="1544321" y="1754505"/>
                                  <a:ext cx="859789"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EC5615">
                                    <w:pPr>
                                      <w:jc w:val="center"/>
                                      <w:rPr>
                                        <w:rFonts w:hint="default" w:eastAsia="宋体"/>
                                        <w:lang w:val="en-US" w:eastAsia="zh-CN"/>
                                      </w:rPr>
                                    </w:pPr>
                                    <w:r>
                                      <w:rPr>
                                        <w:rFonts w:hint="eastAsia" w:eastAsia="宋体"/>
                                        <w:lang w:val="en-US" w:eastAsia="zh-CN"/>
                                      </w:rPr>
                                      <w:t>挤出</w:t>
                                    </w:r>
                                  </w:p>
                                </w:txbxContent>
                              </wps:txbx>
                              <wps:bodyPr upright="1"/>
                            </wps:wsp>
                            <wps:wsp>
                              <wps:cNvPr id="45" name="文本框 56"/>
                              <wps:cNvSpPr txBox="1"/>
                              <wps:spPr>
                                <a:xfrm>
                                  <a:off x="1712595" y="2316480"/>
                                  <a:ext cx="4635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D3E2BB">
                                    <w:pPr>
                                      <w:jc w:val="both"/>
                                      <w:rPr>
                                        <w:rFonts w:hint="default" w:eastAsia="宋体"/>
                                        <w:lang w:val="en-US" w:eastAsia="zh-CN"/>
                                      </w:rPr>
                                    </w:pPr>
                                    <w:r>
                                      <w:rPr>
                                        <w:rFonts w:hint="eastAsia" w:eastAsia="宋体"/>
                                        <w:lang w:val="en-US" w:eastAsia="zh-CN"/>
                                      </w:rPr>
                                      <w:t>检验</w:t>
                                    </w:r>
                                  </w:p>
                                </w:txbxContent>
                              </wps:txbx>
                              <wps:bodyPr upright="1"/>
                            </wps:wsp>
                            <wps:wsp>
                              <wps:cNvPr id="46" name="直接连接符 57"/>
                              <wps:cNvCnPr/>
                              <wps:spPr>
                                <a:xfrm flipH="1">
                                  <a:off x="1953260" y="416560"/>
                                  <a:ext cx="0" cy="254000"/>
                                </a:xfrm>
                                <a:prstGeom prst="line">
                                  <a:avLst/>
                                </a:prstGeom>
                                <a:ln w="9525" cap="flat" cmpd="sng">
                                  <a:solidFill>
                                    <a:srgbClr val="000000"/>
                                  </a:solidFill>
                                  <a:prstDash val="solid"/>
                                  <a:headEnd type="none" w="med" len="med"/>
                                  <a:tailEnd type="triangle" w="lg" len="med"/>
                                </a:ln>
                              </wps:spPr>
                              <wps:bodyPr upright="1"/>
                            </wps:wsp>
                            <wps:wsp>
                              <wps:cNvPr id="47" name="直接连接符 58"/>
                              <wps:cNvCnPr/>
                              <wps:spPr>
                                <a:xfrm>
                                  <a:off x="1960880" y="2045335"/>
                                  <a:ext cx="5080" cy="281305"/>
                                </a:xfrm>
                                <a:prstGeom prst="line">
                                  <a:avLst/>
                                </a:prstGeom>
                                <a:ln w="9525" cap="flat" cmpd="sng">
                                  <a:solidFill>
                                    <a:srgbClr val="000000"/>
                                  </a:solidFill>
                                  <a:prstDash val="solid"/>
                                  <a:headEnd type="none" w="med" len="med"/>
                                  <a:tailEnd type="triangle" w="lg" len="med"/>
                                </a:ln>
                              </wps:spPr>
                              <wps:bodyPr upright="1"/>
                            </wps:wsp>
                            <wps:wsp>
                              <wps:cNvPr id="48" name="直接连接符 59"/>
                              <wps:cNvCnPr/>
                              <wps:spPr>
                                <a:xfrm flipH="1">
                                  <a:off x="1959610" y="1496060"/>
                                  <a:ext cx="0" cy="254000"/>
                                </a:xfrm>
                                <a:prstGeom prst="line">
                                  <a:avLst/>
                                </a:prstGeom>
                                <a:ln w="9525" cap="flat" cmpd="sng">
                                  <a:solidFill>
                                    <a:srgbClr val="000000"/>
                                  </a:solidFill>
                                  <a:prstDash val="solid"/>
                                  <a:headEnd type="none" w="med" len="med"/>
                                  <a:tailEnd type="triangle" w="lg" len="med"/>
                                </a:ln>
                              </wps:spPr>
                              <wps:bodyPr upright="1"/>
                            </wps:wsp>
                            <wps:wsp>
                              <wps:cNvPr id="49" name="直接连接符 60"/>
                              <wps:cNvCnPr/>
                              <wps:spPr>
                                <a:xfrm>
                                  <a:off x="2390140" y="1354455"/>
                                  <a:ext cx="457200" cy="0"/>
                                </a:xfrm>
                                <a:prstGeom prst="line">
                                  <a:avLst/>
                                </a:prstGeom>
                                <a:ln w="9525" cap="flat" cmpd="sng">
                                  <a:solidFill>
                                    <a:srgbClr val="000000"/>
                                  </a:solidFill>
                                  <a:prstDash val="dash"/>
                                  <a:headEnd type="none" w="med" len="med"/>
                                  <a:tailEnd type="triangle" w="lg" len="med"/>
                                </a:ln>
                              </wps:spPr>
                              <wps:bodyPr upright="1"/>
                            </wps:wsp>
                            <wps:wsp>
                              <wps:cNvPr id="50" name="直接连接符 61"/>
                              <wps:cNvCnPr>
                                <a:stCxn id="55" idx="3"/>
                                <a:endCxn id="63" idx="1"/>
                              </wps:cNvCnPr>
                              <wps:spPr>
                                <a:xfrm>
                                  <a:off x="2404110" y="1894205"/>
                                  <a:ext cx="461010" cy="1905"/>
                                </a:xfrm>
                                <a:prstGeom prst="line">
                                  <a:avLst/>
                                </a:prstGeom>
                                <a:ln w="9525" cap="flat" cmpd="sng">
                                  <a:solidFill>
                                    <a:srgbClr val="000000"/>
                                  </a:solidFill>
                                  <a:prstDash val="dash"/>
                                  <a:headEnd type="none" w="med" len="med"/>
                                  <a:tailEnd type="triangle" w="lg" len="med"/>
                                </a:ln>
                              </wps:spPr>
                              <wps:bodyPr upright="1"/>
                            </wps:wsp>
                            <wps:wsp>
                              <wps:cNvPr id="51" name="文本框 62"/>
                              <wps:cNvSpPr txBox="1"/>
                              <wps:spPr>
                                <a:xfrm>
                                  <a:off x="2873375" y="1227455"/>
                                  <a:ext cx="1558925" cy="279400"/>
                                </a:xfrm>
                                <a:prstGeom prst="rect">
                                  <a:avLst/>
                                </a:prstGeom>
                                <a:noFill/>
                                <a:ln>
                                  <a:noFill/>
                                </a:ln>
                              </wps:spPr>
                              <wps:txbx>
                                <w:txbxContent>
                                  <w:p w14:paraId="6C43859A">
                                    <w:pPr>
                                      <w:rPr>
                                        <w:rFonts w:hint="default" w:eastAsia="宋体"/>
                                        <w:lang w:val="en-US" w:eastAsia="zh-CN"/>
                                      </w:rPr>
                                    </w:pPr>
                                    <w:r>
                                      <w:rPr>
                                        <w:rFonts w:hint="eastAsia"/>
                                        <w:lang w:val="en-US" w:eastAsia="zh-CN"/>
                                      </w:rPr>
                                      <w:t>噪声、非甲烷总烃</w:t>
                                    </w:r>
                                  </w:p>
                                </w:txbxContent>
                              </wps:txbx>
                              <wps:bodyPr upright="1"/>
                            </wps:wsp>
                            <wps:wsp>
                              <wps:cNvPr id="70" name="文本框 63"/>
                              <wps:cNvSpPr txBox="1"/>
                              <wps:spPr>
                                <a:xfrm>
                                  <a:off x="2865120" y="1756410"/>
                                  <a:ext cx="1405255" cy="279400"/>
                                </a:xfrm>
                                <a:prstGeom prst="rect">
                                  <a:avLst/>
                                </a:prstGeom>
                                <a:noFill/>
                                <a:ln>
                                  <a:noFill/>
                                </a:ln>
                              </wps:spPr>
                              <wps:txbx>
                                <w:txbxContent>
                                  <w:p w14:paraId="135D4C75">
                                    <w:pPr>
                                      <w:rPr>
                                        <w:rFonts w:hint="default"/>
                                        <w:lang w:val="en-US" w:eastAsia="zh-CN"/>
                                      </w:rPr>
                                    </w:pPr>
                                    <w:r>
                                      <w:rPr>
                                        <w:rFonts w:hint="eastAsia"/>
                                        <w:lang w:val="en-US" w:eastAsia="zh-CN"/>
                                      </w:rPr>
                                      <w:t>噪声、非甲烷总烃</w:t>
                                    </w:r>
                                  </w:p>
                                </w:txbxContent>
                              </wps:txbx>
                              <wps:bodyPr upright="1"/>
                            </wps:wsp>
                            <wps:wsp>
                              <wps:cNvPr id="71" name="文本框 64"/>
                              <wps:cNvSpPr txBox="1"/>
                              <wps:spPr>
                                <a:xfrm>
                                  <a:off x="252730" y="2327275"/>
                                  <a:ext cx="1012825" cy="2863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FD1698">
                                    <w:pPr>
                                      <w:jc w:val="center"/>
                                      <w:rPr>
                                        <w:rFonts w:hint="default" w:eastAsia="宋体"/>
                                        <w:lang w:val="en-US" w:eastAsia="zh-CN"/>
                                      </w:rPr>
                                    </w:pPr>
                                    <w:r>
                                      <w:rPr>
                                        <w:rFonts w:hint="eastAsia" w:eastAsia="宋体"/>
                                        <w:lang w:val="en-US" w:eastAsia="zh-CN"/>
                                      </w:rPr>
                                      <w:t>不合格品出售</w:t>
                                    </w:r>
                                  </w:p>
                                </w:txbxContent>
                              </wps:txbx>
                              <wps:bodyPr upright="1"/>
                            </wps:wsp>
                            <wps:wsp>
                              <wps:cNvPr id="72" name="直接连接符 65"/>
                              <wps:cNvCnPr/>
                              <wps:spPr>
                                <a:xfrm flipH="1">
                                  <a:off x="1960881" y="945515"/>
                                  <a:ext cx="0" cy="254000"/>
                                </a:xfrm>
                                <a:prstGeom prst="line">
                                  <a:avLst/>
                                </a:prstGeom>
                                <a:ln w="9525" cap="flat" cmpd="sng">
                                  <a:solidFill>
                                    <a:srgbClr val="000000"/>
                                  </a:solidFill>
                                  <a:prstDash val="solid"/>
                                  <a:headEnd type="none" w="med" len="med"/>
                                  <a:tailEnd type="triangle" w="lg" len="med"/>
                                </a:ln>
                              </wps:spPr>
                              <wps:bodyPr upright="1"/>
                            </wps:wsp>
                            <wps:wsp>
                              <wps:cNvPr id="73" name="文本框 66"/>
                              <wps:cNvSpPr txBox="1"/>
                              <wps:spPr>
                                <a:xfrm>
                                  <a:off x="2759075" y="2322830"/>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88A343">
                                    <w:pPr>
                                      <w:jc w:val="center"/>
                                      <w:rPr>
                                        <w:rFonts w:hint="default" w:eastAsia="宋体"/>
                                        <w:lang w:val="en-US" w:eastAsia="zh-CN"/>
                                      </w:rPr>
                                    </w:pPr>
                                    <w:r>
                                      <w:rPr>
                                        <w:rFonts w:hint="eastAsia"/>
                                        <w:lang w:val="en-US" w:eastAsia="zh-CN"/>
                                      </w:rPr>
                                      <w:t>成品入库</w:t>
                                    </w:r>
                                  </w:p>
                                </w:txbxContent>
                              </wps:txbx>
                              <wps:bodyPr upright="1"/>
                            </wps:wsp>
                            <wps:wsp>
                              <wps:cNvPr id="74" name="直接连接符 67"/>
                              <wps:cNvCnPr>
                                <a:stCxn id="56" idx="3"/>
                              </wps:cNvCnPr>
                              <wps:spPr>
                                <a:xfrm flipV="1">
                                  <a:off x="2176145" y="2454910"/>
                                  <a:ext cx="585470" cy="1270"/>
                                </a:xfrm>
                                <a:prstGeom prst="line">
                                  <a:avLst/>
                                </a:prstGeom>
                                <a:ln w="9525" cap="flat" cmpd="sng">
                                  <a:solidFill>
                                    <a:srgbClr val="000000"/>
                                  </a:solidFill>
                                  <a:prstDash val="solid"/>
                                  <a:headEnd type="none" w="med" len="med"/>
                                  <a:tailEnd type="triangle" w="lg" len="med"/>
                                </a:ln>
                              </wps:spPr>
                              <wps:bodyPr upright="1"/>
                            </wps:wsp>
                            <wps:wsp>
                              <wps:cNvPr id="75" name="直接连接符 68"/>
                              <wps:cNvCnPr>
                                <a:stCxn id="56" idx="1"/>
                              </wps:cNvCnPr>
                              <wps:spPr>
                                <a:xfrm flipH="1" flipV="1">
                                  <a:off x="1270000" y="2453005"/>
                                  <a:ext cx="442595" cy="3175"/>
                                </a:xfrm>
                                <a:prstGeom prst="line">
                                  <a:avLst/>
                                </a:prstGeom>
                                <a:ln w="9525" cap="flat" cmpd="sng">
                                  <a:solidFill>
                                    <a:srgbClr val="000000"/>
                                  </a:solidFill>
                                  <a:prstDash val="solid"/>
                                  <a:headEnd type="none" w="med" len="med"/>
                                  <a:tailEnd type="triangle" w="lg" len="med"/>
                                </a:ln>
                              </wps:spPr>
                              <wps:bodyPr upright="1"/>
                            </wps:wsp>
                          </wpc:wpc>
                        </a:graphicData>
                      </a:graphic>
                    </wp:inline>
                  </w:drawing>
                </mc:Choice>
                <mc:Fallback>
                  <w:pict>
                    <v:group id="_x0000_s1026" o:spid="_x0000_s1026" o:spt="203" style="height:237.3pt;width:370.8pt;" coordsize="4709160,3013710" editas="canvas" o:gfxdata="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">
                      <o:lock v:ext="edit" aspectratio="f"/>
                      <v:shape id="_x0000_s1026" o:spid="_x0000_s1026" style="position:absolute;left:0;top:0;height:3013710;width:4709160;" filled="f" stroked="f" coordsize="21600,21600" o:gfxdata="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&#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">
                        <v:fill on="f" focussize="0,0"/>
                        <v:stroke on="f"/>
                        <v:imagedata o:title=""/>
                        <o:lock v:ext="edit" aspectratio="f"/>
                      </v:shape>
                      <v:shape id="文本框 52" o:spid="_x0000_s1026" o:spt="202" type="#_x0000_t202" style="position:absolute;left:1170940;top:114300;height:285750;width:1663700;"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QIOP9UAAAAFAQAADwAAAAAA&#10;AAABACAAAAAiAAAAZHJzL2Rvd25yZXYueG1sUEsBAhQAFAAAAAgAh07iQEElIL4WAgAAQwQAAA4A&#10;AAAAAAAAAQAgAAAAJAEAAGRycy9lMm9Eb2MueG1sUEsFBgAAAAAGAAYAWQEAAKwFAAAAAA==&#10;">
                        <v:fill on="t" focussize="0,0"/>
                        <v:stroke color="#000000" joinstyle="miter"/>
                        <v:imagedata o:title=""/>
                        <o:lock v:ext="edit" aspectratio="f"/>
                        <v:textbox>
                          <w:txbxContent>
                            <w:p w14:paraId="382CE329">
                              <w:pPr>
                                <w:jc w:val="both"/>
                                <w:rPr>
                                  <w:rFonts w:hint="default" w:eastAsia="宋体"/>
                                  <w:lang w:val="en-US" w:eastAsia="zh-CN"/>
                                </w:rPr>
                              </w:pPr>
                              <w:r>
                                <w:rPr>
                                  <w:rFonts w:hint="eastAsia" w:eastAsia="宋体"/>
                                  <w:lang w:val="en-US" w:eastAsia="zh-CN"/>
                                </w:rPr>
                                <w:t>聚丙烯、聚乙烯、色母粒</w:t>
                              </w:r>
                            </w:p>
                          </w:txbxContent>
                        </v:textbox>
                      </v:shape>
                      <v:shape id="文本框 53" o:spid="_x0000_s1026" o:spt="202" type="#_x0000_t202" style="position:absolute;left:1548131;top:667385;height:279400;width:814069;"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QIOP9UAAAAFAQAADwAA&#10;AAAAAAABACAAAAAiAAAAZHJzL2Rvd25yZXYueG1sUEsBAhQAFAAAAAgAh07iQPVOwKIZAgAAQgQA&#10;AA4AAAAAAAAAAQAgAAAAJAEAAGRycy9lMm9Eb2MueG1sUEsFBgAAAAAGAAYAWQEAAK8FAAAAAA==&#10;">
                        <v:fill on="t" focussize="0,0"/>
                        <v:stroke color="#000000" joinstyle="miter"/>
                        <v:imagedata o:title=""/>
                        <o:lock v:ext="edit" aspectratio="f"/>
                        <v:textbox>
                          <w:txbxContent>
                            <w:p w14:paraId="1FEDDD39">
                              <w:pPr>
                                <w:jc w:val="center"/>
                                <w:rPr>
                                  <w:rFonts w:hint="default" w:eastAsia="宋体"/>
                                  <w:lang w:val="en-US" w:eastAsia="zh-CN"/>
                                </w:rPr>
                              </w:pPr>
                              <w:r>
                                <w:rPr>
                                  <w:rFonts w:hint="eastAsia" w:eastAsia="宋体"/>
                                  <w:lang w:val="en-US" w:eastAsia="zh-CN"/>
                                </w:rPr>
                                <w:t>投料</w:t>
                              </w:r>
                            </w:p>
                          </w:txbxContent>
                        </v:textbox>
                      </v:shape>
                      <v:shape id="文本框 54" o:spid="_x0000_s1026" o:spt="202" type="#_x0000_t202" style="position:absolute;left:1559561;top:1207135;height:279400;width:817244;"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0CDj/VAAAABQEAAA8A&#10;AAAAAAAAAQAgAAAAIgAAAGRycy9kb3ducmV2LnhtbFBLAQIUABQAAAAIAIdO4kDnbLmCGgIAAEME&#10;AAAOAAAAAAAAAAEAIAAAACQBAABkcnMvZTJvRG9jLnhtbFBLBQYAAAAABgAGAFkBAACwBQAAAAA=&#10;">
                        <v:fill on="t" focussize="0,0"/>
                        <v:stroke color="#000000" joinstyle="miter"/>
                        <v:imagedata o:title=""/>
                        <o:lock v:ext="edit" aspectratio="f"/>
                        <v:textbox>
                          <w:txbxContent>
                            <w:p w14:paraId="2C89C0B2">
                              <w:pPr>
                                <w:ind w:firstLine="210" w:firstLineChars="100"/>
                                <w:rPr>
                                  <w:rFonts w:hint="default" w:eastAsia="宋体"/>
                                  <w:lang w:val="en-US" w:eastAsia="zh-CN"/>
                                </w:rPr>
                              </w:pPr>
                              <w:r>
                                <w:rPr>
                                  <w:rFonts w:hint="eastAsia" w:eastAsia="宋体"/>
                                  <w:lang w:val="en-US" w:eastAsia="zh-CN"/>
                                </w:rPr>
                                <w:t>注塑</w:t>
                              </w:r>
                            </w:p>
                          </w:txbxContent>
                        </v:textbox>
                      </v:shape>
                      <v:shape id="文本框 55" o:spid="_x0000_s1026" o:spt="202" type="#_x0000_t202" style="position:absolute;left:1544321;top:1754505;height:279400;width:859789;"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QIOP9UAAAAFAQAADwAA&#10;AAAAAAABACAAAAAiAAAAZHJzL2Rvd25yZXYueG1sUEsBAhQAFAAAAAgAh07iQP//MEkZAgAAQwQA&#10;AA4AAAAAAAAAAQAgAAAAJAEAAGRycy9lMm9Eb2MueG1sUEsFBgAAAAAGAAYAWQEAAK8FAAAAAA==&#10;">
                        <v:fill on="t" focussize="0,0"/>
                        <v:stroke color="#000000" joinstyle="miter"/>
                        <v:imagedata o:title=""/>
                        <o:lock v:ext="edit" aspectratio="f"/>
                        <v:textbox>
                          <w:txbxContent>
                            <w:p w14:paraId="5AEC5615">
                              <w:pPr>
                                <w:jc w:val="center"/>
                                <w:rPr>
                                  <w:rFonts w:hint="default" w:eastAsia="宋体"/>
                                  <w:lang w:val="en-US" w:eastAsia="zh-CN"/>
                                </w:rPr>
                              </w:pPr>
                              <w:r>
                                <w:rPr>
                                  <w:rFonts w:hint="eastAsia" w:eastAsia="宋体"/>
                                  <w:lang w:val="en-US" w:eastAsia="zh-CN"/>
                                </w:rPr>
                                <w:t>挤出</w:t>
                              </w:r>
                            </w:p>
                          </w:txbxContent>
                        </v:textbox>
                      </v:shape>
                      <v:shape id="文本框 56" o:spid="_x0000_s1026" o:spt="202" type="#_x0000_t202" style="position:absolute;left:1712595;top:2316480;height:279400;width:463550;"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QIOP9UAAAAFAQAADwAA&#10;AAAAAAABACAAAAAiAAAAZHJzL2Rvd25yZXYueG1sUEsBAhQAFAAAAAgAh07iQNCXpCUZAgAAQwQA&#10;AA4AAAAAAAAAAQAgAAAAJAEAAGRycy9lMm9Eb2MueG1sUEsFBgAAAAAGAAYAWQEAAK8FAAAAAA==&#10;">
                        <v:fill on="t" focussize="0,0"/>
                        <v:stroke color="#000000" joinstyle="miter"/>
                        <v:imagedata o:title=""/>
                        <o:lock v:ext="edit" aspectratio="f"/>
                        <v:textbox>
                          <w:txbxContent>
                            <w:p w14:paraId="01D3E2BB">
                              <w:pPr>
                                <w:jc w:val="both"/>
                                <w:rPr>
                                  <w:rFonts w:hint="default" w:eastAsia="宋体"/>
                                  <w:lang w:val="en-US" w:eastAsia="zh-CN"/>
                                </w:rPr>
                              </w:pPr>
                              <w:r>
                                <w:rPr>
                                  <w:rFonts w:hint="eastAsia" w:eastAsia="宋体"/>
                                  <w:lang w:val="en-US" w:eastAsia="zh-CN"/>
                                </w:rPr>
                                <w:t>检验</w:t>
                              </w:r>
                            </w:p>
                          </w:txbxContent>
                        </v:textbox>
                      </v:shape>
                      <v:line id="直接连接符 57" o:spid="_x0000_s1026" o:spt="20" style="position:absolute;left:1953260;top:416560;flip:x;height:254000;width:0;" filled="f" stroked="t" coordsize="21600,21600" o:gfxdata="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nOpUd1QAAAAUBAAAPAAAAAAAAAAEA&#10;IAAAACIAAABkcnMvZG93bnJldi54bWxQSwECFAAUAAAACACHTuJAMTcHMRICAAD9AwAADgAAAAAA&#10;AAABACAAAAAkAQAAZHJzL2Uyb0RvYy54bWxQSwUGAAAAAAYABgBZAQAAqAUAAAAA&#10;">
                        <v:fill on="f" focussize="0,0"/>
                        <v:stroke color="#000000" joinstyle="round" endarrow="block" endarrowwidth="wide"/>
                        <v:imagedata o:title=""/>
                        <o:lock v:ext="edit" aspectratio="f"/>
                      </v:line>
                      <v:line id="直接连接符 58" o:spid="_x0000_s1026" o:spt="20" style="position:absolute;left:1960880;top:2045335;height:281305;width:5080;" filled="f" stroked="t" coordsize="21600,21600" o:gfxdata="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I7NRLWAAAABQEAAA8AAAAAAAAAAQAg&#10;AAAAIgAAAGRycy9kb3ducmV2LnhtbFBLAQIUABQAAAAIAIdO4kDVv9uXEAIAAPcDAAAOAAAAAAAA&#10;AAEAIAAAACUBAABkcnMvZTJvRG9jLnhtbFBLBQYAAAAABgAGAFkBAACnBQAAAAA=&#10;">
                        <v:fill on="f" focussize="0,0"/>
                        <v:stroke color="#000000" joinstyle="round" endarrow="block" endarrowwidth="wide"/>
                        <v:imagedata o:title=""/>
                        <o:lock v:ext="edit" aspectratio="f"/>
                      </v:line>
                      <v:line id="直接连接符 59" o:spid="_x0000_s1026" o:spt="20" style="position:absolute;left:1959610;top:1496060;flip:x;height:254000;width:0;" filled="f" stroked="t" coordsize="21600,21600" o:gfxdata="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JzqVHdUAAAAFAQAADwAAAAAAAAAB&#10;ACAAAAAiAAAAZHJzL2Rvd25yZXYueG1sUEsBAhQAFAAAAAgAh07iQKfa+f0TAgAA/gMAAA4AAAAA&#10;AAAAAQAgAAAAJAEAAGRycy9lMm9Eb2MueG1sUEsFBgAAAAAGAAYAWQEAAKkFAAAAAA==&#10;">
                        <v:fill on="f" focussize="0,0"/>
                        <v:stroke color="#000000" joinstyle="round" endarrow="block" endarrowwidth="wide"/>
                        <v:imagedata o:title=""/>
                        <o:lock v:ext="edit" aspectratio="f"/>
                      </v:line>
                      <v:line id="直接连接符 60" o:spid="_x0000_s1026" o:spt="20" style="position:absolute;left:2390140;top:1354455;height:0;width:457200;" filled="f" stroked="t" coordsize="21600,21600" o:gfxdata="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ROo7z1AAAAAUBAAAPAAAAAAAAAAEAIAAAACIA&#10;AABkcnMvZG93bnJldi54bWxQSwECFAAUAAAACACHTuJABTtNMQ0CAADzAwAADgAAAAAAAAABACAA&#10;AAAjAQAAZHJzL2Uyb0RvYy54bWxQSwUGAAAAAAYABgBZAQAAogUAAAAA&#10;">
                        <v:fill on="f" focussize="0,0"/>
                        <v:stroke color="#000000" joinstyle="round" dashstyle="dash" endarrow="block" endarrowwidth="wide"/>
                        <v:imagedata o:title=""/>
                        <o:lock v:ext="edit" aspectratio="f"/>
                      </v:line>
                      <v:line id="直接连接符 61" o:spid="_x0000_s1026" o:spt="20" style="position:absolute;left:2404110;top:1894205;height:1905;width:461010;" filled="f" stroked="t" coordsize="21600,21600" o:gfxdata="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E6jvPU&#10;AAAABQEAAA8AAAAAAAAAAQAgAAAAIgAAAGRycy9kb3ducmV2LnhtbFBLAQIUABQAAAAIAIdO4kDp&#10;j7S7JAIAADgEAAAOAAAAAAAAAAEAIAAAACMBAABkcnMvZTJvRG9jLnhtbFBLBQYAAAAABgAGAFkB&#10;AAC5BQAAAAA=&#10;">
                        <v:fill on="f" focussize="0,0"/>
                        <v:stroke color="#000000" joinstyle="round" dashstyle="dash" endarrow="block" endarrowwidth="wide"/>
                        <v:imagedata o:title=""/>
                        <o:lock v:ext="edit" aspectratio="f"/>
                      </v:line>
                      <v:shape id="文本框 62" o:spid="_x0000_s1026" o:spt="202" type="#_x0000_t202" style="position:absolute;left:2873375;top:1227455;height:279400;width:1558925;" filled="f" stroked="f" coordsize="21600,21600" o:gfxdata="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4xUoLUAAAABQEAAA8AAAAAAAAAAQAgAAAAIgAAAGRycy9kb3ducmV2LnhtbFBLAQIUABQA&#10;AAAIAIdO4kAIZ1OWuwEAAFwDAAAOAAAAAAAAAAEAIAAAACMBAABkcnMvZTJvRG9jLnhtbFBLBQYA&#10;AAAABgAGAFkBAABQBQAAAAA=&#10;">
                        <v:fill on="f" focussize="0,0"/>
                        <v:stroke on="f"/>
                        <v:imagedata o:title=""/>
                        <o:lock v:ext="edit" aspectratio="f"/>
                        <v:textbox>
                          <w:txbxContent>
                            <w:p w14:paraId="6C43859A">
                              <w:pPr>
                                <w:rPr>
                                  <w:rFonts w:hint="default" w:eastAsia="宋体"/>
                                  <w:lang w:val="en-US" w:eastAsia="zh-CN"/>
                                </w:rPr>
                              </w:pPr>
                              <w:r>
                                <w:rPr>
                                  <w:rFonts w:hint="eastAsia"/>
                                  <w:lang w:val="en-US" w:eastAsia="zh-CN"/>
                                </w:rPr>
                                <w:t>噪声、非甲烷总烃</w:t>
                              </w:r>
                            </w:p>
                          </w:txbxContent>
                        </v:textbox>
                      </v:shape>
                      <v:shape id="文本框 63" o:spid="_x0000_s1026" o:spt="202" type="#_x0000_t202" style="position:absolute;left:2865120;top:1756410;height:279400;width:1405255;" filled="f" stroked="f" coordsize="21600,21600" o:gfxdata="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eMVKC1AAAAAUBAAAPAAAAAAAAAAEAIAAAACIAAABkcnMvZG93bnJldi54bWxQSwECFAAUAAAA&#10;CACHTuJAdLKG6bkBAABcAwAADgAAAAAAAAABACAAAAAjAQAAZHJzL2Uyb0RvYy54bWxQSwUGAAAA&#10;AAYABgBZAQAATgUAAAAA&#10;">
                        <v:fill on="f" focussize="0,0"/>
                        <v:stroke on="f"/>
                        <v:imagedata o:title=""/>
                        <o:lock v:ext="edit" aspectratio="f"/>
                        <v:textbox>
                          <w:txbxContent>
                            <w:p w14:paraId="135D4C75">
                              <w:pPr>
                                <w:rPr>
                                  <w:rFonts w:hint="default"/>
                                  <w:lang w:val="en-US" w:eastAsia="zh-CN"/>
                                </w:rPr>
                              </w:pPr>
                              <w:r>
                                <w:rPr>
                                  <w:rFonts w:hint="eastAsia"/>
                                  <w:lang w:val="en-US" w:eastAsia="zh-CN"/>
                                </w:rPr>
                                <w:t>噪声、非甲烷总烃</w:t>
                              </w:r>
                            </w:p>
                          </w:txbxContent>
                        </v:textbox>
                      </v:shape>
                      <v:shape id="文本框 64" o:spid="_x0000_s1026" o:spt="202" type="#_x0000_t202" style="position:absolute;left:252730;top:2327275;height:286385;width:1012825;"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QIOP9UAAAAFAQAADwAAAAAA&#10;AAABACAAAAAiAAAAZHJzL2Rvd25yZXYueG1sUEsBAhQAFAAAAAgAh07iQONO57oWAgAAQwQAAA4A&#10;AAAAAAAAAQAgAAAAJAEAAGRycy9lMm9Eb2MueG1sUEsFBgAAAAAGAAYAWQEAAKwFAAAAAA==&#10;">
                        <v:fill on="t" focussize="0,0"/>
                        <v:stroke color="#000000" joinstyle="miter"/>
                        <v:imagedata o:title=""/>
                        <o:lock v:ext="edit" aspectratio="f"/>
                        <v:textbox>
                          <w:txbxContent>
                            <w:p w14:paraId="0BFD1698">
                              <w:pPr>
                                <w:jc w:val="center"/>
                                <w:rPr>
                                  <w:rFonts w:hint="default" w:eastAsia="宋体"/>
                                  <w:lang w:val="en-US" w:eastAsia="zh-CN"/>
                                </w:rPr>
                              </w:pPr>
                              <w:r>
                                <w:rPr>
                                  <w:rFonts w:hint="eastAsia" w:eastAsia="宋体"/>
                                  <w:lang w:val="en-US" w:eastAsia="zh-CN"/>
                                </w:rPr>
                                <w:t>不合格品出售</w:t>
                              </w:r>
                            </w:p>
                          </w:txbxContent>
                        </v:textbox>
                      </v:shape>
                      <v:line id="直接连接符 65" o:spid="_x0000_s1026" o:spt="20" style="position:absolute;left:1960881;top:945515;flip:x;height:254000;width:0;" filled="f" stroked="t" coordsize="21600,21600" o:gfxdata="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zqVHdUAAAAFAQAADwAAAAAA&#10;AAABACAAAAAiAAAAZHJzL2Rvd25yZXYueG1sUEsBAhQAFAAAAAgAh07iQOS3HuAWAgAA/QMAAA4A&#10;AAAAAAAAAQAgAAAAJAEAAGRycy9lMm9Eb2MueG1sUEsFBgAAAAAGAAYAWQEAAKwFAAAAAA==&#10;">
                        <v:fill on="f" focussize="0,0"/>
                        <v:stroke color="#000000" joinstyle="round" endarrow="block" endarrowwidth="wide"/>
                        <v:imagedata o:title=""/>
                        <o:lock v:ext="edit" aspectratio="f"/>
                      </v:line>
                      <v:shape id="文本框 66" o:spid="_x0000_s1026" o:spt="202" type="#_x0000_t202" style="position:absolute;left:2759075;top:2322830;height:279400;width:749300;" fillcolor="#FFFFFF" filled="t" stroked="t" coordsize="21600,21600" o:gfxdata="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QIOP9UAAAAFAQAADwAAAAAA&#10;AAABACAAAAAiAAAAZHJzL2Rvd25yZXYueG1sUEsBAhQAFAAAAAgAh07iQFiFIf0WAgAAQwQAAA4A&#10;AAAAAAAAAQAgAAAAJAEAAGRycy9lMm9Eb2MueG1sUEsFBgAAAAAGAAYAWQEAAKwFAAAAAA==&#10;">
                        <v:fill on="t" focussize="0,0"/>
                        <v:stroke color="#000000" joinstyle="miter"/>
                        <v:imagedata o:title=""/>
                        <o:lock v:ext="edit" aspectratio="f"/>
                        <v:textbox>
                          <w:txbxContent>
                            <w:p w14:paraId="3688A343">
                              <w:pPr>
                                <w:jc w:val="center"/>
                                <w:rPr>
                                  <w:rFonts w:hint="default" w:eastAsia="宋体"/>
                                  <w:lang w:val="en-US" w:eastAsia="zh-CN"/>
                                </w:rPr>
                              </w:pPr>
                              <w:r>
                                <w:rPr>
                                  <w:rFonts w:hint="eastAsia"/>
                                  <w:lang w:val="en-US" w:eastAsia="zh-CN"/>
                                </w:rPr>
                                <w:t>成品入库</w:t>
                              </w:r>
                            </w:p>
                          </w:txbxContent>
                        </v:textbox>
                      </v:shape>
                      <v:line id="直接连接符 67" o:spid="_x0000_s1026" o:spt="20" style="position:absolute;left:2176145;top:2454910;flip:y;height:1270;width:585470;" filled="f" stroked="t" coordsize="21600,21600" o:gfxdata="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JzqV&#10;HdUAAAAFAQAADwAAAAAAAAABACAAAAAiAAAAZHJzL2Rvd25yZXYueG1sUEsBAhQAFAAAAAgAh07i&#10;QMzUJn0lAgAAKAQAAA4AAAAAAAAAAQAgAAAAJAEAAGRycy9lMm9Eb2MueG1sUEsFBgAAAAAGAAYA&#10;WQEAALsFAAAAAA==&#10;">
                        <v:fill on="f" focussize="0,0"/>
                        <v:stroke color="#000000" joinstyle="round" endarrow="block" endarrowwidth="wide"/>
                        <v:imagedata o:title=""/>
                        <o:lock v:ext="edit" aspectratio="f"/>
                      </v:line>
                      <v:line id="直接连接符 68" o:spid="_x0000_s1026" o:spt="20" style="position:absolute;left:1270000;top:2453005;flip:x y;height:3175;width:442595;" filled="f" stroked="t" coordsize="21600,21600" o:gfxdata="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c&#10;OefUAAAABQEAAA8AAAAAAAAAAQAgAAAAIgAAAGRycy9kb3ducmV2LnhtbFBLAQIUABQAAAAIAIdO&#10;4kCLwNDAJwIAADIEAAAOAAAAAAAAAAEAIAAAACMBAABkcnMvZTJvRG9jLnhtbFBLBQYAAAAABgAG&#10;AFkBAAC8BQAAAAA=&#10;">
                        <v:fill on="f" focussize="0,0"/>
                        <v:stroke color="#000000" joinstyle="round" endarrow="block" endarrowwidth="wide"/>
                        <v:imagedata o:title=""/>
                        <o:lock v:ext="edit" aspectratio="f"/>
                      </v:line>
                      <w10:wrap type="none"/>
                      <w10:anchorlock/>
                    </v:group>
                  </w:pict>
                </mc:Fallback>
              </mc:AlternateContent>
            </w:r>
          </w:p>
          <w:p w14:paraId="17525A45">
            <w:pPr>
              <w:pStyle w:val="20"/>
              <w:jc w:val="center"/>
              <w:rPr>
                <w:rFonts w:hint="eastAsia" w:eastAsia="宋体"/>
                <w:b/>
                <w:bCs/>
                <w:szCs w:val="24"/>
                <w:highlight w:val="none"/>
                <w:lang w:eastAsia="zh-CN"/>
              </w:rPr>
            </w:pPr>
            <w:r>
              <w:rPr>
                <w:rFonts w:hint="default" w:ascii="Times New Roman" w:hAnsi="Times New Roman" w:cs="Times New Roman" w:eastAsiaTheme="majorEastAsia"/>
                <w:b/>
                <w:color w:val="auto"/>
                <w:kern w:val="2"/>
                <w:sz w:val="21"/>
                <w:szCs w:val="21"/>
                <w:highlight w:val="none"/>
                <w:lang w:val="en-US" w:eastAsia="zh-CN" w:bidi="ar-SA"/>
              </w:rPr>
              <w:t>图2-2生产工艺流程及产污环节</w:t>
            </w:r>
          </w:p>
          <w:p w14:paraId="73981F17">
            <w:pPr>
              <w:keepNext w:val="0"/>
              <w:keepLines w:val="0"/>
              <w:pageBreakBefore w:val="0"/>
              <w:widowControl w:val="0"/>
              <w:numPr>
                <w:ilvl w:val="0"/>
                <w:numId w:val="0"/>
              </w:numPr>
              <w:kinsoku/>
              <w:wordWrap/>
              <w:overflowPunct/>
              <w:topLinePunct w:val="0"/>
              <w:bidi w:val="0"/>
              <w:spacing w:line="520" w:lineRule="exact"/>
              <w:jc w:val="both"/>
              <w:textAlignment w:val="auto"/>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lang w:eastAsia="zh-CN"/>
              </w:rPr>
              <w:t>工艺简述：</w:t>
            </w:r>
          </w:p>
          <w:p w14:paraId="047FA11C">
            <w:pPr>
              <w:keepNext w:val="0"/>
              <w:keepLines w:val="0"/>
              <w:pageBreakBefore w:val="0"/>
              <w:widowControl w:val="0"/>
              <w:numPr>
                <w:ilvl w:val="0"/>
                <w:numId w:val="6"/>
              </w:numPr>
              <w:kinsoku/>
              <w:wordWrap/>
              <w:overflowPunct/>
              <w:topLinePunct w:val="0"/>
              <w:bidi w:val="0"/>
              <w:spacing w:line="360" w:lineRule="auto"/>
              <w:ind w:firstLine="482" w:firstLineChars="200"/>
              <w:jc w:val="both"/>
              <w:textAlignment w:val="auto"/>
              <w:rPr>
                <w:rFonts w:hint="default" w:ascii="Times New Roman" w:hAnsi="Times New Roman" w:eastAsia="宋体" w:cs="Times New Roman"/>
                <w:b w:val="0"/>
                <w:bCs w:val="0"/>
                <w:color w:val="000000"/>
                <w:kern w:val="0"/>
                <w:sz w:val="24"/>
                <w:szCs w:val="24"/>
                <w:highlight w:val="none"/>
                <w:lang w:val="en-US" w:eastAsia="zh-CN" w:bidi="ar-SA"/>
              </w:rPr>
            </w:pPr>
            <w:r>
              <w:rPr>
                <w:rFonts w:hint="eastAsia" w:ascii="Times New Roman" w:hAnsi="Times New Roman" w:eastAsia="宋体" w:cs="Times New Roman"/>
                <w:b/>
                <w:bCs/>
                <w:color w:val="000000"/>
                <w:kern w:val="0"/>
                <w:sz w:val="24"/>
                <w:szCs w:val="24"/>
                <w:highlight w:val="none"/>
                <w:lang w:val="en-US" w:eastAsia="zh-CN" w:bidi="ar-SA"/>
              </w:rPr>
              <w:t>投料：</w:t>
            </w:r>
            <w:r>
              <w:rPr>
                <w:rFonts w:hint="eastAsia" w:ascii="Times New Roman" w:hAnsi="Times New Roman" w:eastAsia="宋体" w:cs="Times New Roman"/>
                <w:b w:val="0"/>
                <w:bCs w:val="0"/>
                <w:color w:val="000000"/>
                <w:kern w:val="0"/>
                <w:sz w:val="24"/>
                <w:szCs w:val="24"/>
                <w:highlight w:val="none"/>
                <w:lang w:val="en-US" w:eastAsia="zh-CN" w:bidi="ar-SA"/>
              </w:rPr>
              <w:t>将</w:t>
            </w:r>
            <w:r>
              <w:rPr>
                <w:rFonts w:hint="eastAsia"/>
                <w:sz w:val="24"/>
                <w:highlight w:val="none"/>
              </w:rPr>
              <w:t>各项原辅料，聚丙烯、聚乙烯、</w:t>
            </w:r>
            <w:r>
              <w:rPr>
                <w:rFonts w:hint="eastAsia"/>
                <w:sz w:val="24"/>
                <w:highlight w:val="none"/>
                <w:lang w:eastAsia="zh-CN"/>
              </w:rPr>
              <w:t>色母粒</w:t>
            </w:r>
            <w:r>
              <w:rPr>
                <w:rFonts w:hint="eastAsia"/>
                <w:sz w:val="24"/>
                <w:highlight w:val="none"/>
              </w:rPr>
              <w:t>等，按照预定比例进行精确计量</w:t>
            </w:r>
            <w:r>
              <w:rPr>
                <w:rFonts w:hint="eastAsia"/>
                <w:sz w:val="24"/>
                <w:highlight w:val="none"/>
                <w:lang w:eastAsia="zh-CN"/>
              </w:rPr>
              <w:t>，</w:t>
            </w:r>
            <w:r>
              <w:rPr>
                <w:rFonts w:hint="default" w:ascii="Times New Roman" w:hAnsi="Times New Roman" w:eastAsia="宋体" w:cs="Times New Roman"/>
                <w:b w:val="0"/>
                <w:bCs w:val="0"/>
                <w:color w:val="000000"/>
                <w:sz w:val="24"/>
                <w:szCs w:val="24"/>
                <w:highlight w:val="none"/>
                <w:lang w:val="en-US" w:eastAsia="zh-CN" w:bidi="ar-SA"/>
              </w:rPr>
              <w:t>加入注塑机料斗</w:t>
            </w:r>
            <w:r>
              <w:rPr>
                <w:rFonts w:hint="eastAsia"/>
                <w:sz w:val="24"/>
                <w:highlight w:val="none"/>
              </w:rPr>
              <w:t>。</w:t>
            </w:r>
            <w:r>
              <w:rPr>
                <w:rFonts w:hint="eastAsia" w:ascii="Times New Roman" w:hAnsi="Times New Roman" w:eastAsia="宋体" w:cs="Times New Roman"/>
                <w:color w:val="auto"/>
                <w:sz w:val="24"/>
                <w:szCs w:val="24"/>
                <w:highlight w:val="none"/>
                <w:lang w:val="en-US" w:eastAsia="zh-CN"/>
              </w:rPr>
              <w:t>项目原料均为颗粒状，投料过程基本无粉尘产生。</w:t>
            </w:r>
          </w:p>
          <w:p w14:paraId="6B86ABBE">
            <w:pPr>
              <w:pStyle w:val="49"/>
              <w:keepNext w:val="0"/>
              <w:keepLines w:val="0"/>
              <w:pageBreakBefore w:val="0"/>
              <w:widowControl w:val="0"/>
              <w:numPr>
                <w:ilvl w:val="0"/>
                <w:numId w:val="6"/>
              </w:numPr>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rightChars="0" w:firstLine="482" w:firstLineChars="200"/>
              <w:jc w:val="both"/>
              <w:textAlignment w:val="auto"/>
              <w:rPr>
                <w:rFonts w:hint="default" w:ascii="Times New Roman" w:hAnsi="Times New Roman" w:cs="Times New Roman"/>
                <w:b w:val="0"/>
                <w:bCs w:val="0"/>
                <w:color w:val="000000"/>
                <w:sz w:val="24"/>
                <w:szCs w:val="24"/>
                <w:highlight w:val="none"/>
                <w:lang w:val="en-US" w:eastAsia="zh-CN" w:bidi="ar-SA"/>
              </w:rPr>
            </w:pPr>
            <w:r>
              <w:rPr>
                <w:rFonts w:hint="eastAsia" w:ascii="Times New Roman" w:hAnsi="Times New Roman" w:eastAsia="宋体" w:cs="Times New Roman"/>
                <w:b/>
                <w:bCs/>
                <w:color w:val="000000"/>
                <w:kern w:val="0"/>
                <w:sz w:val="24"/>
                <w:szCs w:val="24"/>
                <w:highlight w:val="none"/>
                <w:lang w:val="en-US" w:eastAsia="zh-CN" w:bidi="ar-SA"/>
              </w:rPr>
              <w:t>注塑</w:t>
            </w:r>
            <w:r>
              <w:rPr>
                <w:rFonts w:hint="default" w:ascii="Times New Roman" w:hAnsi="Times New Roman" w:eastAsia="宋体" w:cs="Times New Roman"/>
                <w:b/>
                <w:bCs/>
                <w:color w:val="000000"/>
                <w:kern w:val="0"/>
                <w:sz w:val="24"/>
                <w:szCs w:val="24"/>
                <w:highlight w:val="none"/>
                <w:lang w:val="en-US" w:eastAsia="zh-CN" w:bidi="ar-SA"/>
              </w:rPr>
              <w:t>：</w:t>
            </w:r>
            <w:r>
              <w:rPr>
                <w:rFonts w:hint="default" w:ascii="Times New Roman" w:hAnsi="Times New Roman" w:eastAsia="宋体" w:cs="Times New Roman"/>
                <w:b w:val="0"/>
                <w:bCs w:val="0"/>
                <w:color w:val="000000"/>
                <w:sz w:val="24"/>
                <w:szCs w:val="24"/>
                <w:highlight w:val="none"/>
                <w:lang w:val="en-US" w:eastAsia="zh-CN" w:bidi="ar-SA"/>
              </w:rPr>
              <w:t>通过注塑机</w:t>
            </w:r>
            <w:r>
              <w:rPr>
                <w:rFonts w:hint="default" w:ascii="Times New Roman" w:hAnsi="Times New Roman" w:cs="Times New Roman"/>
                <w:b w:val="0"/>
                <w:bCs w:val="0"/>
                <w:color w:val="000000"/>
                <w:sz w:val="24"/>
                <w:szCs w:val="24"/>
                <w:highlight w:val="none"/>
                <w:lang w:val="en-US" w:eastAsia="zh-CN" w:bidi="ar-SA"/>
              </w:rPr>
              <w:t>配套的模温机</w:t>
            </w:r>
            <w:r>
              <w:rPr>
                <w:rFonts w:hint="default" w:ascii="Times New Roman" w:hAnsi="Times New Roman" w:eastAsia="宋体" w:cs="Times New Roman"/>
                <w:b w:val="0"/>
                <w:bCs w:val="0"/>
                <w:color w:val="000000"/>
                <w:sz w:val="24"/>
                <w:szCs w:val="24"/>
                <w:highlight w:val="none"/>
                <w:lang w:val="en-US" w:eastAsia="zh-CN" w:bidi="ar-SA"/>
              </w:rPr>
              <w:t>对塑料粒子加热，将固体状态的塑胶颗粒加热成熔融状态的液态形状</w:t>
            </w:r>
            <w:r>
              <w:rPr>
                <w:rFonts w:hint="default" w:ascii="Times New Roman" w:hAnsi="Times New Roman" w:cs="Times New Roman"/>
                <w:b w:val="0"/>
                <w:bCs w:val="0"/>
                <w:color w:val="000000"/>
                <w:sz w:val="24"/>
                <w:szCs w:val="24"/>
                <w:highlight w:val="none"/>
                <w:lang w:val="en-US" w:eastAsia="zh-CN" w:bidi="ar-SA"/>
              </w:rPr>
              <w:t>，加热温度为160~290℃；</w:t>
            </w:r>
            <w:r>
              <w:rPr>
                <w:rFonts w:hint="eastAsia" w:ascii="Times New Roman" w:hAnsi="Times New Roman" w:cs="Times New Roman"/>
                <w:b w:val="0"/>
                <w:bCs w:val="0"/>
                <w:color w:val="000000"/>
                <w:sz w:val="24"/>
                <w:szCs w:val="24"/>
                <w:highlight w:val="none"/>
                <w:lang w:val="en-US" w:eastAsia="zh-CN" w:bidi="ar-SA"/>
              </w:rPr>
              <w:t>加热</w:t>
            </w:r>
            <w:r>
              <w:rPr>
                <w:rFonts w:hint="eastAsia" w:ascii="Times New Roman" w:hAnsi="Times New Roman" w:eastAsia="宋体" w:cs="Times New Roman"/>
                <w:b w:val="0"/>
                <w:bCs w:val="0"/>
                <w:color w:val="000000"/>
                <w:sz w:val="24"/>
                <w:szCs w:val="24"/>
                <w:highlight w:val="none"/>
                <w:lang w:val="en-US" w:eastAsia="zh-CN" w:bidi="ar-SA"/>
              </w:rPr>
              <w:t>熔融注塑</w:t>
            </w:r>
            <w:r>
              <w:rPr>
                <w:rFonts w:hint="default" w:ascii="Times New Roman" w:hAnsi="Times New Roman" w:cs="Times New Roman"/>
                <w:b w:val="0"/>
                <w:bCs w:val="0"/>
                <w:color w:val="000000"/>
                <w:sz w:val="24"/>
                <w:szCs w:val="24"/>
                <w:highlight w:val="none"/>
                <w:lang w:val="en-US" w:eastAsia="zh-CN" w:bidi="ar-SA"/>
              </w:rPr>
              <w:t>过程</w:t>
            </w:r>
            <w:r>
              <w:rPr>
                <w:rFonts w:hint="eastAsia" w:ascii="Times New Roman" w:hAnsi="Times New Roman" w:cs="Times New Roman"/>
                <w:b w:val="0"/>
                <w:bCs w:val="0"/>
                <w:color w:val="000000"/>
                <w:sz w:val="24"/>
                <w:szCs w:val="24"/>
                <w:highlight w:val="none"/>
                <w:lang w:val="en-US" w:eastAsia="zh-CN" w:bidi="ar-SA"/>
              </w:rPr>
              <w:t>中有机废气</w:t>
            </w:r>
            <w:r>
              <w:rPr>
                <w:rFonts w:hint="default" w:ascii="Times New Roman" w:hAnsi="Times New Roman" w:cs="Times New Roman"/>
                <w:b w:val="0"/>
                <w:bCs w:val="0"/>
                <w:color w:val="000000"/>
                <w:sz w:val="24"/>
                <w:szCs w:val="24"/>
                <w:highlight w:val="none"/>
                <w:lang w:val="en-US" w:eastAsia="zh-CN" w:bidi="ar-SA"/>
              </w:rPr>
              <w:t>挥发，</w:t>
            </w:r>
            <w:r>
              <w:rPr>
                <w:rFonts w:hint="eastAsia" w:ascii="Times New Roman" w:hAnsi="Times New Roman" w:cs="Times New Roman"/>
                <w:b w:val="0"/>
                <w:bCs w:val="0"/>
                <w:color w:val="000000"/>
                <w:sz w:val="24"/>
                <w:szCs w:val="24"/>
                <w:highlight w:val="none"/>
                <w:lang w:val="en-US" w:eastAsia="zh-CN" w:bidi="ar-SA"/>
              </w:rPr>
              <w:t>以非甲烷总烃计</w:t>
            </w:r>
            <w:r>
              <w:rPr>
                <w:rFonts w:hint="default" w:ascii="Times New Roman" w:hAnsi="Times New Roman" w:cs="Times New Roman"/>
                <w:b w:val="0"/>
                <w:bCs w:val="0"/>
                <w:color w:val="000000"/>
                <w:sz w:val="24"/>
                <w:szCs w:val="24"/>
                <w:highlight w:val="none"/>
                <w:lang w:val="en-US" w:eastAsia="zh-CN" w:bidi="ar-SA"/>
              </w:rPr>
              <w:t>。</w:t>
            </w:r>
          </w:p>
          <w:p w14:paraId="33CE54EE">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2" w:firstLineChars="200"/>
              <w:textAlignment w:val="auto"/>
              <w:rPr>
                <w:rFonts w:hint="eastAsia" w:hAnsi="宋体" w:eastAsia="宋体"/>
                <w:kern w:val="2"/>
                <w:sz w:val="24"/>
                <w:szCs w:val="24"/>
                <w:highlight w:val="none"/>
                <w:lang w:val="en-US" w:eastAsia="zh-CN"/>
              </w:rPr>
            </w:pPr>
            <w:r>
              <w:rPr>
                <w:rFonts w:hint="default" w:ascii="Times New Roman" w:hAnsi="Times New Roman" w:eastAsia="宋体" w:cs="Times New Roman"/>
                <w:b/>
                <w:bCs/>
                <w:color w:val="000000"/>
                <w:sz w:val="24"/>
                <w:szCs w:val="24"/>
                <w:highlight w:val="none"/>
                <w:lang w:val="en-US" w:eastAsia="zh-CN" w:bidi="ar-SA"/>
              </w:rPr>
              <w:t>挤出：</w:t>
            </w:r>
            <w:r>
              <w:rPr>
                <w:rFonts w:hint="default" w:ascii="Times New Roman" w:hAnsi="Times New Roman" w:eastAsia="宋体" w:cs="Times New Roman"/>
                <w:b w:val="0"/>
                <w:bCs w:val="0"/>
                <w:color w:val="000000"/>
                <w:sz w:val="24"/>
                <w:szCs w:val="24"/>
                <w:highlight w:val="none"/>
                <w:lang w:val="en-US" w:eastAsia="zh-CN" w:bidi="ar-SA"/>
              </w:rPr>
              <w:t>将熔融态的塑胶通过</w:t>
            </w:r>
            <w:r>
              <w:rPr>
                <w:rFonts w:hint="eastAsia" w:ascii="Times New Roman" w:hAnsi="Times New Roman" w:eastAsia="宋体" w:cs="Times New Roman"/>
                <w:b w:val="0"/>
                <w:bCs w:val="0"/>
                <w:color w:val="000000"/>
                <w:sz w:val="24"/>
                <w:szCs w:val="24"/>
                <w:highlight w:val="none"/>
                <w:lang w:val="en-US" w:eastAsia="zh-CN" w:bidi="ar-SA"/>
              </w:rPr>
              <w:t>挤出</w:t>
            </w:r>
            <w:r>
              <w:rPr>
                <w:rFonts w:hint="default" w:ascii="Times New Roman" w:hAnsi="Times New Roman" w:eastAsia="宋体" w:cs="Times New Roman"/>
                <w:b w:val="0"/>
                <w:bCs w:val="0"/>
                <w:color w:val="000000"/>
                <w:sz w:val="24"/>
                <w:szCs w:val="24"/>
                <w:highlight w:val="none"/>
                <w:lang w:val="en-US" w:eastAsia="zh-CN" w:bidi="ar-SA"/>
              </w:rPr>
              <w:t>机螺杆，</w:t>
            </w:r>
            <w:r>
              <w:rPr>
                <w:rFonts w:hint="default" w:ascii="Times New Roman" w:hAnsi="Times New Roman" w:cs="Times New Roman"/>
                <w:b w:val="0"/>
                <w:bCs w:val="0"/>
                <w:color w:val="000000"/>
                <w:sz w:val="24"/>
                <w:szCs w:val="24"/>
                <w:highlight w:val="none"/>
                <w:lang w:val="en-US" w:eastAsia="zh-CN" w:bidi="ar-SA"/>
              </w:rPr>
              <w:t>在</w:t>
            </w:r>
            <w:r>
              <w:rPr>
                <w:rFonts w:hint="default" w:ascii="Times New Roman" w:hAnsi="Times New Roman" w:eastAsia="宋体" w:cs="Times New Roman"/>
                <w:b w:val="0"/>
                <w:bCs w:val="0"/>
                <w:color w:val="000000"/>
                <w:sz w:val="24"/>
                <w:szCs w:val="24"/>
                <w:highlight w:val="none"/>
                <w:lang w:val="en-US" w:eastAsia="zh-CN" w:bidi="ar-SA"/>
              </w:rPr>
              <w:t>挤压作用下推进模具的型腔，固化后</w:t>
            </w:r>
            <w:r>
              <w:rPr>
                <w:rFonts w:hint="default" w:ascii="Times New Roman" w:hAnsi="Times New Roman" w:cs="Times New Roman"/>
                <w:b w:val="0"/>
                <w:bCs w:val="0"/>
                <w:color w:val="000000"/>
                <w:sz w:val="24"/>
                <w:szCs w:val="24"/>
                <w:highlight w:val="none"/>
                <w:lang w:val="en-US" w:eastAsia="zh-CN" w:bidi="ar-SA"/>
              </w:rPr>
              <w:t>形成</w:t>
            </w:r>
            <w:r>
              <w:rPr>
                <w:rFonts w:hint="default" w:ascii="Times New Roman" w:hAnsi="Times New Roman" w:eastAsia="宋体" w:cs="Times New Roman"/>
                <w:b w:val="0"/>
                <w:bCs w:val="0"/>
                <w:color w:val="000000"/>
                <w:sz w:val="24"/>
                <w:szCs w:val="24"/>
                <w:highlight w:val="none"/>
                <w:lang w:val="en-US" w:eastAsia="zh-CN" w:bidi="ar-SA"/>
              </w:rPr>
              <w:t>所需要的制品</w:t>
            </w:r>
            <w:r>
              <w:rPr>
                <w:rFonts w:hint="default" w:ascii="Times New Roman" w:hAnsi="Times New Roman" w:cs="Times New Roman"/>
                <w:b w:val="0"/>
                <w:bCs w:val="0"/>
                <w:color w:val="000000"/>
                <w:sz w:val="24"/>
                <w:szCs w:val="24"/>
                <w:highlight w:val="none"/>
                <w:lang w:val="en-US" w:eastAsia="zh-CN" w:bidi="ar-SA"/>
              </w:rPr>
              <w:t>；</w:t>
            </w:r>
            <w:r>
              <w:rPr>
                <w:rFonts w:hint="eastAsia" w:ascii="Times New Roman" w:hAnsi="Times New Roman" w:cs="Times New Roman"/>
                <w:b w:val="0"/>
                <w:bCs w:val="0"/>
                <w:color w:val="000000"/>
                <w:sz w:val="24"/>
                <w:szCs w:val="24"/>
                <w:highlight w:val="none"/>
                <w:lang w:val="en-US" w:eastAsia="zh-CN" w:bidi="ar-SA"/>
              </w:rPr>
              <w:t>挤出</w:t>
            </w:r>
            <w:r>
              <w:rPr>
                <w:rFonts w:hint="default" w:ascii="Times New Roman" w:hAnsi="Times New Roman" w:cs="Times New Roman"/>
                <w:b w:val="0"/>
                <w:bCs w:val="0"/>
                <w:color w:val="000000"/>
                <w:sz w:val="24"/>
                <w:szCs w:val="24"/>
                <w:highlight w:val="none"/>
                <w:lang w:val="en-US" w:eastAsia="zh-CN" w:bidi="ar-SA"/>
              </w:rPr>
              <w:t>过程</w:t>
            </w:r>
            <w:r>
              <w:rPr>
                <w:rFonts w:hint="eastAsia" w:ascii="Times New Roman" w:hAnsi="Times New Roman" w:cs="Times New Roman"/>
                <w:b w:val="0"/>
                <w:bCs w:val="0"/>
                <w:color w:val="000000"/>
                <w:sz w:val="24"/>
                <w:szCs w:val="24"/>
                <w:highlight w:val="none"/>
                <w:lang w:val="en-US" w:eastAsia="zh-CN" w:bidi="ar-SA"/>
              </w:rPr>
              <w:t>有机废气</w:t>
            </w:r>
            <w:r>
              <w:rPr>
                <w:rFonts w:hint="default" w:ascii="Times New Roman" w:hAnsi="Times New Roman" w:cs="Times New Roman"/>
                <w:b w:val="0"/>
                <w:bCs w:val="0"/>
                <w:color w:val="000000"/>
                <w:sz w:val="24"/>
                <w:szCs w:val="24"/>
                <w:highlight w:val="none"/>
                <w:lang w:val="en-US" w:eastAsia="zh-CN" w:bidi="ar-SA"/>
              </w:rPr>
              <w:t>挥发，</w:t>
            </w:r>
            <w:r>
              <w:rPr>
                <w:rFonts w:hint="eastAsia" w:ascii="Times New Roman" w:hAnsi="Times New Roman" w:cs="Times New Roman"/>
                <w:b w:val="0"/>
                <w:bCs w:val="0"/>
                <w:color w:val="000000"/>
                <w:sz w:val="24"/>
                <w:szCs w:val="24"/>
                <w:highlight w:val="none"/>
                <w:lang w:val="en-US" w:eastAsia="zh-CN" w:bidi="ar-SA"/>
              </w:rPr>
              <w:t>以非甲烷总烃计</w:t>
            </w:r>
            <w:r>
              <w:rPr>
                <w:rFonts w:hint="default" w:ascii="Times New Roman" w:hAnsi="Times New Roman" w:cs="Times New Roman"/>
                <w:b w:val="0"/>
                <w:bCs w:val="0"/>
                <w:color w:val="000000"/>
                <w:sz w:val="24"/>
                <w:szCs w:val="24"/>
                <w:highlight w:val="none"/>
                <w:lang w:val="en-US" w:eastAsia="zh-CN" w:bidi="ar-SA"/>
              </w:rPr>
              <w:t>。</w:t>
            </w:r>
          </w:p>
          <w:p w14:paraId="495961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960" w:firstLineChars="400"/>
              <w:textAlignment w:val="auto"/>
              <w:rPr>
                <w:rFonts w:hint="eastAsia" w:hAnsi="宋体" w:eastAsia="宋体"/>
                <w:kern w:val="2"/>
                <w:sz w:val="24"/>
                <w:szCs w:val="24"/>
                <w:highlight w:val="none"/>
                <w:lang w:val="en-US" w:eastAsia="zh-CN"/>
              </w:rPr>
            </w:pPr>
            <w:r>
              <w:rPr>
                <w:rFonts w:hint="eastAsia" w:ascii="Times New Roman" w:hAnsi="Times New Roman" w:cs="Times New Roman"/>
                <w:b w:val="0"/>
                <w:bCs w:val="0"/>
                <w:color w:val="000000"/>
                <w:sz w:val="24"/>
                <w:szCs w:val="24"/>
                <w:highlight w:val="none"/>
                <w:lang w:val="en-US" w:eastAsia="zh-CN" w:bidi="ar-SA"/>
              </w:rPr>
              <w:t>注塑、挤出工序产生废气经集气罩收集，二级活性炭吸附装置处理后通过15m高（DA001）排气筒排放。活性炭吸附装置需要定期更换吸附剂（活性炭），会产生废活性炭。</w:t>
            </w:r>
            <w:r>
              <w:rPr>
                <w:rFonts w:hint="eastAsia" w:hAnsi="宋体" w:eastAsia="宋体"/>
                <w:kern w:val="2"/>
                <w:sz w:val="24"/>
                <w:szCs w:val="24"/>
                <w:highlight w:val="none"/>
                <w:lang w:val="en-US" w:eastAsia="zh-CN"/>
              </w:rPr>
              <w:t>挤出成型的管产品在设备内部通过循环冷却水冷却。喷淋后的冷却水循环使用，不外排。此过程无废水产生，</w:t>
            </w:r>
            <w:r>
              <w:rPr>
                <w:rFonts w:hint="default" w:ascii="Times New Roman" w:hAnsi="Times New Roman" w:eastAsia="宋体" w:cs="Times New Roman"/>
                <w:b w:val="0"/>
                <w:bCs w:val="0"/>
                <w:color w:val="000000"/>
                <w:kern w:val="2"/>
                <w:sz w:val="24"/>
                <w:szCs w:val="24"/>
                <w:highlight w:val="none"/>
                <w:lang w:val="en-US" w:eastAsia="zh-CN" w:bidi="ar-SA"/>
              </w:rPr>
              <w:t>将固化后的产品从模具型腔里</w:t>
            </w:r>
            <w:r>
              <w:rPr>
                <w:rFonts w:hint="eastAsia" w:ascii="Times New Roman" w:hAnsi="Times New Roman" w:eastAsia="宋体" w:cs="Times New Roman"/>
                <w:b w:val="0"/>
                <w:bCs w:val="0"/>
                <w:color w:val="000000"/>
                <w:kern w:val="2"/>
                <w:sz w:val="24"/>
                <w:szCs w:val="24"/>
                <w:highlight w:val="none"/>
                <w:lang w:val="en-US" w:eastAsia="zh-CN" w:bidi="ar-SA"/>
              </w:rPr>
              <w:t>挤</w:t>
            </w:r>
            <w:r>
              <w:rPr>
                <w:rFonts w:hint="default" w:ascii="Times New Roman" w:hAnsi="Times New Roman" w:eastAsia="宋体" w:cs="Times New Roman"/>
                <w:b w:val="0"/>
                <w:bCs w:val="0"/>
                <w:color w:val="000000"/>
                <w:kern w:val="2"/>
                <w:sz w:val="24"/>
                <w:szCs w:val="24"/>
                <w:highlight w:val="none"/>
                <w:lang w:val="en-US" w:eastAsia="zh-CN" w:bidi="ar-SA"/>
              </w:rPr>
              <w:t>出来</w:t>
            </w:r>
            <w:r>
              <w:rPr>
                <w:rFonts w:hint="eastAsia" w:ascii="Times New Roman" w:hAnsi="Times New Roman" w:eastAsia="宋体" w:cs="Times New Roman"/>
                <w:b w:val="0"/>
                <w:bCs w:val="0"/>
                <w:color w:val="000000"/>
                <w:kern w:val="2"/>
                <w:sz w:val="24"/>
                <w:szCs w:val="24"/>
                <w:highlight w:val="none"/>
                <w:lang w:val="en-US" w:eastAsia="zh-CN" w:bidi="ar-SA"/>
              </w:rPr>
              <w:t>，按照尺寸采用旋转切割。</w:t>
            </w:r>
          </w:p>
          <w:p w14:paraId="4B12C516">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000000"/>
                <w:kern w:val="0"/>
                <w:sz w:val="24"/>
                <w:szCs w:val="24"/>
                <w:highlight w:val="none"/>
                <w:lang w:val="en-US" w:eastAsia="zh-CN" w:bidi="ar-SA"/>
              </w:rPr>
            </w:pPr>
            <w:r>
              <w:rPr>
                <w:rFonts w:hint="default" w:ascii="Times New Roman" w:hAnsi="Times New Roman" w:eastAsia="宋体" w:cs="Times New Roman"/>
                <w:color w:val="000000"/>
                <w:kern w:val="2"/>
                <w:sz w:val="24"/>
                <w:szCs w:val="32"/>
                <w:highlight w:val="none"/>
                <w:lang w:val="en-US" w:eastAsia="zh-CN" w:bidi="ar-SA"/>
              </w:rPr>
              <w:t>（</w:t>
            </w:r>
            <w:r>
              <w:rPr>
                <w:rFonts w:hint="eastAsia" w:ascii="Times New Roman" w:hAnsi="Times New Roman" w:eastAsia="宋体" w:cs="Times New Roman"/>
                <w:color w:val="000000"/>
                <w:kern w:val="2"/>
                <w:sz w:val="24"/>
                <w:szCs w:val="32"/>
                <w:highlight w:val="none"/>
                <w:lang w:val="en-US" w:eastAsia="zh-CN" w:bidi="ar-SA"/>
              </w:rPr>
              <w:t>4</w:t>
            </w:r>
            <w:r>
              <w:rPr>
                <w:rFonts w:hint="default" w:ascii="Times New Roman" w:hAnsi="Times New Roman" w:eastAsia="宋体" w:cs="Times New Roman"/>
                <w:color w:val="000000"/>
                <w:kern w:val="2"/>
                <w:sz w:val="24"/>
                <w:szCs w:val="32"/>
                <w:highlight w:val="none"/>
                <w:lang w:val="en-US" w:eastAsia="zh-CN" w:bidi="ar-SA"/>
              </w:rPr>
              <w:t>）</w:t>
            </w:r>
            <w:r>
              <w:rPr>
                <w:rFonts w:hint="eastAsia" w:ascii="Times New Roman" w:hAnsi="Times New Roman" w:eastAsia="宋体" w:cs="Times New Roman"/>
                <w:b/>
                <w:bCs/>
                <w:color w:val="000000"/>
                <w:kern w:val="2"/>
                <w:sz w:val="24"/>
                <w:szCs w:val="24"/>
                <w:highlight w:val="none"/>
                <w:lang w:val="en-US" w:eastAsia="zh-CN" w:bidi="ar-SA"/>
              </w:rPr>
              <w:t>检验</w:t>
            </w:r>
            <w:r>
              <w:rPr>
                <w:rFonts w:hint="default" w:ascii="Times New Roman" w:hAnsi="Times New Roman" w:eastAsia="宋体" w:cs="Times New Roman"/>
                <w:b/>
                <w:bCs/>
                <w:color w:val="000000"/>
                <w:kern w:val="2"/>
                <w:sz w:val="24"/>
                <w:szCs w:val="24"/>
                <w:highlight w:val="none"/>
                <w:lang w:val="en-US" w:eastAsia="zh-CN" w:bidi="ar-SA"/>
              </w:rPr>
              <w:t>：</w:t>
            </w:r>
            <w:r>
              <w:rPr>
                <w:rFonts w:hint="eastAsia" w:ascii="Times New Roman" w:hAnsi="Times New Roman" w:eastAsia="宋体" w:cs="Times New Roman"/>
                <w:b w:val="0"/>
                <w:bCs w:val="0"/>
                <w:color w:val="000000"/>
                <w:kern w:val="0"/>
                <w:sz w:val="24"/>
                <w:szCs w:val="24"/>
                <w:highlight w:val="none"/>
                <w:lang w:val="en-US" w:eastAsia="zh-CN" w:bidi="ar-SA"/>
              </w:rPr>
              <w:t>对挤出切割后的产品，</w:t>
            </w:r>
            <w:r>
              <w:rPr>
                <w:rFonts w:hint="default" w:ascii="Times New Roman" w:hAnsi="Times New Roman" w:eastAsia="宋体" w:cs="Times New Roman"/>
                <w:color w:val="auto"/>
                <w:sz w:val="24"/>
                <w:szCs w:val="24"/>
                <w:highlight w:val="none"/>
                <w:lang w:val="en-US" w:eastAsia="zh-CN"/>
              </w:rPr>
              <w:t>人工进行简单的边沿修整后</w:t>
            </w:r>
            <w:r>
              <w:rPr>
                <w:rFonts w:hint="eastAsia" w:ascii="Times New Roman" w:hAnsi="Times New Roman" w:eastAsia="宋体" w:cs="Times New Roman"/>
                <w:color w:val="auto"/>
                <w:sz w:val="24"/>
                <w:szCs w:val="24"/>
                <w:highlight w:val="none"/>
                <w:lang w:val="en-US" w:eastAsia="zh-CN"/>
              </w:rPr>
              <w:t>进行分类</w:t>
            </w:r>
            <w:r>
              <w:rPr>
                <w:rFonts w:hint="default" w:ascii="Times New Roman" w:hAnsi="Times New Roman" w:eastAsia="宋体" w:cs="Times New Roman"/>
                <w:color w:val="auto"/>
                <w:sz w:val="24"/>
                <w:szCs w:val="24"/>
                <w:highlight w:val="none"/>
                <w:lang w:val="en-US" w:eastAsia="zh-CN"/>
              </w:rPr>
              <w:t>检验</w:t>
            </w:r>
            <w:r>
              <w:rPr>
                <w:rFonts w:hint="eastAsia" w:ascii="Times New Roman" w:hAnsi="Times New Roman" w:eastAsia="宋体" w:cs="Times New Roman"/>
                <w:color w:val="auto"/>
                <w:sz w:val="24"/>
                <w:szCs w:val="24"/>
                <w:highlight w:val="none"/>
                <w:lang w:val="en-US" w:eastAsia="zh-CN"/>
              </w:rPr>
              <w:t>，修边过程为人工简单修边，修边过程基本不会产生粉尘。此工段产生边角料和不合格产品。</w:t>
            </w:r>
          </w:p>
          <w:p w14:paraId="24077428">
            <w:pPr>
              <w:pStyle w:val="23"/>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b w:val="0"/>
                <w:bCs w:val="0"/>
                <w:color w:val="000000"/>
                <w:kern w:val="0"/>
                <w:sz w:val="24"/>
                <w:szCs w:val="24"/>
                <w:highlight w:val="none"/>
                <w:lang w:val="en-US" w:eastAsia="zh-CN" w:bidi="ar-SA"/>
              </w:rPr>
            </w:pPr>
            <w:r>
              <w:rPr>
                <w:rFonts w:hint="default" w:ascii="Times New Roman" w:hAnsi="Times New Roman" w:eastAsia="宋体" w:cs="Times New Roman"/>
                <w:color w:val="000000"/>
                <w:kern w:val="2"/>
                <w:sz w:val="24"/>
                <w:szCs w:val="32"/>
                <w:highlight w:val="none"/>
                <w:lang w:val="en-US" w:eastAsia="zh-CN" w:bidi="ar-SA"/>
              </w:rPr>
              <w:t>（</w:t>
            </w:r>
            <w:r>
              <w:rPr>
                <w:rFonts w:hint="eastAsia" w:ascii="Times New Roman" w:hAnsi="Times New Roman" w:eastAsia="宋体" w:cs="Times New Roman"/>
                <w:color w:val="000000"/>
                <w:kern w:val="2"/>
                <w:sz w:val="24"/>
                <w:szCs w:val="32"/>
                <w:highlight w:val="none"/>
                <w:lang w:val="en-US" w:eastAsia="zh-CN" w:bidi="ar-SA"/>
              </w:rPr>
              <w:t>5</w:t>
            </w:r>
            <w:r>
              <w:rPr>
                <w:rFonts w:hint="default" w:ascii="Times New Roman" w:hAnsi="Times New Roman" w:eastAsia="宋体" w:cs="Times New Roman"/>
                <w:color w:val="000000"/>
                <w:kern w:val="2"/>
                <w:sz w:val="24"/>
                <w:szCs w:val="32"/>
                <w:highlight w:val="none"/>
                <w:lang w:val="en-US" w:eastAsia="zh-CN" w:bidi="ar-SA"/>
              </w:rPr>
              <w:t>）</w:t>
            </w:r>
            <w:r>
              <w:rPr>
                <w:rFonts w:hint="eastAsia" w:ascii="Times New Roman" w:hAnsi="Times New Roman" w:eastAsia="宋体" w:cs="Times New Roman"/>
                <w:b/>
                <w:bCs/>
                <w:color w:val="000000"/>
                <w:kern w:val="2"/>
                <w:sz w:val="24"/>
                <w:szCs w:val="24"/>
                <w:highlight w:val="none"/>
                <w:lang w:val="en-US" w:eastAsia="zh-CN" w:bidi="ar-SA"/>
              </w:rPr>
              <w:t>合格品入库</w:t>
            </w:r>
            <w:r>
              <w:rPr>
                <w:rFonts w:hint="default" w:ascii="Times New Roman" w:hAnsi="Times New Roman" w:eastAsia="宋体" w:cs="Times New Roman"/>
                <w:b/>
                <w:bCs/>
                <w:color w:val="000000"/>
                <w:kern w:val="2"/>
                <w:sz w:val="24"/>
                <w:szCs w:val="24"/>
                <w:highlight w:val="none"/>
                <w:lang w:val="en-US" w:eastAsia="zh-CN" w:bidi="ar-SA"/>
              </w:rPr>
              <w:t>：</w:t>
            </w:r>
            <w:r>
              <w:rPr>
                <w:rFonts w:hint="eastAsia" w:ascii="Times New Roman" w:hAnsi="Times New Roman" w:eastAsia="宋体" w:cs="Times New Roman"/>
                <w:b w:val="0"/>
                <w:bCs w:val="0"/>
                <w:color w:val="000000"/>
                <w:kern w:val="0"/>
                <w:sz w:val="24"/>
                <w:szCs w:val="24"/>
                <w:highlight w:val="none"/>
                <w:lang w:val="en-US" w:eastAsia="zh-CN" w:bidi="ar-SA"/>
              </w:rPr>
              <w:t>割后的产品经过检验后，合格产品入库待售。</w:t>
            </w:r>
          </w:p>
          <w:p w14:paraId="31AD27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000000"/>
                <w:sz w:val="24"/>
                <w:szCs w:val="24"/>
                <w:highlight w:val="none"/>
                <w:lang w:val="en-US" w:eastAsia="zh-CN" w:bidi="ar-SA"/>
              </w:rPr>
            </w:pPr>
            <w:r>
              <w:rPr>
                <w:rFonts w:hint="default" w:ascii="Times New Roman" w:hAnsi="Times New Roman" w:eastAsia="宋体" w:cs="Times New Roman"/>
                <w:color w:val="000000"/>
                <w:kern w:val="2"/>
                <w:sz w:val="24"/>
                <w:szCs w:val="32"/>
                <w:highlight w:val="none"/>
                <w:lang w:val="en-US" w:eastAsia="zh-CN" w:bidi="ar-SA"/>
              </w:rPr>
              <w:t>（</w:t>
            </w:r>
            <w:r>
              <w:rPr>
                <w:rFonts w:hint="eastAsia" w:ascii="Times New Roman" w:hAnsi="Times New Roman" w:eastAsia="宋体" w:cs="Times New Roman"/>
                <w:color w:val="000000"/>
                <w:kern w:val="2"/>
                <w:sz w:val="24"/>
                <w:szCs w:val="32"/>
                <w:highlight w:val="none"/>
                <w:lang w:val="en-US" w:eastAsia="zh-CN" w:bidi="ar-SA"/>
              </w:rPr>
              <w:t>6</w:t>
            </w:r>
            <w:r>
              <w:rPr>
                <w:rFonts w:hint="default" w:ascii="Times New Roman" w:hAnsi="Times New Roman" w:eastAsia="宋体" w:cs="Times New Roman"/>
                <w:color w:val="000000"/>
                <w:kern w:val="2"/>
                <w:sz w:val="24"/>
                <w:szCs w:val="32"/>
                <w:highlight w:val="none"/>
                <w:lang w:val="en-US" w:eastAsia="zh-CN" w:bidi="ar-SA"/>
              </w:rPr>
              <w:t>）</w:t>
            </w:r>
            <w:r>
              <w:rPr>
                <w:rFonts w:hint="eastAsia" w:ascii="Times New Roman" w:hAnsi="Times New Roman" w:eastAsia="宋体" w:cs="Times New Roman"/>
                <w:b/>
                <w:bCs/>
                <w:color w:val="000000"/>
                <w:sz w:val="24"/>
                <w:szCs w:val="24"/>
                <w:highlight w:val="none"/>
                <w:lang w:val="en-US" w:eastAsia="zh-CN" w:bidi="ar-SA"/>
              </w:rPr>
              <w:t>不合格品出售</w:t>
            </w:r>
            <w:r>
              <w:rPr>
                <w:rFonts w:hint="default" w:ascii="Times New Roman" w:hAnsi="Times New Roman" w:eastAsia="宋体" w:cs="Times New Roman"/>
                <w:b/>
                <w:bCs/>
                <w:color w:val="000000"/>
                <w:sz w:val="24"/>
                <w:szCs w:val="24"/>
                <w:highlight w:val="none"/>
                <w:lang w:val="en-US" w:eastAsia="zh-CN" w:bidi="ar-SA"/>
              </w:rPr>
              <w:t>：</w:t>
            </w:r>
            <w:r>
              <w:rPr>
                <w:rFonts w:hint="default" w:ascii="Times New Roman" w:hAnsi="Times New Roman" w:eastAsia="宋体" w:cs="Times New Roman"/>
                <w:b w:val="0"/>
                <w:bCs w:val="0"/>
                <w:color w:val="000000"/>
                <w:sz w:val="24"/>
                <w:szCs w:val="24"/>
                <w:highlight w:val="none"/>
                <w:lang w:val="en-US" w:eastAsia="zh-CN" w:bidi="ar-SA"/>
              </w:rPr>
              <w:t>将不合格产品</w:t>
            </w:r>
            <w:r>
              <w:rPr>
                <w:rFonts w:hint="default" w:ascii="Times New Roman" w:hAnsi="Times New Roman" w:cs="Times New Roman"/>
                <w:b w:val="0"/>
                <w:bCs w:val="0"/>
                <w:color w:val="000000"/>
                <w:sz w:val="24"/>
                <w:szCs w:val="24"/>
                <w:highlight w:val="none"/>
                <w:lang w:val="en-US" w:eastAsia="zh-CN" w:bidi="ar-SA"/>
              </w:rPr>
              <w:t>、废边角料</w:t>
            </w:r>
            <w:r>
              <w:rPr>
                <w:rFonts w:hint="eastAsia" w:ascii="Times New Roman" w:hAnsi="Times New Roman" w:cs="Times New Roman"/>
                <w:b w:val="0"/>
                <w:bCs w:val="0"/>
                <w:color w:val="000000"/>
                <w:sz w:val="24"/>
                <w:szCs w:val="24"/>
                <w:highlight w:val="none"/>
                <w:lang w:val="en-US" w:eastAsia="zh-CN" w:bidi="ar-SA"/>
              </w:rPr>
              <w:t>收集以废品形式出售</w:t>
            </w:r>
            <w:r>
              <w:rPr>
                <w:rFonts w:hint="eastAsia" w:cs="Times New Roman"/>
                <w:b w:val="0"/>
                <w:bCs w:val="0"/>
                <w:color w:val="000000"/>
                <w:sz w:val="24"/>
                <w:szCs w:val="24"/>
                <w:highlight w:val="none"/>
                <w:lang w:val="en-US" w:eastAsia="zh-CN" w:bidi="ar-SA"/>
              </w:rPr>
              <w:t>。</w:t>
            </w:r>
          </w:p>
          <w:p w14:paraId="24CE164A">
            <w:pPr>
              <w:pStyle w:val="50"/>
              <w:keepNext w:val="0"/>
              <w:keepLines w:val="0"/>
              <w:pageBreakBefore w:val="0"/>
              <w:widowControl w:val="0"/>
              <w:kinsoku/>
              <w:wordWrap/>
              <w:overflowPunct/>
              <w:topLinePunct w:val="0"/>
              <w:autoSpaceDE/>
              <w:autoSpaceDN/>
              <w:bidi w:val="0"/>
              <w:adjustRightInd/>
              <w:snapToGrid/>
              <w:spacing w:line="440" w:lineRule="exact"/>
              <w:ind w:left="0" w:leftChars="0" w:firstLine="482" w:firstLineChars="200"/>
              <w:textAlignment w:val="auto"/>
              <w:rPr>
                <w:rFonts w:hint="default" w:ascii="Times New Roman" w:hAnsi="Times New Roman" w:eastAsia="宋体" w:cs="Times New Roman"/>
                <w:b/>
                <w:bCs/>
                <w:color w:val="auto"/>
                <w:sz w:val="24"/>
                <w:szCs w:val="24"/>
                <w:highlight w:val="none"/>
              </w:rPr>
            </w:pPr>
            <w:r>
              <w:rPr>
                <w:rFonts w:hint="eastAsia"/>
                <w:highlight w:val="none"/>
                <w:lang w:eastAsia="zh-CN"/>
              </w:rPr>
              <w:t>运营期</w:t>
            </w:r>
            <w:r>
              <w:rPr>
                <w:highlight w:val="none"/>
              </w:rPr>
              <w:t>产污汇总</w:t>
            </w:r>
            <w:r>
              <w:rPr>
                <w:rFonts w:hint="default" w:ascii="Times New Roman" w:hAnsi="Times New Roman" w:eastAsia="宋体" w:cs="Times New Roman"/>
                <w:b/>
                <w:bCs/>
                <w:color w:val="auto"/>
                <w:sz w:val="24"/>
                <w:szCs w:val="24"/>
                <w:highlight w:val="none"/>
              </w:rPr>
              <w:t>：</w:t>
            </w:r>
          </w:p>
          <w:p w14:paraId="4817B89D">
            <w:pPr>
              <w:pStyle w:val="50"/>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eastAsiaTheme="majorEastAsia"/>
                <w:b/>
                <w:bCs/>
                <w:caps w:val="0"/>
                <w:color w:val="auto"/>
                <w:kern w:val="0"/>
                <w:sz w:val="21"/>
                <w:szCs w:val="21"/>
                <w:highlight w:val="none"/>
                <w:lang w:val="zh-CN" w:eastAsia="zh-CN" w:bidi="zh-CN"/>
              </w:rPr>
            </w:pPr>
            <w:r>
              <w:rPr>
                <w:rFonts w:hint="default" w:ascii="Times New Roman" w:hAnsi="Times New Roman" w:cs="Times New Roman" w:eastAsiaTheme="majorEastAsia"/>
                <w:b/>
                <w:bCs/>
                <w:caps w:val="0"/>
                <w:color w:val="auto"/>
                <w:kern w:val="0"/>
                <w:sz w:val="21"/>
                <w:szCs w:val="21"/>
                <w:highlight w:val="none"/>
                <w:lang w:val="zh-CN" w:eastAsia="zh-CN" w:bidi="zh-CN"/>
              </w:rPr>
              <w:t>表</w:t>
            </w:r>
            <w:r>
              <w:rPr>
                <w:rFonts w:hint="default" w:ascii="Times New Roman" w:hAnsi="Times New Roman" w:cs="Times New Roman" w:eastAsiaTheme="majorEastAsia"/>
                <w:b/>
                <w:bCs/>
                <w:caps w:val="0"/>
                <w:color w:val="auto"/>
                <w:kern w:val="0"/>
                <w:sz w:val="21"/>
                <w:szCs w:val="21"/>
                <w:highlight w:val="none"/>
                <w:lang w:val="en-US" w:eastAsia="zh-CN" w:bidi="zh-CN"/>
              </w:rPr>
              <w:t>2-7</w:t>
            </w:r>
            <w:r>
              <w:rPr>
                <w:rFonts w:hint="default" w:ascii="Times New Roman" w:hAnsi="Times New Roman" w:cs="Times New Roman" w:eastAsiaTheme="majorEastAsia"/>
                <w:b/>
                <w:bCs/>
                <w:caps w:val="0"/>
                <w:color w:val="auto"/>
                <w:kern w:val="0"/>
                <w:sz w:val="21"/>
                <w:szCs w:val="21"/>
                <w:highlight w:val="none"/>
                <w:lang w:val="zh-CN" w:eastAsia="zh-CN" w:bidi="zh-CN"/>
              </w:rPr>
              <w:t xml:space="preserve">  主要产污环节及污染物一览表</w:t>
            </w:r>
          </w:p>
          <w:tbl>
            <w:tblPr>
              <w:tblStyle w:val="2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1734"/>
              <w:gridCol w:w="2763"/>
              <w:gridCol w:w="2982"/>
            </w:tblGrid>
            <w:tr w14:paraId="1E96F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56" w:type="pct"/>
                  <w:noWrap w:val="0"/>
                  <w:vAlign w:val="center"/>
                </w:tcPr>
                <w:p w14:paraId="4A66ADF1">
                  <w:pPr>
                    <w:pStyle w:val="47"/>
                    <w:rPr>
                      <w:rFonts w:hint="eastAsia"/>
                      <w:b/>
                      <w:bCs/>
                      <w:highlight w:val="none"/>
                    </w:rPr>
                  </w:pPr>
                  <w:r>
                    <w:rPr>
                      <w:rFonts w:hint="eastAsia"/>
                      <w:b/>
                      <w:bCs/>
                      <w:highlight w:val="none"/>
                    </w:rPr>
                    <w:t>污染类型</w:t>
                  </w:r>
                </w:p>
              </w:tc>
              <w:tc>
                <w:tcPr>
                  <w:tcW w:w="1030" w:type="pct"/>
                  <w:noWrap w:val="0"/>
                  <w:vAlign w:val="center"/>
                </w:tcPr>
                <w:p w14:paraId="3871F165">
                  <w:pPr>
                    <w:pStyle w:val="47"/>
                    <w:rPr>
                      <w:rFonts w:hint="eastAsia"/>
                      <w:b/>
                      <w:bCs/>
                      <w:highlight w:val="none"/>
                    </w:rPr>
                  </w:pPr>
                  <w:r>
                    <w:rPr>
                      <w:rFonts w:hint="eastAsia"/>
                      <w:b/>
                      <w:bCs/>
                      <w:highlight w:val="none"/>
                    </w:rPr>
                    <w:t>产生环节</w:t>
                  </w:r>
                </w:p>
              </w:tc>
              <w:tc>
                <w:tcPr>
                  <w:tcW w:w="1641" w:type="pct"/>
                  <w:noWrap w:val="0"/>
                  <w:vAlign w:val="center"/>
                </w:tcPr>
                <w:p w14:paraId="363406BB">
                  <w:pPr>
                    <w:pStyle w:val="47"/>
                    <w:rPr>
                      <w:rFonts w:hint="eastAsia"/>
                      <w:b/>
                      <w:bCs/>
                      <w:highlight w:val="none"/>
                    </w:rPr>
                  </w:pPr>
                  <w:r>
                    <w:rPr>
                      <w:rFonts w:hint="eastAsia"/>
                      <w:b/>
                      <w:bCs/>
                      <w:highlight w:val="none"/>
                    </w:rPr>
                    <w:t>污染物名称</w:t>
                  </w:r>
                </w:p>
              </w:tc>
              <w:tc>
                <w:tcPr>
                  <w:tcW w:w="1771" w:type="pct"/>
                  <w:noWrap w:val="0"/>
                  <w:vAlign w:val="center"/>
                </w:tcPr>
                <w:p w14:paraId="3131D098">
                  <w:pPr>
                    <w:pStyle w:val="47"/>
                    <w:rPr>
                      <w:rFonts w:hint="eastAsia" w:eastAsia="宋体"/>
                      <w:b/>
                      <w:bCs/>
                      <w:highlight w:val="none"/>
                      <w:lang w:eastAsia="zh-CN"/>
                    </w:rPr>
                  </w:pPr>
                  <w:r>
                    <w:rPr>
                      <w:rFonts w:hint="eastAsia"/>
                      <w:b/>
                      <w:bCs/>
                      <w:highlight w:val="none"/>
                      <w:lang w:eastAsia="zh-CN"/>
                    </w:rPr>
                    <w:t>防治措施</w:t>
                  </w:r>
                </w:p>
              </w:tc>
            </w:tr>
            <w:tr w14:paraId="5C540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556" w:type="pct"/>
                  <w:noWrap w:val="0"/>
                  <w:vAlign w:val="center"/>
                </w:tcPr>
                <w:p w14:paraId="56048297">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废气</w:t>
                  </w:r>
                </w:p>
              </w:tc>
              <w:tc>
                <w:tcPr>
                  <w:tcW w:w="1030" w:type="pct"/>
                  <w:noWrap w:val="0"/>
                  <w:vAlign w:val="center"/>
                </w:tcPr>
                <w:p w14:paraId="467C3094">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lang w:eastAsia="zh-CN"/>
                    </w:rPr>
                    <w:t>注塑、</w:t>
                  </w:r>
                  <w:r>
                    <w:rPr>
                      <w:rFonts w:hint="default" w:ascii="Times New Roman" w:hAnsi="Times New Roman" w:cs="Times New Roman" w:eastAsiaTheme="minorEastAsia"/>
                      <w:sz w:val="21"/>
                      <w:szCs w:val="21"/>
                      <w:highlight w:val="none"/>
                    </w:rPr>
                    <w:t>挤出</w:t>
                  </w:r>
                </w:p>
              </w:tc>
              <w:tc>
                <w:tcPr>
                  <w:tcW w:w="1641" w:type="pct"/>
                  <w:noWrap w:val="0"/>
                  <w:vAlign w:val="center"/>
                </w:tcPr>
                <w:p w14:paraId="04BE1FDD">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非甲烷总烃</w:t>
                  </w:r>
                </w:p>
              </w:tc>
              <w:tc>
                <w:tcPr>
                  <w:tcW w:w="1771" w:type="pct"/>
                  <w:noWrap w:val="0"/>
                  <w:vAlign w:val="center"/>
                </w:tcPr>
                <w:p w14:paraId="14FD9D9B">
                  <w:pPr>
                    <w:keepNext w:val="0"/>
                    <w:keepLines w:val="0"/>
                    <w:pageBreakBefore w:val="0"/>
                    <w:widowControl w:val="0"/>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集气罩收集+二级活性炭吸附处理后，经15 m高（DA001）排气筒排放。</w:t>
                  </w:r>
                </w:p>
              </w:tc>
            </w:tr>
            <w:tr w14:paraId="6864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6" w:type="pct"/>
                  <w:vMerge w:val="restart"/>
                  <w:noWrap w:val="0"/>
                  <w:vAlign w:val="center"/>
                </w:tcPr>
                <w:p w14:paraId="74869524">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废水</w:t>
                  </w:r>
                </w:p>
              </w:tc>
              <w:tc>
                <w:tcPr>
                  <w:tcW w:w="1030" w:type="pct"/>
                  <w:noWrap w:val="0"/>
                  <w:vAlign w:val="center"/>
                </w:tcPr>
                <w:p w14:paraId="641C0500">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职工生活</w:t>
                  </w:r>
                </w:p>
              </w:tc>
              <w:tc>
                <w:tcPr>
                  <w:tcW w:w="1641" w:type="pct"/>
                  <w:noWrap w:val="0"/>
                  <w:vAlign w:val="center"/>
                </w:tcPr>
                <w:p w14:paraId="7F2C8229">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color w:val="auto"/>
                      <w:sz w:val="21"/>
                      <w:szCs w:val="21"/>
                      <w:highlight w:val="none"/>
                      <w:lang w:val="en-US" w:eastAsia="zh-CN"/>
                    </w:rPr>
                    <w:t>PH、SS</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val="en-US" w:eastAsia="zh-CN"/>
                    </w:rPr>
                    <w:t>COD</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val="en-US" w:eastAsia="zh-CN"/>
                    </w:rPr>
                    <w:t>NH</w:t>
                  </w:r>
                  <w:r>
                    <w:rPr>
                      <w:rFonts w:hint="default" w:ascii="Times New Roman" w:hAnsi="Times New Roman" w:cs="Times New Roman" w:eastAsiaTheme="minorEastAsia"/>
                      <w:color w:val="auto"/>
                      <w:sz w:val="21"/>
                      <w:szCs w:val="21"/>
                      <w:highlight w:val="none"/>
                      <w:vertAlign w:val="subscript"/>
                      <w:lang w:val="en-US" w:eastAsia="zh-CN"/>
                    </w:rPr>
                    <w:t>3</w:t>
                  </w:r>
                  <w:r>
                    <w:rPr>
                      <w:rFonts w:hint="default" w:ascii="Times New Roman" w:hAnsi="Times New Roman" w:cs="Times New Roman" w:eastAsiaTheme="minorEastAsia"/>
                      <w:color w:val="auto"/>
                      <w:sz w:val="21"/>
                      <w:szCs w:val="21"/>
                      <w:highlight w:val="none"/>
                      <w:lang w:val="en-US" w:eastAsia="zh-CN"/>
                    </w:rPr>
                    <w:t>-N</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val="en-US" w:eastAsia="zh-CN"/>
                    </w:rPr>
                    <w:t>BOD</w:t>
                  </w:r>
                  <w:r>
                    <w:rPr>
                      <w:rFonts w:hint="default" w:ascii="Times New Roman" w:hAnsi="Times New Roman" w:cs="Times New Roman" w:eastAsiaTheme="minorEastAsia"/>
                      <w:color w:val="auto"/>
                      <w:sz w:val="21"/>
                      <w:szCs w:val="21"/>
                      <w:highlight w:val="none"/>
                      <w:vertAlign w:val="subscript"/>
                      <w:lang w:val="en-US" w:eastAsia="zh-CN"/>
                    </w:rPr>
                    <w:t>5</w:t>
                  </w:r>
                </w:p>
              </w:tc>
              <w:tc>
                <w:tcPr>
                  <w:tcW w:w="1771" w:type="pct"/>
                  <w:noWrap w:val="0"/>
                  <w:vAlign w:val="center"/>
                </w:tcPr>
                <w:p w14:paraId="350E2763">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排入化粪池，定期清掏</w:t>
                  </w:r>
                </w:p>
              </w:tc>
            </w:tr>
            <w:tr w14:paraId="0C632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556" w:type="pct"/>
                  <w:vMerge w:val="continue"/>
                  <w:noWrap w:val="0"/>
                  <w:vAlign w:val="center"/>
                </w:tcPr>
                <w:p w14:paraId="7068083E">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1030" w:type="pct"/>
                  <w:noWrap w:val="0"/>
                  <w:vAlign w:val="center"/>
                </w:tcPr>
                <w:p w14:paraId="1F6D641A">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冷却工序</w:t>
                  </w:r>
                </w:p>
              </w:tc>
              <w:tc>
                <w:tcPr>
                  <w:tcW w:w="1641" w:type="pct"/>
                  <w:shd w:val="clear" w:color="auto" w:fill="auto"/>
                  <w:noWrap w:val="0"/>
                  <w:vAlign w:val="center"/>
                </w:tcPr>
                <w:p w14:paraId="24EA5EC4">
                  <w:pPr>
                    <w:keepNext w:val="0"/>
                    <w:keepLines w:val="0"/>
                    <w:pageBreakBefore w:val="0"/>
                    <w:widowControl/>
                    <w:suppressLineNumbers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b w:val="0"/>
                      <w:bCs w:val="0"/>
                      <w:color w:val="000000"/>
                      <w:kern w:val="2"/>
                      <w:sz w:val="21"/>
                      <w:szCs w:val="21"/>
                      <w:highlight w:val="none"/>
                      <w:vertAlign w:val="baseline"/>
                      <w:lang w:val="en-US" w:eastAsia="zh-CN" w:bidi="ar-SA"/>
                    </w:rPr>
                  </w:pPr>
                  <w:r>
                    <w:rPr>
                      <w:rFonts w:hint="default" w:ascii="Times New Roman" w:hAnsi="Times New Roman" w:cs="Times New Roman" w:eastAsiaTheme="minorEastAsia"/>
                      <w:b w:val="0"/>
                      <w:bCs w:val="0"/>
                      <w:color w:val="000000"/>
                      <w:kern w:val="0"/>
                      <w:sz w:val="21"/>
                      <w:szCs w:val="21"/>
                      <w:highlight w:val="none"/>
                      <w:lang w:val="en-US" w:eastAsia="zh-CN" w:bidi="ar"/>
                    </w:rPr>
                    <w:t>SS</w:t>
                  </w:r>
                </w:p>
              </w:tc>
              <w:tc>
                <w:tcPr>
                  <w:tcW w:w="1771" w:type="pct"/>
                  <w:shd w:val="clear" w:color="auto" w:fill="auto"/>
                  <w:noWrap w:val="0"/>
                  <w:vAlign w:val="center"/>
                </w:tcPr>
                <w:p w14:paraId="5DE0A305">
                  <w:pPr>
                    <w:keepNext w:val="0"/>
                    <w:keepLines w:val="0"/>
                    <w:pageBreakBefore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b/>
                      <w:bCs w:val="0"/>
                      <w:color w:val="000000"/>
                      <w:kern w:val="2"/>
                      <w:sz w:val="21"/>
                      <w:szCs w:val="21"/>
                      <w:highlight w:val="none"/>
                      <w:vertAlign w:val="baseline"/>
                      <w:lang w:val="en-US" w:eastAsia="zh-CN" w:bidi="ar-SA"/>
                    </w:rPr>
                  </w:pPr>
                  <w:r>
                    <w:rPr>
                      <w:rFonts w:hint="default" w:ascii="Times New Roman" w:hAnsi="Times New Roman" w:cs="Times New Roman" w:eastAsiaTheme="minorEastAsia"/>
                      <w:color w:val="000000"/>
                      <w:sz w:val="21"/>
                      <w:szCs w:val="21"/>
                      <w:highlight w:val="none"/>
                      <w:lang w:val="en-US" w:eastAsia="zh-CN"/>
                    </w:rPr>
                    <w:t>循环冷却使用不外排</w:t>
                  </w:r>
                </w:p>
              </w:tc>
            </w:tr>
            <w:tr w14:paraId="07F17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556" w:type="pct"/>
                  <w:noWrap w:val="0"/>
                  <w:vAlign w:val="center"/>
                </w:tcPr>
                <w:p w14:paraId="04C4F4D2">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噪声</w:t>
                  </w:r>
                </w:p>
              </w:tc>
              <w:tc>
                <w:tcPr>
                  <w:tcW w:w="1030" w:type="pct"/>
                  <w:noWrap w:val="0"/>
                  <w:vAlign w:val="center"/>
                </w:tcPr>
                <w:p w14:paraId="389ACDC6">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生产设备运行</w:t>
                  </w:r>
                </w:p>
              </w:tc>
              <w:tc>
                <w:tcPr>
                  <w:tcW w:w="1641" w:type="pct"/>
                  <w:noWrap w:val="0"/>
                  <w:vAlign w:val="center"/>
                </w:tcPr>
                <w:p w14:paraId="55B6AFA0">
                  <w:pPr>
                    <w:pStyle w:val="47"/>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噪声</w:t>
                  </w:r>
                </w:p>
              </w:tc>
              <w:tc>
                <w:tcPr>
                  <w:tcW w:w="1771" w:type="pct"/>
                  <w:noWrap w:val="0"/>
                  <w:vAlign w:val="center"/>
                </w:tcPr>
                <w:p w14:paraId="0BEBAE13">
                  <w:pPr>
                    <w:pStyle w:val="47"/>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选用低噪声设备、基础减振、厂房隔声等措施</w:t>
                  </w:r>
                </w:p>
              </w:tc>
            </w:tr>
            <w:tr w14:paraId="37479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56" w:type="pct"/>
                  <w:vMerge w:val="restart"/>
                  <w:noWrap w:val="0"/>
                  <w:vAlign w:val="center"/>
                </w:tcPr>
                <w:p w14:paraId="318023A8">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固废</w:t>
                  </w:r>
                </w:p>
              </w:tc>
              <w:tc>
                <w:tcPr>
                  <w:tcW w:w="1030" w:type="pct"/>
                  <w:noWrap w:val="0"/>
                  <w:vAlign w:val="center"/>
                </w:tcPr>
                <w:p w14:paraId="638A5869">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 w:val="0"/>
                      <w:bCs/>
                      <w:color w:val="000000"/>
                      <w:sz w:val="21"/>
                      <w:szCs w:val="21"/>
                      <w:highlight w:val="none"/>
                      <w:vertAlign w:val="baseline"/>
                      <w:lang w:val="en-US" w:eastAsia="zh-CN"/>
                    </w:rPr>
                  </w:pPr>
                  <w:r>
                    <w:rPr>
                      <w:rFonts w:hint="eastAsia" w:cs="Times New Roman" w:eastAsiaTheme="minorEastAsia"/>
                      <w:b w:val="0"/>
                      <w:bCs/>
                      <w:color w:val="000000"/>
                      <w:sz w:val="21"/>
                      <w:szCs w:val="21"/>
                      <w:highlight w:val="none"/>
                      <w:vertAlign w:val="baseline"/>
                      <w:lang w:val="en-US" w:eastAsia="zh-CN"/>
                    </w:rPr>
                    <w:t>生产及检验过程</w:t>
                  </w:r>
                </w:p>
              </w:tc>
              <w:tc>
                <w:tcPr>
                  <w:tcW w:w="1641" w:type="pct"/>
                  <w:noWrap w:val="0"/>
                  <w:vAlign w:val="center"/>
                </w:tcPr>
                <w:p w14:paraId="1D3642BC">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 w:val="0"/>
                      <w:bCs/>
                      <w:color w:val="000000"/>
                      <w:sz w:val="21"/>
                      <w:szCs w:val="21"/>
                      <w:highlight w:val="none"/>
                      <w:vertAlign w:val="baseline"/>
                      <w:lang w:val="en-US" w:eastAsia="zh-CN"/>
                    </w:rPr>
                  </w:pPr>
                  <w:r>
                    <w:rPr>
                      <w:rFonts w:hint="eastAsia" w:cs="Times New Roman" w:eastAsiaTheme="minorEastAsia"/>
                      <w:b w:val="0"/>
                      <w:bCs/>
                      <w:color w:val="000000"/>
                      <w:sz w:val="21"/>
                      <w:szCs w:val="21"/>
                      <w:highlight w:val="none"/>
                      <w:vertAlign w:val="baseline"/>
                      <w:lang w:val="en-US" w:eastAsia="zh-CN"/>
                    </w:rPr>
                    <w:t>不合格产品及边角料</w:t>
                  </w:r>
                </w:p>
              </w:tc>
              <w:tc>
                <w:tcPr>
                  <w:tcW w:w="1771" w:type="pct"/>
                  <w:noWrap w:val="0"/>
                  <w:vAlign w:val="center"/>
                </w:tcPr>
                <w:p w14:paraId="0C5EF672">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Cs/>
                      <w:color w:val="000000"/>
                      <w:sz w:val="21"/>
                      <w:szCs w:val="21"/>
                      <w:highlight w:val="none"/>
                      <w:lang w:val="en-US" w:eastAsia="zh-CN"/>
                    </w:rPr>
                  </w:pPr>
                  <w:r>
                    <w:rPr>
                      <w:rFonts w:hint="eastAsia" w:cs="Times New Roman" w:eastAsiaTheme="minorEastAsia"/>
                      <w:bCs/>
                      <w:color w:val="000000"/>
                      <w:sz w:val="21"/>
                      <w:szCs w:val="21"/>
                      <w:highlight w:val="none"/>
                      <w:lang w:val="en-US" w:eastAsia="zh-CN"/>
                    </w:rPr>
                    <w:t>以废品形式外售</w:t>
                  </w:r>
                </w:p>
              </w:tc>
            </w:tr>
            <w:tr w14:paraId="49B3F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6" w:type="pct"/>
                  <w:vMerge w:val="continue"/>
                  <w:noWrap w:val="0"/>
                  <w:vAlign w:val="center"/>
                </w:tcPr>
                <w:p w14:paraId="0373B54D">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1030" w:type="pct"/>
                  <w:noWrap w:val="0"/>
                  <w:vAlign w:val="center"/>
                </w:tcPr>
                <w:p w14:paraId="731D0094">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生产过程及设备维护</w:t>
                  </w:r>
                </w:p>
              </w:tc>
              <w:tc>
                <w:tcPr>
                  <w:tcW w:w="1641" w:type="pct"/>
                  <w:noWrap w:val="0"/>
                  <w:vAlign w:val="center"/>
                </w:tcPr>
                <w:p w14:paraId="087D6E1F">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废润滑油、废含油抹布及手套</w:t>
                  </w:r>
                </w:p>
              </w:tc>
              <w:tc>
                <w:tcPr>
                  <w:tcW w:w="1771" w:type="pct"/>
                  <w:vMerge w:val="restart"/>
                  <w:noWrap w:val="0"/>
                  <w:vAlign w:val="center"/>
                </w:tcPr>
                <w:p w14:paraId="6C577050">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Cs/>
                      <w:color w:val="000000"/>
                      <w:sz w:val="21"/>
                      <w:szCs w:val="21"/>
                      <w:highlight w:val="none"/>
                      <w:lang w:val="en-US" w:eastAsia="zh-CN"/>
                    </w:rPr>
                    <w:t>收集后暂存在危废贮存库，定期委托有资质单位处置</w:t>
                  </w:r>
                </w:p>
              </w:tc>
            </w:tr>
            <w:tr w14:paraId="474B3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56" w:type="pct"/>
                  <w:vMerge w:val="continue"/>
                  <w:noWrap w:val="0"/>
                  <w:vAlign w:val="center"/>
                </w:tcPr>
                <w:p w14:paraId="031E5CD0">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1030" w:type="pct"/>
                  <w:noWrap w:val="0"/>
                  <w:vAlign w:val="center"/>
                </w:tcPr>
                <w:p w14:paraId="0F66F164">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rPr>
                    <w:t>挤出</w:t>
                  </w:r>
                  <w:r>
                    <w:rPr>
                      <w:rFonts w:hint="default" w:ascii="Times New Roman" w:hAnsi="Times New Roman" w:cs="Times New Roman" w:eastAsiaTheme="minorEastAsia"/>
                      <w:sz w:val="21"/>
                      <w:szCs w:val="21"/>
                      <w:highlight w:val="none"/>
                      <w:lang w:eastAsia="zh-CN"/>
                    </w:rPr>
                    <w:t>工序</w:t>
                  </w:r>
                </w:p>
              </w:tc>
              <w:tc>
                <w:tcPr>
                  <w:tcW w:w="1641" w:type="pct"/>
                  <w:noWrap w:val="0"/>
                  <w:vAlign w:val="center"/>
                </w:tcPr>
                <w:p w14:paraId="57B0DC76">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废活性炭</w:t>
                  </w:r>
                </w:p>
              </w:tc>
              <w:tc>
                <w:tcPr>
                  <w:tcW w:w="1771" w:type="pct"/>
                  <w:vMerge w:val="continue"/>
                  <w:noWrap w:val="0"/>
                  <w:vAlign w:val="center"/>
                </w:tcPr>
                <w:p w14:paraId="0532BF19">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r>
            <w:tr w14:paraId="5897A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556" w:type="pct"/>
                  <w:vMerge w:val="continue"/>
                  <w:tcBorders>
                    <w:bottom w:val="single" w:color="000000" w:sz="4" w:space="0"/>
                  </w:tcBorders>
                  <w:noWrap w:val="0"/>
                  <w:vAlign w:val="top"/>
                </w:tcPr>
                <w:p w14:paraId="2267CFC2">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1030" w:type="pct"/>
                  <w:tcBorders>
                    <w:bottom w:val="single" w:color="000000" w:sz="4" w:space="0"/>
                  </w:tcBorders>
                  <w:noWrap w:val="0"/>
                  <w:vAlign w:val="center"/>
                </w:tcPr>
                <w:p w14:paraId="74DFA8D7">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职工生活</w:t>
                  </w:r>
                </w:p>
              </w:tc>
              <w:tc>
                <w:tcPr>
                  <w:tcW w:w="1641" w:type="pct"/>
                  <w:tcBorders>
                    <w:bottom w:val="single" w:color="000000" w:sz="4" w:space="0"/>
                  </w:tcBorders>
                  <w:noWrap w:val="0"/>
                  <w:vAlign w:val="center"/>
                </w:tcPr>
                <w:p w14:paraId="560A26BE">
                  <w:pPr>
                    <w:pStyle w:val="47"/>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生活垃圾</w:t>
                  </w:r>
                </w:p>
              </w:tc>
              <w:tc>
                <w:tcPr>
                  <w:tcW w:w="1771" w:type="pct"/>
                  <w:tcBorders>
                    <w:bottom w:val="single" w:color="000000" w:sz="4" w:space="0"/>
                  </w:tcBorders>
                  <w:noWrap w:val="0"/>
                  <w:vAlign w:val="center"/>
                </w:tcPr>
                <w:p w14:paraId="3D78CC21">
                  <w:pPr>
                    <w:pStyle w:val="47"/>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垃圾桶收集后由环卫部门统一清运</w:t>
                  </w:r>
                </w:p>
              </w:tc>
            </w:tr>
          </w:tbl>
          <w:p w14:paraId="0FE0A9EC">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p w14:paraId="1FA9614F">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p w14:paraId="0408F925">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p w14:paraId="4409C97D">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p w14:paraId="330FFD4A">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p w14:paraId="7DEBB7DC">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tc>
      </w:tr>
      <w:tr w14:paraId="0E3FEE8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876" w:hRule="atLeast"/>
          <w:jc w:val="center"/>
        </w:trPr>
        <w:tc>
          <w:tcPr>
            <w:tcW w:w="417" w:type="dxa"/>
            <w:noWrap w:val="0"/>
            <w:vAlign w:val="center"/>
          </w:tcPr>
          <w:p w14:paraId="3795618E">
            <w:pPr>
              <w:pStyle w:val="21"/>
              <w:adjustRightInd w:val="0"/>
              <w:snapToGrid w:val="0"/>
              <w:spacing w:before="0" w:beforeAutospacing="0" w:after="0" w:afterAutospacing="0"/>
              <w:jc w:val="center"/>
              <w:rPr>
                <w:rFonts w:hint="eastAsia" w:cs="宋体"/>
                <w:color w:val="auto"/>
                <w:sz w:val="21"/>
                <w:szCs w:val="21"/>
                <w:highlight w:val="none"/>
              </w:rPr>
            </w:pPr>
            <w:r>
              <w:rPr>
                <w:rFonts w:hint="eastAsia" w:cs="宋体"/>
                <w:bCs/>
                <w:color w:val="auto"/>
                <w:kern w:val="2"/>
                <w:sz w:val="21"/>
                <w:szCs w:val="21"/>
                <w:highlight w:val="none"/>
              </w:rPr>
              <w:t>与项目有关的原有环境污染问</w:t>
            </w:r>
          </w:p>
        </w:tc>
        <w:tc>
          <w:tcPr>
            <w:tcW w:w="8643" w:type="dxa"/>
            <w:shd w:val="clear" w:color="auto" w:fill="auto"/>
            <w:noWrap w:val="0"/>
            <w:vAlign w:val="center"/>
          </w:tcPr>
          <w:p w14:paraId="6B90E56A">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kern w:val="0"/>
                <w:sz w:val="24"/>
                <w:highlight w:val="none"/>
                <w:lang w:val="en-US" w:eastAsia="zh-CN"/>
              </w:rPr>
            </w:pPr>
            <w:r>
              <w:rPr>
                <w:rFonts w:hint="eastAsia"/>
                <w:kern w:val="0"/>
                <w:sz w:val="24"/>
                <w:highlight w:val="none"/>
              </w:rPr>
              <w:t>本项目租赁厂房为已建厂房，租赁前为空置厂房，无与项目有关的原有环境污染问题</w:t>
            </w:r>
            <w:r>
              <w:rPr>
                <w:rFonts w:hint="eastAsia"/>
                <w:kern w:val="0"/>
                <w:sz w:val="24"/>
                <w:highlight w:val="none"/>
                <w:lang w:eastAsia="zh-CN"/>
              </w:rPr>
              <w:t>。根据现场勘查，企业正在进行设备安装工作。</w:t>
            </w:r>
          </w:p>
        </w:tc>
      </w:tr>
    </w:tbl>
    <w:p w14:paraId="6BEF6D13">
      <w:pPr>
        <w:pStyle w:val="21"/>
        <w:jc w:val="center"/>
        <w:rPr>
          <w:rFonts w:ascii="黑体" w:hAnsi="黑体" w:eastAsia="黑体"/>
          <w:snapToGrid w:val="0"/>
          <w:color w:val="0000FF"/>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9DC393A">
      <w:pPr>
        <w:pStyle w:val="21"/>
        <w:numPr>
          <w:ilvl w:val="0"/>
          <w:numId w:val="7"/>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区域环境质量现状、环境保护目标及评价标准</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9"/>
        <w:gridCol w:w="8521"/>
      </w:tblGrid>
      <w:tr w14:paraId="736EDF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3" w:hRule="atLeast"/>
          <w:jc w:val="center"/>
        </w:trPr>
        <w:tc>
          <w:tcPr>
            <w:tcW w:w="469" w:type="dxa"/>
            <w:noWrap w:val="0"/>
            <w:vAlign w:val="center"/>
          </w:tcPr>
          <w:p w14:paraId="5D9A13FF">
            <w:pPr>
              <w:adjustRightInd w:val="0"/>
              <w:snapToGrid w:val="0"/>
              <w:jc w:val="center"/>
              <w:rPr>
                <w:color w:val="auto"/>
                <w:kern w:val="0"/>
                <w:sz w:val="24"/>
              </w:rPr>
            </w:pPr>
            <w:r>
              <w:rPr>
                <w:color w:val="auto"/>
                <w:kern w:val="0"/>
                <w:sz w:val="24"/>
              </w:rPr>
              <w:t>区域</w:t>
            </w:r>
          </w:p>
          <w:p w14:paraId="2A48208E">
            <w:pPr>
              <w:adjustRightInd w:val="0"/>
              <w:snapToGrid w:val="0"/>
              <w:jc w:val="center"/>
              <w:rPr>
                <w:color w:val="auto"/>
                <w:kern w:val="0"/>
                <w:sz w:val="24"/>
              </w:rPr>
            </w:pPr>
            <w:r>
              <w:rPr>
                <w:color w:val="auto"/>
                <w:kern w:val="0"/>
                <w:sz w:val="24"/>
              </w:rPr>
              <w:t>环境</w:t>
            </w:r>
          </w:p>
          <w:p w14:paraId="6F637C3D">
            <w:pPr>
              <w:adjustRightInd w:val="0"/>
              <w:snapToGrid w:val="0"/>
              <w:jc w:val="center"/>
              <w:rPr>
                <w:color w:val="auto"/>
                <w:kern w:val="0"/>
                <w:sz w:val="24"/>
              </w:rPr>
            </w:pPr>
            <w:r>
              <w:rPr>
                <w:color w:val="auto"/>
                <w:kern w:val="0"/>
                <w:sz w:val="24"/>
              </w:rPr>
              <w:t>质量</w:t>
            </w:r>
          </w:p>
          <w:p w14:paraId="608CD205">
            <w:pPr>
              <w:adjustRightInd w:val="0"/>
              <w:snapToGrid w:val="0"/>
              <w:jc w:val="center"/>
              <w:rPr>
                <w:color w:val="auto"/>
                <w:kern w:val="0"/>
                <w:szCs w:val="21"/>
              </w:rPr>
            </w:pPr>
            <w:r>
              <w:rPr>
                <w:color w:val="auto"/>
                <w:kern w:val="0"/>
                <w:sz w:val="24"/>
              </w:rPr>
              <w:t>现状</w:t>
            </w:r>
          </w:p>
        </w:tc>
        <w:tc>
          <w:tcPr>
            <w:tcW w:w="8521" w:type="dxa"/>
            <w:noWrap w:val="0"/>
            <w:vAlign w:val="center"/>
          </w:tcPr>
          <w:p w14:paraId="04ACC656">
            <w:pPr>
              <w:adjustRightInd w:val="0"/>
              <w:snapToGrid w:val="0"/>
              <w:spacing w:line="360" w:lineRule="auto"/>
              <w:jc w:val="left"/>
              <w:rPr>
                <w:rFonts w:hint="eastAsia" w:eastAsia="宋体"/>
                <w:b/>
                <w:bCs/>
                <w:color w:val="auto"/>
                <w:kern w:val="0"/>
                <w:sz w:val="24"/>
                <w:lang w:eastAsia="zh-CN"/>
              </w:rPr>
            </w:pPr>
            <w:r>
              <w:rPr>
                <w:b/>
                <w:bCs/>
                <w:color w:val="auto"/>
                <w:kern w:val="0"/>
                <w:sz w:val="24"/>
              </w:rPr>
              <w:t>一</w:t>
            </w:r>
            <w:r>
              <w:rPr>
                <w:rFonts w:hint="eastAsia"/>
                <w:b/>
                <w:bCs/>
                <w:color w:val="auto"/>
                <w:kern w:val="0"/>
                <w:sz w:val="24"/>
                <w:lang w:eastAsia="zh-CN"/>
              </w:rPr>
              <w:t>、</w:t>
            </w:r>
            <w:r>
              <w:rPr>
                <w:b/>
                <w:bCs/>
                <w:color w:val="auto"/>
                <w:kern w:val="0"/>
                <w:sz w:val="24"/>
              </w:rPr>
              <w:t>大气环境</w:t>
            </w:r>
            <w:r>
              <w:rPr>
                <w:rFonts w:hint="eastAsia"/>
                <w:b/>
                <w:bCs/>
                <w:color w:val="auto"/>
                <w:kern w:val="0"/>
                <w:sz w:val="24"/>
                <w:lang w:eastAsia="zh-CN"/>
              </w:rPr>
              <w:t>质量现状</w:t>
            </w:r>
          </w:p>
          <w:p w14:paraId="30F91A7F">
            <w:pPr>
              <w:pStyle w:val="51"/>
              <w:spacing w:line="360" w:lineRule="auto"/>
              <w:ind w:firstLine="482" w:firstLineChars="200"/>
              <w:rPr>
                <w:rFonts w:hint="eastAsia"/>
                <w:b/>
                <w:bCs/>
                <w:color w:val="auto"/>
                <w:sz w:val="24"/>
                <w:szCs w:val="24"/>
                <w:lang w:eastAsia="zh-CN"/>
              </w:rPr>
            </w:pPr>
            <w:r>
              <w:rPr>
                <w:b/>
                <w:bCs/>
                <w:color w:val="auto"/>
                <w:sz w:val="24"/>
                <w:szCs w:val="24"/>
              </w:rPr>
              <w:t>1、</w:t>
            </w:r>
            <w:r>
              <w:rPr>
                <w:rFonts w:hint="eastAsia"/>
                <w:b/>
                <w:bCs/>
                <w:color w:val="auto"/>
                <w:sz w:val="24"/>
                <w:szCs w:val="24"/>
                <w:lang w:eastAsia="zh-CN"/>
              </w:rPr>
              <w:t>基本污染物</w:t>
            </w:r>
            <w:bookmarkStart w:id="6" w:name="_Toc22954"/>
          </w:p>
          <w:p w14:paraId="4C5FF651">
            <w:pPr>
              <w:pStyle w:val="51"/>
              <w:spacing w:line="360" w:lineRule="auto"/>
              <w:ind w:firstLine="480" w:firstLineChars="200"/>
              <w:rPr>
                <w:rFonts w:hint="default" w:ascii="Times New Roman" w:hAnsi="Times New Roman" w:cs="Times New Roman" w:eastAsiaTheme="minorEastAsia"/>
                <w:color w:val="000000"/>
                <w:kern w:val="0"/>
                <w:sz w:val="24"/>
                <w:szCs w:val="20"/>
              </w:rPr>
            </w:pPr>
            <w:r>
              <w:rPr>
                <w:rFonts w:hint="default" w:ascii="Times New Roman" w:hAnsi="Times New Roman" w:cs="Times New Roman" w:eastAsiaTheme="minorEastAsia"/>
                <w:color w:val="000000"/>
                <w:sz w:val="24"/>
                <w:szCs w:val="24"/>
                <w:lang w:val="en-US" w:eastAsia="zh-CN"/>
              </w:rPr>
              <w:t>本项目位于</w:t>
            </w:r>
            <w:r>
              <w:rPr>
                <w:rFonts w:hint="default" w:ascii="Times New Roman" w:hAnsi="Times New Roman" w:cs="Times New Roman" w:eastAsiaTheme="minorEastAsia"/>
                <w:b w:val="0"/>
                <w:bCs w:val="0"/>
                <w:color w:val="000000"/>
                <w:sz w:val="24"/>
                <w:szCs w:val="24"/>
                <w:lang w:val="en-US" w:eastAsia="zh-CN" w:bidi="ar-SA"/>
              </w:rPr>
              <w:t>陕西省西咸新区泾河新城。</w:t>
            </w:r>
            <w:r>
              <w:rPr>
                <w:rFonts w:hint="default" w:ascii="Times New Roman" w:hAnsi="Times New Roman" w:cs="Times New Roman" w:eastAsiaTheme="minorEastAsia"/>
                <w:color w:val="000000"/>
                <w:kern w:val="0"/>
                <w:sz w:val="24"/>
                <w:szCs w:val="20"/>
              </w:rPr>
              <w:t>根据大气功能区划，项目所在地为二类功能区，环境空气质量标准执行《环境空气质量标准》（GB3095-2012）二级标准要求。</w:t>
            </w:r>
          </w:p>
          <w:p w14:paraId="694B3919">
            <w:pPr>
              <w:pStyle w:val="51"/>
              <w:spacing w:line="360" w:lineRule="auto"/>
              <w:ind w:firstLine="480" w:firstLineChars="200"/>
              <w:rPr>
                <w:rFonts w:hint="default" w:ascii="Times New Roman" w:hAnsi="Times New Roman" w:cs="Times New Roman" w:eastAsiaTheme="minorEastAsia"/>
                <w:color w:val="000000"/>
                <w:kern w:val="0"/>
                <w:sz w:val="24"/>
                <w:szCs w:val="20"/>
              </w:rPr>
            </w:pPr>
            <w:r>
              <w:rPr>
                <w:rFonts w:hint="default" w:ascii="Times New Roman" w:hAnsi="Times New Roman" w:cs="Times New Roman" w:eastAsiaTheme="minorEastAsia"/>
                <w:color w:val="000000"/>
                <w:kern w:val="0"/>
                <w:sz w:val="24"/>
                <w:szCs w:val="20"/>
              </w:rPr>
              <w:t>本项目空气环境质量现状引用《202</w:t>
            </w:r>
            <w:r>
              <w:rPr>
                <w:rFonts w:hint="default" w:ascii="Times New Roman" w:hAnsi="Times New Roman" w:cs="Times New Roman" w:eastAsiaTheme="minorEastAsia"/>
                <w:color w:val="000000"/>
                <w:kern w:val="0"/>
                <w:sz w:val="24"/>
                <w:szCs w:val="20"/>
                <w:lang w:val="en-US" w:eastAsia="zh-CN"/>
              </w:rPr>
              <w:t>4</w:t>
            </w:r>
            <w:r>
              <w:rPr>
                <w:rFonts w:hint="default" w:ascii="Times New Roman" w:hAnsi="Times New Roman" w:cs="Times New Roman" w:eastAsiaTheme="minorEastAsia"/>
                <w:color w:val="000000"/>
                <w:kern w:val="0"/>
                <w:sz w:val="24"/>
                <w:szCs w:val="20"/>
              </w:rPr>
              <w:t>年12月及1~12月全省环境空气质量状况环保快报》（陕西省生态环境厅办公室，202</w:t>
            </w:r>
            <w:r>
              <w:rPr>
                <w:rFonts w:hint="default" w:ascii="Times New Roman" w:hAnsi="Times New Roman" w:cs="Times New Roman" w:eastAsiaTheme="minorEastAsia"/>
                <w:color w:val="000000"/>
                <w:kern w:val="0"/>
                <w:sz w:val="24"/>
                <w:szCs w:val="20"/>
                <w:lang w:val="en-US" w:eastAsia="zh-CN"/>
              </w:rPr>
              <w:t>5</w:t>
            </w:r>
            <w:r>
              <w:rPr>
                <w:rFonts w:hint="default" w:ascii="Times New Roman" w:hAnsi="Times New Roman" w:cs="Times New Roman" w:eastAsiaTheme="minorEastAsia"/>
                <w:color w:val="000000"/>
                <w:kern w:val="0"/>
                <w:sz w:val="24"/>
                <w:szCs w:val="20"/>
              </w:rPr>
              <w:t>年1月1</w:t>
            </w:r>
            <w:r>
              <w:rPr>
                <w:rFonts w:hint="default" w:ascii="Times New Roman" w:hAnsi="Times New Roman" w:cs="Times New Roman" w:eastAsiaTheme="minorEastAsia"/>
                <w:color w:val="000000"/>
                <w:kern w:val="0"/>
                <w:sz w:val="24"/>
                <w:szCs w:val="20"/>
                <w:lang w:val="en-US" w:eastAsia="zh-CN"/>
              </w:rPr>
              <w:t>9</w:t>
            </w:r>
            <w:r>
              <w:rPr>
                <w:rFonts w:hint="default" w:ascii="Times New Roman" w:hAnsi="Times New Roman" w:cs="Times New Roman" w:eastAsiaTheme="minorEastAsia"/>
                <w:color w:val="000000"/>
                <w:kern w:val="0"/>
                <w:sz w:val="24"/>
                <w:szCs w:val="20"/>
              </w:rPr>
              <w:t>日发布）中空气常规六项污染物监测结果，对区域环境空气质量现状进行分析，统计结果见下表。</w:t>
            </w:r>
          </w:p>
          <w:p w14:paraId="77A17696">
            <w:pPr>
              <w:pStyle w:val="51"/>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cs="Times New Roman" w:eastAsiaTheme="majorEastAsia"/>
                <w:b/>
                <w:bCs/>
                <w:caps w:val="0"/>
                <w:color w:val="auto"/>
                <w:kern w:val="0"/>
                <w:sz w:val="21"/>
                <w:szCs w:val="21"/>
                <w:lang w:val="en-US" w:eastAsia="zh-CN" w:bidi="zh-CN"/>
              </w:rPr>
            </w:pPr>
            <w:r>
              <w:rPr>
                <w:rFonts w:hint="default" w:ascii="Times New Roman" w:hAnsi="Times New Roman" w:cs="Times New Roman" w:eastAsiaTheme="majorEastAsia"/>
                <w:b/>
                <w:bCs/>
                <w:caps w:val="0"/>
                <w:color w:val="auto"/>
                <w:kern w:val="0"/>
                <w:sz w:val="21"/>
                <w:szCs w:val="21"/>
                <w:lang w:val="en-US" w:eastAsia="zh-CN" w:bidi="zh-CN"/>
              </w:rPr>
              <w:t>表3-1 本项目所在地达标区判定情况一览表（单位：</w:t>
            </w:r>
            <w:r>
              <w:rPr>
                <w:rFonts w:hint="default" w:ascii="Times New Roman" w:hAnsi="Times New Roman" w:cs="Times New Roman" w:eastAsiaTheme="majorEastAsia"/>
                <w:b/>
                <w:bCs/>
                <w:caps w:val="0"/>
                <w:color w:val="auto"/>
                <w:kern w:val="0"/>
                <w:sz w:val="21"/>
                <w:szCs w:val="21"/>
                <w:lang w:val="zh-CN" w:eastAsia="zh-CN" w:bidi="zh-CN"/>
              </w:rPr>
              <w:t>μg/m</w:t>
            </w:r>
            <w:r>
              <w:rPr>
                <w:rFonts w:hint="default" w:ascii="Times New Roman" w:hAnsi="Times New Roman" w:cs="Times New Roman" w:eastAsiaTheme="majorEastAsia"/>
                <w:b/>
                <w:bCs/>
                <w:caps w:val="0"/>
                <w:color w:val="auto"/>
                <w:kern w:val="0"/>
                <w:sz w:val="21"/>
                <w:szCs w:val="21"/>
                <w:vertAlign w:val="superscript"/>
                <w:lang w:val="zh-CN" w:eastAsia="zh-CN" w:bidi="zh-CN"/>
              </w:rPr>
              <w:t>3</w:t>
            </w:r>
            <w:r>
              <w:rPr>
                <w:rFonts w:hint="default" w:ascii="Times New Roman" w:hAnsi="Times New Roman" w:cs="Times New Roman" w:eastAsiaTheme="majorEastAsia"/>
                <w:b/>
                <w:bCs/>
                <w:caps w:val="0"/>
                <w:color w:val="auto"/>
                <w:kern w:val="0"/>
                <w:sz w:val="21"/>
                <w:szCs w:val="21"/>
                <w:lang w:val="en-US" w:eastAsia="zh-CN" w:bidi="zh-CN"/>
              </w:rPr>
              <w:t>）</w:t>
            </w:r>
            <w:bookmarkEnd w:id="6"/>
          </w:p>
          <w:tbl>
            <w:tblPr>
              <w:tblStyle w:val="24"/>
              <w:tblW w:w="8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810"/>
              <w:gridCol w:w="2544"/>
              <w:gridCol w:w="838"/>
              <w:gridCol w:w="852"/>
              <w:gridCol w:w="1051"/>
              <w:gridCol w:w="1165"/>
            </w:tblGrid>
            <w:tr w14:paraId="0F37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69" w:type="pct"/>
                  <w:noWrap w:val="0"/>
                  <w:vAlign w:val="center"/>
                </w:tcPr>
                <w:p w14:paraId="0CFEA6F7">
                  <w:pPr>
                    <w:widowControl/>
                    <w:jc w:val="center"/>
                    <w:rPr>
                      <w:rFonts w:hint="default" w:ascii="Times New Roman" w:hAnsi="Times New Roman" w:cs="Times New Roman"/>
                      <w:b/>
                      <w:bCs/>
                      <w:color w:val="000000"/>
                      <w:kern w:val="0"/>
                      <w:szCs w:val="21"/>
                      <w:lang w:val="en-US" w:eastAsia="zh-CN"/>
                    </w:rPr>
                  </w:pPr>
                  <w:r>
                    <w:rPr>
                      <w:rFonts w:hint="default" w:ascii="Times New Roman" w:hAnsi="Times New Roman" w:cs="Times New Roman"/>
                      <w:b/>
                      <w:bCs/>
                      <w:color w:val="000000"/>
                      <w:kern w:val="0"/>
                      <w:szCs w:val="21"/>
                      <w:lang w:val="en-US" w:eastAsia="zh-CN"/>
                    </w:rPr>
                    <w:t>县区</w:t>
                  </w:r>
                </w:p>
                <w:p w14:paraId="65E90E3B">
                  <w:pPr>
                    <w:widowControl/>
                    <w:jc w:val="center"/>
                    <w:rPr>
                      <w:rFonts w:hint="default" w:ascii="Times New Roman" w:hAnsi="Times New Roman" w:eastAsia="宋体" w:cs="Times New Roman"/>
                      <w:b/>
                      <w:bCs/>
                      <w:color w:val="000000"/>
                      <w:kern w:val="0"/>
                      <w:szCs w:val="21"/>
                      <w:lang w:val="en-US" w:eastAsia="zh-CN"/>
                    </w:rPr>
                  </w:pPr>
                  <w:r>
                    <w:rPr>
                      <w:rFonts w:hint="default" w:ascii="Times New Roman" w:hAnsi="Times New Roman" w:cs="Times New Roman"/>
                      <w:b/>
                      <w:bCs/>
                      <w:color w:val="000000"/>
                      <w:kern w:val="0"/>
                      <w:szCs w:val="21"/>
                      <w:lang w:val="en-US" w:eastAsia="zh-CN"/>
                    </w:rPr>
                    <w:t>名称</w:t>
                  </w:r>
                </w:p>
              </w:tc>
              <w:tc>
                <w:tcPr>
                  <w:tcW w:w="494" w:type="pct"/>
                  <w:noWrap w:val="0"/>
                  <w:vAlign w:val="center"/>
                </w:tcPr>
                <w:p w14:paraId="3BA912EF">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污染物</w:t>
                  </w:r>
                </w:p>
              </w:tc>
              <w:tc>
                <w:tcPr>
                  <w:tcW w:w="1552" w:type="pct"/>
                  <w:noWrap w:val="0"/>
                  <w:vAlign w:val="center"/>
                </w:tcPr>
                <w:p w14:paraId="619D82D1">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年评价指标</w:t>
                  </w:r>
                </w:p>
              </w:tc>
              <w:tc>
                <w:tcPr>
                  <w:tcW w:w="511" w:type="pct"/>
                  <w:noWrap w:val="0"/>
                  <w:vAlign w:val="center"/>
                </w:tcPr>
                <w:p w14:paraId="4751251F">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评价</w:t>
                  </w:r>
                </w:p>
                <w:p w14:paraId="453D9591">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标准</w:t>
                  </w:r>
                </w:p>
              </w:tc>
              <w:tc>
                <w:tcPr>
                  <w:tcW w:w="519" w:type="pct"/>
                  <w:noWrap w:val="0"/>
                  <w:vAlign w:val="center"/>
                </w:tcPr>
                <w:p w14:paraId="77C40D25">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现状</w:t>
                  </w:r>
                </w:p>
                <w:p w14:paraId="56BFE4A7">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浓度</w:t>
                  </w:r>
                </w:p>
              </w:tc>
              <w:tc>
                <w:tcPr>
                  <w:tcW w:w="641" w:type="pct"/>
                  <w:noWrap w:val="0"/>
                  <w:vAlign w:val="center"/>
                </w:tcPr>
                <w:p w14:paraId="6F79D4BA">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最大浓度</w:t>
                  </w:r>
                </w:p>
                <w:p w14:paraId="1235D8DF">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占标率</w:t>
                  </w:r>
                </w:p>
              </w:tc>
              <w:tc>
                <w:tcPr>
                  <w:tcW w:w="710" w:type="pct"/>
                  <w:noWrap w:val="0"/>
                  <w:vAlign w:val="center"/>
                </w:tcPr>
                <w:p w14:paraId="4CA7A664">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达标</w:t>
                  </w:r>
                </w:p>
                <w:p w14:paraId="04E4A816">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情况</w:t>
                  </w:r>
                </w:p>
              </w:tc>
            </w:tr>
            <w:tr w14:paraId="66F65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restart"/>
                  <w:noWrap w:val="0"/>
                  <w:vAlign w:val="center"/>
                </w:tcPr>
                <w:p w14:paraId="108210D4">
                  <w:pPr>
                    <w:widowControl/>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西咸</w:t>
                  </w:r>
                </w:p>
                <w:p w14:paraId="1BBBA103">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lang w:val="en-US" w:eastAsia="zh-CN"/>
                    </w:rPr>
                    <w:t>新区</w:t>
                  </w:r>
                </w:p>
              </w:tc>
              <w:tc>
                <w:tcPr>
                  <w:tcW w:w="494" w:type="pct"/>
                  <w:noWrap w:val="0"/>
                  <w:vAlign w:val="center"/>
                </w:tcPr>
                <w:p w14:paraId="3422008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PM</w:t>
                  </w:r>
                  <w:r>
                    <w:rPr>
                      <w:rFonts w:hint="default" w:ascii="Times New Roman" w:hAnsi="Times New Roman" w:cs="Times New Roman"/>
                      <w:color w:val="000000"/>
                      <w:kern w:val="0"/>
                      <w:szCs w:val="21"/>
                      <w:vertAlign w:val="subscript"/>
                    </w:rPr>
                    <w:t>2.5</w:t>
                  </w:r>
                </w:p>
              </w:tc>
              <w:tc>
                <w:tcPr>
                  <w:tcW w:w="1552" w:type="pct"/>
                  <w:noWrap w:val="0"/>
                  <w:vAlign w:val="center"/>
                </w:tcPr>
                <w:p w14:paraId="2FDFC819">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4C8DAA64">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35</w:t>
                  </w:r>
                </w:p>
              </w:tc>
              <w:tc>
                <w:tcPr>
                  <w:tcW w:w="519" w:type="pct"/>
                  <w:noWrap w:val="0"/>
                  <w:vAlign w:val="center"/>
                </w:tcPr>
                <w:p w14:paraId="4F51AC57">
                  <w:pPr>
                    <w:widowControl/>
                    <w:jc w:val="center"/>
                    <w:rPr>
                      <w:rFonts w:hint="default" w:ascii="Times New Roman" w:hAnsi="Times New Roman" w:eastAsia="宋体" w:cs="Times New Roman"/>
                      <w:color w:val="000000"/>
                      <w:kern w:val="0"/>
                      <w:szCs w:val="21"/>
                      <w:lang w:eastAsia="zh-CN"/>
                    </w:rPr>
                  </w:pPr>
                  <w:r>
                    <w:rPr>
                      <w:rFonts w:hint="default" w:ascii="Times New Roman" w:hAnsi="Times New Roman" w:cs="Times New Roman"/>
                      <w:color w:val="000000"/>
                      <w:kern w:val="0"/>
                      <w:szCs w:val="21"/>
                    </w:rPr>
                    <w:t>4</w:t>
                  </w:r>
                  <w:r>
                    <w:rPr>
                      <w:rFonts w:hint="default" w:ascii="Times New Roman" w:hAnsi="Times New Roman" w:cs="Times New Roman"/>
                      <w:color w:val="000000"/>
                      <w:kern w:val="0"/>
                      <w:szCs w:val="21"/>
                      <w:lang w:val="en-US" w:eastAsia="zh-CN"/>
                    </w:rPr>
                    <w:t>3</w:t>
                  </w:r>
                </w:p>
              </w:tc>
              <w:tc>
                <w:tcPr>
                  <w:tcW w:w="641" w:type="pct"/>
                  <w:noWrap w:val="0"/>
                  <w:vAlign w:val="center"/>
                </w:tcPr>
                <w:p w14:paraId="5208F7BD">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123</w:t>
                  </w:r>
                  <w:r>
                    <w:rPr>
                      <w:rFonts w:hint="default" w:ascii="Times New Roman" w:hAnsi="Times New Roman" w:cs="Times New Roman"/>
                      <w:color w:val="000000"/>
                      <w:kern w:val="0"/>
                      <w:szCs w:val="21"/>
                    </w:rPr>
                    <w:t>%</w:t>
                  </w:r>
                </w:p>
              </w:tc>
              <w:tc>
                <w:tcPr>
                  <w:tcW w:w="710" w:type="pct"/>
                  <w:noWrap w:val="0"/>
                  <w:vAlign w:val="center"/>
                </w:tcPr>
                <w:p w14:paraId="507E876D">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不达标</w:t>
                  </w:r>
                </w:p>
              </w:tc>
            </w:tr>
            <w:tr w14:paraId="3915F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continue"/>
                  <w:noWrap w:val="0"/>
                  <w:vAlign w:val="center"/>
                </w:tcPr>
                <w:p w14:paraId="71E15540">
                  <w:pPr>
                    <w:widowControl/>
                    <w:jc w:val="center"/>
                    <w:rPr>
                      <w:rFonts w:hint="default" w:ascii="Times New Roman" w:hAnsi="Times New Roman" w:cs="Times New Roman"/>
                      <w:color w:val="000000"/>
                      <w:kern w:val="0"/>
                      <w:szCs w:val="21"/>
                    </w:rPr>
                  </w:pPr>
                </w:p>
              </w:tc>
              <w:tc>
                <w:tcPr>
                  <w:tcW w:w="494" w:type="pct"/>
                  <w:noWrap w:val="0"/>
                  <w:vAlign w:val="center"/>
                </w:tcPr>
                <w:p w14:paraId="311584FC">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PM</w:t>
                  </w:r>
                  <w:r>
                    <w:rPr>
                      <w:rFonts w:hint="default" w:ascii="Times New Roman" w:hAnsi="Times New Roman" w:cs="Times New Roman"/>
                      <w:color w:val="000000"/>
                      <w:kern w:val="0"/>
                      <w:szCs w:val="21"/>
                      <w:vertAlign w:val="subscript"/>
                    </w:rPr>
                    <w:t>10</w:t>
                  </w:r>
                </w:p>
              </w:tc>
              <w:tc>
                <w:tcPr>
                  <w:tcW w:w="1552" w:type="pct"/>
                  <w:noWrap w:val="0"/>
                  <w:vAlign w:val="center"/>
                </w:tcPr>
                <w:p w14:paraId="79ECAA3D">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1C59D91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70</w:t>
                  </w:r>
                </w:p>
              </w:tc>
              <w:tc>
                <w:tcPr>
                  <w:tcW w:w="519" w:type="pct"/>
                  <w:noWrap w:val="0"/>
                  <w:vAlign w:val="center"/>
                </w:tcPr>
                <w:p w14:paraId="36DD7F0E">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lang w:val="en-US" w:eastAsia="zh-CN"/>
                    </w:rPr>
                    <w:t>74</w:t>
                  </w:r>
                </w:p>
              </w:tc>
              <w:tc>
                <w:tcPr>
                  <w:tcW w:w="641" w:type="pct"/>
                  <w:noWrap w:val="0"/>
                  <w:vAlign w:val="center"/>
                </w:tcPr>
                <w:p w14:paraId="63B634AE">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106</w:t>
                  </w:r>
                  <w:r>
                    <w:rPr>
                      <w:rFonts w:hint="default" w:ascii="Times New Roman" w:hAnsi="Times New Roman" w:cs="Times New Roman"/>
                      <w:color w:val="000000"/>
                      <w:kern w:val="0"/>
                      <w:szCs w:val="21"/>
                    </w:rPr>
                    <w:t>%</w:t>
                  </w:r>
                </w:p>
              </w:tc>
              <w:tc>
                <w:tcPr>
                  <w:tcW w:w="710" w:type="pct"/>
                  <w:noWrap w:val="0"/>
                  <w:vAlign w:val="center"/>
                </w:tcPr>
                <w:p w14:paraId="565D1AE2">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不达标</w:t>
                  </w:r>
                </w:p>
              </w:tc>
            </w:tr>
            <w:tr w14:paraId="0F53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continue"/>
                  <w:noWrap w:val="0"/>
                  <w:vAlign w:val="center"/>
                </w:tcPr>
                <w:p w14:paraId="17E899F4">
                  <w:pPr>
                    <w:widowControl/>
                    <w:jc w:val="center"/>
                    <w:rPr>
                      <w:rFonts w:hint="default" w:ascii="Times New Roman" w:hAnsi="Times New Roman" w:cs="Times New Roman"/>
                      <w:color w:val="000000"/>
                      <w:kern w:val="0"/>
                      <w:szCs w:val="21"/>
                    </w:rPr>
                  </w:pPr>
                </w:p>
              </w:tc>
              <w:tc>
                <w:tcPr>
                  <w:tcW w:w="494" w:type="pct"/>
                  <w:noWrap w:val="0"/>
                  <w:vAlign w:val="center"/>
                </w:tcPr>
                <w:p w14:paraId="5B1A488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SO</w:t>
                  </w:r>
                  <w:r>
                    <w:rPr>
                      <w:rFonts w:hint="default" w:ascii="Times New Roman" w:hAnsi="Times New Roman" w:cs="Times New Roman"/>
                      <w:color w:val="000000"/>
                      <w:kern w:val="0"/>
                      <w:szCs w:val="21"/>
                      <w:vertAlign w:val="subscript"/>
                    </w:rPr>
                    <w:t>2</w:t>
                  </w:r>
                </w:p>
              </w:tc>
              <w:tc>
                <w:tcPr>
                  <w:tcW w:w="1552" w:type="pct"/>
                  <w:noWrap w:val="0"/>
                  <w:vAlign w:val="center"/>
                </w:tcPr>
                <w:p w14:paraId="406A52CE">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2FB7866E">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60</w:t>
                  </w:r>
                </w:p>
              </w:tc>
              <w:tc>
                <w:tcPr>
                  <w:tcW w:w="519" w:type="pct"/>
                  <w:noWrap w:val="0"/>
                  <w:vAlign w:val="center"/>
                </w:tcPr>
                <w:p w14:paraId="55F16DB7">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5</w:t>
                  </w:r>
                  <w:r>
                    <w:rPr>
                      <w:rFonts w:hint="default" w:ascii="Times New Roman" w:hAnsi="Times New Roman" w:cs="Times New Roman"/>
                      <w:color w:val="000000"/>
                      <w:kern w:val="0"/>
                      <w:szCs w:val="21"/>
                    </w:rPr>
                    <w:t>.0</w:t>
                  </w:r>
                </w:p>
              </w:tc>
              <w:tc>
                <w:tcPr>
                  <w:tcW w:w="641" w:type="pct"/>
                  <w:noWrap w:val="0"/>
                  <w:vAlign w:val="center"/>
                </w:tcPr>
                <w:p w14:paraId="7181FD51">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8</w:t>
                  </w:r>
                  <w:r>
                    <w:rPr>
                      <w:rFonts w:hint="default" w:ascii="Times New Roman" w:hAnsi="Times New Roman" w:cs="Times New Roman"/>
                      <w:color w:val="000000"/>
                      <w:kern w:val="0"/>
                      <w:szCs w:val="21"/>
                    </w:rPr>
                    <w:t>.3%</w:t>
                  </w:r>
                </w:p>
              </w:tc>
              <w:tc>
                <w:tcPr>
                  <w:tcW w:w="710" w:type="pct"/>
                  <w:noWrap w:val="0"/>
                  <w:vAlign w:val="center"/>
                </w:tcPr>
                <w:p w14:paraId="66AD83EB">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达标</w:t>
                  </w:r>
                </w:p>
              </w:tc>
            </w:tr>
            <w:tr w14:paraId="3C726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continue"/>
                  <w:noWrap w:val="0"/>
                  <w:vAlign w:val="center"/>
                </w:tcPr>
                <w:p w14:paraId="7FB06B78">
                  <w:pPr>
                    <w:widowControl/>
                    <w:jc w:val="center"/>
                    <w:rPr>
                      <w:rFonts w:hint="default" w:ascii="Times New Roman" w:hAnsi="Times New Roman" w:cs="Times New Roman"/>
                      <w:color w:val="000000"/>
                      <w:kern w:val="0"/>
                      <w:szCs w:val="21"/>
                    </w:rPr>
                  </w:pPr>
                </w:p>
              </w:tc>
              <w:tc>
                <w:tcPr>
                  <w:tcW w:w="494" w:type="pct"/>
                  <w:noWrap w:val="0"/>
                  <w:vAlign w:val="center"/>
                </w:tcPr>
                <w:p w14:paraId="55459F60">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NO</w:t>
                  </w:r>
                  <w:r>
                    <w:rPr>
                      <w:rFonts w:hint="default" w:ascii="Times New Roman" w:hAnsi="Times New Roman" w:cs="Times New Roman"/>
                      <w:color w:val="000000"/>
                      <w:kern w:val="0"/>
                      <w:szCs w:val="21"/>
                      <w:vertAlign w:val="subscript"/>
                    </w:rPr>
                    <w:t>2</w:t>
                  </w:r>
                </w:p>
              </w:tc>
              <w:tc>
                <w:tcPr>
                  <w:tcW w:w="1552" w:type="pct"/>
                  <w:noWrap w:val="0"/>
                  <w:vAlign w:val="center"/>
                </w:tcPr>
                <w:p w14:paraId="696392C4">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5D5524B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w:t>
                  </w:r>
                </w:p>
              </w:tc>
              <w:tc>
                <w:tcPr>
                  <w:tcW w:w="519" w:type="pct"/>
                  <w:noWrap w:val="0"/>
                  <w:vAlign w:val="center"/>
                </w:tcPr>
                <w:p w14:paraId="7DD40F89">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lang w:val="en-US" w:eastAsia="zh-CN"/>
                    </w:rPr>
                    <w:t>31</w:t>
                  </w:r>
                </w:p>
              </w:tc>
              <w:tc>
                <w:tcPr>
                  <w:tcW w:w="641" w:type="pct"/>
                  <w:noWrap w:val="0"/>
                  <w:vAlign w:val="center"/>
                </w:tcPr>
                <w:p w14:paraId="3653F60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77.5</w:t>
                  </w:r>
                  <w:r>
                    <w:rPr>
                      <w:rFonts w:hint="default" w:ascii="Times New Roman" w:hAnsi="Times New Roman" w:cs="Times New Roman"/>
                      <w:color w:val="000000"/>
                      <w:kern w:val="0"/>
                      <w:szCs w:val="21"/>
                    </w:rPr>
                    <w:t>%</w:t>
                  </w:r>
                </w:p>
              </w:tc>
              <w:tc>
                <w:tcPr>
                  <w:tcW w:w="710" w:type="pct"/>
                  <w:noWrap w:val="0"/>
                  <w:vAlign w:val="center"/>
                </w:tcPr>
                <w:p w14:paraId="5C2F3B98">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达标</w:t>
                  </w:r>
                </w:p>
              </w:tc>
            </w:tr>
            <w:tr w14:paraId="6181A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69" w:type="pct"/>
                  <w:vMerge w:val="continue"/>
                  <w:noWrap w:val="0"/>
                  <w:vAlign w:val="center"/>
                </w:tcPr>
                <w:p w14:paraId="09981DF5">
                  <w:pPr>
                    <w:widowControl/>
                    <w:jc w:val="center"/>
                    <w:rPr>
                      <w:rFonts w:hint="default" w:ascii="Times New Roman" w:hAnsi="Times New Roman" w:cs="Times New Roman"/>
                      <w:color w:val="000000"/>
                      <w:kern w:val="0"/>
                      <w:szCs w:val="21"/>
                    </w:rPr>
                  </w:pPr>
                </w:p>
              </w:tc>
              <w:tc>
                <w:tcPr>
                  <w:tcW w:w="494" w:type="pct"/>
                  <w:noWrap w:val="0"/>
                  <w:vAlign w:val="center"/>
                </w:tcPr>
                <w:p w14:paraId="64B136E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CO</w:t>
                  </w:r>
                </w:p>
              </w:tc>
              <w:tc>
                <w:tcPr>
                  <w:tcW w:w="1552" w:type="pct"/>
                  <w:noWrap w:val="0"/>
                  <w:vAlign w:val="center"/>
                </w:tcPr>
                <w:p w14:paraId="3FCEBAF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24小时平均浓度</w:t>
                  </w:r>
                </w:p>
                <w:p w14:paraId="4CC1AB4F">
                  <w:pPr>
                    <w:widowControl/>
                    <w:jc w:val="center"/>
                    <w:rPr>
                      <w:rFonts w:hint="default" w:ascii="Times New Roman" w:hAnsi="Times New Roman" w:cs="Times New Roman"/>
                      <w:color w:val="000000"/>
                      <w:kern w:val="0"/>
                      <w:szCs w:val="21"/>
                    </w:rPr>
                  </w:pPr>
                  <w:r>
                    <w:rPr>
                      <w:rFonts w:hint="default" w:ascii="Times New Roman" w:hAnsi="Times New Roman" w:cs="Times New Roman"/>
                      <w:b w:val="0"/>
                      <w:bCs w:val="0"/>
                      <w:color w:val="000000"/>
                      <w:sz w:val="21"/>
                      <w:szCs w:val="21"/>
                      <w:highlight w:val="none"/>
                      <w:vertAlign w:val="baseline"/>
                      <w:lang w:val="en-US" w:eastAsia="zh-CN"/>
                    </w:rPr>
                    <w:t>（</w:t>
                  </w:r>
                  <w:r>
                    <w:rPr>
                      <w:rFonts w:hint="eastAsia" w:ascii="Times New Roman" w:hAnsi="Times New Roman" w:cs="Times New Roman"/>
                      <w:b w:val="0"/>
                      <w:bCs w:val="0"/>
                      <w:color w:val="000000"/>
                      <w:sz w:val="21"/>
                      <w:szCs w:val="21"/>
                      <w:highlight w:val="none"/>
                      <w:vertAlign w:val="baseline"/>
                      <w:lang w:val="en-US" w:eastAsia="zh-CN"/>
                    </w:rPr>
                    <w:t>第</w:t>
                  </w:r>
                  <w:r>
                    <w:rPr>
                      <w:rFonts w:hint="default" w:ascii="Times New Roman" w:hAnsi="Times New Roman" w:cs="Times New Roman"/>
                      <w:b w:val="0"/>
                      <w:bCs w:val="0"/>
                      <w:color w:val="000000"/>
                      <w:sz w:val="21"/>
                      <w:szCs w:val="21"/>
                      <w:highlight w:val="none"/>
                      <w:vertAlign w:val="baseline"/>
                      <w:lang w:val="en-US" w:eastAsia="zh-CN"/>
                    </w:rPr>
                    <w:t>95位百分浓度）</w:t>
                  </w:r>
                </w:p>
              </w:tc>
              <w:tc>
                <w:tcPr>
                  <w:tcW w:w="511" w:type="pct"/>
                  <w:noWrap w:val="0"/>
                  <w:vAlign w:val="center"/>
                </w:tcPr>
                <w:p w14:paraId="32E40832">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4000</w:t>
                  </w:r>
                </w:p>
              </w:tc>
              <w:tc>
                <w:tcPr>
                  <w:tcW w:w="519" w:type="pct"/>
                  <w:noWrap w:val="0"/>
                  <w:vAlign w:val="center"/>
                </w:tcPr>
                <w:p w14:paraId="299B9D4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1</w:t>
                  </w:r>
                  <w:r>
                    <w:rPr>
                      <w:rFonts w:hint="default" w:ascii="Times New Roman" w:hAnsi="Times New Roman" w:cs="Times New Roman"/>
                      <w:color w:val="000000"/>
                      <w:kern w:val="0"/>
                      <w:szCs w:val="21"/>
                    </w:rPr>
                    <w:t>00</w:t>
                  </w:r>
                </w:p>
              </w:tc>
              <w:tc>
                <w:tcPr>
                  <w:tcW w:w="641" w:type="pct"/>
                  <w:noWrap w:val="0"/>
                  <w:vAlign w:val="center"/>
                </w:tcPr>
                <w:p w14:paraId="1945CBB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27.5</w:t>
                  </w:r>
                  <w:r>
                    <w:rPr>
                      <w:rFonts w:hint="default" w:ascii="Times New Roman" w:hAnsi="Times New Roman" w:cs="Times New Roman"/>
                      <w:color w:val="000000"/>
                      <w:kern w:val="0"/>
                      <w:szCs w:val="21"/>
                    </w:rPr>
                    <w:t>%</w:t>
                  </w:r>
                </w:p>
              </w:tc>
              <w:tc>
                <w:tcPr>
                  <w:tcW w:w="710" w:type="pct"/>
                  <w:noWrap w:val="0"/>
                  <w:vAlign w:val="center"/>
                </w:tcPr>
                <w:p w14:paraId="706B972B">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达标</w:t>
                  </w:r>
                </w:p>
              </w:tc>
            </w:tr>
            <w:tr w14:paraId="112A3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9" w:type="pct"/>
                  <w:vMerge w:val="continue"/>
                  <w:noWrap w:val="0"/>
                  <w:vAlign w:val="center"/>
                </w:tcPr>
                <w:p w14:paraId="1E9DD669">
                  <w:pPr>
                    <w:widowControl/>
                    <w:jc w:val="center"/>
                    <w:rPr>
                      <w:rFonts w:hint="default" w:ascii="Times New Roman" w:hAnsi="Times New Roman" w:cs="Times New Roman"/>
                      <w:color w:val="000000"/>
                      <w:kern w:val="0"/>
                      <w:szCs w:val="21"/>
                    </w:rPr>
                  </w:pPr>
                </w:p>
              </w:tc>
              <w:tc>
                <w:tcPr>
                  <w:tcW w:w="494" w:type="pct"/>
                  <w:noWrap w:val="0"/>
                  <w:vAlign w:val="center"/>
                </w:tcPr>
                <w:p w14:paraId="10817026">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O</w:t>
                  </w:r>
                  <w:r>
                    <w:rPr>
                      <w:rFonts w:hint="default" w:ascii="Times New Roman" w:hAnsi="Times New Roman" w:cs="Times New Roman"/>
                      <w:color w:val="000000"/>
                      <w:kern w:val="0"/>
                      <w:szCs w:val="21"/>
                      <w:vertAlign w:val="subscript"/>
                    </w:rPr>
                    <w:t>3</w:t>
                  </w:r>
                </w:p>
              </w:tc>
              <w:tc>
                <w:tcPr>
                  <w:tcW w:w="1552" w:type="pct"/>
                  <w:noWrap w:val="0"/>
                  <w:vAlign w:val="center"/>
                </w:tcPr>
                <w:p w14:paraId="56DC3ECF">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8小时平均浓度</w:t>
                  </w:r>
                </w:p>
                <w:p w14:paraId="52776D37">
                  <w:pPr>
                    <w:widowControl/>
                    <w:jc w:val="center"/>
                    <w:rPr>
                      <w:rFonts w:hint="default" w:ascii="Times New Roman" w:hAnsi="Times New Roman" w:cs="Times New Roman"/>
                      <w:color w:val="000000"/>
                      <w:kern w:val="0"/>
                      <w:szCs w:val="21"/>
                    </w:rPr>
                  </w:pPr>
                  <w:r>
                    <w:rPr>
                      <w:rFonts w:hint="default" w:ascii="Times New Roman" w:hAnsi="Times New Roman" w:cs="Times New Roman"/>
                      <w:b w:val="0"/>
                      <w:bCs w:val="0"/>
                      <w:color w:val="000000"/>
                      <w:sz w:val="21"/>
                      <w:szCs w:val="21"/>
                      <w:highlight w:val="none"/>
                      <w:vertAlign w:val="baseline"/>
                      <w:lang w:val="en-US" w:eastAsia="zh-CN"/>
                    </w:rPr>
                    <w:t>（</w:t>
                  </w:r>
                  <w:r>
                    <w:rPr>
                      <w:rFonts w:hint="eastAsia" w:ascii="Times New Roman" w:hAnsi="Times New Roman" w:cs="Times New Roman"/>
                      <w:b w:val="0"/>
                      <w:bCs w:val="0"/>
                      <w:color w:val="000000"/>
                      <w:sz w:val="21"/>
                      <w:szCs w:val="21"/>
                      <w:highlight w:val="none"/>
                      <w:vertAlign w:val="baseline"/>
                      <w:lang w:val="en-US" w:eastAsia="zh-CN"/>
                    </w:rPr>
                    <w:t>第90</w:t>
                  </w:r>
                  <w:r>
                    <w:rPr>
                      <w:rFonts w:hint="default" w:ascii="Times New Roman" w:hAnsi="Times New Roman" w:cs="Times New Roman"/>
                      <w:b w:val="0"/>
                      <w:bCs w:val="0"/>
                      <w:color w:val="000000"/>
                      <w:sz w:val="21"/>
                      <w:szCs w:val="21"/>
                      <w:highlight w:val="none"/>
                      <w:vertAlign w:val="baseline"/>
                      <w:lang w:val="en-US" w:eastAsia="zh-CN"/>
                    </w:rPr>
                    <w:t>位百分浓度）</w:t>
                  </w:r>
                </w:p>
              </w:tc>
              <w:tc>
                <w:tcPr>
                  <w:tcW w:w="511" w:type="pct"/>
                  <w:noWrap w:val="0"/>
                  <w:vAlign w:val="center"/>
                </w:tcPr>
                <w:p w14:paraId="1C7B5FB8">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160</w:t>
                  </w:r>
                </w:p>
              </w:tc>
              <w:tc>
                <w:tcPr>
                  <w:tcW w:w="519" w:type="pct"/>
                  <w:noWrap w:val="0"/>
                  <w:vAlign w:val="center"/>
                </w:tcPr>
                <w:p w14:paraId="056C241B">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68</w:t>
                  </w:r>
                </w:p>
              </w:tc>
              <w:tc>
                <w:tcPr>
                  <w:tcW w:w="641" w:type="pct"/>
                  <w:noWrap w:val="0"/>
                  <w:vAlign w:val="center"/>
                </w:tcPr>
                <w:p w14:paraId="282ECE22">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105</w:t>
                  </w:r>
                  <w:r>
                    <w:rPr>
                      <w:rFonts w:hint="default" w:ascii="Times New Roman" w:hAnsi="Times New Roman" w:cs="Times New Roman"/>
                      <w:color w:val="000000"/>
                      <w:kern w:val="0"/>
                      <w:szCs w:val="21"/>
                    </w:rPr>
                    <w:t>%</w:t>
                  </w:r>
                </w:p>
              </w:tc>
              <w:tc>
                <w:tcPr>
                  <w:tcW w:w="710" w:type="pct"/>
                  <w:noWrap w:val="0"/>
                  <w:vAlign w:val="center"/>
                </w:tcPr>
                <w:p w14:paraId="0A055B49">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不达标</w:t>
                  </w:r>
                </w:p>
              </w:tc>
            </w:tr>
          </w:tbl>
          <w:p w14:paraId="32D70499">
            <w:pPr>
              <w:spacing w:line="360" w:lineRule="auto"/>
              <w:ind w:firstLine="480" w:firstLineChars="200"/>
              <w:contextualSpacing/>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szCs w:val="20"/>
                <w:lang w:val="en-US" w:eastAsia="zh-CN"/>
              </w:rPr>
              <w:t>由上表可知，</w:t>
            </w:r>
            <w:r>
              <w:rPr>
                <w:rFonts w:hint="default" w:ascii="Times New Roman" w:hAnsi="Times New Roman" w:cs="Times New Roman"/>
                <w:color w:val="000000"/>
                <w:kern w:val="0"/>
                <w:sz w:val="24"/>
                <w:szCs w:val="20"/>
              </w:rPr>
              <w:t>环境空气</w:t>
            </w:r>
            <w:r>
              <w:rPr>
                <w:rFonts w:hint="default" w:ascii="Times New Roman" w:hAnsi="Times New Roman" w:cs="Times New Roman"/>
                <w:color w:val="000000"/>
                <w:kern w:val="0"/>
                <w:sz w:val="24"/>
                <w:szCs w:val="24"/>
              </w:rPr>
              <w:t>常规六项指标中，SO</w:t>
            </w:r>
            <w:r>
              <w:rPr>
                <w:rFonts w:hint="default" w:ascii="Times New Roman" w:hAnsi="Times New Roman" w:cs="Times New Roman"/>
                <w:color w:val="000000"/>
                <w:kern w:val="0"/>
                <w:sz w:val="24"/>
                <w:szCs w:val="24"/>
                <w:vertAlign w:val="subscript"/>
              </w:rPr>
              <w:t>2</w:t>
            </w:r>
            <w:r>
              <w:rPr>
                <w:rFonts w:hint="default" w:ascii="Times New Roman" w:hAnsi="Times New Roman" w:cs="Times New Roman"/>
                <w:color w:val="000000"/>
                <w:kern w:val="0"/>
                <w:sz w:val="24"/>
                <w:szCs w:val="24"/>
              </w:rPr>
              <w:t>年平均质量浓度、CO</w:t>
            </w:r>
            <w:r>
              <w:rPr>
                <w:rFonts w:hint="eastAsia" w:ascii="Times New Roman" w:hAnsi="Times New Roman" w:cs="Times New Roman"/>
                <w:b w:val="0"/>
                <w:bCs w:val="0"/>
                <w:color w:val="000000"/>
                <w:sz w:val="24"/>
                <w:szCs w:val="24"/>
                <w:highlight w:val="none"/>
                <w:vertAlign w:val="baseline"/>
                <w:lang w:val="en-US" w:eastAsia="zh-CN"/>
              </w:rPr>
              <w:t>第95</w:t>
            </w:r>
            <w:r>
              <w:rPr>
                <w:rFonts w:hint="default" w:ascii="Times New Roman" w:hAnsi="Times New Roman" w:cs="Times New Roman"/>
                <w:b w:val="0"/>
                <w:bCs w:val="0"/>
                <w:color w:val="000000"/>
                <w:sz w:val="24"/>
                <w:szCs w:val="24"/>
                <w:highlight w:val="none"/>
                <w:vertAlign w:val="baseline"/>
                <w:lang w:val="en-US" w:eastAsia="zh-CN"/>
              </w:rPr>
              <w:t>位百分浓度</w:t>
            </w:r>
            <w:r>
              <w:rPr>
                <w:rFonts w:hint="default" w:ascii="Times New Roman" w:hAnsi="Times New Roman" w:cs="Times New Roman"/>
                <w:color w:val="000000"/>
                <w:kern w:val="0"/>
                <w:sz w:val="24"/>
                <w:szCs w:val="24"/>
              </w:rPr>
              <w:t>24小时平均浓度、NO</w:t>
            </w:r>
            <w:r>
              <w:rPr>
                <w:rFonts w:hint="default" w:ascii="Times New Roman" w:hAnsi="Times New Roman" w:cs="Times New Roman"/>
                <w:color w:val="000000"/>
                <w:kern w:val="0"/>
                <w:sz w:val="24"/>
                <w:szCs w:val="24"/>
                <w:vertAlign w:val="subscript"/>
              </w:rPr>
              <w:t>2</w:t>
            </w:r>
            <w:r>
              <w:rPr>
                <w:rFonts w:hint="default" w:ascii="Times New Roman" w:hAnsi="Times New Roman" w:cs="Times New Roman"/>
                <w:color w:val="000000"/>
                <w:kern w:val="0"/>
                <w:sz w:val="24"/>
                <w:szCs w:val="24"/>
              </w:rPr>
              <w:t>年平均质量浓度达到《环境空气质量标准》（GB3095-2012）二级标准要求，PM</w:t>
            </w:r>
            <w:r>
              <w:rPr>
                <w:rFonts w:hint="default" w:ascii="Times New Roman" w:hAnsi="Times New Roman" w:cs="Times New Roman"/>
                <w:color w:val="000000"/>
                <w:kern w:val="0"/>
                <w:sz w:val="24"/>
                <w:szCs w:val="24"/>
                <w:vertAlign w:val="subscript"/>
              </w:rPr>
              <w:t>2.5</w:t>
            </w:r>
            <w:r>
              <w:rPr>
                <w:rFonts w:hint="default" w:ascii="Times New Roman" w:hAnsi="Times New Roman" w:cs="Times New Roman"/>
                <w:color w:val="000000"/>
                <w:kern w:val="0"/>
                <w:sz w:val="24"/>
                <w:szCs w:val="24"/>
              </w:rPr>
              <w:t>年平均质量浓度、PM</w:t>
            </w:r>
            <w:r>
              <w:rPr>
                <w:rFonts w:hint="default" w:ascii="Times New Roman" w:hAnsi="Times New Roman" w:cs="Times New Roman"/>
                <w:color w:val="000000"/>
                <w:kern w:val="0"/>
                <w:sz w:val="24"/>
                <w:szCs w:val="24"/>
                <w:vertAlign w:val="subscript"/>
              </w:rPr>
              <w:t>10</w:t>
            </w:r>
            <w:r>
              <w:rPr>
                <w:rFonts w:hint="default" w:ascii="Times New Roman" w:hAnsi="Times New Roman" w:cs="Times New Roman"/>
                <w:color w:val="000000"/>
                <w:kern w:val="0"/>
                <w:sz w:val="24"/>
                <w:szCs w:val="24"/>
              </w:rPr>
              <w:t>年平均质量浓度、O</w:t>
            </w:r>
            <w:r>
              <w:rPr>
                <w:rFonts w:hint="default" w:ascii="Times New Roman" w:hAnsi="Times New Roman" w:cs="Times New Roman"/>
                <w:color w:val="000000"/>
                <w:kern w:val="0"/>
                <w:sz w:val="24"/>
                <w:szCs w:val="24"/>
                <w:vertAlign w:val="subscript"/>
              </w:rPr>
              <w:t>3</w:t>
            </w:r>
            <w:r>
              <w:rPr>
                <w:rFonts w:hint="eastAsia" w:ascii="Times New Roman" w:hAnsi="Times New Roman" w:cs="Times New Roman"/>
                <w:b w:val="0"/>
                <w:bCs w:val="0"/>
                <w:color w:val="000000"/>
                <w:sz w:val="24"/>
                <w:szCs w:val="24"/>
                <w:highlight w:val="none"/>
                <w:vertAlign w:val="baseline"/>
                <w:lang w:val="en-US" w:eastAsia="zh-CN"/>
              </w:rPr>
              <w:t>第90</w:t>
            </w:r>
            <w:r>
              <w:rPr>
                <w:rFonts w:hint="default" w:ascii="Times New Roman" w:hAnsi="Times New Roman" w:cs="Times New Roman"/>
                <w:b w:val="0"/>
                <w:bCs w:val="0"/>
                <w:color w:val="000000"/>
                <w:sz w:val="24"/>
                <w:szCs w:val="24"/>
                <w:highlight w:val="none"/>
                <w:vertAlign w:val="baseline"/>
                <w:lang w:val="en-US" w:eastAsia="zh-CN"/>
              </w:rPr>
              <w:t>位百分浓度</w:t>
            </w:r>
            <w:r>
              <w:rPr>
                <w:rFonts w:hint="default" w:ascii="Times New Roman" w:hAnsi="Times New Roman" w:cs="Times New Roman"/>
                <w:color w:val="000000"/>
                <w:kern w:val="0"/>
                <w:sz w:val="24"/>
                <w:szCs w:val="24"/>
              </w:rPr>
              <w:t>8小时平均浓度超过《环</w:t>
            </w:r>
            <w:r>
              <w:rPr>
                <w:rFonts w:hint="default" w:ascii="Times New Roman" w:hAnsi="Times New Roman" w:cs="Times New Roman"/>
                <w:color w:val="000000"/>
                <w:kern w:val="0"/>
                <w:sz w:val="24"/>
                <w:szCs w:val="20"/>
              </w:rPr>
              <w:t>境空气质量标准》（GB3095-2012）二级标准要求。</w:t>
            </w:r>
          </w:p>
          <w:p w14:paraId="1A4AAFC9">
            <w:pPr>
              <w:spacing w:line="360" w:lineRule="auto"/>
              <w:ind w:firstLine="480" w:firstLineChars="200"/>
              <w:contextualSpacing/>
            </w:pPr>
            <w:r>
              <w:rPr>
                <w:rFonts w:hint="default" w:ascii="Times New Roman" w:hAnsi="Times New Roman" w:cs="Times New Roman"/>
                <w:color w:val="000000"/>
                <w:kern w:val="0"/>
                <w:sz w:val="24"/>
                <w:szCs w:val="20"/>
              </w:rPr>
              <w:t>根据《环境影响评价技术导则-大气环境》（HJ2.2</w:t>
            </w:r>
            <w:r>
              <w:rPr>
                <w:rFonts w:hint="eastAsia" w:ascii="Times New Roman" w:hAnsi="Times New Roman" w:cs="Times New Roman"/>
                <w:color w:val="000000"/>
                <w:kern w:val="0"/>
                <w:sz w:val="24"/>
                <w:szCs w:val="20"/>
                <w:lang w:val="en-US" w:eastAsia="zh-CN"/>
              </w:rPr>
              <w:t>-</w:t>
            </w:r>
            <w:r>
              <w:rPr>
                <w:rFonts w:hint="default" w:ascii="Times New Roman" w:hAnsi="Times New Roman" w:cs="Times New Roman"/>
                <w:color w:val="000000"/>
                <w:kern w:val="0"/>
                <w:sz w:val="24"/>
                <w:szCs w:val="20"/>
              </w:rPr>
              <w:t>2018），城市环境空气质量达标情况评价指标为SO</w:t>
            </w:r>
            <w:r>
              <w:rPr>
                <w:rFonts w:hint="default" w:ascii="Times New Roman" w:hAnsi="Times New Roman" w:cs="Times New Roman"/>
                <w:color w:val="000000"/>
                <w:kern w:val="0"/>
                <w:sz w:val="24"/>
                <w:szCs w:val="20"/>
                <w:vertAlign w:val="subscript"/>
              </w:rPr>
              <w:t>2</w:t>
            </w:r>
            <w:r>
              <w:rPr>
                <w:rFonts w:hint="default" w:ascii="Times New Roman" w:hAnsi="Times New Roman" w:cs="Times New Roman"/>
                <w:color w:val="000000"/>
                <w:kern w:val="0"/>
                <w:sz w:val="24"/>
                <w:szCs w:val="20"/>
              </w:rPr>
              <w:t>、NO</w:t>
            </w:r>
            <w:r>
              <w:rPr>
                <w:rFonts w:hint="default" w:ascii="Times New Roman" w:hAnsi="Times New Roman" w:cs="Times New Roman"/>
                <w:color w:val="000000"/>
                <w:kern w:val="0"/>
                <w:sz w:val="24"/>
                <w:szCs w:val="20"/>
                <w:vertAlign w:val="subscript"/>
              </w:rPr>
              <w:t>2</w:t>
            </w:r>
            <w:r>
              <w:rPr>
                <w:rFonts w:hint="default" w:ascii="Times New Roman" w:hAnsi="Times New Roman" w:cs="Times New Roman"/>
                <w:color w:val="000000"/>
                <w:kern w:val="0"/>
                <w:sz w:val="24"/>
                <w:szCs w:val="20"/>
              </w:rPr>
              <w:t>、PM</w:t>
            </w:r>
            <w:r>
              <w:rPr>
                <w:rFonts w:hint="default" w:ascii="Times New Roman" w:hAnsi="Times New Roman" w:cs="Times New Roman"/>
                <w:color w:val="000000"/>
                <w:kern w:val="0"/>
                <w:sz w:val="24"/>
                <w:szCs w:val="20"/>
                <w:vertAlign w:val="subscript"/>
              </w:rPr>
              <w:t>10</w:t>
            </w:r>
            <w:r>
              <w:rPr>
                <w:rFonts w:hint="default" w:ascii="Times New Roman" w:hAnsi="Times New Roman" w:cs="Times New Roman"/>
                <w:color w:val="000000"/>
                <w:kern w:val="0"/>
                <w:sz w:val="24"/>
                <w:szCs w:val="20"/>
              </w:rPr>
              <w:t>、PM</w:t>
            </w:r>
            <w:r>
              <w:rPr>
                <w:rFonts w:hint="default" w:ascii="Times New Roman" w:hAnsi="Times New Roman" w:cs="Times New Roman"/>
                <w:color w:val="000000"/>
                <w:kern w:val="0"/>
                <w:sz w:val="24"/>
                <w:szCs w:val="20"/>
                <w:vertAlign w:val="subscript"/>
              </w:rPr>
              <w:t>2.5</w:t>
            </w:r>
            <w:r>
              <w:rPr>
                <w:rFonts w:hint="default" w:ascii="Times New Roman" w:hAnsi="Times New Roman" w:cs="Times New Roman"/>
                <w:color w:val="000000"/>
                <w:kern w:val="0"/>
                <w:sz w:val="24"/>
                <w:szCs w:val="20"/>
              </w:rPr>
              <w:t>、CO、O</w:t>
            </w:r>
            <w:r>
              <w:rPr>
                <w:rFonts w:hint="default" w:ascii="Times New Roman" w:hAnsi="Times New Roman" w:cs="Times New Roman"/>
                <w:color w:val="000000"/>
                <w:kern w:val="0"/>
                <w:sz w:val="24"/>
                <w:szCs w:val="20"/>
                <w:vertAlign w:val="subscript"/>
              </w:rPr>
              <w:t>3</w:t>
            </w:r>
            <w:r>
              <w:rPr>
                <w:rFonts w:hint="default" w:ascii="Times New Roman" w:hAnsi="Times New Roman" w:cs="Times New Roman"/>
                <w:color w:val="000000"/>
                <w:kern w:val="0"/>
                <w:sz w:val="24"/>
                <w:szCs w:val="20"/>
              </w:rPr>
              <w:t>，六项污染物年评价指标全部达标即为</w:t>
            </w:r>
            <w:r>
              <w:rPr>
                <w:rFonts w:hint="default" w:ascii="Times New Roman" w:hAnsi="Times New Roman" w:cs="Times New Roman"/>
                <w:color w:val="000000"/>
                <w:sz w:val="24"/>
              </w:rPr>
              <w:t>城市环境空气质量达标。因此，本项目所在区域属于不达标区域。</w:t>
            </w:r>
          </w:p>
          <w:p w14:paraId="28348AEE">
            <w:pPr>
              <w:spacing w:line="360" w:lineRule="auto"/>
              <w:ind w:firstLine="482" w:firstLineChars="200"/>
              <w:contextualSpacing/>
              <w:rPr>
                <w:rFonts w:hint="eastAsia"/>
                <w:b/>
                <w:bCs/>
                <w:color w:val="auto"/>
                <w:sz w:val="24"/>
                <w:lang w:val="en-US" w:eastAsia="zh-CN"/>
              </w:rPr>
            </w:pPr>
            <w:r>
              <w:rPr>
                <w:rFonts w:hint="eastAsia"/>
                <w:b/>
                <w:bCs/>
                <w:color w:val="auto"/>
                <w:sz w:val="24"/>
                <w:lang w:val="en-US" w:eastAsia="zh-CN"/>
              </w:rPr>
              <w:t>2、特征污染物</w:t>
            </w:r>
          </w:p>
          <w:p w14:paraId="17AFEDD6">
            <w:pPr>
              <w:numPr>
                <w:ilvl w:val="0"/>
                <w:numId w:val="0"/>
              </w:numPr>
              <w:spacing w:line="360" w:lineRule="auto"/>
              <w:ind w:leftChars="0" w:firstLine="480"/>
              <w:rPr>
                <w:rFonts w:hint="default"/>
                <w:sz w:val="24"/>
                <w:lang w:val="en-US" w:eastAsia="zh-CN"/>
              </w:rPr>
            </w:pPr>
            <w:r>
              <w:rPr>
                <w:rFonts w:hint="default"/>
                <w:sz w:val="24"/>
                <w:lang w:val="en-US" w:eastAsia="zh-CN"/>
              </w:rPr>
              <w:t>本项目大气特征因子为非甲烷总烃。根据《建设项目环境影响报告表内容、格式及编制技术指南常见问题解答》（2021年10月20日）：“技术指南中提到“排放国家、地方环境空气质量标准中有标准限值要求的特征污染物”，其中环境空气质量标准指《环境空气质量标准》（GB3095-2012）和地方的环境空气质量标准，不包括《环境影响评价技术导则大气环境》（HJ2.2-2018）附录D、《大气污染物综合排放标准详解》等导则或参考资料”。因此本次评价不对非甲烷总烃的环境现状质量进行监测。</w:t>
            </w:r>
          </w:p>
          <w:p w14:paraId="07DF73C1">
            <w:pPr>
              <w:numPr>
                <w:ilvl w:val="0"/>
                <w:numId w:val="0"/>
              </w:numPr>
              <w:spacing w:line="360" w:lineRule="auto"/>
              <w:ind w:firstLine="482" w:firstLineChars="200"/>
              <w:rPr>
                <w:rFonts w:hint="eastAsia"/>
                <w:b/>
                <w:bCs/>
                <w:color w:val="auto"/>
                <w:sz w:val="24"/>
                <w:lang w:eastAsia="zh-CN"/>
              </w:rPr>
            </w:pPr>
            <w:r>
              <w:rPr>
                <w:rFonts w:hint="eastAsia"/>
                <w:b/>
                <w:bCs/>
                <w:color w:val="auto"/>
                <w:sz w:val="24"/>
                <w:lang w:val="en-US" w:eastAsia="zh-CN"/>
              </w:rPr>
              <w:t>3、</w:t>
            </w:r>
            <w:r>
              <w:rPr>
                <w:b/>
                <w:bCs/>
                <w:color w:val="auto"/>
                <w:sz w:val="24"/>
              </w:rPr>
              <w:t>声环境</w:t>
            </w:r>
            <w:r>
              <w:rPr>
                <w:rFonts w:hint="eastAsia"/>
                <w:b/>
                <w:bCs/>
                <w:color w:val="auto"/>
                <w:sz w:val="24"/>
                <w:lang w:eastAsia="zh-CN"/>
              </w:rPr>
              <w:t>质量现状</w:t>
            </w:r>
          </w:p>
          <w:p w14:paraId="49FFA76E">
            <w:pPr>
              <w:spacing w:line="360" w:lineRule="auto"/>
              <w:ind w:left="479" w:leftChars="228" w:firstLine="0" w:firstLineChars="0"/>
              <w:rPr>
                <w:rFonts w:hint="eastAsia" w:cs="Times New Roman"/>
                <w:color w:val="000000"/>
                <w:sz w:val="24"/>
                <w:szCs w:val="24"/>
                <w:lang w:eastAsia="zh-CN"/>
              </w:rPr>
            </w:pPr>
            <w:r>
              <w:rPr>
                <w:rFonts w:hint="default" w:ascii="Times New Roman" w:hAnsi="Times New Roman" w:eastAsia="宋体" w:cs="Times New Roman"/>
                <w:color w:val="000000"/>
                <w:sz w:val="24"/>
                <w:szCs w:val="24"/>
                <w:highlight w:val="none"/>
              </w:rPr>
              <w:t>厂界外50m范围内无声环境保护目标</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rPr>
              <w:t>因此未</w:t>
            </w:r>
            <w:r>
              <w:rPr>
                <w:rFonts w:hint="default" w:ascii="Times New Roman" w:hAnsi="Times New Roman" w:eastAsia="宋体" w:cs="Times New Roman"/>
                <w:color w:val="000000"/>
                <w:sz w:val="24"/>
                <w:szCs w:val="24"/>
                <w:lang w:val="en-US" w:eastAsia="zh-CN"/>
              </w:rPr>
              <w:t>进行声环境质量现状</w:t>
            </w:r>
            <w:r>
              <w:rPr>
                <w:rFonts w:hint="default" w:ascii="Times New Roman" w:hAnsi="Times New Roman" w:eastAsia="宋体" w:cs="Times New Roman"/>
                <w:color w:val="000000"/>
                <w:sz w:val="24"/>
                <w:szCs w:val="24"/>
              </w:rPr>
              <w:t>监测</w:t>
            </w:r>
            <w:r>
              <w:rPr>
                <w:rFonts w:hint="eastAsia" w:cs="Times New Roman"/>
                <w:color w:val="000000"/>
                <w:sz w:val="24"/>
                <w:szCs w:val="24"/>
                <w:lang w:eastAsia="zh-CN"/>
              </w:rPr>
              <w:t>。</w:t>
            </w:r>
          </w:p>
          <w:p w14:paraId="53A6B92B">
            <w:pPr>
              <w:spacing w:line="360" w:lineRule="auto"/>
              <w:ind w:left="479" w:leftChars="228" w:firstLine="0" w:firstLineChars="0"/>
              <w:rPr>
                <w:rFonts w:hint="eastAsia"/>
                <w:b/>
                <w:bCs/>
                <w:color w:val="auto"/>
                <w:sz w:val="24"/>
                <w:lang w:eastAsia="zh-CN"/>
              </w:rPr>
            </w:pPr>
            <w:r>
              <w:rPr>
                <w:rFonts w:hint="eastAsia"/>
                <w:b/>
                <w:bCs/>
                <w:color w:val="auto"/>
                <w:sz w:val="24"/>
                <w:lang w:val="en-US" w:eastAsia="zh-CN"/>
              </w:rPr>
              <w:t>4、</w:t>
            </w:r>
            <w:r>
              <w:rPr>
                <w:rFonts w:hint="eastAsia"/>
                <w:b/>
                <w:bCs/>
                <w:color w:val="auto"/>
                <w:sz w:val="24"/>
                <w:lang w:eastAsia="zh-CN"/>
              </w:rPr>
              <w:t>地下水、土壤质量环境现状</w:t>
            </w:r>
          </w:p>
          <w:p w14:paraId="0BD4AD89">
            <w:pPr>
              <w:numPr>
                <w:ilvl w:val="0"/>
                <w:numId w:val="0"/>
              </w:numPr>
              <w:spacing w:line="360" w:lineRule="auto"/>
              <w:ind w:firstLine="480" w:firstLineChars="200"/>
              <w:rPr>
                <w:rFonts w:hint="default" w:ascii="Times New Roman" w:hAnsi="Times New Roman" w:cs="Times New Roman"/>
                <w:color w:val="auto"/>
                <w:sz w:val="24"/>
                <w:szCs w:val="32"/>
                <w:lang w:val="en-US" w:eastAsia="zh-CN"/>
              </w:rPr>
            </w:pPr>
            <w:r>
              <w:rPr>
                <w:rFonts w:hint="eastAsia" w:asciiTheme="minorEastAsia" w:hAnsiTheme="minorEastAsia" w:eastAsiaTheme="minorEastAsia" w:cstheme="minorEastAsia"/>
                <w:b w:val="0"/>
                <w:bCs w:val="0"/>
                <w:color w:val="000000"/>
                <w:kern w:val="2"/>
                <w:sz w:val="24"/>
                <w:szCs w:val="24"/>
                <w:lang w:val="en-US" w:eastAsia="zh-CN" w:bidi="ar-SA"/>
              </w:rPr>
              <w:t>本项目主要大气污染物为非甲烷总烃，不涉及土壤污染重点污染物，项目在生产过程中设备维修时使用润滑油，同时产生废润滑油，通过厂区地面采取水泥硬化，危险废物贮存库做地面防渗处理等措施，基本不存在土壤及地下水环境污染途径，故不开展土壤及地下水现状背景值调查。</w:t>
            </w:r>
          </w:p>
        </w:tc>
      </w:tr>
      <w:tr w14:paraId="3921F1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9" w:type="dxa"/>
            <w:noWrap w:val="0"/>
            <w:vAlign w:val="center"/>
          </w:tcPr>
          <w:p w14:paraId="27FABE7B">
            <w:pPr>
              <w:adjustRightInd w:val="0"/>
              <w:snapToGrid w:val="0"/>
              <w:jc w:val="center"/>
              <w:rPr>
                <w:color w:val="auto"/>
                <w:kern w:val="0"/>
                <w:sz w:val="24"/>
              </w:rPr>
            </w:pPr>
          </w:p>
          <w:p w14:paraId="54B956D8">
            <w:pPr>
              <w:adjustRightInd w:val="0"/>
              <w:snapToGrid w:val="0"/>
              <w:jc w:val="center"/>
              <w:rPr>
                <w:color w:val="auto"/>
                <w:kern w:val="0"/>
                <w:sz w:val="24"/>
              </w:rPr>
            </w:pPr>
          </w:p>
          <w:p w14:paraId="0D680715">
            <w:pPr>
              <w:adjustRightInd w:val="0"/>
              <w:snapToGrid w:val="0"/>
              <w:jc w:val="both"/>
              <w:rPr>
                <w:color w:val="auto"/>
                <w:kern w:val="0"/>
                <w:sz w:val="24"/>
              </w:rPr>
            </w:pPr>
          </w:p>
          <w:p w14:paraId="5DD13750">
            <w:pPr>
              <w:adjustRightInd w:val="0"/>
              <w:snapToGrid w:val="0"/>
              <w:jc w:val="both"/>
              <w:rPr>
                <w:color w:val="auto"/>
                <w:kern w:val="0"/>
                <w:sz w:val="24"/>
              </w:rPr>
            </w:pPr>
          </w:p>
          <w:p w14:paraId="6B25D159">
            <w:pPr>
              <w:adjustRightInd w:val="0"/>
              <w:snapToGrid w:val="0"/>
              <w:jc w:val="both"/>
              <w:rPr>
                <w:color w:val="auto"/>
                <w:kern w:val="0"/>
                <w:sz w:val="24"/>
              </w:rPr>
            </w:pPr>
          </w:p>
          <w:p w14:paraId="463473BF">
            <w:pPr>
              <w:adjustRightInd w:val="0"/>
              <w:snapToGrid w:val="0"/>
              <w:jc w:val="both"/>
              <w:rPr>
                <w:color w:val="auto"/>
                <w:kern w:val="0"/>
                <w:sz w:val="24"/>
              </w:rPr>
            </w:pPr>
          </w:p>
          <w:p w14:paraId="1C068506">
            <w:pPr>
              <w:adjustRightInd w:val="0"/>
              <w:snapToGrid w:val="0"/>
              <w:jc w:val="both"/>
              <w:rPr>
                <w:color w:val="auto"/>
                <w:kern w:val="0"/>
                <w:sz w:val="24"/>
              </w:rPr>
            </w:pPr>
          </w:p>
          <w:p w14:paraId="2F948427">
            <w:pPr>
              <w:adjustRightInd w:val="0"/>
              <w:snapToGrid w:val="0"/>
              <w:jc w:val="both"/>
              <w:rPr>
                <w:color w:val="auto"/>
                <w:kern w:val="0"/>
                <w:sz w:val="24"/>
              </w:rPr>
            </w:pPr>
          </w:p>
          <w:p w14:paraId="6E7FA8A6">
            <w:pPr>
              <w:adjustRightInd w:val="0"/>
              <w:snapToGrid w:val="0"/>
              <w:jc w:val="both"/>
              <w:rPr>
                <w:color w:val="auto"/>
                <w:kern w:val="0"/>
                <w:sz w:val="24"/>
              </w:rPr>
            </w:pPr>
          </w:p>
          <w:p w14:paraId="5AB056E8">
            <w:pPr>
              <w:adjustRightInd w:val="0"/>
              <w:snapToGrid w:val="0"/>
              <w:jc w:val="both"/>
              <w:rPr>
                <w:color w:val="auto"/>
                <w:kern w:val="0"/>
                <w:sz w:val="24"/>
              </w:rPr>
            </w:pPr>
          </w:p>
          <w:p w14:paraId="5865A1C3">
            <w:pPr>
              <w:adjustRightInd w:val="0"/>
              <w:snapToGrid w:val="0"/>
              <w:jc w:val="both"/>
              <w:rPr>
                <w:color w:val="auto"/>
                <w:kern w:val="0"/>
                <w:sz w:val="24"/>
              </w:rPr>
            </w:pPr>
          </w:p>
          <w:p w14:paraId="003CDCB6">
            <w:pPr>
              <w:adjustRightInd w:val="0"/>
              <w:snapToGrid w:val="0"/>
              <w:jc w:val="both"/>
              <w:rPr>
                <w:color w:val="auto"/>
                <w:kern w:val="0"/>
                <w:sz w:val="24"/>
              </w:rPr>
            </w:pPr>
            <w:r>
              <w:rPr>
                <w:color w:val="auto"/>
                <w:kern w:val="0"/>
                <w:sz w:val="24"/>
              </w:rPr>
              <w:t>环境</w:t>
            </w:r>
          </w:p>
          <w:p w14:paraId="0F28B03F">
            <w:pPr>
              <w:adjustRightInd w:val="0"/>
              <w:snapToGrid w:val="0"/>
              <w:jc w:val="both"/>
              <w:rPr>
                <w:color w:val="auto"/>
                <w:kern w:val="0"/>
                <w:sz w:val="24"/>
              </w:rPr>
            </w:pPr>
            <w:r>
              <w:rPr>
                <w:color w:val="auto"/>
                <w:kern w:val="0"/>
                <w:sz w:val="24"/>
              </w:rPr>
              <w:t>保护</w:t>
            </w:r>
          </w:p>
          <w:p w14:paraId="543F07D5">
            <w:pPr>
              <w:adjustRightInd w:val="0"/>
              <w:snapToGrid w:val="0"/>
              <w:jc w:val="both"/>
              <w:rPr>
                <w:color w:val="auto"/>
                <w:kern w:val="0"/>
                <w:sz w:val="24"/>
              </w:rPr>
            </w:pPr>
            <w:r>
              <w:rPr>
                <w:color w:val="auto"/>
                <w:kern w:val="0"/>
                <w:sz w:val="24"/>
              </w:rPr>
              <w:t>目标</w:t>
            </w:r>
          </w:p>
        </w:tc>
        <w:tc>
          <w:tcPr>
            <w:tcW w:w="8521" w:type="dxa"/>
            <w:noWrap w:val="0"/>
            <w:vAlign w:val="center"/>
          </w:tcPr>
          <w:p w14:paraId="75E6B100">
            <w:pPr>
              <w:spacing w:line="360" w:lineRule="auto"/>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1、</w:t>
            </w:r>
            <w:r>
              <w:rPr>
                <w:rFonts w:hint="default" w:ascii="Times New Roman" w:hAnsi="Times New Roman" w:eastAsia="宋体" w:cs="Times New Roman"/>
                <w:b/>
                <w:bCs/>
                <w:color w:val="auto"/>
                <w:sz w:val="24"/>
                <w:lang w:val="en-US" w:eastAsia="zh-CN"/>
              </w:rPr>
              <w:t>大气环境</w:t>
            </w:r>
          </w:p>
          <w:p w14:paraId="744E498D">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360" w:lineRule="auto"/>
              <w:ind w:leftChars="0" w:firstLine="480" w:firstLineChars="200"/>
              <w:jc w:val="left"/>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color w:val="auto"/>
                <w:sz w:val="24"/>
                <w:szCs w:val="24"/>
                <w:lang w:val="en-US" w:eastAsia="zh-CN"/>
              </w:rPr>
              <w:t>根据</w:t>
            </w:r>
            <w:r>
              <w:rPr>
                <w:rFonts w:hint="default" w:ascii="Times New Roman" w:hAnsi="Times New Roman" w:cs="Times New Roman" w:eastAsiaTheme="minorEastAsia"/>
                <w:color w:val="auto"/>
                <w:sz w:val="24"/>
                <w:szCs w:val="24"/>
                <w:lang w:eastAsia="zh-CN"/>
              </w:rPr>
              <w:t>《建设项目环境影响报告表编制技术指南（污染影响类）》</w:t>
            </w:r>
            <w:r>
              <w:rPr>
                <w:rFonts w:hint="default" w:ascii="Times New Roman" w:hAnsi="Times New Roman" w:cs="Times New Roman" w:eastAsiaTheme="minorEastAsia"/>
                <w:color w:val="auto"/>
                <w:sz w:val="24"/>
                <w:szCs w:val="24"/>
                <w:lang w:val="en-US" w:eastAsia="zh-CN"/>
              </w:rPr>
              <w:t>，明确大气评价范围为厂界外500m范围内，声评价范围为50m。</w:t>
            </w:r>
            <w:r>
              <w:rPr>
                <w:rFonts w:hint="default" w:ascii="Times New Roman" w:hAnsi="Times New Roman" w:cs="Times New Roman" w:eastAsiaTheme="minorEastAsia"/>
                <w:color w:val="auto"/>
                <w:sz w:val="24"/>
              </w:rPr>
              <w:t>据本项目的排污特点和周围的环境特征，确定了本次评价主要环境保护目标为厂界外500m范围内的大气环境保护目标</w:t>
            </w:r>
            <w:r>
              <w:rPr>
                <w:rFonts w:hint="default" w:ascii="Times New Roman" w:hAnsi="Times New Roman" w:cs="Times New Roman" w:eastAsiaTheme="minorEastAsia"/>
                <w:bCs/>
                <w:color w:val="auto"/>
                <w:sz w:val="24"/>
              </w:rPr>
              <w:t>。</w:t>
            </w:r>
            <w:r>
              <w:rPr>
                <w:rFonts w:hint="default" w:ascii="Times New Roman" w:hAnsi="Times New Roman" w:cs="Times New Roman" w:eastAsiaTheme="minorEastAsia"/>
                <w:bCs/>
                <w:color w:val="auto"/>
                <w:sz w:val="24"/>
                <w:lang w:val="en-US" w:eastAsia="zh-CN"/>
              </w:rPr>
              <w:t>具体</w:t>
            </w:r>
            <w:r>
              <w:rPr>
                <w:rFonts w:hint="default" w:ascii="Times New Roman" w:hAnsi="Times New Roman" w:cs="Times New Roman" w:eastAsiaTheme="minorEastAsia"/>
                <w:bCs/>
                <w:color w:val="auto"/>
                <w:sz w:val="24"/>
                <w:szCs w:val="24"/>
              </w:rPr>
              <w:t>见下表。</w:t>
            </w:r>
          </w:p>
          <w:p w14:paraId="600C8EBC">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360" w:lineRule="auto"/>
              <w:ind w:leftChars="0" w:firstLine="422" w:firstLineChars="200"/>
              <w:jc w:val="center"/>
              <w:textAlignment w:val="auto"/>
              <w:rPr>
                <w:rFonts w:hint="default" w:ascii="Times New Roman" w:hAnsi="Times New Roman" w:cs="Times New Roman" w:eastAsiaTheme="majorEastAsia"/>
                <w:b/>
                <w:bCs/>
                <w:color w:val="auto"/>
                <w:kern w:val="2"/>
                <w:sz w:val="21"/>
                <w:szCs w:val="21"/>
                <w:lang w:val="en-US" w:eastAsia="zh-CN" w:bidi="ar-SA"/>
              </w:rPr>
            </w:pPr>
            <w:r>
              <w:rPr>
                <w:rFonts w:hint="default" w:ascii="Times New Roman" w:hAnsi="Times New Roman" w:cs="Times New Roman" w:eastAsiaTheme="majorEastAsia"/>
                <w:b/>
                <w:bCs/>
                <w:color w:val="auto"/>
                <w:kern w:val="2"/>
                <w:sz w:val="21"/>
                <w:szCs w:val="21"/>
                <w:lang w:val="en-US" w:eastAsia="zh-CN" w:bidi="ar-SA"/>
              </w:rPr>
              <w:t>表3-2  项目周边环境保护目标</w:t>
            </w:r>
          </w:p>
          <w:tbl>
            <w:tblPr>
              <w:tblStyle w:val="24"/>
              <w:tblW w:w="493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 w:type="dxa"/>
                <w:bottom w:w="0" w:type="dxa"/>
                <w:right w:w="11" w:type="dxa"/>
              </w:tblCellMar>
            </w:tblPr>
            <w:tblGrid>
              <w:gridCol w:w="541"/>
              <w:gridCol w:w="1352"/>
              <w:gridCol w:w="1077"/>
              <w:gridCol w:w="917"/>
              <w:gridCol w:w="817"/>
              <w:gridCol w:w="1040"/>
              <w:gridCol w:w="731"/>
              <w:gridCol w:w="731"/>
              <w:gridCol w:w="980"/>
            </w:tblGrid>
            <w:tr w14:paraId="23684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 w:type="dxa"/>
                  <w:bottom w:w="0" w:type="dxa"/>
                  <w:right w:w="11" w:type="dxa"/>
                </w:tblCellMar>
              </w:tblPrEx>
              <w:trPr>
                <w:cantSplit/>
                <w:trHeight w:val="90" w:hRule="atLeast"/>
                <w:jc w:val="center"/>
              </w:trPr>
              <w:tc>
                <w:tcPr>
                  <w:tcW w:w="330" w:type="pct"/>
                  <w:vMerge w:val="restart"/>
                  <w:tcBorders>
                    <w:tl2br w:val="nil"/>
                    <w:tr2bl w:val="nil"/>
                  </w:tcBorders>
                  <w:noWrap w:val="0"/>
                  <w:vAlign w:val="center"/>
                </w:tcPr>
                <w:p w14:paraId="464BC6CA">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环境</w:t>
                  </w:r>
                </w:p>
                <w:p w14:paraId="7CB3F500">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要素</w:t>
                  </w:r>
                </w:p>
              </w:tc>
              <w:tc>
                <w:tcPr>
                  <w:tcW w:w="825" w:type="pct"/>
                  <w:vMerge w:val="restart"/>
                  <w:tcBorders>
                    <w:tl2br w:val="nil"/>
                    <w:tr2bl w:val="nil"/>
                  </w:tcBorders>
                  <w:noWrap w:val="0"/>
                  <w:vAlign w:val="center"/>
                </w:tcPr>
                <w:p w14:paraId="4D693583">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名称</w:t>
                  </w:r>
                </w:p>
              </w:tc>
              <w:tc>
                <w:tcPr>
                  <w:tcW w:w="1217" w:type="pct"/>
                  <w:gridSpan w:val="2"/>
                  <w:tcBorders>
                    <w:tl2br w:val="nil"/>
                    <w:tr2bl w:val="nil"/>
                  </w:tcBorders>
                  <w:noWrap w:val="0"/>
                  <w:vAlign w:val="center"/>
                </w:tcPr>
                <w:p w14:paraId="605523C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坐标/m</w:t>
                  </w:r>
                </w:p>
              </w:tc>
              <w:tc>
                <w:tcPr>
                  <w:tcW w:w="499" w:type="pct"/>
                  <w:vMerge w:val="restart"/>
                  <w:tcBorders>
                    <w:tl2br w:val="nil"/>
                    <w:tr2bl w:val="nil"/>
                  </w:tcBorders>
                  <w:noWrap w:val="0"/>
                  <w:vAlign w:val="center"/>
                </w:tcPr>
                <w:p w14:paraId="5737786D">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保护对象</w:t>
                  </w:r>
                </w:p>
              </w:tc>
              <w:tc>
                <w:tcPr>
                  <w:tcW w:w="635" w:type="pct"/>
                  <w:vMerge w:val="restart"/>
                  <w:tcBorders>
                    <w:tl2br w:val="nil"/>
                    <w:tr2bl w:val="nil"/>
                  </w:tcBorders>
                  <w:noWrap w:val="0"/>
                  <w:vAlign w:val="center"/>
                </w:tcPr>
                <w:p w14:paraId="61020E49">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保护内容</w:t>
                  </w:r>
                </w:p>
              </w:tc>
              <w:tc>
                <w:tcPr>
                  <w:tcW w:w="446" w:type="pct"/>
                  <w:vMerge w:val="restart"/>
                  <w:tcBorders>
                    <w:tl2br w:val="nil"/>
                    <w:tr2bl w:val="nil"/>
                  </w:tcBorders>
                  <w:noWrap w:val="0"/>
                  <w:vAlign w:val="center"/>
                </w:tcPr>
                <w:p w14:paraId="14DFB337">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环境</w:t>
                  </w:r>
                </w:p>
                <w:p w14:paraId="0BF9788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功能区</w:t>
                  </w:r>
                </w:p>
              </w:tc>
              <w:tc>
                <w:tcPr>
                  <w:tcW w:w="446" w:type="pct"/>
                  <w:vMerge w:val="restart"/>
                  <w:tcBorders>
                    <w:tl2br w:val="nil"/>
                    <w:tr2bl w:val="nil"/>
                  </w:tcBorders>
                  <w:noWrap w:val="0"/>
                  <w:vAlign w:val="center"/>
                </w:tcPr>
                <w:p w14:paraId="3E51AE7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相对厂</w:t>
                  </w:r>
                </w:p>
                <w:p w14:paraId="3F50BD2B">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址方向</w:t>
                  </w:r>
                </w:p>
              </w:tc>
              <w:tc>
                <w:tcPr>
                  <w:tcW w:w="598" w:type="pct"/>
                  <w:vMerge w:val="restart"/>
                  <w:tcBorders>
                    <w:tl2br w:val="nil"/>
                    <w:tr2bl w:val="nil"/>
                  </w:tcBorders>
                  <w:noWrap w:val="0"/>
                  <w:vAlign w:val="center"/>
                </w:tcPr>
                <w:p w14:paraId="56265A6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相对厂界</w:t>
                  </w:r>
                </w:p>
                <w:p w14:paraId="36EBE69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rPr>
                    <w:t>距离</w:t>
                  </w:r>
                  <w:r>
                    <w:rPr>
                      <w:rFonts w:hint="default" w:ascii="Times New Roman" w:hAnsi="Times New Roman" w:eastAsia="宋体" w:cs="Times New Roman"/>
                      <w:b/>
                      <w:bCs/>
                      <w:color w:val="auto"/>
                      <w:szCs w:val="21"/>
                      <w:highlight w:val="none"/>
                      <w:lang w:eastAsia="zh-CN"/>
                    </w:rPr>
                    <w:t>/m</w:t>
                  </w:r>
                </w:p>
              </w:tc>
            </w:tr>
            <w:tr w14:paraId="17E69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 w:type="dxa"/>
                  <w:bottom w:w="0" w:type="dxa"/>
                  <w:right w:w="11" w:type="dxa"/>
                </w:tblCellMar>
              </w:tblPrEx>
              <w:trPr>
                <w:cantSplit/>
                <w:trHeight w:val="397" w:hRule="atLeast"/>
                <w:jc w:val="center"/>
              </w:trPr>
              <w:tc>
                <w:tcPr>
                  <w:tcW w:w="330" w:type="pct"/>
                  <w:vMerge w:val="continue"/>
                  <w:tcBorders>
                    <w:tl2br w:val="nil"/>
                    <w:tr2bl w:val="nil"/>
                  </w:tcBorders>
                  <w:noWrap w:val="0"/>
                  <w:vAlign w:val="center"/>
                </w:tcPr>
                <w:p w14:paraId="32A78E42">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825" w:type="pct"/>
                  <w:vMerge w:val="continue"/>
                  <w:tcBorders>
                    <w:tl2br w:val="nil"/>
                    <w:tr2bl w:val="nil"/>
                  </w:tcBorders>
                  <w:noWrap w:val="0"/>
                  <w:vAlign w:val="center"/>
                </w:tcPr>
                <w:p w14:paraId="2B9B0642">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657" w:type="pct"/>
                  <w:tcBorders>
                    <w:tl2br w:val="nil"/>
                    <w:tr2bl w:val="nil"/>
                  </w:tcBorders>
                  <w:noWrap w:val="0"/>
                  <w:vAlign w:val="center"/>
                </w:tcPr>
                <w:p w14:paraId="179D9FD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X</w:t>
                  </w:r>
                </w:p>
              </w:tc>
              <w:tc>
                <w:tcPr>
                  <w:tcW w:w="560" w:type="pct"/>
                  <w:tcBorders>
                    <w:tl2br w:val="nil"/>
                    <w:tr2bl w:val="nil"/>
                  </w:tcBorders>
                  <w:noWrap w:val="0"/>
                  <w:vAlign w:val="center"/>
                </w:tcPr>
                <w:p w14:paraId="0C776EAF">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Y</w:t>
                  </w:r>
                </w:p>
              </w:tc>
              <w:tc>
                <w:tcPr>
                  <w:tcW w:w="499" w:type="pct"/>
                  <w:vMerge w:val="continue"/>
                  <w:tcBorders>
                    <w:tl2br w:val="nil"/>
                    <w:tr2bl w:val="nil"/>
                  </w:tcBorders>
                  <w:noWrap w:val="0"/>
                  <w:vAlign w:val="center"/>
                </w:tcPr>
                <w:p w14:paraId="7D339D55">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635" w:type="pct"/>
                  <w:vMerge w:val="continue"/>
                  <w:tcBorders>
                    <w:tl2br w:val="nil"/>
                    <w:tr2bl w:val="nil"/>
                  </w:tcBorders>
                  <w:noWrap w:val="0"/>
                  <w:vAlign w:val="center"/>
                </w:tcPr>
                <w:p w14:paraId="1FF040EA">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446" w:type="pct"/>
                  <w:vMerge w:val="continue"/>
                  <w:tcBorders>
                    <w:tl2br w:val="nil"/>
                    <w:tr2bl w:val="nil"/>
                  </w:tcBorders>
                  <w:noWrap w:val="0"/>
                  <w:vAlign w:val="center"/>
                </w:tcPr>
                <w:p w14:paraId="681E3D8D">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446" w:type="pct"/>
                  <w:vMerge w:val="continue"/>
                  <w:tcBorders>
                    <w:tl2br w:val="nil"/>
                    <w:tr2bl w:val="nil"/>
                  </w:tcBorders>
                  <w:noWrap w:val="0"/>
                  <w:vAlign w:val="center"/>
                </w:tcPr>
                <w:p w14:paraId="4928B412">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598" w:type="pct"/>
                  <w:vMerge w:val="continue"/>
                  <w:tcBorders>
                    <w:tl2br w:val="nil"/>
                    <w:tr2bl w:val="nil"/>
                  </w:tcBorders>
                  <w:noWrap w:val="0"/>
                  <w:vAlign w:val="center"/>
                </w:tcPr>
                <w:p w14:paraId="319CC01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r>
            <w:tr w14:paraId="1E0F9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 w:type="dxa"/>
                  <w:bottom w:w="0" w:type="dxa"/>
                  <w:right w:w="11" w:type="dxa"/>
                </w:tblCellMar>
              </w:tblPrEx>
              <w:trPr>
                <w:cantSplit/>
                <w:trHeight w:val="397" w:hRule="atLeast"/>
                <w:jc w:val="center"/>
              </w:trPr>
              <w:tc>
                <w:tcPr>
                  <w:tcW w:w="330" w:type="pct"/>
                  <w:tcBorders>
                    <w:tl2br w:val="nil"/>
                    <w:tr2bl w:val="nil"/>
                  </w:tcBorders>
                  <w:noWrap w:val="0"/>
                  <w:vAlign w:val="center"/>
                </w:tcPr>
                <w:p w14:paraId="59589F7B">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w:t>
                  </w:r>
                </w:p>
                <w:p w14:paraId="117CFDE5">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空气</w:t>
                  </w:r>
                </w:p>
              </w:tc>
              <w:tc>
                <w:tcPr>
                  <w:tcW w:w="825" w:type="pct"/>
                  <w:tcBorders>
                    <w:tl2br w:val="nil"/>
                    <w:tr2bl w:val="nil"/>
                  </w:tcBorders>
                  <w:noWrap w:val="0"/>
                  <w:vAlign w:val="center"/>
                </w:tcPr>
                <w:p w14:paraId="3C6F0F1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永乐</w:t>
                  </w:r>
                  <w:r>
                    <w:rPr>
                      <w:rFonts w:hint="eastAsia" w:cs="Times New Roman"/>
                      <w:color w:val="auto"/>
                      <w:szCs w:val="21"/>
                      <w:highlight w:val="none"/>
                      <w:lang w:val="en-US" w:eastAsia="zh-CN"/>
                    </w:rPr>
                    <w:t>镇永乐村东一组</w:t>
                  </w:r>
                </w:p>
              </w:tc>
              <w:tc>
                <w:tcPr>
                  <w:tcW w:w="657" w:type="pct"/>
                  <w:tcBorders>
                    <w:tl2br w:val="nil"/>
                    <w:tr2bl w:val="nil"/>
                  </w:tcBorders>
                  <w:noWrap w:val="0"/>
                  <w:vAlign w:val="center"/>
                </w:tcPr>
                <w:p w14:paraId="2FD7987D">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490</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-92</w:t>
                  </w:r>
                </w:p>
              </w:tc>
              <w:tc>
                <w:tcPr>
                  <w:tcW w:w="560" w:type="pct"/>
                  <w:tcBorders>
                    <w:tl2br w:val="nil"/>
                    <w:tr2bl w:val="nil"/>
                  </w:tcBorders>
                  <w:noWrap w:val="0"/>
                  <w:vAlign w:val="center"/>
                </w:tcPr>
                <w:p w14:paraId="0ACFC6F9">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380</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-350</w:t>
                  </w:r>
                </w:p>
              </w:tc>
              <w:tc>
                <w:tcPr>
                  <w:tcW w:w="499" w:type="pct"/>
                  <w:tcBorders>
                    <w:tl2br w:val="nil"/>
                    <w:tr2bl w:val="nil"/>
                  </w:tcBorders>
                  <w:noWrap w:val="0"/>
                  <w:vAlign w:val="center"/>
                </w:tcPr>
                <w:p w14:paraId="3E8F7B17">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居民</w:t>
                  </w:r>
                </w:p>
              </w:tc>
              <w:tc>
                <w:tcPr>
                  <w:tcW w:w="635" w:type="pct"/>
                  <w:tcBorders>
                    <w:tl2br w:val="nil"/>
                    <w:tr2bl w:val="nil"/>
                  </w:tcBorders>
                  <w:noWrap w:val="0"/>
                  <w:vAlign w:val="center"/>
                </w:tcPr>
                <w:p w14:paraId="01A1F2B3">
                  <w:pPr>
                    <w:keepNext w:val="0"/>
                    <w:keepLines w:val="0"/>
                    <w:pageBreakBefore w:val="0"/>
                    <w:widowControl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村庄</w:t>
                  </w:r>
                </w:p>
              </w:tc>
              <w:tc>
                <w:tcPr>
                  <w:tcW w:w="446" w:type="pct"/>
                  <w:tcBorders>
                    <w:tl2br w:val="nil"/>
                    <w:tr2bl w:val="nil"/>
                  </w:tcBorders>
                  <w:noWrap w:val="0"/>
                  <w:vAlign w:val="center"/>
                </w:tcPr>
                <w:p w14:paraId="781E5A00">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二类</w:t>
                  </w:r>
                </w:p>
                <w:p w14:paraId="2FE4CCE1">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功能区</w:t>
                  </w:r>
                </w:p>
              </w:tc>
              <w:tc>
                <w:tcPr>
                  <w:tcW w:w="446" w:type="pct"/>
                  <w:tcBorders>
                    <w:tl2br w:val="nil"/>
                    <w:tr2bl w:val="nil"/>
                  </w:tcBorders>
                  <w:noWrap w:val="0"/>
                  <w:vAlign w:val="center"/>
                </w:tcPr>
                <w:p w14:paraId="1ACA7F4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W</w:t>
                  </w:r>
                </w:p>
              </w:tc>
              <w:tc>
                <w:tcPr>
                  <w:tcW w:w="598" w:type="pct"/>
                  <w:tcBorders>
                    <w:tl2br w:val="nil"/>
                    <w:tr2bl w:val="nil"/>
                  </w:tcBorders>
                  <w:noWrap w:val="0"/>
                  <w:vAlign w:val="center"/>
                </w:tcPr>
                <w:p w14:paraId="5671CB9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105</w:t>
                  </w:r>
                </w:p>
              </w:tc>
            </w:tr>
          </w:tbl>
          <w:p w14:paraId="4FAEC45A">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lang w:val="en-US" w:eastAsia="zh-CN"/>
              </w:rPr>
            </w:pPr>
            <w:r>
              <w:rPr>
                <w:rFonts w:hint="default" w:ascii="Times New Roman" w:hAnsi="Times New Roman" w:eastAsia="宋体" w:cs="Times New Roman"/>
                <w:b/>
                <w:bCs/>
                <w:color w:val="auto"/>
                <w:sz w:val="21"/>
                <w:szCs w:val="21"/>
              </w:rPr>
              <w:t>注：以厂界西南角为原点（0,0）</w:t>
            </w:r>
          </w:p>
          <w:p w14:paraId="4F99F17F">
            <w:pPr>
              <w:pStyle w:val="2"/>
              <w:numPr>
                <w:ilvl w:val="0"/>
                <w:numId w:val="0"/>
              </w:numPr>
              <w:spacing w:line="360" w:lineRule="auto"/>
              <w:rPr>
                <w:rFonts w:hint="default" w:ascii="Times New Roman" w:hAnsi="Times New Roman" w:cs="Times New Roman"/>
                <w:b/>
                <w:bCs/>
                <w:color w:val="000000"/>
                <w:sz w:val="24"/>
                <w:szCs w:val="24"/>
                <w:lang w:val="en-US" w:eastAsia="zh-CN"/>
              </w:rPr>
            </w:pPr>
            <w:bookmarkStart w:id="7" w:name="_Toc5228"/>
            <w:r>
              <w:rPr>
                <w:rFonts w:hint="eastAsia" w:ascii="Times New Roman" w:hAnsi="Times New Roman" w:cs="Times New Roman"/>
                <w:b/>
                <w:bCs/>
                <w:color w:val="000000"/>
                <w:sz w:val="24"/>
                <w:szCs w:val="24"/>
                <w:lang w:val="en-US" w:eastAsia="zh-CN"/>
              </w:rPr>
              <w:t>2</w:t>
            </w:r>
            <w:r>
              <w:rPr>
                <w:rFonts w:hint="eastAsia" w:ascii="Times New Roman" w:hAnsi="Times New Roman" w:eastAsia="宋体" w:cs="Times New Roman"/>
                <w:b/>
                <w:bCs/>
                <w:color w:val="auto"/>
                <w:sz w:val="24"/>
                <w:lang w:val="en-US" w:eastAsia="zh-CN"/>
              </w:rPr>
              <w:t>、</w:t>
            </w:r>
            <w:r>
              <w:rPr>
                <w:rFonts w:hint="default" w:ascii="Times New Roman" w:hAnsi="Times New Roman" w:cs="Times New Roman"/>
                <w:b/>
                <w:bCs/>
                <w:color w:val="000000"/>
                <w:sz w:val="24"/>
                <w:szCs w:val="24"/>
                <w:lang w:val="en-US" w:eastAsia="zh-CN"/>
              </w:rPr>
              <w:t>声环境</w:t>
            </w:r>
            <w:bookmarkEnd w:id="7"/>
          </w:p>
          <w:p w14:paraId="13D06FC5">
            <w:pPr>
              <w:pStyle w:val="2"/>
              <w:numPr>
                <w:ilvl w:val="0"/>
                <w:numId w:val="0"/>
              </w:numPr>
              <w:spacing w:line="360" w:lineRule="auto"/>
              <w:ind w:firstLine="480" w:firstLineChars="200"/>
              <w:rPr>
                <w:rFonts w:hint="default" w:ascii="Times New Roman" w:hAnsi="Times New Roman" w:eastAsia="宋体" w:cs="Times New Roman"/>
                <w:b w:val="0"/>
                <w:bCs w:val="0"/>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本项目厂界外50米范围内无声环境保护目标。</w:t>
            </w:r>
          </w:p>
          <w:p w14:paraId="12817031">
            <w:pPr>
              <w:numPr>
                <w:ilvl w:val="0"/>
                <w:numId w:val="0"/>
              </w:numPr>
              <w:spacing w:line="360" w:lineRule="auto"/>
              <w:ind w:leftChars="0"/>
              <w:rPr>
                <w:rFonts w:hint="default"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3、</w:t>
            </w:r>
            <w:r>
              <w:rPr>
                <w:rFonts w:hint="default" w:ascii="Times New Roman" w:hAnsi="Times New Roman" w:cs="Times New Roman"/>
                <w:b/>
                <w:bCs/>
                <w:color w:val="000000"/>
                <w:sz w:val="24"/>
                <w:szCs w:val="24"/>
                <w:lang w:val="en-US" w:eastAsia="zh-CN"/>
              </w:rPr>
              <w:t>地下水环境</w:t>
            </w:r>
          </w:p>
          <w:p w14:paraId="51F6AA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rPr>
            </w:pPr>
            <w:r>
              <w:rPr>
                <w:rFonts w:hint="eastAsia" w:ascii="Times New Roman" w:hAnsi="Times New Roman" w:eastAsia="宋体" w:cs="宋体"/>
                <w:color w:val="auto"/>
                <w:sz w:val="24"/>
                <w:szCs w:val="24"/>
              </w:rPr>
              <w:t>经实地调查了解，</w:t>
            </w:r>
            <w:r>
              <w:rPr>
                <w:rFonts w:hint="eastAsia" w:ascii="Times New Roman" w:hAnsi="Times New Roman" w:eastAsia="宋体" w:cs="宋体"/>
                <w:color w:val="auto"/>
                <w:kern w:val="0"/>
                <w:sz w:val="24"/>
                <w:szCs w:val="24"/>
                <w:lang w:val="en-US" w:eastAsia="zh-CN"/>
              </w:rPr>
              <w:t>本项目</w:t>
            </w:r>
            <w:r>
              <w:rPr>
                <w:rFonts w:hint="eastAsia" w:ascii="Times New Roman" w:hAnsi="Times New Roman" w:eastAsia="宋体" w:cs="宋体"/>
                <w:color w:val="auto"/>
                <w:sz w:val="24"/>
                <w:szCs w:val="24"/>
                <w:lang w:val="en-US" w:eastAsia="zh-CN"/>
              </w:rPr>
              <w:t>厂界外500m范围内无地下水集中式饮用水水源和热水、矿泉水、温泉等特殊地下水资源</w:t>
            </w:r>
            <w:r>
              <w:rPr>
                <w:rFonts w:hint="eastAsia" w:cs="宋体"/>
                <w:color w:val="auto"/>
                <w:sz w:val="24"/>
                <w:szCs w:val="24"/>
                <w:lang w:val="en-US" w:eastAsia="zh-CN"/>
              </w:rPr>
              <w:t>。</w:t>
            </w:r>
          </w:p>
        </w:tc>
      </w:tr>
      <w:tr w14:paraId="066D4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9" w:type="dxa"/>
            <w:noWrap w:val="0"/>
            <w:vAlign w:val="center"/>
          </w:tcPr>
          <w:p w14:paraId="60563A74">
            <w:pPr>
              <w:adjustRightInd w:val="0"/>
              <w:snapToGrid w:val="0"/>
              <w:jc w:val="left"/>
              <w:rPr>
                <w:color w:val="auto"/>
                <w:kern w:val="0"/>
                <w:sz w:val="24"/>
              </w:rPr>
            </w:pPr>
            <w:r>
              <w:rPr>
                <w:color w:val="auto"/>
                <w:kern w:val="0"/>
                <w:sz w:val="24"/>
              </w:rPr>
              <w:t>污染</w:t>
            </w:r>
          </w:p>
          <w:p w14:paraId="4A29BD72">
            <w:pPr>
              <w:adjustRightInd w:val="0"/>
              <w:snapToGrid w:val="0"/>
              <w:jc w:val="left"/>
              <w:rPr>
                <w:color w:val="auto"/>
                <w:kern w:val="0"/>
                <w:sz w:val="24"/>
              </w:rPr>
            </w:pPr>
            <w:r>
              <w:rPr>
                <w:color w:val="auto"/>
                <w:kern w:val="0"/>
                <w:sz w:val="24"/>
              </w:rPr>
              <w:t>物排</w:t>
            </w:r>
          </w:p>
          <w:p w14:paraId="1BAF3223">
            <w:pPr>
              <w:adjustRightInd w:val="0"/>
              <w:snapToGrid w:val="0"/>
              <w:jc w:val="left"/>
              <w:rPr>
                <w:color w:val="auto"/>
                <w:kern w:val="0"/>
                <w:sz w:val="24"/>
              </w:rPr>
            </w:pPr>
            <w:r>
              <w:rPr>
                <w:color w:val="auto"/>
                <w:kern w:val="0"/>
                <w:sz w:val="24"/>
              </w:rPr>
              <w:t>放控</w:t>
            </w:r>
          </w:p>
          <w:p w14:paraId="4D9B3268">
            <w:pPr>
              <w:adjustRightInd w:val="0"/>
              <w:snapToGrid w:val="0"/>
              <w:jc w:val="left"/>
              <w:rPr>
                <w:color w:val="auto"/>
                <w:kern w:val="0"/>
                <w:sz w:val="24"/>
              </w:rPr>
            </w:pPr>
            <w:r>
              <w:rPr>
                <w:color w:val="auto"/>
                <w:kern w:val="0"/>
                <w:sz w:val="24"/>
              </w:rPr>
              <w:t>制标</w:t>
            </w:r>
          </w:p>
          <w:p w14:paraId="1DF4CC27">
            <w:pPr>
              <w:adjustRightInd w:val="0"/>
              <w:snapToGrid w:val="0"/>
              <w:ind w:firstLine="240" w:firstLineChars="100"/>
              <w:jc w:val="left"/>
              <w:rPr>
                <w:color w:val="auto"/>
                <w:kern w:val="0"/>
                <w:sz w:val="24"/>
              </w:rPr>
            </w:pPr>
            <w:r>
              <w:rPr>
                <w:color w:val="auto"/>
                <w:kern w:val="0"/>
                <w:sz w:val="24"/>
              </w:rPr>
              <w:t>准</w:t>
            </w:r>
          </w:p>
        </w:tc>
        <w:tc>
          <w:tcPr>
            <w:tcW w:w="8521" w:type="dxa"/>
            <w:noWrap w:val="0"/>
            <w:vAlign w:val="center"/>
          </w:tcPr>
          <w:p w14:paraId="1E29A845">
            <w:pPr>
              <w:numPr>
                <w:ilvl w:val="0"/>
                <w:numId w:val="8"/>
              </w:numPr>
              <w:adjustRightInd w:val="0"/>
              <w:snapToGrid w:val="0"/>
              <w:spacing w:line="360" w:lineRule="auto"/>
              <w:rPr>
                <w:rFonts w:hint="eastAsia"/>
                <w:b/>
                <w:bCs/>
                <w:sz w:val="24"/>
                <w:lang w:eastAsia="zh-CN"/>
              </w:rPr>
            </w:pPr>
            <w:r>
              <w:rPr>
                <w:rFonts w:hint="eastAsia"/>
                <w:b/>
                <w:bCs/>
                <w:sz w:val="24"/>
                <w:lang w:eastAsia="zh-CN"/>
              </w:rPr>
              <w:t>废气</w:t>
            </w:r>
          </w:p>
          <w:p w14:paraId="6A124963">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Times New Roman" w:hAnsi="Times New Roman" w:eastAsia="宋体" w:cs="Times New Roman"/>
                <w:b w:val="0"/>
                <w:bCs w:val="0"/>
                <w:color w:val="000000"/>
                <w:kern w:val="2"/>
                <w:sz w:val="24"/>
                <w:szCs w:val="24"/>
                <w:lang w:val="en-US" w:eastAsia="zh-CN" w:bidi="ar-SA"/>
              </w:rPr>
            </w:pPr>
            <w:bookmarkStart w:id="8" w:name="_Toc32655"/>
            <w:r>
              <w:rPr>
                <w:rFonts w:hint="default" w:ascii="Times New Roman" w:hAnsi="Times New Roman" w:eastAsia="宋体" w:cs="Times New Roman"/>
                <w:b w:val="0"/>
                <w:bCs w:val="0"/>
                <w:color w:val="000000"/>
                <w:kern w:val="2"/>
                <w:sz w:val="24"/>
                <w:szCs w:val="24"/>
                <w:lang w:val="en-US" w:eastAsia="zh-CN" w:bidi="ar-SA"/>
              </w:rPr>
              <w:t>项目运营期有组织非甲烷总烃执行《合成树脂工业污染物排放标准》（GB31572-2015）中表5相关标准限值；厂界无组织非甲烷总烃执行《合成树脂工业污染物排放标准》（GB31572-2015）中表9相关标准限值；厂区内无</w:t>
            </w:r>
            <w:r>
              <w:rPr>
                <w:rFonts w:hint="eastAsia" w:ascii="Times New Roman" w:hAnsi="Times New Roman" w:eastAsia="宋体" w:cs="Times New Roman"/>
                <w:b w:val="0"/>
                <w:bCs w:val="0"/>
                <w:color w:val="000000"/>
                <w:kern w:val="2"/>
                <w:sz w:val="24"/>
                <w:szCs w:val="24"/>
                <w:lang w:val="en-US" w:eastAsia="zh-CN" w:bidi="ar-SA"/>
              </w:rPr>
              <w:t>组织</w:t>
            </w:r>
            <w:r>
              <w:rPr>
                <w:rFonts w:hint="default" w:ascii="Times New Roman" w:hAnsi="Times New Roman" w:eastAsia="宋体" w:cs="Times New Roman"/>
                <w:b w:val="0"/>
                <w:bCs w:val="0"/>
                <w:color w:val="000000"/>
                <w:kern w:val="2"/>
                <w:sz w:val="24"/>
                <w:szCs w:val="24"/>
                <w:lang w:val="en-US" w:eastAsia="zh-CN" w:bidi="ar-SA"/>
              </w:rPr>
              <w:t>非甲烷总烃执行《挥发性有机物无组织排放控制标准（GB37822-2019）》</w:t>
            </w:r>
          </w:p>
          <w:p w14:paraId="24E469A2">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color w:val="000000"/>
                <w:kern w:val="2"/>
                <w:sz w:val="24"/>
                <w:szCs w:val="24"/>
                <w:lang w:val="en-US" w:eastAsia="zh-CN" w:bidi="ar-SA"/>
              </w:rPr>
            </w:pPr>
            <w:r>
              <w:rPr>
                <w:rFonts w:hint="eastAsia" w:ascii="Times New Roman" w:hAnsi="Times New Roman" w:eastAsia="宋体" w:cs="Times New Roman"/>
                <w:b w:val="0"/>
                <w:bCs w:val="0"/>
                <w:color w:val="000000"/>
                <w:kern w:val="2"/>
                <w:sz w:val="24"/>
                <w:szCs w:val="24"/>
                <w:lang w:val="en-US" w:eastAsia="zh-CN" w:bidi="ar-SA"/>
              </w:rPr>
              <w:t>表A.1</w:t>
            </w:r>
            <w:r>
              <w:rPr>
                <w:rFonts w:hint="default" w:ascii="Times New Roman" w:hAnsi="Times New Roman" w:eastAsia="宋体" w:cs="Times New Roman"/>
                <w:b w:val="0"/>
                <w:bCs w:val="0"/>
                <w:color w:val="000000"/>
                <w:kern w:val="2"/>
                <w:sz w:val="24"/>
                <w:szCs w:val="24"/>
                <w:lang w:val="en-US" w:eastAsia="zh-CN" w:bidi="ar-SA"/>
              </w:rPr>
              <w:t>特别排放标准限值。</w:t>
            </w:r>
          </w:p>
          <w:bookmarkEnd w:id="8"/>
          <w:p w14:paraId="29EA19C5">
            <w:pPr>
              <w:pStyle w:val="2"/>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hint="default" w:ascii="Times New Roman" w:hAnsi="Times New Roman" w:cs="Times New Roman" w:eastAsiaTheme="majorEastAsia"/>
                <w:b/>
                <w:bCs/>
                <w:color w:val="000000"/>
                <w:sz w:val="21"/>
                <w:szCs w:val="21"/>
                <w:lang w:val="en-US" w:eastAsia="zh-CN" w:bidi="ar"/>
              </w:rPr>
            </w:pPr>
            <w:r>
              <w:rPr>
                <w:rFonts w:hint="default" w:ascii="Times New Roman" w:hAnsi="Times New Roman" w:cs="Times New Roman" w:eastAsiaTheme="majorEastAsia"/>
                <w:b/>
                <w:bCs/>
                <w:color w:val="000000"/>
                <w:sz w:val="21"/>
                <w:szCs w:val="21"/>
                <w:lang w:val="en-US" w:eastAsia="zh-CN" w:bidi="ar"/>
              </w:rPr>
              <w:t>表3-</w:t>
            </w:r>
            <w:r>
              <w:rPr>
                <w:rFonts w:hint="eastAsia" w:ascii="Times New Roman" w:hAnsi="Times New Roman" w:cs="Times New Roman" w:eastAsiaTheme="majorEastAsia"/>
                <w:b/>
                <w:bCs/>
                <w:color w:val="000000"/>
                <w:sz w:val="21"/>
                <w:szCs w:val="21"/>
                <w:lang w:val="en-US" w:eastAsia="zh-CN" w:bidi="ar"/>
              </w:rPr>
              <w:t>3</w:t>
            </w:r>
            <w:r>
              <w:rPr>
                <w:rFonts w:hint="default" w:ascii="Times New Roman" w:hAnsi="Times New Roman" w:cs="Times New Roman" w:eastAsiaTheme="majorEastAsia"/>
                <w:b/>
                <w:bCs/>
                <w:color w:val="000000"/>
                <w:sz w:val="21"/>
                <w:szCs w:val="21"/>
                <w:lang w:val="en-US" w:eastAsia="zh-CN" w:bidi="ar"/>
              </w:rPr>
              <w:t xml:space="preserve"> 废气污染物排放执行标准</w:t>
            </w:r>
          </w:p>
          <w:tbl>
            <w:tblPr>
              <w:tblStyle w:val="25"/>
              <w:tblW w:w="8200"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933"/>
              <w:gridCol w:w="2800"/>
              <w:gridCol w:w="1750"/>
              <w:gridCol w:w="1684"/>
            </w:tblGrid>
            <w:tr w14:paraId="65BFC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33" w:type="dxa"/>
                  <w:tcBorders>
                    <w:tl2br w:val="nil"/>
                    <w:tr2bl w:val="nil"/>
                  </w:tcBorders>
                  <w:noWrap w:val="0"/>
                  <w:vAlign w:val="center"/>
                </w:tcPr>
                <w:p w14:paraId="22969DDA">
                  <w:pPr>
                    <w:adjustRightInd w:val="0"/>
                    <w:snapToGrid w:val="0"/>
                    <w:jc w:val="center"/>
                    <w:rPr>
                      <w:rFonts w:hint="eastAsia"/>
                      <w:b/>
                      <w:bCs/>
                      <w:color w:val="auto"/>
                      <w:kern w:val="0"/>
                      <w:szCs w:val="21"/>
                    </w:rPr>
                  </w:pPr>
                  <w:r>
                    <w:rPr>
                      <w:rFonts w:hint="eastAsia"/>
                      <w:b/>
                      <w:bCs/>
                      <w:color w:val="auto"/>
                      <w:kern w:val="0"/>
                      <w:szCs w:val="21"/>
                    </w:rPr>
                    <w:t>监控</w:t>
                  </w:r>
                </w:p>
                <w:p w14:paraId="104CB1B4">
                  <w:pPr>
                    <w:adjustRightInd w:val="0"/>
                    <w:snapToGrid w:val="0"/>
                    <w:jc w:val="center"/>
                    <w:rPr>
                      <w:rFonts w:hint="eastAsia"/>
                      <w:b/>
                      <w:bCs/>
                      <w:color w:val="auto"/>
                      <w:kern w:val="0"/>
                      <w:szCs w:val="21"/>
                    </w:rPr>
                  </w:pPr>
                  <w:r>
                    <w:rPr>
                      <w:rFonts w:hint="eastAsia"/>
                      <w:b/>
                      <w:bCs/>
                      <w:color w:val="auto"/>
                      <w:kern w:val="0"/>
                      <w:szCs w:val="21"/>
                    </w:rPr>
                    <w:t>位置</w:t>
                  </w:r>
                </w:p>
              </w:tc>
              <w:tc>
                <w:tcPr>
                  <w:tcW w:w="933" w:type="dxa"/>
                  <w:tcBorders>
                    <w:tl2br w:val="nil"/>
                    <w:tr2bl w:val="nil"/>
                  </w:tcBorders>
                  <w:noWrap w:val="0"/>
                  <w:vAlign w:val="center"/>
                </w:tcPr>
                <w:p w14:paraId="3CD09A43">
                  <w:pPr>
                    <w:adjustRightInd w:val="0"/>
                    <w:snapToGrid w:val="0"/>
                    <w:jc w:val="center"/>
                    <w:rPr>
                      <w:rFonts w:hint="eastAsia"/>
                      <w:b/>
                      <w:bCs/>
                      <w:color w:val="auto"/>
                      <w:kern w:val="0"/>
                      <w:szCs w:val="21"/>
                    </w:rPr>
                  </w:pPr>
                  <w:r>
                    <w:rPr>
                      <w:rFonts w:hint="eastAsia"/>
                      <w:b/>
                      <w:bCs/>
                      <w:color w:val="auto"/>
                      <w:kern w:val="0"/>
                      <w:szCs w:val="21"/>
                    </w:rPr>
                    <w:t>污染物</w:t>
                  </w:r>
                </w:p>
              </w:tc>
              <w:tc>
                <w:tcPr>
                  <w:tcW w:w="2800" w:type="dxa"/>
                  <w:tcBorders>
                    <w:tl2br w:val="nil"/>
                    <w:tr2bl w:val="nil"/>
                  </w:tcBorders>
                  <w:noWrap w:val="0"/>
                  <w:vAlign w:val="center"/>
                </w:tcPr>
                <w:p w14:paraId="70EFCE8E">
                  <w:pPr>
                    <w:adjustRightInd w:val="0"/>
                    <w:snapToGrid w:val="0"/>
                    <w:jc w:val="center"/>
                    <w:rPr>
                      <w:rFonts w:hint="eastAsia"/>
                      <w:b/>
                      <w:bCs/>
                      <w:color w:val="auto"/>
                      <w:kern w:val="0"/>
                      <w:szCs w:val="21"/>
                    </w:rPr>
                  </w:pPr>
                  <w:r>
                    <w:rPr>
                      <w:rFonts w:hint="eastAsia"/>
                      <w:b/>
                      <w:bCs/>
                      <w:color w:val="auto"/>
                      <w:kern w:val="0"/>
                      <w:szCs w:val="21"/>
                    </w:rPr>
                    <w:t>执行标准</w:t>
                  </w:r>
                </w:p>
              </w:tc>
              <w:tc>
                <w:tcPr>
                  <w:tcW w:w="3434" w:type="dxa"/>
                  <w:gridSpan w:val="2"/>
                  <w:tcBorders>
                    <w:tl2br w:val="nil"/>
                    <w:tr2bl w:val="nil"/>
                  </w:tcBorders>
                  <w:noWrap w:val="0"/>
                  <w:vAlign w:val="center"/>
                </w:tcPr>
                <w:p w14:paraId="1E2CB101">
                  <w:pPr>
                    <w:adjustRightInd w:val="0"/>
                    <w:snapToGrid w:val="0"/>
                    <w:jc w:val="center"/>
                    <w:rPr>
                      <w:rFonts w:hint="eastAsia"/>
                      <w:b/>
                      <w:bCs/>
                      <w:color w:val="auto"/>
                      <w:kern w:val="0"/>
                      <w:szCs w:val="21"/>
                    </w:rPr>
                  </w:pPr>
                  <w:r>
                    <w:rPr>
                      <w:rFonts w:hint="eastAsia"/>
                      <w:b/>
                      <w:bCs/>
                      <w:color w:val="auto"/>
                      <w:kern w:val="0"/>
                      <w:szCs w:val="21"/>
                    </w:rPr>
                    <w:t>最高允许排放浓度</w:t>
                  </w:r>
                </w:p>
              </w:tc>
            </w:tr>
            <w:tr w14:paraId="03FE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033" w:type="dxa"/>
                  <w:tcBorders>
                    <w:tl2br w:val="nil"/>
                    <w:tr2bl w:val="nil"/>
                  </w:tcBorders>
                  <w:noWrap w:val="0"/>
                  <w:vAlign w:val="center"/>
                </w:tcPr>
                <w:p w14:paraId="67FB3CD4">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排气筒</w:t>
                  </w:r>
                </w:p>
              </w:tc>
              <w:tc>
                <w:tcPr>
                  <w:tcW w:w="933" w:type="dxa"/>
                  <w:vMerge w:val="restart"/>
                  <w:tcBorders>
                    <w:tl2br w:val="nil"/>
                    <w:tr2bl w:val="nil"/>
                  </w:tcBorders>
                  <w:noWrap w:val="0"/>
                  <w:vAlign w:val="center"/>
                </w:tcPr>
                <w:p w14:paraId="6696AA14">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eastAsia="宋体"/>
                      <w:color w:val="auto"/>
                      <w:kern w:val="0"/>
                      <w:szCs w:val="21"/>
                      <w:lang w:eastAsia="zh-CN"/>
                    </w:rPr>
                  </w:pPr>
                  <w:r>
                    <w:rPr>
                      <w:rFonts w:hint="eastAsia"/>
                      <w:color w:val="auto"/>
                      <w:kern w:val="0"/>
                      <w:szCs w:val="21"/>
                      <w:lang w:eastAsia="zh-CN"/>
                    </w:rPr>
                    <w:t>非甲烷总烃</w:t>
                  </w:r>
                </w:p>
              </w:tc>
              <w:tc>
                <w:tcPr>
                  <w:tcW w:w="2800" w:type="dxa"/>
                  <w:tcBorders>
                    <w:tl2br w:val="nil"/>
                    <w:tr2bl w:val="nil"/>
                  </w:tcBorders>
                  <w:noWrap w:val="0"/>
                  <w:vAlign w:val="center"/>
                </w:tcPr>
                <w:p w14:paraId="497AE3F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rFonts w:hint="eastAsia" w:ascii="Times New Roman" w:hAnsi="Times New Roman" w:eastAsia="宋体" w:cs="Times New Roman"/>
                      <w:color w:val="auto"/>
                      <w:sz w:val="21"/>
                    </w:rPr>
                    <w:t>《合成树脂工业污染物排放标准》（GB31572-2015）</w:t>
                  </w:r>
                </w:p>
              </w:tc>
              <w:tc>
                <w:tcPr>
                  <w:tcW w:w="3434" w:type="dxa"/>
                  <w:gridSpan w:val="2"/>
                  <w:tcBorders>
                    <w:tl2br w:val="nil"/>
                    <w:tr2bl w:val="nil"/>
                  </w:tcBorders>
                  <w:noWrap w:val="0"/>
                  <w:vAlign w:val="center"/>
                </w:tcPr>
                <w:p w14:paraId="7616C188">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rFonts w:hint="eastAsia"/>
                      <w:color w:val="auto"/>
                      <w:kern w:val="0"/>
                      <w:szCs w:val="21"/>
                      <w:lang w:val="en-US" w:eastAsia="zh-CN"/>
                    </w:rPr>
                    <w:t>6</w:t>
                  </w:r>
                  <w:r>
                    <w:rPr>
                      <w:color w:val="auto"/>
                      <w:kern w:val="0"/>
                      <w:szCs w:val="21"/>
                    </w:rPr>
                    <w:t>0mg/m</w:t>
                  </w:r>
                  <w:r>
                    <w:rPr>
                      <w:color w:val="auto"/>
                      <w:kern w:val="0"/>
                      <w:szCs w:val="21"/>
                      <w:vertAlign w:val="superscript"/>
                    </w:rPr>
                    <w:t>3</w:t>
                  </w:r>
                </w:p>
              </w:tc>
            </w:tr>
            <w:tr w14:paraId="0444C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33" w:type="dxa"/>
                  <w:tcBorders>
                    <w:tl2br w:val="nil"/>
                    <w:tr2bl w:val="nil"/>
                  </w:tcBorders>
                  <w:noWrap w:val="0"/>
                  <w:vAlign w:val="center"/>
                </w:tcPr>
                <w:p w14:paraId="2E8AD7ED">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厂界</w:t>
                  </w:r>
                </w:p>
              </w:tc>
              <w:tc>
                <w:tcPr>
                  <w:tcW w:w="933" w:type="dxa"/>
                  <w:vMerge w:val="continue"/>
                  <w:tcBorders>
                    <w:tl2br w:val="nil"/>
                    <w:tr2bl w:val="nil"/>
                  </w:tcBorders>
                  <w:noWrap w:val="0"/>
                  <w:vAlign w:val="center"/>
                </w:tcPr>
                <w:p w14:paraId="6D545221">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p>
              </w:tc>
              <w:tc>
                <w:tcPr>
                  <w:tcW w:w="2800" w:type="dxa"/>
                  <w:tcBorders>
                    <w:tl2br w:val="nil"/>
                    <w:tr2bl w:val="nil"/>
                  </w:tcBorders>
                  <w:noWrap w:val="0"/>
                  <w:vAlign w:val="center"/>
                </w:tcPr>
                <w:p w14:paraId="246B1B6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rFonts w:hint="eastAsia" w:ascii="Times New Roman" w:hAnsi="Times New Roman" w:eastAsia="宋体" w:cs="Times New Roman"/>
                      <w:color w:val="auto"/>
                      <w:sz w:val="21"/>
                    </w:rPr>
                    <w:t>《合成树脂工业污染物排放标准》（GB31572-2015）</w:t>
                  </w:r>
                </w:p>
              </w:tc>
              <w:tc>
                <w:tcPr>
                  <w:tcW w:w="3434" w:type="dxa"/>
                  <w:gridSpan w:val="2"/>
                  <w:tcBorders>
                    <w:tl2br w:val="nil"/>
                    <w:tr2bl w:val="nil"/>
                  </w:tcBorders>
                  <w:noWrap w:val="0"/>
                  <w:vAlign w:val="center"/>
                </w:tcPr>
                <w:p w14:paraId="2CBD2D8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lang w:val="en-US" w:eastAsia="zh-CN"/>
                    </w:rPr>
                    <w:t>4.0</w:t>
                  </w:r>
                  <w:r>
                    <w:rPr>
                      <w:color w:val="auto"/>
                      <w:kern w:val="0"/>
                      <w:szCs w:val="21"/>
                    </w:rPr>
                    <w:t>mg/m</w:t>
                  </w:r>
                  <w:r>
                    <w:rPr>
                      <w:color w:val="auto"/>
                      <w:kern w:val="0"/>
                      <w:szCs w:val="21"/>
                      <w:vertAlign w:val="superscript"/>
                    </w:rPr>
                    <w:t>3</w:t>
                  </w:r>
                </w:p>
              </w:tc>
            </w:tr>
            <w:tr w14:paraId="619C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033" w:type="dxa"/>
                  <w:vMerge w:val="restart"/>
                  <w:tcBorders>
                    <w:tl2br w:val="nil"/>
                    <w:tr2bl w:val="nil"/>
                  </w:tcBorders>
                  <w:noWrap w:val="0"/>
                  <w:vAlign w:val="center"/>
                </w:tcPr>
                <w:p w14:paraId="73783201">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厂区内</w:t>
                  </w:r>
                </w:p>
              </w:tc>
              <w:tc>
                <w:tcPr>
                  <w:tcW w:w="933" w:type="dxa"/>
                  <w:vMerge w:val="continue"/>
                  <w:tcBorders>
                    <w:tl2br w:val="nil"/>
                    <w:tr2bl w:val="nil"/>
                  </w:tcBorders>
                  <w:noWrap w:val="0"/>
                  <w:vAlign w:val="center"/>
                </w:tcPr>
                <w:p w14:paraId="3A259E7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p>
              </w:tc>
              <w:tc>
                <w:tcPr>
                  <w:tcW w:w="2800" w:type="dxa"/>
                  <w:vMerge w:val="restart"/>
                  <w:tcBorders>
                    <w:tl2br w:val="nil"/>
                    <w:tr2bl w:val="nil"/>
                  </w:tcBorders>
                  <w:noWrap w:val="0"/>
                  <w:vAlign w:val="center"/>
                </w:tcPr>
                <w:p w14:paraId="1EB6A32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color w:val="auto"/>
                      <w:kern w:val="0"/>
                      <w:szCs w:val="21"/>
                    </w:rPr>
                    <w:t>《挥发性有机物无组织排放控制标准》（GB37822-2019）</w:t>
                  </w:r>
                </w:p>
              </w:tc>
              <w:tc>
                <w:tcPr>
                  <w:tcW w:w="1750" w:type="dxa"/>
                  <w:tcBorders>
                    <w:tl2br w:val="nil"/>
                    <w:tr2bl w:val="nil"/>
                  </w:tcBorders>
                  <w:noWrap w:val="0"/>
                  <w:vAlign w:val="center"/>
                </w:tcPr>
                <w:p w14:paraId="72B778D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color w:val="auto"/>
                      <w:kern w:val="0"/>
                      <w:szCs w:val="21"/>
                    </w:rPr>
                    <w:t>监控点处1h</w:t>
                  </w:r>
                  <w:r>
                    <w:rPr>
                      <w:rFonts w:hint="eastAsia"/>
                      <w:color w:val="auto"/>
                      <w:kern w:val="0"/>
                      <w:szCs w:val="21"/>
                    </w:rPr>
                    <w:t>平均</w:t>
                  </w:r>
                  <w:r>
                    <w:rPr>
                      <w:color w:val="auto"/>
                      <w:kern w:val="0"/>
                      <w:szCs w:val="21"/>
                    </w:rPr>
                    <w:t>浓度值</w:t>
                  </w:r>
                </w:p>
              </w:tc>
              <w:tc>
                <w:tcPr>
                  <w:tcW w:w="1684" w:type="dxa"/>
                  <w:tcBorders>
                    <w:tl2br w:val="nil"/>
                    <w:tr2bl w:val="nil"/>
                  </w:tcBorders>
                  <w:noWrap w:val="0"/>
                  <w:vAlign w:val="center"/>
                </w:tcPr>
                <w:p w14:paraId="6A9B0AFA">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color w:val="auto"/>
                      <w:kern w:val="0"/>
                      <w:szCs w:val="21"/>
                    </w:rPr>
                    <w:t>6mg/m</w:t>
                  </w:r>
                  <w:r>
                    <w:rPr>
                      <w:color w:val="auto"/>
                      <w:kern w:val="0"/>
                      <w:szCs w:val="21"/>
                      <w:vertAlign w:val="superscript"/>
                    </w:rPr>
                    <w:t>3</w:t>
                  </w:r>
                </w:p>
              </w:tc>
            </w:tr>
            <w:tr w14:paraId="2E475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033" w:type="dxa"/>
                  <w:vMerge w:val="continue"/>
                  <w:tcBorders>
                    <w:tl2br w:val="nil"/>
                    <w:tr2bl w:val="nil"/>
                  </w:tcBorders>
                  <w:noWrap w:val="0"/>
                  <w:vAlign w:val="center"/>
                </w:tcPr>
                <w:p w14:paraId="7B161898">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p>
              </w:tc>
              <w:tc>
                <w:tcPr>
                  <w:tcW w:w="933" w:type="dxa"/>
                  <w:vMerge w:val="continue"/>
                  <w:tcBorders>
                    <w:tl2br w:val="nil"/>
                    <w:tr2bl w:val="nil"/>
                  </w:tcBorders>
                  <w:noWrap w:val="0"/>
                  <w:vAlign w:val="center"/>
                </w:tcPr>
                <w:p w14:paraId="40905176">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p>
              </w:tc>
              <w:tc>
                <w:tcPr>
                  <w:tcW w:w="2800" w:type="dxa"/>
                  <w:vMerge w:val="continue"/>
                  <w:tcBorders>
                    <w:tl2br w:val="nil"/>
                    <w:tr2bl w:val="nil"/>
                  </w:tcBorders>
                  <w:noWrap w:val="0"/>
                  <w:vAlign w:val="center"/>
                </w:tcPr>
                <w:p w14:paraId="3ADA62A1">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p>
              </w:tc>
              <w:tc>
                <w:tcPr>
                  <w:tcW w:w="1750" w:type="dxa"/>
                  <w:tcBorders>
                    <w:tl2br w:val="nil"/>
                    <w:tr2bl w:val="nil"/>
                  </w:tcBorders>
                  <w:noWrap w:val="0"/>
                  <w:vAlign w:val="center"/>
                </w:tcPr>
                <w:p w14:paraId="15C00C4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color w:val="auto"/>
                      <w:szCs w:val="21"/>
                    </w:rPr>
                    <w:t>监控点处任意一次浓度值</w:t>
                  </w:r>
                </w:p>
              </w:tc>
              <w:tc>
                <w:tcPr>
                  <w:tcW w:w="1684" w:type="dxa"/>
                  <w:tcBorders>
                    <w:tl2br w:val="nil"/>
                    <w:tr2bl w:val="nil"/>
                  </w:tcBorders>
                  <w:noWrap w:val="0"/>
                  <w:vAlign w:val="center"/>
                </w:tcPr>
                <w:p w14:paraId="404AB05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20</w:t>
                  </w:r>
                  <w:r>
                    <w:rPr>
                      <w:color w:val="auto"/>
                      <w:kern w:val="0"/>
                      <w:szCs w:val="21"/>
                    </w:rPr>
                    <w:t>mg/m</w:t>
                  </w:r>
                  <w:r>
                    <w:rPr>
                      <w:color w:val="auto"/>
                      <w:kern w:val="0"/>
                      <w:szCs w:val="21"/>
                      <w:vertAlign w:val="superscript"/>
                    </w:rPr>
                    <w:t>3</w:t>
                  </w:r>
                </w:p>
              </w:tc>
            </w:tr>
          </w:tbl>
          <w:p w14:paraId="11F5D71A">
            <w:pPr>
              <w:rPr>
                <w:rFonts w:hint="default"/>
                <w:lang w:val="en-US" w:eastAsia="zh-CN"/>
              </w:rPr>
            </w:pPr>
          </w:p>
          <w:p w14:paraId="3F83F18C">
            <w:pPr>
              <w:adjustRightInd w:val="0"/>
              <w:snapToGrid w:val="0"/>
              <w:spacing w:line="360" w:lineRule="auto"/>
              <w:rPr>
                <w:sz w:val="24"/>
              </w:rPr>
            </w:pPr>
            <w:r>
              <w:rPr>
                <w:rFonts w:hint="eastAsia"/>
                <w:b/>
                <w:bCs/>
                <w:sz w:val="24"/>
                <w:lang w:eastAsia="zh-CN"/>
              </w:rPr>
              <w:t>二、</w:t>
            </w:r>
            <w:r>
              <w:rPr>
                <w:b/>
                <w:bCs/>
                <w:sz w:val="24"/>
              </w:rPr>
              <w:t>废水</w:t>
            </w:r>
          </w:p>
          <w:p w14:paraId="5D65D1B7">
            <w:pPr>
              <w:widowControl/>
              <w:adjustRightInd w:val="0"/>
              <w:spacing w:line="360" w:lineRule="auto"/>
              <w:ind w:firstLine="480" w:firstLineChars="200"/>
              <w:rPr>
                <w:rFonts w:hint="eastAsia" w:eastAsia="宋体"/>
                <w:sz w:val="24"/>
                <w:highlight w:val="none"/>
                <w:lang w:eastAsia="zh-CN"/>
              </w:rPr>
            </w:pPr>
            <w:r>
              <w:rPr>
                <w:rFonts w:hint="eastAsia"/>
                <w:sz w:val="24"/>
                <w:highlight w:val="none"/>
              </w:rPr>
              <w:t>项目运营期产生的废水主要为员工生活污水，生活污水</w:t>
            </w:r>
            <w:r>
              <w:rPr>
                <w:rFonts w:hint="eastAsia"/>
                <w:sz w:val="24"/>
                <w:highlight w:val="none"/>
                <w:lang w:eastAsia="zh-CN"/>
              </w:rPr>
              <w:t>流入</w:t>
            </w:r>
            <w:r>
              <w:rPr>
                <w:rFonts w:hint="eastAsia"/>
                <w:sz w:val="24"/>
                <w:highlight w:val="none"/>
              </w:rPr>
              <w:t>厂内化粪池，</w:t>
            </w:r>
            <w:r>
              <w:rPr>
                <w:rFonts w:hint="eastAsia"/>
                <w:sz w:val="24"/>
                <w:highlight w:val="none"/>
                <w:lang w:eastAsia="zh-CN"/>
              </w:rPr>
              <w:t>定期清掏后用于农田施肥。</w:t>
            </w:r>
          </w:p>
          <w:p w14:paraId="2EFBA29F">
            <w:pPr>
              <w:adjustRightInd w:val="0"/>
              <w:snapToGrid w:val="0"/>
              <w:spacing w:before="120" w:beforeLines="50" w:line="360" w:lineRule="auto"/>
              <w:jc w:val="left"/>
              <w:rPr>
                <w:b/>
                <w:bCs/>
                <w:color w:val="auto"/>
                <w:kern w:val="0"/>
                <w:sz w:val="24"/>
                <w:highlight w:val="none"/>
              </w:rPr>
            </w:pPr>
            <w:r>
              <w:rPr>
                <w:rFonts w:hint="eastAsia"/>
                <w:b/>
                <w:bCs/>
                <w:color w:val="auto"/>
                <w:kern w:val="0"/>
                <w:sz w:val="24"/>
                <w:highlight w:val="none"/>
              </w:rPr>
              <w:t>三</w:t>
            </w:r>
            <w:r>
              <w:rPr>
                <w:rFonts w:hint="eastAsia"/>
                <w:b/>
                <w:bCs/>
                <w:color w:val="auto"/>
                <w:kern w:val="0"/>
                <w:sz w:val="24"/>
                <w:highlight w:val="none"/>
                <w:lang w:eastAsia="zh-CN"/>
              </w:rPr>
              <w:t>、</w:t>
            </w:r>
            <w:r>
              <w:rPr>
                <w:b/>
                <w:bCs/>
                <w:color w:val="auto"/>
                <w:kern w:val="0"/>
                <w:sz w:val="24"/>
                <w:highlight w:val="none"/>
              </w:rPr>
              <w:t>噪声排放标准</w:t>
            </w:r>
          </w:p>
          <w:p w14:paraId="3F647F14">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Times New Roman" w:hAnsi="Times New Roman" w:eastAsia="宋体" w:cs="Times New Roman"/>
                <w:b w:val="0"/>
                <w:bCs w:val="0"/>
                <w:color w:val="auto"/>
                <w:kern w:val="0"/>
                <w:sz w:val="24"/>
                <w:szCs w:val="24"/>
                <w:highlight w:val="none"/>
                <w:lang w:val="en-US" w:eastAsia="zh-CN" w:bidi="ar-SA"/>
              </w:rPr>
            </w:pPr>
            <w:r>
              <w:rPr>
                <w:rFonts w:hint="default" w:ascii="Times New Roman" w:hAnsi="Times New Roman" w:eastAsia="宋体" w:cs="Times New Roman"/>
                <w:b w:val="0"/>
                <w:bCs w:val="0"/>
                <w:color w:val="auto"/>
                <w:kern w:val="0"/>
                <w:sz w:val="24"/>
                <w:szCs w:val="24"/>
                <w:highlight w:val="none"/>
                <w:lang w:val="en-US" w:eastAsia="zh-CN" w:bidi="ar-SA"/>
              </w:rPr>
              <w:t>根据《西咸新区声环境功能区划方案》（陕西咸党政办字[2022]12 号）：项目地属声环境3类区（</w:t>
            </w:r>
            <w:bookmarkStart w:id="9" w:name="_Toc26925"/>
            <w:r>
              <w:rPr>
                <w:rFonts w:hint="default" w:ascii="Times New Roman" w:hAnsi="Times New Roman" w:eastAsia="宋体" w:cs="Times New Roman"/>
                <w:b w:val="0"/>
                <w:bCs w:val="0"/>
                <w:color w:val="auto"/>
                <w:kern w:val="0"/>
                <w:sz w:val="24"/>
                <w:szCs w:val="24"/>
                <w:highlight w:val="none"/>
                <w:lang w:val="en-US" w:eastAsia="zh-CN" w:bidi="ar-SA"/>
              </w:rPr>
              <w:t>项目运营期噪声执行《工业企业厂界环境噪声排放标准》（GB12348-2008）3类标准</w:t>
            </w:r>
            <w:bookmarkEnd w:id="9"/>
            <w:r>
              <w:rPr>
                <w:rFonts w:hint="default" w:ascii="Times New Roman" w:hAnsi="Times New Roman" w:eastAsia="宋体" w:cs="Times New Roman"/>
                <w:b w:val="0"/>
                <w:bCs w:val="0"/>
                <w:color w:val="auto"/>
                <w:kern w:val="0"/>
                <w:sz w:val="24"/>
                <w:szCs w:val="24"/>
                <w:highlight w:val="none"/>
                <w:lang w:val="en-US" w:eastAsia="zh-CN" w:bidi="ar-SA"/>
              </w:rPr>
              <w:t>。</w:t>
            </w:r>
          </w:p>
          <w:p w14:paraId="47A223B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b/>
                <w:bCs/>
                <w:color w:val="auto"/>
                <w:kern w:val="0"/>
                <w:szCs w:val="21"/>
                <w:highlight w:val="none"/>
              </w:rPr>
            </w:pPr>
            <w:r>
              <w:rPr>
                <w:b/>
                <w:bCs/>
                <w:color w:val="auto"/>
                <w:kern w:val="0"/>
                <w:sz w:val="20"/>
                <w:szCs w:val="20"/>
                <w:highlight w:val="none"/>
              </w:rPr>
              <w:t>表</w:t>
            </w:r>
            <w:r>
              <w:rPr>
                <w:b/>
                <w:bCs/>
                <w:color w:val="auto"/>
                <w:kern w:val="0"/>
                <w:szCs w:val="21"/>
                <w:highlight w:val="none"/>
              </w:rPr>
              <w:t>3-</w:t>
            </w:r>
            <w:r>
              <w:rPr>
                <w:rFonts w:hint="eastAsia"/>
                <w:b/>
                <w:bCs/>
                <w:color w:val="auto"/>
                <w:kern w:val="0"/>
                <w:szCs w:val="21"/>
                <w:highlight w:val="none"/>
                <w:lang w:val="en-US" w:eastAsia="zh-CN"/>
              </w:rPr>
              <w:t>4</w:t>
            </w:r>
            <w:r>
              <w:rPr>
                <w:b/>
                <w:bCs/>
                <w:color w:val="auto"/>
                <w:kern w:val="0"/>
                <w:szCs w:val="21"/>
                <w:highlight w:val="none"/>
              </w:rPr>
              <w:t xml:space="preserve"> 工业企业环境噪声排放限值标准</w:t>
            </w:r>
          </w:p>
          <w:tbl>
            <w:tblPr>
              <w:tblStyle w:val="24"/>
              <w:tblW w:w="81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6"/>
              <w:gridCol w:w="3587"/>
              <w:gridCol w:w="700"/>
              <w:gridCol w:w="833"/>
              <w:gridCol w:w="739"/>
              <w:gridCol w:w="875"/>
            </w:tblGrid>
            <w:tr w14:paraId="68A2E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6" w:hRule="atLeast"/>
                <w:jc w:val="center"/>
              </w:trPr>
              <w:tc>
                <w:tcPr>
                  <w:tcW w:w="1416" w:type="dxa"/>
                  <w:vMerge w:val="restart"/>
                  <w:tcBorders>
                    <w:tl2br w:val="nil"/>
                    <w:tr2bl w:val="nil"/>
                  </w:tcBorders>
                  <w:noWrap w:val="0"/>
                  <w:vAlign w:val="center"/>
                </w:tcPr>
                <w:p w14:paraId="719CA36F">
                  <w:pPr>
                    <w:adjustRightInd w:val="0"/>
                    <w:snapToGrid w:val="0"/>
                    <w:jc w:val="center"/>
                    <w:rPr>
                      <w:b/>
                      <w:bCs/>
                      <w:color w:val="auto"/>
                      <w:kern w:val="0"/>
                      <w:szCs w:val="21"/>
                      <w:highlight w:val="none"/>
                    </w:rPr>
                  </w:pPr>
                  <w:r>
                    <w:rPr>
                      <w:rFonts w:hint="eastAsia"/>
                      <w:b/>
                      <w:bCs/>
                      <w:color w:val="auto"/>
                      <w:kern w:val="0"/>
                      <w:szCs w:val="21"/>
                      <w:highlight w:val="none"/>
                    </w:rPr>
                    <w:t>监测点位</w:t>
                  </w:r>
                </w:p>
              </w:tc>
              <w:tc>
                <w:tcPr>
                  <w:tcW w:w="3587" w:type="dxa"/>
                  <w:vMerge w:val="restart"/>
                  <w:tcBorders>
                    <w:tl2br w:val="nil"/>
                    <w:tr2bl w:val="nil"/>
                  </w:tcBorders>
                  <w:noWrap w:val="0"/>
                  <w:vAlign w:val="center"/>
                </w:tcPr>
                <w:p w14:paraId="2A1A0B45">
                  <w:pPr>
                    <w:adjustRightInd w:val="0"/>
                    <w:snapToGrid w:val="0"/>
                    <w:jc w:val="center"/>
                    <w:rPr>
                      <w:b/>
                      <w:bCs/>
                      <w:color w:val="auto"/>
                      <w:kern w:val="0"/>
                      <w:szCs w:val="21"/>
                      <w:highlight w:val="none"/>
                    </w:rPr>
                  </w:pPr>
                  <w:r>
                    <w:rPr>
                      <w:b/>
                      <w:bCs/>
                      <w:color w:val="auto"/>
                      <w:kern w:val="0"/>
                      <w:szCs w:val="21"/>
                      <w:highlight w:val="none"/>
                    </w:rPr>
                    <w:t>执行标准</w:t>
                  </w:r>
                </w:p>
              </w:tc>
              <w:tc>
                <w:tcPr>
                  <w:tcW w:w="700" w:type="dxa"/>
                  <w:vMerge w:val="restart"/>
                  <w:tcBorders>
                    <w:tl2br w:val="nil"/>
                    <w:tr2bl w:val="nil"/>
                  </w:tcBorders>
                  <w:noWrap w:val="0"/>
                  <w:vAlign w:val="center"/>
                </w:tcPr>
                <w:p w14:paraId="5472290B">
                  <w:pPr>
                    <w:adjustRightInd w:val="0"/>
                    <w:snapToGrid w:val="0"/>
                    <w:jc w:val="center"/>
                    <w:rPr>
                      <w:b/>
                      <w:bCs/>
                      <w:color w:val="auto"/>
                      <w:kern w:val="0"/>
                      <w:szCs w:val="21"/>
                      <w:highlight w:val="none"/>
                    </w:rPr>
                  </w:pPr>
                  <w:r>
                    <w:rPr>
                      <w:b/>
                      <w:bCs/>
                      <w:color w:val="auto"/>
                      <w:kern w:val="0"/>
                      <w:szCs w:val="21"/>
                      <w:highlight w:val="none"/>
                    </w:rPr>
                    <w:t>级别</w:t>
                  </w:r>
                </w:p>
              </w:tc>
              <w:tc>
                <w:tcPr>
                  <w:tcW w:w="833" w:type="dxa"/>
                  <w:vMerge w:val="restart"/>
                  <w:tcBorders>
                    <w:tl2br w:val="nil"/>
                    <w:tr2bl w:val="nil"/>
                  </w:tcBorders>
                  <w:noWrap w:val="0"/>
                  <w:vAlign w:val="center"/>
                </w:tcPr>
                <w:p w14:paraId="15A95332">
                  <w:pPr>
                    <w:adjustRightInd w:val="0"/>
                    <w:snapToGrid w:val="0"/>
                    <w:jc w:val="center"/>
                    <w:rPr>
                      <w:b/>
                      <w:bCs/>
                      <w:color w:val="auto"/>
                      <w:kern w:val="0"/>
                      <w:szCs w:val="21"/>
                      <w:highlight w:val="none"/>
                    </w:rPr>
                  </w:pPr>
                  <w:r>
                    <w:rPr>
                      <w:b/>
                      <w:bCs/>
                      <w:color w:val="auto"/>
                      <w:kern w:val="0"/>
                      <w:szCs w:val="21"/>
                      <w:highlight w:val="none"/>
                    </w:rPr>
                    <w:t>单位</w:t>
                  </w:r>
                </w:p>
              </w:tc>
              <w:tc>
                <w:tcPr>
                  <w:tcW w:w="1614" w:type="dxa"/>
                  <w:gridSpan w:val="2"/>
                  <w:tcBorders>
                    <w:tl2br w:val="nil"/>
                    <w:tr2bl w:val="nil"/>
                  </w:tcBorders>
                  <w:noWrap w:val="0"/>
                  <w:vAlign w:val="center"/>
                </w:tcPr>
                <w:p w14:paraId="13C893F5">
                  <w:pPr>
                    <w:adjustRightInd w:val="0"/>
                    <w:snapToGrid w:val="0"/>
                    <w:jc w:val="center"/>
                    <w:rPr>
                      <w:b/>
                      <w:bCs/>
                      <w:color w:val="auto"/>
                      <w:kern w:val="0"/>
                      <w:szCs w:val="21"/>
                      <w:highlight w:val="none"/>
                    </w:rPr>
                  </w:pPr>
                  <w:r>
                    <w:rPr>
                      <w:b/>
                      <w:bCs/>
                      <w:color w:val="auto"/>
                      <w:kern w:val="0"/>
                      <w:szCs w:val="21"/>
                      <w:highlight w:val="none"/>
                    </w:rPr>
                    <w:t>标准限值</w:t>
                  </w:r>
                </w:p>
              </w:tc>
            </w:tr>
            <w:tr w14:paraId="227E3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3" w:hRule="atLeast"/>
                <w:jc w:val="center"/>
              </w:trPr>
              <w:tc>
                <w:tcPr>
                  <w:tcW w:w="1416" w:type="dxa"/>
                  <w:vMerge w:val="continue"/>
                  <w:tcBorders>
                    <w:tl2br w:val="nil"/>
                    <w:tr2bl w:val="nil"/>
                  </w:tcBorders>
                  <w:noWrap w:val="0"/>
                  <w:vAlign w:val="center"/>
                </w:tcPr>
                <w:p w14:paraId="3F7B0F94">
                  <w:pPr>
                    <w:adjustRightInd w:val="0"/>
                    <w:snapToGrid w:val="0"/>
                    <w:jc w:val="center"/>
                    <w:rPr>
                      <w:b/>
                      <w:bCs/>
                      <w:color w:val="auto"/>
                      <w:kern w:val="0"/>
                      <w:szCs w:val="21"/>
                      <w:highlight w:val="none"/>
                    </w:rPr>
                  </w:pPr>
                </w:p>
              </w:tc>
              <w:tc>
                <w:tcPr>
                  <w:tcW w:w="3587" w:type="dxa"/>
                  <w:vMerge w:val="continue"/>
                  <w:tcBorders>
                    <w:tl2br w:val="nil"/>
                    <w:tr2bl w:val="nil"/>
                  </w:tcBorders>
                  <w:noWrap w:val="0"/>
                  <w:vAlign w:val="center"/>
                </w:tcPr>
                <w:p w14:paraId="6F4FA2CC">
                  <w:pPr>
                    <w:adjustRightInd w:val="0"/>
                    <w:snapToGrid w:val="0"/>
                    <w:jc w:val="center"/>
                    <w:rPr>
                      <w:b/>
                      <w:bCs/>
                      <w:color w:val="auto"/>
                      <w:kern w:val="0"/>
                      <w:szCs w:val="21"/>
                      <w:highlight w:val="none"/>
                    </w:rPr>
                  </w:pPr>
                </w:p>
              </w:tc>
              <w:tc>
                <w:tcPr>
                  <w:tcW w:w="700" w:type="dxa"/>
                  <w:vMerge w:val="continue"/>
                  <w:tcBorders>
                    <w:tl2br w:val="nil"/>
                    <w:tr2bl w:val="nil"/>
                  </w:tcBorders>
                  <w:noWrap w:val="0"/>
                  <w:vAlign w:val="center"/>
                </w:tcPr>
                <w:p w14:paraId="553D70F1">
                  <w:pPr>
                    <w:adjustRightInd w:val="0"/>
                    <w:snapToGrid w:val="0"/>
                    <w:jc w:val="center"/>
                    <w:rPr>
                      <w:b/>
                      <w:bCs/>
                      <w:color w:val="auto"/>
                      <w:kern w:val="0"/>
                      <w:szCs w:val="21"/>
                      <w:highlight w:val="none"/>
                    </w:rPr>
                  </w:pPr>
                </w:p>
              </w:tc>
              <w:tc>
                <w:tcPr>
                  <w:tcW w:w="833" w:type="dxa"/>
                  <w:vMerge w:val="continue"/>
                  <w:tcBorders>
                    <w:tl2br w:val="nil"/>
                    <w:tr2bl w:val="nil"/>
                  </w:tcBorders>
                  <w:noWrap w:val="0"/>
                  <w:vAlign w:val="center"/>
                </w:tcPr>
                <w:p w14:paraId="374339D7">
                  <w:pPr>
                    <w:adjustRightInd w:val="0"/>
                    <w:snapToGrid w:val="0"/>
                    <w:jc w:val="center"/>
                    <w:rPr>
                      <w:b/>
                      <w:bCs/>
                      <w:color w:val="auto"/>
                      <w:kern w:val="0"/>
                      <w:szCs w:val="21"/>
                      <w:highlight w:val="none"/>
                    </w:rPr>
                  </w:pPr>
                </w:p>
              </w:tc>
              <w:tc>
                <w:tcPr>
                  <w:tcW w:w="739" w:type="dxa"/>
                  <w:tcBorders>
                    <w:tl2br w:val="nil"/>
                    <w:tr2bl w:val="nil"/>
                  </w:tcBorders>
                  <w:noWrap w:val="0"/>
                  <w:vAlign w:val="center"/>
                </w:tcPr>
                <w:p w14:paraId="645C436B">
                  <w:pPr>
                    <w:adjustRightInd w:val="0"/>
                    <w:snapToGrid w:val="0"/>
                    <w:jc w:val="center"/>
                    <w:rPr>
                      <w:b/>
                      <w:bCs/>
                      <w:color w:val="auto"/>
                      <w:kern w:val="0"/>
                      <w:szCs w:val="21"/>
                      <w:highlight w:val="none"/>
                    </w:rPr>
                  </w:pPr>
                  <w:r>
                    <w:rPr>
                      <w:b/>
                      <w:bCs/>
                      <w:color w:val="auto"/>
                      <w:kern w:val="0"/>
                      <w:szCs w:val="21"/>
                      <w:highlight w:val="none"/>
                    </w:rPr>
                    <w:t>昼间</w:t>
                  </w:r>
                </w:p>
              </w:tc>
              <w:tc>
                <w:tcPr>
                  <w:tcW w:w="875" w:type="dxa"/>
                  <w:tcBorders>
                    <w:tl2br w:val="nil"/>
                    <w:tr2bl w:val="nil"/>
                  </w:tcBorders>
                  <w:noWrap w:val="0"/>
                  <w:vAlign w:val="center"/>
                </w:tcPr>
                <w:p w14:paraId="262D2082">
                  <w:pPr>
                    <w:adjustRightInd w:val="0"/>
                    <w:snapToGrid w:val="0"/>
                    <w:jc w:val="center"/>
                    <w:rPr>
                      <w:b/>
                      <w:bCs/>
                      <w:color w:val="auto"/>
                      <w:kern w:val="0"/>
                      <w:szCs w:val="21"/>
                      <w:highlight w:val="none"/>
                    </w:rPr>
                  </w:pPr>
                  <w:r>
                    <w:rPr>
                      <w:b/>
                      <w:bCs/>
                      <w:color w:val="auto"/>
                      <w:kern w:val="0"/>
                      <w:szCs w:val="21"/>
                      <w:highlight w:val="none"/>
                    </w:rPr>
                    <w:t>夜间</w:t>
                  </w:r>
                </w:p>
              </w:tc>
            </w:tr>
            <w:tr w14:paraId="4FF79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5" w:hRule="atLeast"/>
                <w:jc w:val="center"/>
              </w:trPr>
              <w:tc>
                <w:tcPr>
                  <w:tcW w:w="1416" w:type="dxa"/>
                  <w:tcBorders>
                    <w:tl2br w:val="nil"/>
                    <w:tr2bl w:val="nil"/>
                  </w:tcBorders>
                  <w:noWrap w:val="0"/>
                  <w:vAlign w:val="center"/>
                </w:tcPr>
                <w:p w14:paraId="6D890346">
                  <w:pPr>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eastAsia="zh-CN"/>
                    </w:rPr>
                    <w:t>厂界四周</w:t>
                  </w:r>
                </w:p>
              </w:tc>
              <w:tc>
                <w:tcPr>
                  <w:tcW w:w="3587" w:type="dxa"/>
                  <w:tcBorders>
                    <w:tl2br w:val="nil"/>
                    <w:tr2bl w:val="nil"/>
                  </w:tcBorders>
                  <w:noWrap w:val="0"/>
                  <w:vAlign w:val="center"/>
                </w:tcPr>
                <w:p w14:paraId="5AB95A17">
                  <w:pPr>
                    <w:adjustRightInd w:val="0"/>
                    <w:snapToGrid w:val="0"/>
                    <w:jc w:val="center"/>
                    <w:rPr>
                      <w:color w:val="auto"/>
                      <w:kern w:val="0"/>
                      <w:szCs w:val="21"/>
                      <w:highlight w:val="none"/>
                    </w:rPr>
                  </w:pPr>
                  <w:r>
                    <w:rPr>
                      <w:color w:val="auto"/>
                      <w:kern w:val="0"/>
                      <w:szCs w:val="21"/>
                      <w:highlight w:val="none"/>
                    </w:rPr>
                    <w:t>《工业企业厂界环境噪声排放标准》（GB12348-2008）</w:t>
                  </w:r>
                </w:p>
              </w:tc>
              <w:tc>
                <w:tcPr>
                  <w:tcW w:w="700" w:type="dxa"/>
                  <w:tcBorders>
                    <w:tl2br w:val="nil"/>
                    <w:tr2bl w:val="nil"/>
                  </w:tcBorders>
                  <w:noWrap w:val="0"/>
                  <w:vAlign w:val="center"/>
                </w:tcPr>
                <w:p w14:paraId="5C1E30F6">
                  <w:pPr>
                    <w:adjustRightInd w:val="0"/>
                    <w:snapToGrid w:val="0"/>
                    <w:jc w:val="center"/>
                    <w:rPr>
                      <w:color w:val="auto"/>
                      <w:kern w:val="0"/>
                      <w:szCs w:val="21"/>
                      <w:highlight w:val="none"/>
                    </w:rPr>
                  </w:pPr>
                  <w:r>
                    <w:rPr>
                      <w:rFonts w:hint="eastAsia"/>
                      <w:color w:val="auto"/>
                      <w:kern w:val="0"/>
                      <w:szCs w:val="21"/>
                      <w:highlight w:val="none"/>
                      <w:lang w:val="en-US" w:eastAsia="zh-CN"/>
                    </w:rPr>
                    <w:t>3</w:t>
                  </w:r>
                  <w:r>
                    <w:rPr>
                      <w:color w:val="auto"/>
                      <w:kern w:val="0"/>
                      <w:szCs w:val="21"/>
                      <w:highlight w:val="none"/>
                    </w:rPr>
                    <w:t>类</w:t>
                  </w:r>
                </w:p>
              </w:tc>
              <w:tc>
                <w:tcPr>
                  <w:tcW w:w="833" w:type="dxa"/>
                  <w:tcBorders>
                    <w:tl2br w:val="nil"/>
                    <w:tr2bl w:val="nil"/>
                  </w:tcBorders>
                  <w:noWrap w:val="0"/>
                  <w:vAlign w:val="center"/>
                </w:tcPr>
                <w:p w14:paraId="229FC587">
                  <w:pPr>
                    <w:adjustRightInd w:val="0"/>
                    <w:snapToGrid w:val="0"/>
                    <w:jc w:val="center"/>
                    <w:rPr>
                      <w:color w:val="auto"/>
                      <w:kern w:val="0"/>
                      <w:szCs w:val="21"/>
                      <w:highlight w:val="none"/>
                    </w:rPr>
                  </w:pPr>
                  <w:r>
                    <w:rPr>
                      <w:color w:val="auto"/>
                      <w:kern w:val="0"/>
                      <w:szCs w:val="21"/>
                      <w:highlight w:val="none"/>
                    </w:rPr>
                    <w:t>dB（A）</w:t>
                  </w:r>
                </w:p>
              </w:tc>
              <w:tc>
                <w:tcPr>
                  <w:tcW w:w="739" w:type="dxa"/>
                  <w:tcBorders>
                    <w:tl2br w:val="nil"/>
                    <w:tr2bl w:val="nil"/>
                  </w:tcBorders>
                  <w:noWrap w:val="0"/>
                  <w:vAlign w:val="center"/>
                </w:tcPr>
                <w:p w14:paraId="500A7915">
                  <w:pPr>
                    <w:adjustRightInd w:val="0"/>
                    <w:snapToGrid w:val="0"/>
                    <w:jc w:val="center"/>
                    <w:rPr>
                      <w:rFonts w:hint="eastAsia" w:eastAsia="宋体"/>
                      <w:color w:val="auto"/>
                      <w:kern w:val="0"/>
                      <w:szCs w:val="21"/>
                      <w:highlight w:val="none"/>
                      <w:lang w:val="en-US" w:eastAsia="zh-CN"/>
                    </w:rPr>
                  </w:pPr>
                  <w:r>
                    <w:rPr>
                      <w:color w:val="auto"/>
                      <w:kern w:val="0"/>
                      <w:szCs w:val="21"/>
                      <w:highlight w:val="none"/>
                    </w:rPr>
                    <w:t>6</w:t>
                  </w:r>
                  <w:r>
                    <w:rPr>
                      <w:rFonts w:hint="eastAsia"/>
                      <w:color w:val="auto"/>
                      <w:kern w:val="0"/>
                      <w:szCs w:val="21"/>
                      <w:highlight w:val="none"/>
                      <w:lang w:val="en-US" w:eastAsia="zh-CN"/>
                    </w:rPr>
                    <w:t>5</w:t>
                  </w:r>
                </w:p>
              </w:tc>
              <w:tc>
                <w:tcPr>
                  <w:tcW w:w="875" w:type="dxa"/>
                  <w:tcBorders>
                    <w:tl2br w:val="nil"/>
                    <w:tr2bl w:val="nil"/>
                  </w:tcBorders>
                  <w:noWrap w:val="0"/>
                  <w:vAlign w:val="center"/>
                </w:tcPr>
                <w:p w14:paraId="7578370F">
                  <w:pPr>
                    <w:adjustRightInd w:val="0"/>
                    <w:snapToGrid w:val="0"/>
                    <w:jc w:val="center"/>
                    <w:rPr>
                      <w:rFonts w:hint="eastAsia" w:eastAsia="宋体"/>
                      <w:color w:val="auto"/>
                      <w:kern w:val="0"/>
                      <w:szCs w:val="21"/>
                      <w:highlight w:val="none"/>
                      <w:lang w:val="en-US" w:eastAsia="zh-CN"/>
                    </w:rPr>
                  </w:pPr>
                  <w:r>
                    <w:rPr>
                      <w:color w:val="auto"/>
                      <w:kern w:val="0"/>
                      <w:szCs w:val="21"/>
                      <w:highlight w:val="none"/>
                    </w:rPr>
                    <w:t>5</w:t>
                  </w:r>
                  <w:r>
                    <w:rPr>
                      <w:rFonts w:hint="eastAsia"/>
                      <w:color w:val="auto"/>
                      <w:kern w:val="0"/>
                      <w:szCs w:val="21"/>
                      <w:highlight w:val="none"/>
                      <w:lang w:val="en-US" w:eastAsia="zh-CN"/>
                    </w:rPr>
                    <w:t>5</w:t>
                  </w:r>
                </w:p>
              </w:tc>
            </w:tr>
          </w:tbl>
          <w:p w14:paraId="00892AD4">
            <w:pPr>
              <w:widowControl w:val="0"/>
              <w:numPr>
                <w:ilvl w:val="0"/>
                <w:numId w:val="0"/>
              </w:numPr>
              <w:adjustRightInd w:val="0"/>
              <w:snapToGrid w:val="0"/>
              <w:spacing w:line="360" w:lineRule="auto"/>
              <w:jc w:val="left"/>
              <w:rPr>
                <w:rFonts w:hint="default" w:ascii="Times New Roman" w:hAnsi="Times New Roman" w:eastAsia="宋体" w:cs="Times New Roman"/>
                <w:b w:val="0"/>
                <w:bCs w:val="0"/>
                <w:color w:val="auto"/>
                <w:kern w:val="0"/>
                <w:sz w:val="24"/>
                <w:szCs w:val="24"/>
                <w:lang w:val="en-US" w:eastAsia="zh-CN" w:bidi="ar-SA"/>
              </w:rPr>
            </w:pPr>
          </w:p>
          <w:p w14:paraId="12B3EAE8">
            <w:pPr>
              <w:numPr>
                <w:ilvl w:val="0"/>
                <w:numId w:val="7"/>
              </w:numPr>
              <w:adjustRightInd w:val="0"/>
              <w:snapToGrid w:val="0"/>
              <w:spacing w:line="360" w:lineRule="auto"/>
              <w:ind w:left="0" w:leftChars="0" w:firstLine="0" w:firstLineChars="0"/>
              <w:jc w:val="left"/>
              <w:rPr>
                <w:b/>
                <w:bCs/>
                <w:color w:val="auto"/>
                <w:sz w:val="24"/>
              </w:rPr>
            </w:pPr>
            <w:r>
              <w:rPr>
                <w:b/>
                <w:bCs/>
                <w:color w:val="auto"/>
                <w:sz w:val="24"/>
              </w:rPr>
              <w:t>固体废物处理与处置</w:t>
            </w:r>
          </w:p>
          <w:p w14:paraId="5F0C6EF4">
            <w:pPr>
              <w:numPr>
                <w:ilvl w:val="0"/>
                <w:numId w:val="0"/>
              </w:numPr>
              <w:spacing w:line="360" w:lineRule="auto"/>
              <w:ind w:firstLine="480" w:firstLineChars="200"/>
              <w:rPr>
                <w:rFonts w:hint="default"/>
                <w:b/>
                <w:bCs/>
                <w:color w:val="auto"/>
                <w:sz w:val="24"/>
              </w:rPr>
            </w:pPr>
            <w:r>
              <w:rPr>
                <w:rFonts w:hint="eastAsia" w:ascii="Times New Roman" w:hAnsi="Times New Roman" w:eastAsia="宋体" w:cs="Times New Roman"/>
                <w:b w:val="0"/>
                <w:bCs w:val="0"/>
                <w:color w:val="000000"/>
                <w:kern w:val="2"/>
                <w:sz w:val="24"/>
                <w:szCs w:val="24"/>
                <w:lang w:val="en-US" w:eastAsia="zh-CN" w:bidi="ar-SA"/>
              </w:rPr>
              <w:fldChar w:fldCharType="begin"/>
            </w:r>
            <w:r>
              <w:rPr>
                <w:rFonts w:hint="eastAsia" w:ascii="Times New Roman" w:hAnsi="Times New Roman" w:eastAsia="宋体" w:cs="Times New Roman"/>
                <w:b w:val="0"/>
                <w:bCs w:val="0"/>
                <w:color w:val="000000"/>
                <w:kern w:val="2"/>
                <w:sz w:val="24"/>
                <w:szCs w:val="24"/>
                <w:lang w:val="en-US" w:eastAsia="zh-CN" w:bidi="ar-SA"/>
              </w:rPr>
              <w:instrText xml:space="preserve"> HYPERLINK "http://www.mee.gov.cn/ywgz/fgbz/bz/bzwb/gthw/gtfwwrkzbz/202012/W020201218695845325455.pdf" </w:instrText>
            </w:r>
            <w:r>
              <w:rPr>
                <w:rFonts w:hint="eastAsia" w:ascii="Times New Roman" w:hAnsi="Times New Roman" w:eastAsia="宋体" w:cs="Times New Roman"/>
                <w:b w:val="0"/>
                <w:bCs w:val="0"/>
                <w:color w:val="000000"/>
                <w:kern w:val="2"/>
                <w:sz w:val="24"/>
                <w:szCs w:val="24"/>
                <w:lang w:val="en-US" w:eastAsia="zh-CN" w:bidi="ar-SA"/>
              </w:rPr>
              <w:fldChar w:fldCharType="separate"/>
            </w:r>
            <w:r>
              <w:rPr>
                <w:rFonts w:hint="eastAsia" w:ascii="Times New Roman" w:hAnsi="Times New Roman" w:eastAsia="宋体" w:cs="Times New Roman"/>
                <w:b w:val="0"/>
                <w:bCs w:val="0"/>
                <w:color w:val="000000"/>
                <w:kern w:val="2"/>
                <w:sz w:val="24"/>
                <w:szCs w:val="24"/>
                <w:lang w:val="en-US" w:eastAsia="zh-CN" w:bidi="ar-SA"/>
              </w:rPr>
              <w:t>本项目产生的一般固体废物执行《一般工业固体废物贮存和填埋污染控制标准》（GB18599-2020）</w:t>
            </w:r>
            <w:r>
              <w:rPr>
                <w:rFonts w:hint="eastAsia" w:ascii="Times New Roman" w:hAnsi="Times New Roman" w:eastAsia="宋体" w:cs="Times New Roman"/>
                <w:b w:val="0"/>
                <w:bCs w:val="0"/>
                <w:color w:val="000000"/>
                <w:kern w:val="2"/>
                <w:sz w:val="24"/>
                <w:szCs w:val="24"/>
                <w:lang w:val="en-US" w:eastAsia="zh-CN" w:bidi="ar-SA"/>
              </w:rPr>
              <w:fldChar w:fldCharType="end"/>
            </w:r>
            <w:r>
              <w:rPr>
                <w:rFonts w:hint="eastAsia" w:ascii="Times New Roman" w:hAnsi="Times New Roman" w:eastAsia="宋体" w:cs="Times New Roman"/>
                <w:b w:val="0"/>
                <w:bCs w:val="0"/>
                <w:color w:val="000000"/>
                <w:kern w:val="2"/>
                <w:sz w:val="24"/>
                <w:szCs w:val="24"/>
                <w:lang w:val="en-US" w:eastAsia="zh-CN" w:bidi="ar-SA"/>
              </w:rPr>
              <w:t>中相关规定。危险废物执行《危险废物贮存污染控制标准》（HB18597-2023）中的相关规定。</w:t>
            </w:r>
          </w:p>
        </w:tc>
      </w:tr>
      <w:tr w14:paraId="59007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01" w:hRule="atLeast"/>
          <w:jc w:val="center"/>
        </w:trPr>
        <w:tc>
          <w:tcPr>
            <w:tcW w:w="469" w:type="dxa"/>
            <w:noWrap w:val="0"/>
            <w:vAlign w:val="center"/>
          </w:tcPr>
          <w:p w14:paraId="03885D9B">
            <w:pPr>
              <w:adjustRightInd w:val="0"/>
              <w:snapToGrid w:val="0"/>
              <w:jc w:val="center"/>
              <w:rPr>
                <w:color w:val="auto"/>
                <w:kern w:val="0"/>
                <w:sz w:val="24"/>
              </w:rPr>
            </w:pPr>
            <w:r>
              <w:rPr>
                <w:color w:val="auto"/>
                <w:kern w:val="0"/>
                <w:sz w:val="24"/>
              </w:rPr>
              <w:t>总量</w:t>
            </w:r>
          </w:p>
          <w:p w14:paraId="6999C5E6">
            <w:pPr>
              <w:adjustRightInd w:val="0"/>
              <w:snapToGrid w:val="0"/>
              <w:jc w:val="center"/>
              <w:rPr>
                <w:color w:val="auto"/>
                <w:kern w:val="0"/>
                <w:sz w:val="24"/>
              </w:rPr>
            </w:pPr>
            <w:r>
              <w:rPr>
                <w:color w:val="auto"/>
                <w:kern w:val="0"/>
                <w:sz w:val="24"/>
              </w:rPr>
              <w:t>控制</w:t>
            </w:r>
          </w:p>
          <w:p w14:paraId="5C72DE76">
            <w:pPr>
              <w:adjustRightInd w:val="0"/>
              <w:snapToGrid w:val="0"/>
              <w:jc w:val="center"/>
              <w:rPr>
                <w:color w:val="auto"/>
                <w:kern w:val="0"/>
                <w:sz w:val="24"/>
              </w:rPr>
            </w:pPr>
            <w:r>
              <w:rPr>
                <w:color w:val="auto"/>
                <w:kern w:val="0"/>
                <w:sz w:val="24"/>
              </w:rPr>
              <w:t>指标</w:t>
            </w:r>
          </w:p>
        </w:tc>
        <w:tc>
          <w:tcPr>
            <w:tcW w:w="8521" w:type="dxa"/>
            <w:noWrap w:val="0"/>
            <w:vAlign w:val="center"/>
          </w:tcPr>
          <w:p w14:paraId="260958C2">
            <w:pPr>
              <w:numPr>
                <w:ilvl w:val="0"/>
                <w:numId w:val="0"/>
              </w:numPr>
              <w:spacing w:line="360" w:lineRule="auto"/>
              <w:ind w:firstLine="480" w:firstLineChars="200"/>
              <w:rPr>
                <w:rFonts w:hint="default" w:ascii="Times New Roman" w:hAnsi="Times New Roman" w:eastAsia="宋体" w:cs="Times New Roman"/>
                <w:color w:val="auto"/>
                <w:sz w:val="24"/>
                <w:szCs w:val="32"/>
                <w:highlight w:val="yellow"/>
                <w:lang w:eastAsia="zh-CN"/>
              </w:rPr>
            </w:pPr>
            <w:r>
              <w:rPr>
                <w:rFonts w:hint="eastAsia" w:eastAsia="宋体"/>
                <w:color w:val="auto"/>
                <w:sz w:val="24"/>
                <w:szCs w:val="32"/>
                <w:lang w:eastAsia="zh-CN"/>
              </w:rPr>
              <w:t>根据《“十四五”期间主要污染物排放总量控制计划》要求，结合本项目的排污特点、所在区域的环境质量现状等因素综合考虑，本项目无需设置总量控制指标。</w:t>
            </w:r>
          </w:p>
        </w:tc>
      </w:tr>
    </w:tbl>
    <w:p w14:paraId="35B6F07B">
      <w:pPr>
        <w:rPr>
          <w:rFonts w:hint="eastAsia" w:ascii="黑体" w:hAnsi="黑体" w:eastAsia="黑体"/>
          <w:snapToGrid w:val="0"/>
          <w:color w:val="auto"/>
          <w:sz w:val="30"/>
          <w:szCs w:val="30"/>
        </w:rPr>
      </w:pPr>
      <w:r>
        <w:rPr>
          <w:rFonts w:hint="eastAsia" w:ascii="黑体" w:hAnsi="黑体" w:eastAsia="黑体"/>
          <w:snapToGrid w:val="0"/>
          <w:color w:val="auto"/>
          <w:sz w:val="30"/>
          <w:szCs w:val="30"/>
        </w:rPr>
        <w:br w:type="page"/>
      </w:r>
    </w:p>
    <w:p w14:paraId="760A5968">
      <w:pPr>
        <w:pStyle w:val="21"/>
        <w:bidi w:val="0"/>
        <w:jc w:val="center"/>
        <w:rPr>
          <w:rFonts w:hint="eastAsia" w:ascii="黑体" w:hAnsi="黑体" w:eastAsia="黑体" w:cs="Times New Roman"/>
          <w:snapToGrid w:val="0"/>
          <w:color w:val="auto"/>
          <w:kern w:val="0"/>
          <w:szCs w:val="30"/>
          <w:lang w:val="en-US" w:eastAsia="zh-CN" w:bidi="ar-SA"/>
        </w:rPr>
      </w:pPr>
      <w:r>
        <w:rPr>
          <w:rFonts w:hint="eastAsia" w:ascii="黑体" w:hAnsi="黑体" w:eastAsia="黑体" w:cs="黑体"/>
          <w:sz w:val="30"/>
          <w:szCs w:val="30"/>
          <w:lang w:val="en-US" w:eastAsia="zh-CN"/>
        </w:rPr>
        <w:t>四、主</w:t>
      </w:r>
      <w:r>
        <w:rPr>
          <w:rFonts w:hint="eastAsia" w:ascii="黑体" w:hAnsi="黑体" w:eastAsia="黑体" w:cs="Times New Roman"/>
          <w:snapToGrid w:val="0"/>
          <w:color w:val="auto"/>
          <w:sz w:val="30"/>
          <w:szCs w:val="30"/>
          <w:lang w:val="en-US" w:eastAsia="zh-CN"/>
        </w:rPr>
        <w:t>要环境影响和保护措施</w:t>
      </w:r>
    </w:p>
    <w:tbl>
      <w:tblPr>
        <w:tblStyle w:val="24"/>
        <w:tblW w:w="89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8"/>
        <w:gridCol w:w="8133"/>
      </w:tblGrid>
      <w:tr w14:paraId="0DD37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48" w:type="dxa"/>
            <w:noWrap w:val="0"/>
            <w:tcMar>
              <w:left w:w="28" w:type="dxa"/>
              <w:right w:w="28" w:type="dxa"/>
            </w:tcMar>
            <w:vAlign w:val="center"/>
          </w:tcPr>
          <w:p w14:paraId="73155702">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施工</w:t>
            </w:r>
          </w:p>
          <w:p w14:paraId="253403C8">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期环</w:t>
            </w:r>
          </w:p>
          <w:p w14:paraId="607CE80B">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境保</w:t>
            </w:r>
          </w:p>
          <w:p w14:paraId="3A746081">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护措</w:t>
            </w:r>
          </w:p>
          <w:p w14:paraId="61F48DAA">
            <w:pPr>
              <w:adjustRightInd w:val="0"/>
              <w:snapToGrid w:val="0"/>
              <w:jc w:val="center"/>
              <w:rPr>
                <w:rFonts w:ascii="Times New Roman" w:hAnsi="Times New Roman"/>
                <w:bCs/>
                <w:color w:val="auto"/>
                <w:kern w:val="2"/>
                <w:sz w:val="21"/>
                <w:szCs w:val="21"/>
                <w:highlight w:val="none"/>
              </w:rPr>
            </w:pPr>
            <w:r>
              <w:rPr>
                <w:rFonts w:ascii="Times New Roman" w:hAnsi="Times New Roman" w:eastAsia="宋体" w:cs="Times New Roman"/>
                <w:color w:val="auto"/>
                <w:kern w:val="0"/>
                <w:sz w:val="24"/>
                <w:highlight w:val="none"/>
              </w:rPr>
              <w:t>施</w:t>
            </w:r>
          </w:p>
        </w:tc>
        <w:tc>
          <w:tcPr>
            <w:tcW w:w="8133" w:type="dxa"/>
            <w:noWrap w:val="0"/>
            <w:vAlign w:val="center"/>
          </w:tcPr>
          <w:p w14:paraId="2A2141AC">
            <w:pPr>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line="360" w:lineRule="auto"/>
              <w:ind w:firstLine="480" w:firstLineChars="200"/>
              <w:jc w:val="both"/>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本项目位于陕西省西咸新区泾河新城</w:t>
            </w:r>
            <w:r>
              <w:rPr>
                <w:rFonts w:hint="eastAsia" w:ascii="Times New Roman" w:hAnsi="Times New Roman" w:eastAsia="宋体" w:cs="Times New Roman"/>
                <w:bCs/>
                <w:color w:val="auto"/>
                <w:sz w:val="24"/>
                <w:szCs w:val="24"/>
                <w:highlight w:val="none"/>
                <w:lang w:val="en-US" w:eastAsia="zh-CN"/>
              </w:rPr>
              <w:t>工业密集区永乐园区南北大道23号</w:t>
            </w:r>
            <w:r>
              <w:rPr>
                <w:rFonts w:hint="default" w:ascii="Times New Roman" w:hAnsi="Times New Roman" w:eastAsia="宋体" w:cs="Times New Roman"/>
                <w:bCs/>
                <w:color w:val="auto"/>
                <w:sz w:val="24"/>
                <w:szCs w:val="24"/>
                <w:highlight w:val="none"/>
                <w:lang w:val="en-US" w:eastAsia="zh-CN"/>
              </w:rPr>
              <w:t>，租用已建成厂房，厂房已进行地面硬化，施工期只进行生产设备和环保设施的安装及调试。</w:t>
            </w:r>
          </w:p>
          <w:p w14:paraId="589810D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cs="Times New Roman"/>
                <w:bCs/>
                <w:color w:val="auto"/>
                <w:sz w:val="24"/>
                <w:highlight w:val="none"/>
              </w:rPr>
            </w:pPr>
            <w:r>
              <w:rPr>
                <w:rFonts w:hint="default" w:ascii="Times New Roman" w:hAnsi="Times New Roman" w:eastAsia="宋体" w:cs="Times New Roman"/>
                <w:bCs/>
                <w:color w:val="auto"/>
                <w:sz w:val="24"/>
                <w:szCs w:val="24"/>
                <w:highlight w:val="none"/>
                <w:lang w:val="en-US" w:eastAsia="zh-CN"/>
              </w:rPr>
              <w:t>项目施工期较短，工程量不大，且不涉及土建工程，施工结束后污染也随之消失，对环境影响较小，因此本次不对施工期进行影响分析。</w:t>
            </w:r>
          </w:p>
        </w:tc>
      </w:tr>
      <w:tr w14:paraId="7F5B5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48" w:type="dxa"/>
            <w:noWrap w:val="0"/>
            <w:tcMar>
              <w:left w:w="28" w:type="dxa"/>
              <w:right w:w="28" w:type="dxa"/>
            </w:tcMar>
            <w:vAlign w:val="center"/>
          </w:tcPr>
          <w:p w14:paraId="25BC00CA">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运营</w:t>
            </w:r>
          </w:p>
          <w:p w14:paraId="147ACCFC">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期环</w:t>
            </w:r>
          </w:p>
          <w:p w14:paraId="18ADDE22">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境影</w:t>
            </w:r>
          </w:p>
          <w:p w14:paraId="477758E6">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响和</w:t>
            </w:r>
          </w:p>
          <w:p w14:paraId="20435C72">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保护</w:t>
            </w:r>
          </w:p>
          <w:p w14:paraId="434D5ECF">
            <w:pPr>
              <w:adjustRightInd w:val="0"/>
              <w:snapToGrid w:val="0"/>
              <w:jc w:val="center"/>
              <w:rPr>
                <w:rFonts w:ascii="Times New Roman" w:hAnsi="Times New Roman"/>
                <w:color w:val="auto"/>
                <w:kern w:val="2"/>
                <w:sz w:val="21"/>
                <w:szCs w:val="21"/>
                <w:highlight w:val="none"/>
              </w:rPr>
            </w:pPr>
            <w:r>
              <w:rPr>
                <w:rFonts w:ascii="Times New Roman" w:hAnsi="Times New Roman" w:eastAsia="宋体" w:cs="Times New Roman"/>
                <w:color w:val="auto"/>
                <w:kern w:val="0"/>
                <w:sz w:val="24"/>
                <w:highlight w:val="none"/>
              </w:rPr>
              <w:t>措施</w:t>
            </w:r>
          </w:p>
        </w:tc>
        <w:tc>
          <w:tcPr>
            <w:tcW w:w="8133" w:type="dxa"/>
            <w:noWrap w:val="0"/>
            <w:vAlign w:val="center"/>
          </w:tcPr>
          <w:p w14:paraId="1D472A2B">
            <w:pPr>
              <w:numPr>
                <w:ilvl w:val="0"/>
                <w:numId w:val="9"/>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bookmarkStart w:id="10" w:name="_Toc100412689"/>
            <w:r>
              <w:rPr>
                <w:rFonts w:hint="default" w:ascii="Times New Roman" w:hAnsi="Times New Roman" w:cs="Times New Roman"/>
                <w:b/>
                <w:bCs w:val="0"/>
                <w:color w:val="auto"/>
                <w:spacing w:val="-10"/>
                <w:sz w:val="24"/>
                <w:szCs w:val="24"/>
                <w:highlight w:val="none"/>
                <w:lang w:val="en-US" w:eastAsia="zh-CN"/>
              </w:rPr>
              <w:t>废</w:t>
            </w:r>
            <w:r>
              <w:rPr>
                <w:rFonts w:hint="eastAsia" w:cs="Times New Roman"/>
                <w:b/>
                <w:bCs w:val="0"/>
                <w:color w:val="auto"/>
                <w:spacing w:val="-10"/>
                <w:sz w:val="24"/>
                <w:szCs w:val="24"/>
                <w:highlight w:val="none"/>
                <w:lang w:val="en-US" w:eastAsia="zh-CN"/>
              </w:rPr>
              <w:t>气</w:t>
            </w:r>
          </w:p>
          <w:p w14:paraId="4568FC9C">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lang w:val="en-US" w:eastAsia="zh-CN"/>
              </w:rPr>
            </w:pPr>
            <w:r>
              <w:rPr>
                <w:rFonts w:hint="eastAsia" w:ascii="Times New Roman" w:hAnsi="Times New Roman" w:eastAsia="宋体" w:cs="宋体"/>
                <w:color w:val="auto"/>
                <w:kern w:val="2"/>
                <w:sz w:val="24"/>
                <w:szCs w:val="32"/>
                <w:highlight w:val="none"/>
                <w:lang w:val="en-US" w:eastAsia="zh-CN" w:bidi="ar-SA"/>
              </w:rPr>
              <w:t>根据工艺流程与产污环节分析，</w:t>
            </w:r>
            <w:r>
              <w:rPr>
                <w:rFonts w:hint="default" w:ascii="Times New Roman" w:hAnsi="Times New Roman" w:cs="Times New Roman"/>
                <w:color w:val="auto"/>
                <w:kern w:val="0"/>
                <w:sz w:val="24"/>
                <w:highlight w:val="none"/>
                <w:lang w:val="en-US" w:eastAsia="zh-CN" w:bidi="en-US"/>
              </w:rPr>
              <w:t>项目</w:t>
            </w:r>
            <w:r>
              <w:rPr>
                <w:rFonts w:hint="eastAsia" w:ascii="Times New Roman" w:hAnsi="Times New Roman" w:cs="Times New Roman"/>
                <w:color w:val="auto"/>
                <w:kern w:val="0"/>
                <w:sz w:val="24"/>
                <w:highlight w:val="none"/>
                <w:lang w:val="en-US" w:eastAsia="zh-CN" w:bidi="en-US"/>
              </w:rPr>
              <w:t>原料为颗粒</w:t>
            </w:r>
            <w:r>
              <w:rPr>
                <w:rFonts w:hint="eastAsia" w:cs="Times New Roman"/>
                <w:color w:val="auto"/>
                <w:kern w:val="0"/>
                <w:sz w:val="24"/>
                <w:highlight w:val="none"/>
                <w:lang w:val="en-US" w:eastAsia="zh-CN" w:bidi="en-US"/>
              </w:rPr>
              <w:t>状</w:t>
            </w:r>
            <w:r>
              <w:rPr>
                <w:rFonts w:hint="eastAsia" w:ascii="Times New Roman" w:hAnsi="Times New Roman" w:cs="Times New Roman"/>
                <w:color w:val="auto"/>
                <w:kern w:val="0"/>
                <w:sz w:val="24"/>
                <w:highlight w:val="none"/>
                <w:lang w:val="en-US" w:eastAsia="zh-CN" w:bidi="en-US"/>
              </w:rPr>
              <w:t>，投料工序几乎不产生粉尘，挤出、检验工序</w:t>
            </w:r>
            <w:r>
              <w:rPr>
                <w:rFonts w:hint="default" w:ascii="Times New Roman" w:hAnsi="Times New Roman" w:cs="Times New Roman"/>
                <w:color w:val="auto"/>
                <w:kern w:val="0"/>
                <w:sz w:val="24"/>
                <w:highlight w:val="none"/>
                <w:lang w:val="en-US" w:eastAsia="zh-CN" w:bidi="en-US"/>
              </w:rPr>
              <w:t>产生的</w:t>
            </w:r>
            <w:r>
              <w:rPr>
                <w:rFonts w:hint="eastAsia" w:ascii="Times New Roman" w:hAnsi="Times New Roman" w:cs="Times New Roman"/>
                <w:color w:val="auto"/>
                <w:kern w:val="0"/>
                <w:sz w:val="24"/>
                <w:highlight w:val="none"/>
                <w:lang w:val="en-US" w:eastAsia="zh-CN" w:bidi="en-US"/>
              </w:rPr>
              <w:t>少量</w:t>
            </w:r>
            <w:r>
              <w:rPr>
                <w:rFonts w:hint="default" w:ascii="Times New Roman" w:hAnsi="Times New Roman" w:cs="Times New Roman"/>
                <w:color w:val="auto"/>
                <w:kern w:val="0"/>
                <w:sz w:val="24"/>
                <w:highlight w:val="none"/>
                <w:lang w:val="en-US" w:eastAsia="zh-CN" w:bidi="en-US"/>
              </w:rPr>
              <w:t>废边角料及不合格产品</w:t>
            </w:r>
            <w:r>
              <w:rPr>
                <w:rFonts w:hint="eastAsia" w:ascii="Times New Roman" w:hAnsi="Times New Roman" w:cs="Times New Roman"/>
                <w:color w:val="auto"/>
                <w:kern w:val="0"/>
                <w:sz w:val="24"/>
                <w:highlight w:val="none"/>
                <w:lang w:val="en-US" w:eastAsia="zh-CN" w:bidi="en-US"/>
              </w:rPr>
              <w:t>暂存，全部外售以废品回收方式处理</w:t>
            </w:r>
            <w:r>
              <w:rPr>
                <w:rFonts w:hint="eastAsia" w:cs="Times New Roman"/>
                <w:color w:val="auto"/>
                <w:kern w:val="0"/>
                <w:sz w:val="24"/>
                <w:highlight w:val="none"/>
                <w:lang w:val="en-US" w:eastAsia="zh-CN" w:bidi="en-US"/>
              </w:rPr>
              <w:t>，厂区内不会进行粉碎工序。因此，本项目的废气主要为注塑和挤出过程</w:t>
            </w:r>
            <w:r>
              <w:rPr>
                <w:rFonts w:hint="eastAsia" w:ascii="Times New Roman" w:hAnsi="Times New Roman" w:eastAsia="宋体" w:cs="宋体"/>
                <w:color w:val="auto"/>
                <w:kern w:val="2"/>
                <w:sz w:val="24"/>
                <w:szCs w:val="32"/>
                <w:highlight w:val="none"/>
                <w:lang w:val="en-US" w:eastAsia="zh-CN" w:bidi="ar-SA"/>
              </w:rPr>
              <w:t>产生的非甲烷总烃。</w:t>
            </w:r>
          </w:p>
          <w:p w14:paraId="7D5589F3">
            <w:pPr>
              <w:snapToGrid w:val="0"/>
              <w:spacing w:line="360" w:lineRule="auto"/>
              <w:rPr>
                <w:rFonts w:hint="default" w:ascii="Times New Roman" w:hAnsi="Times New Roman" w:eastAsia="宋体" w:cs="Times New Roman"/>
                <w:b/>
                <w:bCs/>
                <w:color w:val="auto"/>
                <w:sz w:val="24"/>
                <w:highlight w:val="none"/>
                <w:lang w:eastAsia="zh-CN"/>
              </w:rPr>
            </w:pPr>
            <w:r>
              <w:rPr>
                <w:rFonts w:hint="eastAsia" w:ascii="Times New Roman" w:hAnsi="Times New Roman" w:eastAsia="宋体" w:cs="Times New Roman"/>
                <w:b/>
                <w:bCs/>
                <w:color w:val="auto"/>
                <w:sz w:val="24"/>
                <w:highlight w:val="none"/>
                <w:lang w:val="en-US" w:eastAsia="zh-CN"/>
              </w:rPr>
              <w:t>1.1</w:t>
            </w:r>
            <w:r>
              <w:rPr>
                <w:rFonts w:hint="default" w:ascii="Times New Roman" w:hAnsi="Times New Roman" w:eastAsia="宋体" w:cs="Times New Roman"/>
                <w:b/>
                <w:bCs/>
                <w:color w:val="auto"/>
                <w:sz w:val="24"/>
                <w:highlight w:val="none"/>
                <w:lang w:eastAsia="zh-CN"/>
              </w:rPr>
              <w:t>废气污染物产排情况一览表</w:t>
            </w:r>
          </w:p>
          <w:p w14:paraId="2E79E9F2">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宋体"/>
                <w:color w:val="auto"/>
                <w:kern w:val="2"/>
                <w:sz w:val="24"/>
                <w:szCs w:val="32"/>
                <w:highlight w:val="none"/>
                <w:lang w:val="en-US" w:eastAsia="zh-CN" w:bidi="ar-SA"/>
              </w:rPr>
            </w:pPr>
            <w:r>
              <w:rPr>
                <w:rFonts w:hint="default" w:ascii="Times New Roman" w:hAnsi="Times New Roman" w:eastAsia="宋体" w:cs="宋体"/>
                <w:color w:val="auto"/>
                <w:kern w:val="2"/>
                <w:sz w:val="24"/>
                <w:szCs w:val="32"/>
                <w:highlight w:val="none"/>
                <w:lang w:val="en-US" w:eastAsia="zh-CN" w:bidi="ar-SA"/>
              </w:rPr>
              <w:t>根据源强核算，项目废气产排情况见表</w:t>
            </w:r>
            <w:r>
              <w:rPr>
                <w:rFonts w:hint="default" w:ascii="Times New Roman" w:hAnsi="Times New Roman" w:eastAsia="宋体" w:cs="Times New Roman"/>
                <w:color w:val="auto"/>
                <w:kern w:val="2"/>
                <w:sz w:val="24"/>
                <w:szCs w:val="32"/>
                <w:highlight w:val="none"/>
                <w:lang w:val="en-US" w:eastAsia="zh-CN" w:bidi="ar-SA"/>
              </w:rPr>
              <w:t>4-1。</w:t>
            </w:r>
          </w:p>
          <w:p w14:paraId="63DDEE88">
            <w:pPr>
              <w:keepNext w:val="0"/>
              <w:keepLines w:val="0"/>
              <w:pageBreakBefore w:val="0"/>
              <w:widowControl w:val="0"/>
              <w:tabs>
                <w:tab w:val="left" w:leader="middleDot" w:pos="8399"/>
              </w:tabs>
              <w:kinsoku/>
              <w:wordWrap/>
              <w:overflowPunct/>
              <w:topLinePunct w:val="0"/>
              <w:autoSpaceDE/>
              <w:autoSpaceDN/>
              <w:bidi w:val="0"/>
              <w:adjustRightInd w:val="0"/>
              <w:snapToGrid w:val="0"/>
              <w:spacing w:line="264" w:lineRule="auto"/>
              <w:ind w:left="0" w:leftChars="0" w:right="0" w:rightChars="0" w:firstLine="0" w:firstLineChars="0"/>
              <w:jc w:val="center"/>
              <w:textAlignment w:val="auto"/>
              <w:rPr>
                <w:rFonts w:hint="eastAsia" w:asciiTheme="majorEastAsia" w:hAnsiTheme="majorEastAsia" w:eastAsiaTheme="majorEastAsia" w:cstheme="majorEastAsia"/>
                <w:b/>
                <w:color w:val="auto"/>
                <w:szCs w:val="21"/>
                <w:lang w:eastAsia="zh-CN"/>
              </w:rPr>
            </w:pPr>
            <w:r>
              <w:rPr>
                <w:rFonts w:hint="default" w:ascii="Times New Roman" w:hAnsi="Times New Roman" w:cs="Times New Roman" w:eastAsiaTheme="majorEastAsia"/>
                <w:b/>
                <w:color w:val="auto"/>
                <w:szCs w:val="21"/>
                <w:lang w:eastAsia="zh-CN"/>
              </w:rPr>
              <w:t>表4-</w:t>
            </w:r>
            <w:r>
              <w:rPr>
                <w:rFonts w:hint="default" w:ascii="Times New Roman" w:hAnsi="Times New Roman" w:cs="Times New Roman" w:eastAsiaTheme="majorEastAsia"/>
                <w:b/>
                <w:color w:val="auto"/>
                <w:szCs w:val="21"/>
                <w:lang w:val="en-US" w:eastAsia="zh-CN"/>
              </w:rPr>
              <w:t>1 项目</w:t>
            </w:r>
            <w:r>
              <w:rPr>
                <w:rFonts w:hint="default" w:ascii="Times New Roman" w:hAnsi="Times New Roman" w:cs="Times New Roman" w:eastAsiaTheme="majorEastAsia"/>
                <w:b/>
                <w:color w:val="auto"/>
                <w:szCs w:val="21"/>
                <w:lang w:eastAsia="zh-CN"/>
              </w:rPr>
              <w:t>废气产排情况一览表</w:t>
            </w:r>
          </w:p>
          <w:tbl>
            <w:tblPr>
              <w:tblStyle w:val="24"/>
              <w:tblW w:w="4993"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3"/>
              <w:gridCol w:w="684"/>
              <w:gridCol w:w="622"/>
              <w:gridCol w:w="747"/>
              <w:gridCol w:w="1104"/>
              <w:gridCol w:w="1228"/>
              <w:gridCol w:w="584"/>
              <w:gridCol w:w="687"/>
              <w:gridCol w:w="739"/>
              <w:gridCol w:w="809"/>
            </w:tblGrid>
            <w:tr w14:paraId="6EF86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438" w:type="pct"/>
                  <w:vMerge w:val="restart"/>
                  <w:tcBorders>
                    <w:tl2br w:val="nil"/>
                    <w:tr2bl w:val="nil"/>
                  </w:tcBorders>
                  <w:noWrap w:val="0"/>
                  <w:vAlign w:val="center"/>
                </w:tcPr>
                <w:p w14:paraId="0123F95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污染源</w:t>
                  </w:r>
                </w:p>
              </w:tc>
              <w:tc>
                <w:tcPr>
                  <w:tcW w:w="433" w:type="pct"/>
                  <w:vMerge w:val="restart"/>
                  <w:tcBorders>
                    <w:tl2br w:val="nil"/>
                    <w:tr2bl w:val="nil"/>
                  </w:tcBorders>
                  <w:noWrap w:val="0"/>
                  <w:vAlign w:val="center"/>
                </w:tcPr>
                <w:p w14:paraId="075CE4C3">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污染物</w:t>
                  </w:r>
                </w:p>
              </w:tc>
              <w:tc>
                <w:tcPr>
                  <w:tcW w:w="866" w:type="pct"/>
                  <w:gridSpan w:val="2"/>
                  <w:tcBorders>
                    <w:tl2br w:val="nil"/>
                    <w:tr2bl w:val="nil"/>
                  </w:tcBorders>
                  <w:noWrap w:val="0"/>
                  <w:vAlign w:val="center"/>
                </w:tcPr>
                <w:p w14:paraId="64CD9C9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产生情况</w:t>
                  </w:r>
                </w:p>
              </w:tc>
              <w:tc>
                <w:tcPr>
                  <w:tcW w:w="698" w:type="pct"/>
                  <w:vMerge w:val="restart"/>
                  <w:tcBorders>
                    <w:tl2br w:val="nil"/>
                    <w:tr2bl w:val="nil"/>
                  </w:tcBorders>
                  <w:noWrap w:val="0"/>
                  <w:vAlign w:val="center"/>
                </w:tcPr>
                <w:p w14:paraId="33433E7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治理</w:t>
                  </w:r>
                </w:p>
                <w:p w14:paraId="1160AAC8">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lang w:val="en-US" w:eastAsia="en-US" w:bidi="ar"/>
                    </w:rPr>
                  </w:pPr>
                  <w:r>
                    <w:rPr>
                      <w:rFonts w:hint="default" w:ascii="Times New Roman" w:hAnsi="Times New Roman" w:cs="Times New Roman"/>
                      <w:b/>
                      <w:color w:val="auto"/>
                      <w:szCs w:val="21"/>
                      <w:lang w:bidi="ar"/>
                    </w:rPr>
                    <w:t>设施</w:t>
                  </w:r>
                </w:p>
              </w:tc>
              <w:tc>
                <w:tcPr>
                  <w:tcW w:w="777" w:type="pct"/>
                  <w:vMerge w:val="restart"/>
                  <w:tcBorders>
                    <w:tl2br w:val="nil"/>
                    <w:tr2bl w:val="nil"/>
                  </w:tcBorders>
                  <w:noWrap w:val="0"/>
                  <w:vAlign w:val="center"/>
                </w:tcPr>
                <w:p w14:paraId="07E97AE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Cs w:val="21"/>
                      <w:lang w:eastAsia="zh-CN" w:bidi="ar"/>
                    </w:rPr>
                  </w:pPr>
                  <w:r>
                    <w:rPr>
                      <w:rFonts w:hint="default" w:ascii="Times New Roman" w:hAnsi="Times New Roman" w:cs="Times New Roman"/>
                      <w:b/>
                      <w:color w:val="auto"/>
                      <w:szCs w:val="21"/>
                      <w:lang w:eastAsia="zh-CN" w:bidi="ar"/>
                    </w:rPr>
                    <w:t>收集、处理效率</w:t>
                  </w:r>
                </w:p>
              </w:tc>
              <w:tc>
                <w:tcPr>
                  <w:tcW w:w="369" w:type="pct"/>
                  <w:vMerge w:val="restart"/>
                  <w:tcBorders>
                    <w:tl2br w:val="nil"/>
                    <w:tr2bl w:val="nil"/>
                  </w:tcBorders>
                  <w:noWrap w:val="0"/>
                  <w:vAlign w:val="center"/>
                </w:tcPr>
                <w:p w14:paraId="5E4CDA55">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Cs w:val="21"/>
                      <w:lang w:val="en-US" w:eastAsia="zh-CN" w:bidi="ar"/>
                    </w:rPr>
                  </w:pPr>
                  <w:r>
                    <w:rPr>
                      <w:rFonts w:hint="eastAsia" w:ascii="Times New Roman" w:hAnsi="Times New Roman" w:cs="Times New Roman"/>
                      <w:b/>
                      <w:color w:val="auto"/>
                      <w:szCs w:val="21"/>
                      <w:lang w:val="en-US" w:eastAsia="zh-CN" w:bidi="ar"/>
                    </w:rPr>
                    <w:t>排放方式</w:t>
                  </w:r>
                </w:p>
              </w:tc>
              <w:tc>
                <w:tcPr>
                  <w:tcW w:w="1415" w:type="pct"/>
                  <w:gridSpan w:val="3"/>
                  <w:tcBorders>
                    <w:tl2br w:val="nil"/>
                    <w:tr2bl w:val="nil"/>
                  </w:tcBorders>
                  <w:noWrap w:val="0"/>
                  <w:vAlign w:val="center"/>
                </w:tcPr>
                <w:p w14:paraId="439BB95B">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排放情况</w:t>
                  </w:r>
                </w:p>
              </w:tc>
            </w:tr>
            <w:tr w14:paraId="1D505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trPr>
              <w:tc>
                <w:tcPr>
                  <w:tcW w:w="438" w:type="pct"/>
                  <w:vMerge w:val="continue"/>
                  <w:tcBorders>
                    <w:tl2br w:val="nil"/>
                    <w:tr2bl w:val="nil"/>
                  </w:tcBorders>
                  <w:noWrap w:val="0"/>
                  <w:vAlign w:val="center"/>
                </w:tcPr>
                <w:p w14:paraId="73308C5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p>
              </w:tc>
              <w:tc>
                <w:tcPr>
                  <w:tcW w:w="433" w:type="pct"/>
                  <w:vMerge w:val="continue"/>
                  <w:tcBorders>
                    <w:tl2br w:val="nil"/>
                    <w:tr2bl w:val="nil"/>
                  </w:tcBorders>
                  <w:noWrap w:val="0"/>
                  <w:vAlign w:val="center"/>
                </w:tcPr>
                <w:p w14:paraId="72BDFCC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p>
              </w:tc>
              <w:tc>
                <w:tcPr>
                  <w:tcW w:w="393" w:type="pct"/>
                  <w:tcBorders>
                    <w:tl2br w:val="nil"/>
                    <w:tr2bl w:val="nil"/>
                  </w:tcBorders>
                  <w:noWrap w:val="0"/>
                  <w:vAlign w:val="center"/>
                </w:tcPr>
                <w:p w14:paraId="7B4CBA99">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产生量</w:t>
                  </w:r>
                  <w:r>
                    <w:rPr>
                      <w:rFonts w:hint="default" w:ascii="Times New Roman" w:hAnsi="Times New Roman" w:cs="Times New Roman"/>
                      <w:b/>
                      <w:color w:val="auto"/>
                      <w:szCs w:val="21"/>
                      <w:lang w:eastAsia="zh-CN" w:bidi="ar"/>
                    </w:rPr>
                    <w:t>t</w:t>
                  </w:r>
                  <w:r>
                    <w:rPr>
                      <w:rFonts w:hint="default" w:ascii="Times New Roman" w:hAnsi="Times New Roman" w:cs="Times New Roman"/>
                      <w:b/>
                      <w:color w:val="auto"/>
                      <w:szCs w:val="21"/>
                      <w:lang w:bidi="ar"/>
                    </w:rPr>
                    <w:t>/</w:t>
                  </w:r>
                  <w:r>
                    <w:rPr>
                      <w:rFonts w:hint="default" w:ascii="Times New Roman" w:hAnsi="Times New Roman" w:cs="Times New Roman"/>
                      <w:b/>
                      <w:color w:val="auto"/>
                      <w:szCs w:val="21"/>
                      <w:lang w:eastAsia="zh-CN" w:bidi="ar"/>
                    </w:rPr>
                    <w:t>a</w:t>
                  </w:r>
                </w:p>
              </w:tc>
              <w:tc>
                <w:tcPr>
                  <w:tcW w:w="472" w:type="pct"/>
                  <w:tcBorders>
                    <w:tl2br w:val="nil"/>
                    <w:tr2bl w:val="nil"/>
                  </w:tcBorders>
                  <w:noWrap w:val="0"/>
                  <w:vAlign w:val="center"/>
                </w:tcPr>
                <w:p w14:paraId="0A3DE9C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eastAsia="zh-CN" w:bidi="ar"/>
                    </w:rPr>
                  </w:pPr>
                  <w:r>
                    <w:rPr>
                      <w:rFonts w:hint="default" w:ascii="Times New Roman" w:hAnsi="Times New Roman" w:cs="Times New Roman"/>
                      <w:b/>
                      <w:color w:val="auto"/>
                      <w:szCs w:val="21"/>
                      <w:lang w:bidi="ar"/>
                    </w:rPr>
                    <w:t>速率kg/h</w:t>
                  </w:r>
                </w:p>
              </w:tc>
              <w:tc>
                <w:tcPr>
                  <w:tcW w:w="698" w:type="pct"/>
                  <w:vMerge w:val="continue"/>
                  <w:tcBorders>
                    <w:tl2br w:val="nil"/>
                    <w:tr2bl w:val="nil"/>
                  </w:tcBorders>
                  <w:noWrap w:val="0"/>
                  <w:vAlign w:val="center"/>
                </w:tcPr>
                <w:p w14:paraId="50A6CBB9">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lang w:val="en-US" w:eastAsia="en-US" w:bidi="ar"/>
                    </w:rPr>
                  </w:pPr>
                </w:p>
              </w:tc>
              <w:tc>
                <w:tcPr>
                  <w:tcW w:w="777" w:type="pct"/>
                  <w:vMerge w:val="continue"/>
                  <w:tcBorders>
                    <w:tl2br w:val="nil"/>
                    <w:tr2bl w:val="nil"/>
                  </w:tcBorders>
                  <w:noWrap w:val="0"/>
                  <w:vAlign w:val="center"/>
                </w:tcPr>
                <w:p w14:paraId="2BCE81B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p>
              </w:tc>
              <w:tc>
                <w:tcPr>
                  <w:tcW w:w="369" w:type="pct"/>
                  <w:vMerge w:val="continue"/>
                  <w:tcBorders>
                    <w:tl2br w:val="nil"/>
                    <w:tr2bl w:val="nil"/>
                  </w:tcBorders>
                  <w:noWrap w:val="0"/>
                  <w:vAlign w:val="center"/>
                </w:tcPr>
                <w:p w14:paraId="3FAB051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p>
              </w:tc>
              <w:tc>
                <w:tcPr>
                  <w:tcW w:w="434" w:type="pct"/>
                  <w:tcBorders>
                    <w:tl2br w:val="nil"/>
                    <w:tr2bl w:val="nil"/>
                  </w:tcBorders>
                  <w:noWrap w:val="0"/>
                  <w:vAlign w:val="center"/>
                </w:tcPr>
                <w:p w14:paraId="357D8FB0">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r>
                    <w:rPr>
                      <w:rFonts w:hint="default" w:ascii="Times New Roman" w:hAnsi="Times New Roman" w:cs="Times New Roman"/>
                      <w:b/>
                      <w:color w:val="auto"/>
                      <w:szCs w:val="21"/>
                      <w:lang w:bidi="ar"/>
                    </w:rPr>
                    <w:t>排放量</w:t>
                  </w:r>
                  <w:r>
                    <w:rPr>
                      <w:rFonts w:hint="default" w:ascii="Times New Roman" w:hAnsi="Times New Roman" w:cs="Times New Roman"/>
                      <w:b/>
                      <w:color w:val="auto"/>
                      <w:szCs w:val="21"/>
                      <w:lang w:val="en-US" w:eastAsia="zh-CN" w:bidi="ar"/>
                    </w:rPr>
                    <w:t>t</w:t>
                  </w:r>
                  <w:r>
                    <w:rPr>
                      <w:rFonts w:hint="default" w:ascii="Times New Roman" w:hAnsi="Times New Roman" w:cs="Times New Roman"/>
                      <w:b/>
                      <w:color w:val="auto"/>
                      <w:szCs w:val="21"/>
                      <w:lang w:bidi="ar"/>
                    </w:rPr>
                    <w:t>/</w:t>
                  </w:r>
                  <w:r>
                    <w:rPr>
                      <w:rFonts w:hint="default" w:ascii="Times New Roman" w:hAnsi="Times New Roman" w:cs="Times New Roman"/>
                      <w:b/>
                      <w:color w:val="auto"/>
                      <w:szCs w:val="21"/>
                      <w:lang w:eastAsia="zh-CN" w:bidi="ar"/>
                    </w:rPr>
                    <w:t>a</w:t>
                  </w:r>
                </w:p>
              </w:tc>
              <w:tc>
                <w:tcPr>
                  <w:tcW w:w="467" w:type="pct"/>
                  <w:tcBorders>
                    <w:tl2br w:val="nil"/>
                    <w:tr2bl w:val="nil"/>
                  </w:tcBorders>
                  <w:noWrap w:val="0"/>
                  <w:vAlign w:val="center"/>
                </w:tcPr>
                <w:p w14:paraId="611E7DA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r>
                    <w:rPr>
                      <w:rFonts w:hint="default" w:ascii="Times New Roman" w:hAnsi="Times New Roman" w:cs="Times New Roman"/>
                      <w:b/>
                      <w:color w:val="auto"/>
                      <w:szCs w:val="21"/>
                      <w:lang w:bidi="ar"/>
                    </w:rPr>
                    <w:t>排放速率kg/h</w:t>
                  </w:r>
                </w:p>
              </w:tc>
              <w:tc>
                <w:tcPr>
                  <w:tcW w:w="512" w:type="pct"/>
                  <w:tcBorders>
                    <w:tl2br w:val="nil"/>
                    <w:tr2bl w:val="nil"/>
                  </w:tcBorders>
                  <w:noWrap w:val="0"/>
                  <w:vAlign w:val="center"/>
                </w:tcPr>
                <w:p w14:paraId="6EE520A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eastAsia="zh-CN" w:bidi="ar"/>
                    </w:rPr>
                  </w:pPr>
                  <w:r>
                    <w:rPr>
                      <w:rFonts w:hint="default" w:ascii="Times New Roman" w:hAnsi="Times New Roman" w:cs="Times New Roman"/>
                      <w:b/>
                      <w:color w:val="auto"/>
                      <w:szCs w:val="21"/>
                      <w:lang w:bidi="ar"/>
                    </w:rPr>
                    <w:t>排放浓度mg/m</w:t>
                  </w:r>
                  <w:r>
                    <w:rPr>
                      <w:rFonts w:hint="default" w:ascii="Times New Roman" w:hAnsi="Times New Roman" w:cs="Times New Roman"/>
                      <w:b/>
                      <w:color w:val="auto"/>
                      <w:szCs w:val="21"/>
                      <w:vertAlign w:val="superscript"/>
                      <w:lang w:bidi="ar"/>
                    </w:rPr>
                    <w:t>3</w:t>
                  </w:r>
                </w:p>
              </w:tc>
            </w:tr>
            <w:tr w14:paraId="30ED2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0" w:hRule="atLeast"/>
              </w:trPr>
              <w:tc>
                <w:tcPr>
                  <w:tcW w:w="438" w:type="pct"/>
                  <w:tcBorders>
                    <w:tl2br w:val="nil"/>
                    <w:tr2bl w:val="nil"/>
                  </w:tcBorders>
                  <w:noWrap w:val="0"/>
                  <w:vAlign w:val="center"/>
                </w:tcPr>
                <w:p w14:paraId="100D3E95">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宋体"/>
                      <w:color w:val="auto"/>
                      <w:kern w:val="2"/>
                      <w:sz w:val="21"/>
                      <w:szCs w:val="21"/>
                      <w:highlight w:val="none"/>
                      <w:lang w:val="en-US" w:eastAsia="zh-CN" w:bidi="ar-SA"/>
                    </w:rPr>
                    <w:t>注塑和挤出废气</w:t>
                  </w:r>
                </w:p>
              </w:tc>
              <w:tc>
                <w:tcPr>
                  <w:tcW w:w="433" w:type="pct"/>
                  <w:tcBorders>
                    <w:tl2br w:val="nil"/>
                    <w:tr2bl w:val="nil"/>
                  </w:tcBorders>
                  <w:noWrap w:val="0"/>
                  <w:vAlign w:val="center"/>
                </w:tcPr>
                <w:p w14:paraId="43347E30">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Cs/>
                      <w:color w:val="auto"/>
                      <w:kern w:val="2"/>
                      <w:sz w:val="21"/>
                      <w:szCs w:val="21"/>
                      <w:lang w:val="en-US" w:eastAsia="zh-CN" w:bidi="ar"/>
                    </w:rPr>
                  </w:pPr>
                  <w:r>
                    <w:rPr>
                      <w:rFonts w:hint="eastAsia" w:ascii="Times New Roman" w:hAnsi="Times New Roman" w:cs="Times New Roman"/>
                      <w:bCs/>
                      <w:color w:val="auto"/>
                      <w:sz w:val="21"/>
                      <w:szCs w:val="21"/>
                      <w:lang w:val="en-US" w:eastAsia="zh-CN" w:bidi="ar"/>
                    </w:rPr>
                    <w:t>非甲烷总烃</w:t>
                  </w:r>
                </w:p>
              </w:tc>
              <w:tc>
                <w:tcPr>
                  <w:tcW w:w="393" w:type="pct"/>
                  <w:tcBorders>
                    <w:tl2br w:val="nil"/>
                    <w:tr2bl w:val="nil"/>
                  </w:tcBorders>
                  <w:noWrap w:val="0"/>
                  <w:vAlign w:val="center"/>
                </w:tcPr>
                <w:p w14:paraId="01F7D123">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3.0</w:t>
                  </w:r>
                </w:p>
              </w:tc>
              <w:tc>
                <w:tcPr>
                  <w:tcW w:w="472" w:type="pct"/>
                  <w:tcBorders>
                    <w:tl2br w:val="nil"/>
                    <w:tr2bl w:val="nil"/>
                  </w:tcBorders>
                  <w:noWrap w:val="0"/>
                  <w:vAlign w:val="center"/>
                </w:tcPr>
                <w:p w14:paraId="09021ACD">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lang w:val="en-US" w:eastAsia="zh-CN" w:bidi="ar-SA"/>
                    </w:rPr>
                  </w:pPr>
                  <w:r>
                    <w:rPr>
                      <w:rFonts w:hint="eastAsia" w:cs="Times New Roman"/>
                      <w:color w:val="auto"/>
                      <w:kern w:val="2"/>
                      <w:sz w:val="21"/>
                      <w:szCs w:val="24"/>
                      <w:lang w:val="en-US" w:eastAsia="zh-CN" w:bidi="ar-SA"/>
                    </w:rPr>
                    <w:t>1.25</w:t>
                  </w:r>
                </w:p>
              </w:tc>
              <w:tc>
                <w:tcPr>
                  <w:tcW w:w="698" w:type="pct"/>
                  <w:tcBorders>
                    <w:tl2br w:val="nil"/>
                    <w:tr2bl w:val="nil"/>
                  </w:tcBorders>
                  <w:noWrap w:val="0"/>
                  <w:vAlign w:val="center"/>
                </w:tcPr>
                <w:p w14:paraId="460B080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lang w:val="en-US" w:eastAsia="zh-CN"/>
                    </w:rPr>
                  </w:pPr>
                  <w:r>
                    <w:rPr>
                      <w:rFonts w:hint="eastAsia" w:ascii="Times New Roman" w:hAnsi="Times New Roman" w:eastAsia="宋体" w:cs="Times New Roman"/>
                      <w:color w:val="auto"/>
                      <w:szCs w:val="21"/>
                      <w:lang w:val="en-US" w:eastAsia="zh-CN"/>
                    </w:rPr>
                    <w:t>集气罩+二级活性炭处理设施</w:t>
                  </w:r>
                  <w:r>
                    <w:rPr>
                      <w:rFonts w:hint="default" w:ascii="Times New Roman" w:hAnsi="Times New Roman" w:eastAsia="宋体" w:cs="Times New Roman"/>
                      <w:color w:val="auto"/>
                      <w:szCs w:val="21"/>
                      <w:lang w:eastAsia="zh-CN"/>
                    </w:rPr>
                    <w:t>+15m排气筒DA00</w:t>
                  </w:r>
                  <w:r>
                    <w:rPr>
                      <w:rFonts w:hint="eastAsia" w:ascii="Times New Roman" w:hAnsi="Times New Roman" w:eastAsia="宋体" w:cs="Times New Roman"/>
                      <w:color w:val="auto"/>
                      <w:szCs w:val="21"/>
                      <w:lang w:val="en-US" w:eastAsia="zh-CN"/>
                    </w:rPr>
                    <w:t>1</w:t>
                  </w:r>
                </w:p>
              </w:tc>
              <w:tc>
                <w:tcPr>
                  <w:tcW w:w="777" w:type="pct"/>
                  <w:tcBorders>
                    <w:tl2br w:val="nil"/>
                    <w:tr2bl w:val="nil"/>
                  </w:tcBorders>
                  <w:noWrap w:val="0"/>
                  <w:vAlign w:val="center"/>
                </w:tcPr>
                <w:p w14:paraId="36CE2EB2">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r>
                    <w:rPr>
                      <w:rFonts w:hint="eastAsia" w:ascii="Times New Roman" w:hAnsi="Times New Roman" w:cs="Times New Roman"/>
                      <w:color w:val="auto"/>
                      <w:kern w:val="0"/>
                      <w:sz w:val="21"/>
                      <w:szCs w:val="21"/>
                      <w:lang w:val="en-US" w:eastAsia="zh-CN" w:bidi="en-US"/>
                    </w:rPr>
                    <w:t>集气效率90%，</w:t>
                  </w:r>
                  <w:r>
                    <w:rPr>
                      <w:rFonts w:hint="default" w:ascii="Times New Roman" w:hAnsi="Times New Roman" w:cs="Times New Roman"/>
                      <w:color w:val="auto"/>
                      <w:kern w:val="0"/>
                      <w:sz w:val="21"/>
                      <w:szCs w:val="21"/>
                      <w:lang w:val="en-US" w:eastAsia="zh-CN" w:bidi="en-US"/>
                    </w:rPr>
                    <w:t>处理效率</w:t>
                  </w:r>
                  <w:r>
                    <w:rPr>
                      <w:rFonts w:hint="eastAsia" w:cs="Times New Roman"/>
                      <w:color w:val="auto"/>
                      <w:kern w:val="0"/>
                      <w:sz w:val="21"/>
                      <w:szCs w:val="21"/>
                      <w:lang w:val="en-US" w:eastAsia="zh-CN" w:bidi="en-US"/>
                    </w:rPr>
                    <w:t>60</w:t>
                  </w:r>
                  <w:r>
                    <w:rPr>
                      <w:rFonts w:hint="default" w:ascii="Times New Roman" w:hAnsi="Times New Roman" w:cs="Times New Roman"/>
                      <w:color w:val="auto"/>
                      <w:kern w:val="0"/>
                      <w:sz w:val="21"/>
                      <w:szCs w:val="21"/>
                      <w:lang w:val="en-US" w:eastAsia="zh-CN" w:bidi="en-US"/>
                    </w:rPr>
                    <w:t>%</w:t>
                  </w:r>
                  <w:r>
                    <w:rPr>
                      <w:rFonts w:hint="eastAsia" w:ascii="Times New Roman" w:hAnsi="Times New Roman" w:eastAsia="宋体" w:cs="Times New Roman"/>
                      <w:color w:val="auto"/>
                      <w:szCs w:val="21"/>
                      <w:lang w:val="en-US" w:eastAsia="zh-CN"/>
                    </w:rPr>
                    <w:t>，</w:t>
                  </w:r>
                  <w:r>
                    <w:rPr>
                      <w:rFonts w:hint="eastAsia" w:ascii="Times New Roman" w:hAnsi="Times New Roman" w:cs="Times New Roman"/>
                      <w:color w:val="auto"/>
                      <w:kern w:val="0"/>
                      <w:sz w:val="21"/>
                      <w:szCs w:val="21"/>
                      <w:lang w:val="en-US" w:eastAsia="zh-CN" w:bidi="en-US"/>
                    </w:rPr>
                    <w:t>风机风量10000m</w:t>
                  </w:r>
                  <w:r>
                    <w:rPr>
                      <w:rFonts w:hint="eastAsia" w:ascii="Times New Roman" w:hAnsi="Times New Roman" w:cs="Times New Roman"/>
                      <w:color w:val="auto"/>
                      <w:kern w:val="0"/>
                      <w:sz w:val="21"/>
                      <w:szCs w:val="21"/>
                      <w:vertAlign w:val="superscript"/>
                      <w:lang w:val="en-US" w:eastAsia="zh-CN" w:bidi="en-US"/>
                    </w:rPr>
                    <w:t>3</w:t>
                  </w:r>
                  <w:r>
                    <w:rPr>
                      <w:rFonts w:hint="eastAsia" w:ascii="Times New Roman" w:hAnsi="Times New Roman" w:cs="Times New Roman"/>
                      <w:color w:val="auto"/>
                      <w:kern w:val="0"/>
                      <w:sz w:val="21"/>
                      <w:szCs w:val="21"/>
                      <w:lang w:val="en-US" w:eastAsia="zh-CN" w:bidi="en-US"/>
                    </w:rPr>
                    <w:t>/h</w:t>
                  </w:r>
                </w:p>
              </w:tc>
              <w:tc>
                <w:tcPr>
                  <w:tcW w:w="369" w:type="pct"/>
                  <w:tcBorders>
                    <w:tl2br w:val="nil"/>
                    <w:tr2bl w:val="nil"/>
                  </w:tcBorders>
                  <w:noWrap w:val="0"/>
                  <w:vAlign w:val="center"/>
                </w:tcPr>
                <w:p w14:paraId="22174EBD">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有组织</w:t>
                  </w:r>
                </w:p>
              </w:tc>
              <w:tc>
                <w:tcPr>
                  <w:tcW w:w="434" w:type="pct"/>
                  <w:tcBorders>
                    <w:tl2br w:val="nil"/>
                    <w:tr2bl w:val="nil"/>
                  </w:tcBorders>
                  <w:noWrap w:val="0"/>
                  <w:vAlign w:val="center"/>
                </w:tcPr>
                <w:p w14:paraId="0F62E4A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1.08</w:t>
                  </w:r>
                </w:p>
              </w:tc>
              <w:tc>
                <w:tcPr>
                  <w:tcW w:w="467" w:type="pct"/>
                  <w:tcBorders>
                    <w:tl2br w:val="nil"/>
                    <w:tr2bl w:val="nil"/>
                  </w:tcBorders>
                  <w:noWrap w:val="0"/>
                  <w:vAlign w:val="center"/>
                </w:tcPr>
                <w:p w14:paraId="0D93D280">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0.</w:t>
                  </w:r>
                  <w:r>
                    <w:rPr>
                      <w:rFonts w:hint="eastAsia" w:cs="Times New Roman"/>
                      <w:color w:val="auto"/>
                      <w:kern w:val="2"/>
                      <w:sz w:val="21"/>
                      <w:szCs w:val="24"/>
                      <w:lang w:val="en-US" w:eastAsia="zh-CN" w:bidi="ar-SA"/>
                    </w:rPr>
                    <w:t>45</w:t>
                  </w:r>
                </w:p>
              </w:tc>
              <w:tc>
                <w:tcPr>
                  <w:tcW w:w="512" w:type="pct"/>
                  <w:tcBorders>
                    <w:tl2br w:val="nil"/>
                    <w:tr2bl w:val="nil"/>
                  </w:tcBorders>
                  <w:noWrap w:val="0"/>
                  <w:vAlign w:val="center"/>
                </w:tcPr>
                <w:p w14:paraId="22B4916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lang w:val="en-US" w:eastAsia="zh-CN" w:bidi="ar-SA"/>
                    </w:rPr>
                  </w:pPr>
                  <w:r>
                    <w:rPr>
                      <w:rFonts w:hint="eastAsia" w:cs="Times New Roman"/>
                      <w:color w:val="auto"/>
                      <w:kern w:val="2"/>
                      <w:sz w:val="21"/>
                      <w:szCs w:val="24"/>
                      <w:lang w:val="en-US" w:eastAsia="zh-CN" w:bidi="ar-SA"/>
                    </w:rPr>
                    <w:t>45</w:t>
                  </w:r>
                </w:p>
              </w:tc>
            </w:tr>
            <w:tr w14:paraId="25035F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4" w:hRule="atLeast"/>
              </w:trPr>
              <w:tc>
                <w:tcPr>
                  <w:tcW w:w="438" w:type="pct"/>
                  <w:tcBorders>
                    <w:tl2br w:val="nil"/>
                    <w:tr2bl w:val="nil"/>
                  </w:tcBorders>
                  <w:noWrap w:val="0"/>
                  <w:vAlign w:val="center"/>
                </w:tcPr>
                <w:p w14:paraId="4658E81D">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未收集废气</w:t>
                  </w:r>
                </w:p>
              </w:tc>
              <w:tc>
                <w:tcPr>
                  <w:tcW w:w="433" w:type="pct"/>
                  <w:tcBorders>
                    <w:tl2br w:val="nil"/>
                    <w:tr2bl w:val="nil"/>
                  </w:tcBorders>
                  <w:noWrap w:val="0"/>
                  <w:vAlign w:val="center"/>
                </w:tcPr>
                <w:p w14:paraId="3E579C10">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bCs/>
                      <w:color w:val="auto"/>
                      <w:kern w:val="2"/>
                      <w:sz w:val="21"/>
                      <w:szCs w:val="21"/>
                      <w:lang w:val="en-US" w:eastAsia="zh-CN" w:bidi="ar"/>
                    </w:rPr>
                  </w:pPr>
                  <w:r>
                    <w:rPr>
                      <w:rFonts w:hint="eastAsia" w:ascii="Times New Roman" w:hAnsi="Times New Roman" w:cs="Times New Roman"/>
                      <w:bCs/>
                      <w:color w:val="auto"/>
                      <w:sz w:val="21"/>
                      <w:szCs w:val="21"/>
                      <w:lang w:val="en-US" w:eastAsia="zh-CN" w:bidi="ar"/>
                    </w:rPr>
                    <w:t>非甲烷总烃</w:t>
                  </w:r>
                </w:p>
              </w:tc>
              <w:tc>
                <w:tcPr>
                  <w:tcW w:w="393" w:type="pct"/>
                  <w:tcBorders>
                    <w:tl2br w:val="nil"/>
                    <w:tr2bl w:val="nil"/>
                  </w:tcBorders>
                  <w:noWrap w:val="0"/>
                  <w:vAlign w:val="center"/>
                </w:tcPr>
                <w:p w14:paraId="56519D04">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72" w:type="pct"/>
                  <w:tcBorders>
                    <w:tl2br w:val="nil"/>
                    <w:tr2bl w:val="nil"/>
                  </w:tcBorders>
                  <w:noWrap w:val="0"/>
                  <w:vAlign w:val="center"/>
                </w:tcPr>
                <w:p w14:paraId="04E04BE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eastAsia" w:cs="Times New Roman"/>
                      <w:color w:val="auto"/>
                      <w:lang w:val="en-US" w:eastAsia="zh-CN"/>
                    </w:rPr>
                  </w:pPr>
                  <w:r>
                    <w:rPr>
                      <w:rFonts w:hint="eastAsia" w:ascii="Times New Roman" w:hAnsi="Times New Roman" w:eastAsia="宋体" w:cs="Times New Roman"/>
                      <w:color w:val="auto"/>
                      <w:szCs w:val="21"/>
                      <w:lang w:val="en-US" w:eastAsia="zh-CN"/>
                    </w:rPr>
                    <w:t>/</w:t>
                  </w:r>
                </w:p>
              </w:tc>
              <w:tc>
                <w:tcPr>
                  <w:tcW w:w="698" w:type="pct"/>
                  <w:tcBorders>
                    <w:tl2br w:val="nil"/>
                    <w:tr2bl w:val="nil"/>
                  </w:tcBorders>
                  <w:noWrap w:val="0"/>
                  <w:vAlign w:val="center"/>
                </w:tcPr>
                <w:p w14:paraId="651A4B3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777" w:type="pct"/>
                  <w:tcBorders>
                    <w:tl2br w:val="nil"/>
                    <w:tr2bl w:val="nil"/>
                  </w:tcBorders>
                  <w:noWrap w:val="0"/>
                  <w:vAlign w:val="center"/>
                </w:tcPr>
                <w:p w14:paraId="68331CAE">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kern w:val="0"/>
                      <w:sz w:val="21"/>
                      <w:szCs w:val="21"/>
                      <w:lang w:val="en-US" w:eastAsia="zh-CN" w:bidi="en-US"/>
                    </w:rPr>
                  </w:pPr>
                  <w:r>
                    <w:rPr>
                      <w:rFonts w:hint="eastAsia" w:ascii="Times New Roman" w:hAnsi="Times New Roman" w:cs="Times New Roman"/>
                      <w:color w:val="auto"/>
                      <w:kern w:val="0"/>
                      <w:sz w:val="21"/>
                      <w:szCs w:val="21"/>
                      <w:lang w:val="en-US" w:eastAsia="zh-CN" w:bidi="en-US"/>
                    </w:rPr>
                    <w:t>/</w:t>
                  </w:r>
                </w:p>
              </w:tc>
              <w:tc>
                <w:tcPr>
                  <w:tcW w:w="369" w:type="pct"/>
                  <w:tcBorders>
                    <w:tl2br w:val="nil"/>
                    <w:tr2bl w:val="nil"/>
                  </w:tcBorders>
                  <w:noWrap w:val="0"/>
                  <w:vAlign w:val="center"/>
                </w:tcPr>
                <w:p w14:paraId="12D77141">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无组织</w:t>
                  </w:r>
                </w:p>
              </w:tc>
              <w:tc>
                <w:tcPr>
                  <w:tcW w:w="434" w:type="pct"/>
                  <w:tcBorders>
                    <w:tl2br w:val="nil"/>
                    <w:tr2bl w:val="nil"/>
                  </w:tcBorders>
                  <w:noWrap w:val="0"/>
                  <w:vAlign w:val="center"/>
                </w:tcPr>
                <w:p w14:paraId="4EEA771B">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0.3</w:t>
                  </w:r>
                </w:p>
              </w:tc>
              <w:tc>
                <w:tcPr>
                  <w:tcW w:w="467" w:type="pct"/>
                  <w:tcBorders>
                    <w:tl2br w:val="nil"/>
                    <w:tr2bl w:val="nil"/>
                  </w:tcBorders>
                  <w:noWrap w:val="0"/>
                  <w:vAlign w:val="center"/>
                </w:tcPr>
                <w:p w14:paraId="4D4257F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0.</w:t>
                  </w:r>
                  <w:r>
                    <w:rPr>
                      <w:rFonts w:hint="eastAsia" w:cs="Times New Roman"/>
                      <w:color w:val="auto"/>
                      <w:kern w:val="2"/>
                      <w:sz w:val="21"/>
                      <w:szCs w:val="24"/>
                      <w:lang w:val="en-US" w:eastAsia="zh-CN" w:bidi="ar-SA"/>
                    </w:rPr>
                    <w:t>125</w:t>
                  </w:r>
                </w:p>
              </w:tc>
              <w:tc>
                <w:tcPr>
                  <w:tcW w:w="512" w:type="pct"/>
                  <w:tcBorders>
                    <w:tl2br w:val="nil"/>
                    <w:tr2bl w:val="nil"/>
                  </w:tcBorders>
                  <w:noWrap w:val="0"/>
                  <w:vAlign w:val="center"/>
                </w:tcPr>
                <w:p w14:paraId="14480F65">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w:t>
                  </w:r>
                </w:p>
              </w:tc>
            </w:tr>
          </w:tbl>
          <w:p w14:paraId="1951E837">
            <w:pPr>
              <w:snapToGrid w:val="0"/>
              <w:spacing w:line="360" w:lineRule="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 xml:space="preserve">1.2 </w:t>
            </w:r>
            <w:r>
              <w:rPr>
                <w:rFonts w:hint="default" w:ascii="Times New Roman" w:hAnsi="Times New Roman" w:eastAsia="宋体" w:cs="Times New Roman"/>
                <w:b/>
                <w:bCs/>
                <w:color w:val="auto"/>
                <w:sz w:val="24"/>
                <w:highlight w:val="none"/>
                <w:lang w:eastAsia="zh-CN"/>
              </w:rPr>
              <w:t>污染物源强核算过程</w:t>
            </w:r>
          </w:p>
          <w:p w14:paraId="62C3D76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sz w:val="24"/>
                <w:lang w:val="en-US" w:eastAsia="zh-CN"/>
              </w:rPr>
            </w:pPr>
            <w:r>
              <w:rPr>
                <w:rFonts w:hint="default" w:ascii="Times New Roman" w:hAnsi="Times New Roman" w:cs="Times New Roman"/>
                <w:color w:val="auto"/>
                <w:sz w:val="24"/>
                <w:szCs w:val="24"/>
              </w:rPr>
              <w:t>本项目</w:t>
            </w:r>
            <w:r>
              <w:rPr>
                <w:rFonts w:hint="default" w:ascii="Times New Roman" w:hAnsi="Times New Roman" w:cs="Times New Roman"/>
                <w:color w:val="auto"/>
                <w:sz w:val="24"/>
                <w:szCs w:val="24"/>
                <w:lang w:val="en-US" w:eastAsia="zh-CN"/>
              </w:rPr>
              <w:t>注塑和挤出过程会产生少量挥发性有机物，主要为有机废气，以非甲烷总烃计。根据</w:t>
            </w:r>
            <w:r>
              <w:rPr>
                <w:rFonts w:hint="default" w:ascii="Times New Roman" w:hAnsi="Times New Roman" w:cs="Times New Roman"/>
                <w:color w:val="auto"/>
                <w:sz w:val="24"/>
              </w:rPr>
              <w:t>《排放源统计调查产排污核算方法和系数手册》（生态环境部公告2021年第24号）中</w:t>
            </w:r>
            <w:r>
              <w:rPr>
                <w:rFonts w:hint="default" w:ascii="Times New Roman" w:hAnsi="Times New Roman" w:cs="Times New Roman"/>
                <w:color w:val="auto"/>
                <w:sz w:val="24"/>
                <w:lang w:val="en-US" w:eastAsia="zh-CN"/>
              </w:rPr>
              <w:t>2922 塑料板、管、型材制造行业系数表</w:t>
            </w:r>
            <w:r>
              <w:rPr>
                <w:rFonts w:hint="default" w:ascii="Times New Roman" w:hAnsi="Times New Roman" w:cs="Times New Roman"/>
                <w:color w:val="auto"/>
                <w:sz w:val="24"/>
                <w:lang w:eastAsia="zh-CN"/>
              </w:rPr>
              <w:t>可知</w:t>
            </w:r>
            <w:r>
              <w:rPr>
                <w:rFonts w:hint="default" w:ascii="Times New Roman" w:hAnsi="Times New Roman" w:cs="Times New Roman"/>
                <w:color w:val="auto"/>
                <w:sz w:val="24"/>
                <w:szCs w:val="24"/>
              </w:rPr>
              <w:t>，</w:t>
            </w:r>
            <w:r>
              <w:rPr>
                <w:rFonts w:hint="default" w:ascii="Times New Roman" w:hAnsi="Times New Roman" w:cs="Times New Roman"/>
                <w:color w:val="auto"/>
                <w:sz w:val="24"/>
                <w:lang w:eastAsia="zh-CN"/>
              </w:rPr>
              <w:t>项目</w:t>
            </w:r>
            <w:r>
              <w:rPr>
                <w:rFonts w:hint="default" w:ascii="Times New Roman" w:hAnsi="Times New Roman" w:cs="Times New Roman"/>
                <w:color w:val="auto"/>
                <w:sz w:val="24"/>
                <w:lang w:val="en-US" w:eastAsia="zh-CN"/>
              </w:rPr>
              <w:t>注塑、挤出过程</w:t>
            </w:r>
            <w:r>
              <w:rPr>
                <w:rFonts w:hint="default" w:ascii="Times New Roman" w:hAnsi="Times New Roman" w:cs="Times New Roman"/>
                <w:color w:val="auto"/>
                <w:sz w:val="24"/>
                <w:lang w:eastAsia="zh-CN"/>
              </w:rPr>
              <w:t>产污系数见表</w:t>
            </w:r>
            <w:r>
              <w:rPr>
                <w:rFonts w:hint="default" w:ascii="Times New Roman" w:hAnsi="Times New Roman" w:cs="Times New Roman"/>
                <w:color w:val="auto"/>
                <w:sz w:val="24"/>
                <w:lang w:val="en-US" w:eastAsia="zh-CN"/>
              </w:rPr>
              <w:t>4-2。</w:t>
            </w:r>
          </w:p>
          <w:p w14:paraId="4CD7510A">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w:t>
            </w:r>
            <w:r>
              <w:rPr>
                <w:rFonts w:hint="default" w:ascii="Times New Roman" w:hAnsi="Times New Roman" w:cs="Times New Roman"/>
                <w:b/>
                <w:bCs/>
                <w:color w:val="auto"/>
                <w:szCs w:val="21"/>
                <w:lang w:val="en-US" w:eastAsia="zh-CN"/>
              </w:rPr>
              <w:t>4-</w:t>
            </w:r>
            <w:r>
              <w:rPr>
                <w:rFonts w:hint="eastAsia"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 xml:space="preserve"> </w:t>
            </w:r>
            <w:r>
              <w:rPr>
                <w:rFonts w:hint="default" w:ascii="Times New Roman" w:hAnsi="Times New Roman" w:cs="Times New Roman"/>
                <w:b/>
                <w:bCs/>
                <w:color w:val="auto"/>
                <w:szCs w:val="21"/>
                <w:lang w:val="en-US" w:eastAsia="zh-CN"/>
              </w:rPr>
              <w:t>塑料板、管、型材</w:t>
            </w:r>
            <w:r>
              <w:rPr>
                <w:rFonts w:hint="eastAsia" w:ascii="Times New Roman" w:hAnsi="Times New Roman" w:cs="Times New Roman"/>
                <w:b/>
                <w:bCs/>
                <w:color w:val="auto"/>
                <w:szCs w:val="21"/>
                <w:lang w:val="en-US" w:eastAsia="zh-CN"/>
              </w:rPr>
              <w:t>制造行业</w:t>
            </w:r>
            <w:r>
              <w:rPr>
                <w:rFonts w:hint="default" w:ascii="Times New Roman" w:hAnsi="Times New Roman" w:cs="Times New Roman"/>
                <w:b/>
                <w:bCs/>
                <w:color w:val="auto"/>
                <w:szCs w:val="21"/>
              </w:rPr>
              <w:t>系数表</w:t>
            </w:r>
          </w:p>
          <w:tbl>
            <w:tblPr>
              <w:tblStyle w:val="24"/>
              <w:tblW w:w="78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50"/>
              <w:gridCol w:w="1171"/>
              <w:gridCol w:w="1079"/>
              <w:gridCol w:w="1067"/>
              <w:gridCol w:w="1333"/>
              <w:gridCol w:w="1017"/>
              <w:gridCol w:w="979"/>
            </w:tblGrid>
            <w:tr w14:paraId="48AFF4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7" w:hRule="atLeast"/>
                <w:jc w:val="center"/>
              </w:trPr>
              <w:tc>
                <w:tcPr>
                  <w:tcW w:w="791" w:type="pct"/>
                  <w:tcBorders>
                    <w:tl2br w:val="nil"/>
                    <w:tr2bl w:val="nil"/>
                  </w:tcBorders>
                  <w:noWrap w:val="0"/>
                  <w:tcMar>
                    <w:top w:w="0" w:type="dxa"/>
                    <w:left w:w="28" w:type="dxa"/>
                    <w:bottom w:w="0" w:type="dxa"/>
                    <w:right w:w="28" w:type="dxa"/>
                  </w:tcMar>
                  <w:vAlign w:val="center"/>
                </w:tcPr>
                <w:p w14:paraId="24C2CB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产品名称</w:t>
                  </w:r>
                </w:p>
              </w:tc>
              <w:tc>
                <w:tcPr>
                  <w:tcW w:w="741" w:type="pct"/>
                  <w:tcBorders>
                    <w:tl2br w:val="nil"/>
                    <w:tr2bl w:val="nil"/>
                  </w:tcBorders>
                  <w:noWrap w:val="0"/>
                  <w:tcMar>
                    <w:top w:w="0" w:type="dxa"/>
                    <w:left w:w="28" w:type="dxa"/>
                    <w:bottom w:w="0" w:type="dxa"/>
                    <w:right w:w="28" w:type="dxa"/>
                  </w:tcMar>
                  <w:vAlign w:val="center"/>
                </w:tcPr>
                <w:p w14:paraId="0AF798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原料名称</w:t>
                  </w:r>
                </w:p>
              </w:tc>
              <w:tc>
                <w:tcPr>
                  <w:tcW w:w="683" w:type="pct"/>
                  <w:tcBorders>
                    <w:tl2br w:val="nil"/>
                    <w:tr2bl w:val="nil"/>
                  </w:tcBorders>
                  <w:noWrap w:val="0"/>
                  <w:tcMar>
                    <w:top w:w="0" w:type="dxa"/>
                    <w:left w:w="28" w:type="dxa"/>
                    <w:bottom w:w="0" w:type="dxa"/>
                    <w:right w:w="28" w:type="dxa"/>
                  </w:tcMar>
                  <w:vAlign w:val="center"/>
                </w:tcPr>
                <w:p w14:paraId="4F6CEB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工艺名称</w:t>
                  </w:r>
                </w:p>
              </w:tc>
              <w:tc>
                <w:tcPr>
                  <w:tcW w:w="675" w:type="pct"/>
                  <w:tcBorders>
                    <w:tl2br w:val="nil"/>
                    <w:tr2bl w:val="nil"/>
                  </w:tcBorders>
                  <w:noWrap w:val="0"/>
                  <w:vAlign w:val="center"/>
                </w:tcPr>
                <w:p w14:paraId="775C96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规模等级</w:t>
                  </w:r>
                </w:p>
              </w:tc>
              <w:tc>
                <w:tcPr>
                  <w:tcW w:w="844" w:type="pct"/>
                  <w:tcBorders>
                    <w:tl2br w:val="nil"/>
                    <w:tr2bl w:val="nil"/>
                  </w:tcBorders>
                  <w:noWrap w:val="0"/>
                  <w:vAlign w:val="center"/>
                </w:tcPr>
                <w:p w14:paraId="01E98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污染物指标</w:t>
                  </w:r>
                </w:p>
              </w:tc>
              <w:tc>
                <w:tcPr>
                  <w:tcW w:w="643" w:type="pct"/>
                  <w:tcBorders>
                    <w:tl2br w:val="nil"/>
                    <w:tr2bl w:val="nil"/>
                  </w:tcBorders>
                  <w:noWrap w:val="0"/>
                  <w:tcMar>
                    <w:top w:w="0" w:type="dxa"/>
                    <w:left w:w="28" w:type="dxa"/>
                    <w:bottom w:w="0" w:type="dxa"/>
                    <w:right w:w="28" w:type="dxa"/>
                  </w:tcMar>
                  <w:vAlign w:val="center"/>
                </w:tcPr>
                <w:p w14:paraId="1B625C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系数单位</w:t>
                  </w:r>
                </w:p>
              </w:tc>
              <w:tc>
                <w:tcPr>
                  <w:tcW w:w="619" w:type="pct"/>
                  <w:tcBorders>
                    <w:tl2br w:val="nil"/>
                    <w:tr2bl w:val="nil"/>
                  </w:tcBorders>
                  <w:noWrap w:val="0"/>
                  <w:tcMar>
                    <w:top w:w="0" w:type="dxa"/>
                    <w:left w:w="28" w:type="dxa"/>
                    <w:bottom w:w="0" w:type="dxa"/>
                    <w:right w:w="28" w:type="dxa"/>
                  </w:tcMar>
                  <w:vAlign w:val="center"/>
                </w:tcPr>
                <w:p w14:paraId="782552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产污系数</w:t>
                  </w:r>
                </w:p>
              </w:tc>
            </w:tr>
            <w:tr w14:paraId="1F1E2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1" w:hRule="atLeast"/>
                <w:jc w:val="center"/>
              </w:trPr>
              <w:tc>
                <w:tcPr>
                  <w:tcW w:w="791" w:type="pct"/>
                  <w:tcBorders>
                    <w:tl2br w:val="nil"/>
                    <w:tr2bl w:val="nil"/>
                  </w:tcBorders>
                  <w:noWrap w:val="0"/>
                  <w:tcMar>
                    <w:top w:w="0" w:type="dxa"/>
                    <w:left w:w="28" w:type="dxa"/>
                    <w:bottom w:w="0" w:type="dxa"/>
                    <w:right w:w="28" w:type="dxa"/>
                  </w:tcMar>
                  <w:vAlign w:val="center"/>
                </w:tcPr>
                <w:p w14:paraId="530FEE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塑料板、管、型材</w:t>
                  </w:r>
                </w:p>
              </w:tc>
              <w:tc>
                <w:tcPr>
                  <w:tcW w:w="741" w:type="pct"/>
                  <w:tcBorders>
                    <w:tl2br w:val="nil"/>
                    <w:tr2bl w:val="nil"/>
                  </w:tcBorders>
                  <w:noWrap w:val="0"/>
                  <w:tcMar>
                    <w:top w:w="0" w:type="dxa"/>
                    <w:left w:w="28" w:type="dxa"/>
                    <w:bottom w:w="0" w:type="dxa"/>
                    <w:right w:w="28" w:type="dxa"/>
                  </w:tcMar>
                  <w:vAlign w:val="center"/>
                </w:tcPr>
                <w:p w14:paraId="506603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树脂、助剂</w:t>
                  </w:r>
                </w:p>
              </w:tc>
              <w:tc>
                <w:tcPr>
                  <w:tcW w:w="683" w:type="pct"/>
                  <w:tcBorders>
                    <w:tl2br w:val="nil"/>
                    <w:tr2bl w:val="nil"/>
                  </w:tcBorders>
                  <w:noWrap w:val="0"/>
                  <w:tcMar>
                    <w:top w:w="0" w:type="dxa"/>
                    <w:left w:w="28" w:type="dxa"/>
                    <w:bottom w:w="0" w:type="dxa"/>
                    <w:right w:w="28" w:type="dxa"/>
                  </w:tcMar>
                  <w:vAlign w:val="center"/>
                </w:tcPr>
                <w:p w14:paraId="0A2A3C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配料-混合-挤出</w:t>
                  </w:r>
                </w:p>
              </w:tc>
              <w:tc>
                <w:tcPr>
                  <w:tcW w:w="675" w:type="pct"/>
                  <w:tcBorders>
                    <w:tl2br w:val="nil"/>
                    <w:tr2bl w:val="nil"/>
                  </w:tcBorders>
                  <w:noWrap w:val="0"/>
                  <w:vAlign w:val="center"/>
                </w:tcPr>
                <w:p w14:paraId="341D44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所有规模</w:t>
                  </w:r>
                </w:p>
              </w:tc>
              <w:tc>
                <w:tcPr>
                  <w:tcW w:w="844" w:type="pct"/>
                  <w:tcBorders>
                    <w:tl2br w:val="nil"/>
                    <w:tr2bl w:val="nil"/>
                  </w:tcBorders>
                  <w:noWrap w:val="0"/>
                  <w:vAlign w:val="center"/>
                </w:tcPr>
                <w:p w14:paraId="1D43BD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挥发性有机物</w:t>
                  </w:r>
                </w:p>
              </w:tc>
              <w:tc>
                <w:tcPr>
                  <w:tcW w:w="643" w:type="pct"/>
                  <w:tcBorders>
                    <w:tl2br w:val="nil"/>
                    <w:tr2bl w:val="nil"/>
                  </w:tcBorders>
                  <w:noWrap w:val="0"/>
                  <w:tcMar>
                    <w:top w:w="0" w:type="dxa"/>
                    <w:left w:w="28" w:type="dxa"/>
                    <w:bottom w:w="0" w:type="dxa"/>
                    <w:right w:w="28" w:type="dxa"/>
                  </w:tcMar>
                  <w:vAlign w:val="center"/>
                </w:tcPr>
                <w:p w14:paraId="759E41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千克/吨-</w:t>
                  </w:r>
                  <w:r>
                    <w:rPr>
                      <w:rFonts w:hint="eastAsia" w:ascii="Times New Roman" w:hAnsi="Times New Roman" w:eastAsia="宋体" w:cs="Times New Roman"/>
                      <w:color w:val="auto"/>
                      <w:kern w:val="2"/>
                      <w:sz w:val="21"/>
                      <w:szCs w:val="21"/>
                      <w:lang w:val="en-US" w:eastAsia="zh-CN" w:bidi="ar"/>
                    </w:rPr>
                    <w:t>产品</w:t>
                  </w:r>
                </w:p>
              </w:tc>
              <w:tc>
                <w:tcPr>
                  <w:tcW w:w="619" w:type="pct"/>
                  <w:tcBorders>
                    <w:tl2br w:val="nil"/>
                    <w:tr2bl w:val="nil"/>
                  </w:tcBorders>
                  <w:noWrap w:val="0"/>
                  <w:tcMar>
                    <w:top w:w="0" w:type="dxa"/>
                    <w:left w:w="28" w:type="dxa"/>
                    <w:bottom w:w="0" w:type="dxa"/>
                    <w:right w:w="28" w:type="dxa"/>
                  </w:tcMar>
                  <w:vAlign w:val="center"/>
                </w:tcPr>
                <w:p w14:paraId="1D3BAC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1.50</w:t>
                  </w:r>
                </w:p>
              </w:tc>
            </w:tr>
          </w:tbl>
          <w:p w14:paraId="539F0B39">
            <w:pPr>
              <w:keepNext w:val="0"/>
              <w:keepLines w:val="0"/>
              <w:pageBreakBefore w:val="0"/>
              <w:widowControl w:val="0"/>
              <w:shd w:val="clear" w:color="auto" w:fill="auto"/>
              <w:kinsoku/>
              <w:wordWrap/>
              <w:overflowPunct/>
              <w:topLinePunct w:val="0"/>
              <w:autoSpaceDE/>
              <w:autoSpaceDN/>
              <w:bidi w:val="0"/>
              <w:adjustRightInd/>
              <w:snapToGrid/>
              <w:spacing w:before="120" w:line="360" w:lineRule="auto"/>
              <w:ind w:firstLine="480" w:firstLineChars="200"/>
              <w:textAlignment w:val="auto"/>
              <w:rPr>
                <w:rFonts w:hint="eastAsia" w:ascii="Times New Roman" w:hAnsi="Times New Roman"/>
                <w:color w:val="auto"/>
                <w:sz w:val="24"/>
                <w:szCs w:val="24"/>
                <w:lang w:eastAsia="zh-CN"/>
              </w:rPr>
            </w:pPr>
            <w:r>
              <w:rPr>
                <w:rFonts w:hint="eastAsia" w:ascii="Times New Roman" w:hAnsi="Times New Roman" w:cs="Times New Roman"/>
                <w:color w:val="auto"/>
                <w:sz w:val="24"/>
                <w:lang w:eastAsia="zh-CN"/>
              </w:rPr>
              <w:t>项目</w:t>
            </w:r>
            <w:r>
              <w:rPr>
                <w:rFonts w:hint="eastAsia" w:ascii="Times New Roman" w:hAnsi="Times New Roman" w:cs="Times New Roman"/>
                <w:color w:val="auto"/>
                <w:sz w:val="24"/>
                <w:lang w:val="en-US" w:eastAsia="zh-CN"/>
              </w:rPr>
              <w:t>产品总量约为2000吨，则有机废气产生量为3.0t</w:t>
            </w:r>
            <w:r>
              <w:rPr>
                <w:rFonts w:hint="default" w:ascii="Times New Roman" w:hAnsi="Times New Roman" w:cs="Times New Roman"/>
                <w:color w:val="auto"/>
                <w:sz w:val="24"/>
                <w:lang w:val="en-US" w:eastAsia="zh-CN"/>
              </w:rPr>
              <w:t>/a，项目</w:t>
            </w:r>
            <w:r>
              <w:rPr>
                <w:rFonts w:hint="eastAsia" w:ascii="Times New Roman" w:hAnsi="Times New Roman" w:cs="Times New Roman"/>
                <w:color w:val="auto"/>
                <w:sz w:val="24"/>
                <w:lang w:val="en-US" w:eastAsia="zh-CN"/>
              </w:rPr>
              <w:t>年工作</w:t>
            </w:r>
            <w:r>
              <w:rPr>
                <w:rFonts w:hint="eastAsia" w:cs="Times New Roman"/>
                <w:color w:val="auto"/>
                <w:sz w:val="24"/>
                <w:highlight w:val="none"/>
                <w:lang w:val="en-US" w:eastAsia="zh-CN"/>
              </w:rPr>
              <w:t>24</w:t>
            </w:r>
            <w:r>
              <w:rPr>
                <w:rFonts w:hint="eastAsia" w:ascii="Times New Roman" w:hAnsi="Times New Roman" w:cs="Times New Roman"/>
                <w:color w:val="auto"/>
                <w:sz w:val="24"/>
                <w:highlight w:val="none"/>
                <w:lang w:val="en-US" w:eastAsia="zh-CN"/>
              </w:rPr>
              <w:t>00h。</w:t>
            </w:r>
          </w:p>
          <w:p w14:paraId="76007FE6">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项目于注塑机和挤出机出料口</w:t>
            </w:r>
            <w:r>
              <w:rPr>
                <w:rFonts w:hint="eastAsia" w:cs="Times New Roman"/>
                <w:color w:val="auto"/>
                <w:sz w:val="24"/>
                <w:lang w:val="en-US" w:eastAsia="zh-CN"/>
              </w:rPr>
              <w:t>处设置集气罩对有机废气进行收集。根据与企业沟通，注塑机有3个出料口，挤出机有3个出料口，则项目需设置6个集气罩（尺寸为0.5m×0.5m，与工位距离0.4m），将废气</w:t>
            </w:r>
            <w:r>
              <w:rPr>
                <w:rFonts w:hint="eastAsia" w:ascii="Times New Roman" w:hAnsi="Times New Roman" w:cs="Times New Roman"/>
                <w:color w:val="auto"/>
                <w:sz w:val="24"/>
                <w:lang w:val="en-US" w:eastAsia="zh-CN"/>
              </w:rPr>
              <w:t>引至一套二级活性炭吸附设备进行处理，</w:t>
            </w:r>
            <w:r>
              <w:rPr>
                <w:rFonts w:hint="default" w:ascii="Times New Roman" w:hAnsi="Times New Roman" w:cs="Times New Roman"/>
                <w:color w:val="auto"/>
                <w:sz w:val="24"/>
                <w:lang w:val="en-US" w:eastAsia="zh-CN"/>
              </w:rPr>
              <w:t>处理后的废气经1根15m高排气筒（DA001）高空排放。</w:t>
            </w:r>
          </w:p>
          <w:p w14:paraId="2794F9CF">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集气罩风量核算：项目采用外部有法兰边式集气罩，排风量Q计算如下：</w:t>
            </w:r>
          </w:p>
          <w:p w14:paraId="4FD2D48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center"/>
              <w:textAlignment w:val="auto"/>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Q=</w:t>
            </w:r>
            <w:r>
              <w:rPr>
                <w:rFonts w:hint="default" w:ascii="Times New Roman" w:hAnsi="Times New Roman" w:cs="Times New Roman"/>
                <w:color w:val="auto"/>
                <w:sz w:val="24"/>
                <w:lang w:val="en-US" w:eastAsia="zh-CN"/>
              </w:rPr>
              <w:t>v</w:t>
            </w:r>
            <w:r>
              <w:rPr>
                <w:rFonts w:hint="default" w:ascii="Times New Roman" w:hAnsi="Times New Roman" w:cs="Times New Roman"/>
                <w:color w:val="auto"/>
                <w:sz w:val="24"/>
                <w:vertAlign w:val="subscript"/>
              </w:rPr>
              <w:t>0</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F</w:t>
            </w:r>
            <w:r>
              <w:rPr>
                <w:rFonts w:hint="default" w:ascii="Times New Roman" w:hAnsi="Times New Roman" w:cs="Times New Roman"/>
                <w:color w:val="auto"/>
                <w:sz w:val="24"/>
              </w:rPr>
              <w:t>×3600</w:t>
            </w:r>
            <w:r>
              <w:rPr>
                <w:rFonts w:hint="default" w:ascii="Times New Roman" w:hAnsi="Times New Roman" w:cs="Times New Roman"/>
                <w:color w:val="auto"/>
                <w:sz w:val="24"/>
                <w:lang w:eastAsia="zh-CN"/>
              </w:rPr>
              <w:t>（式</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lang w:eastAsia="zh-CN"/>
              </w:rPr>
              <w:t>）</w:t>
            </w:r>
          </w:p>
          <w:p w14:paraId="405A82B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v</w:t>
            </w:r>
            <w:r>
              <w:rPr>
                <w:rFonts w:hint="default" w:ascii="Times New Roman" w:hAnsi="Times New Roman" w:cs="Times New Roman"/>
                <w:color w:val="auto"/>
                <w:sz w:val="24"/>
                <w:vertAlign w:val="subscript"/>
              </w:rPr>
              <w:t>0</w:t>
            </w:r>
            <w:r>
              <w:rPr>
                <w:rFonts w:hint="default" w:ascii="Times New Roman" w:hAnsi="Times New Roman" w:cs="Times New Roman"/>
                <w:color w:val="auto"/>
                <w:sz w:val="24"/>
              </w:rPr>
              <w:t>-罩口平均风速，m/s。可取0.5~1.25，应根据控制点风速调节；</w:t>
            </w:r>
          </w:p>
          <w:p w14:paraId="6D9836B6">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F-罩口面积，m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，矩形顶吸罩</w:t>
            </w:r>
            <w:r>
              <w:rPr>
                <w:rFonts w:hint="default" w:ascii="Times New Roman" w:hAnsi="Times New Roman" w:cs="Times New Roman"/>
                <w:color w:val="auto"/>
                <w:sz w:val="24"/>
                <w:lang w:val="en-US" w:eastAsia="zh-CN"/>
              </w:rPr>
              <w:t>F</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A</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B</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A</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a</w:t>
            </w:r>
            <w:r>
              <w:rPr>
                <w:rFonts w:hint="default" w:ascii="Times New Roman" w:hAnsi="Times New Roman" w:cs="Times New Roman"/>
                <w:color w:val="auto"/>
                <w:sz w:val="24"/>
              </w:rPr>
              <w:t>+0.4×ℎ，</w:t>
            </w:r>
            <w:r>
              <w:rPr>
                <w:rFonts w:hint="default" w:ascii="Times New Roman" w:hAnsi="Times New Roman" w:cs="Times New Roman"/>
                <w:color w:val="auto"/>
                <w:sz w:val="24"/>
                <w:lang w:val="en-US" w:eastAsia="zh-CN"/>
              </w:rPr>
              <w:t>B</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b</w:t>
            </w:r>
            <w:r>
              <w:rPr>
                <w:rFonts w:hint="default" w:ascii="Times New Roman" w:hAnsi="Times New Roman" w:cs="Times New Roman"/>
                <w:color w:val="auto"/>
                <w:sz w:val="24"/>
              </w:rPr>
              <w:t>+0.4×ℎ，ℎ为罩口与有害物面的高度，m。a、b代表有害物散发矩形平面两边，m。</w:t>
            </w:r>
          </w:p>
          <w:p w14:paraId="123D7163">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highlight w:val="none"/>
              </w:rPr>
            </w:pPr>
            <w:bookmarkStart w:id="11" w:name="OLE_LINK4"/>
            <w:r>
              <w:rPr>
                <w:rFonts w:hint="default" w:ascii="Times New Roman" w:hAnsi="Times New Roman" w:cs="Times New Roman"/>
                <w:color w:val="auto"/>
                <w:sz w:val="24"/>
                <w:highlight w:val="none"/>
              </w:rPr>
              <w:t>经计算，</w:t>
            </w:r>
            <w:r>
              <w:rPr>
                <w:rFonts w:hint="eastAsia" w:ascii="Times New Roman" w:hAnsi="Times New Roman" w:cs="Times New Roman"/>
                <w:color w:val="auto"/>
                <w:sz w:val="24"/>
                <w:highlight w:val="none"/>
                <w:lang w:val="en-US" w:eastAsia="zh-CN"/>
              </w:rPr>
              <w:t>单个</w:t>
            </w:r>
            <w:r>
              <w:rPr>
                <w:rFonts w:hint="default" w:ascii="Times New Roman" w:hAnsi="Times New Roman" w:cs="Times New Roman"/>
                <w:color w:val="auto"/>
                <w:sz w:val="24"/>
                <w:highlight w:val="none"/>
              </w:rPr>
              <w:t>集气罩</w:t>
            </w:r>
            <w:r>
              <w:rPr>
                <w:rFonts w:hint="default" w:ascii="Times New Roman" w:hAnsi="Times New Roman" w:cs="Times New Roman"/>
                <w:color w:val="auto"/>
                <w:sz w:val="24"/>
                <w:highlight w:val="none"/>
                <w:lang w:eastAsia="zh-CN"/>
              </w:rPr>
              <w:t>最低</w:t>
            </w:r>
            <w:r>
              <w:rPr>
                <w:rFonts w:hint="default" w:ascii="Times New Roman" w:hAnsi="Times New Roman" w:cs="Times New Roman"/>
                <w:color w:val="auto"/>
                <w:sz w:val="24"/>
                <w:highlight w:val="none"/>
              </w:rPr>
              <w:t>排风量为</w:t>
            </w:r>
            <w:r>
              <w:rPr>
                <w:rFonts w:hint="eastAsia" w:ascii="Times New Roman" w:hAnsi="Times New Roman" w:cs="Times New Roman"/>
                <w:color w:val="auto"/>
                <w:sz w:val="24"/>
                <w:highlight w:val="none"/>
                <w:lang w:val="en-US" w:eastAsia="zh-CN"/>
              </w:rPr>
              <w:t>1568.16</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bookmarkStart w:id="12" w:name="OLE_LINK37"/>
            <w:r>
              <w:rPr>
                <w:rFonts w:hint="default" w:ascii="Times New Roman" w:hAnsi="Times New Roman" w:cs="Times New Roman"/>
                <w:color w:val="auto"/>
                <w:sz w:val="24"/>
                <w:highlight w:val="none"/>
                <w:lang w:eastAsia="zh-CN"/>
              </w:rPr>
              <w:t>故</w:t>
            </w:r>
            <w:r>
              <w:rPr>
                <w:rFonts w:hint="eastAsia" w:ascii="Times New Roman" w:hAnsi="Times New Roman" w:cs="Times New Roman"/>
                <w:color w:val="auto"/>
                <w:sz w:val="24"/>
                <w:highlight w:val="none"/>
                <w:lang w:eastAsia="zh-CN"/>
              </w:rPr>
              <w:t>注塑、挤出</w:t>
            </w:r>
            <w:r>
              <w:rPr>
                <w:rFonts w:hint="default" w:ascii="Times New Roman" w:hAnsi="Times New Roman" w:cs="Times New Roman"/>
                <w:color w:val="auto"/>
                <w:sz w:val="24"/>
                <w:highlight w:val="none"/>
                <w:lang w:eastAsia="zh-CN"/>
              </w:rPr>
              <w:t>工序所需最低排风量为</w:t>
            </w:r>
            <w:r>
              <w:rPr>
                <w:rFonts w:hint="eastAsia" w:ascii="Times New Roman" w:hAnsi="Times New Roman" w:cs="Times New Roman"/>
                <w:color w:val="auto"/>
                <w:sz w:val="24"/>
                <w:highlight w:val="none"/>
                <w:lang w:val="en-US" w:eastAsia="zh-CN"/>
              </w:rPr>
              <w:t>9408.96</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r>
              <w:rPr>
                <w:rFonts w:hint="default" w:ascii="Times New Roman" w:hAnsi="Times New Roman" w:cs="Times New Roman"/>
                <w:color w:val="auto"/>
                <w:sz w:val="24"/>
                <w:highlight w:val="none"/>
                <w:lang w:eastAsia="zh-CN"/>
              </w:rPr>
              <w:t>，</w:t>
            </w:r>
            <w:bookmarkStart w:id="13" w:name="OLE_LINK9"/>
            <w:r>
              <w:rPr>
                <w:rFonts w:hint="default" w:ascii="Times New Roman" w:hAnsi="Times New Roman" w:cs="Times New Roman"/>
                <w:color w:val="auto"/>
                <w:sz w:val="24"/>
                <w:highlight w:val="none"/>
              </w:rPr>
              <w:t>项目选用风机风量为</w:t>
            </w:r>
            <w:r>
              <w:rPr>
                <w:rFonts w:hint="eastAsia" w:ascii="Times New Roman" w:hAnsi="Times New Roman" w:cs="Times New Roman"/>
                <w:color w:val="auto"/>
                <w:sz w:val="24"/>
                <w:highlight w:val="none"/>
                <w:lang w:val="en-US" w:eastAsia="zh-CN"/>
              </w:rPr>
              <w:t>10000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bookmarkEnd w:id="12"/>
            <w:bookmarkEnd w:id="13"/>
            <w:r>
              <w:rPr>
                <w:rFonts w:hint="default" w:ascii="Times New Roman" w:hAnsi="Times New Roman" w:cs="Times New Roman"/>
                <w:color w:val="auto"/>
                <w:sz w:val="24"/>
                <w:highlight w:val="none"/>
              </w:rPr>
              <w:t>可满足收集需求。</w:t>
            </w:r>
          </w:p>
          <w:bookmarkEnd w:id="11"/>
          <w:p w14:paraId="72BC234F">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lang w:val="en-US" w:eastAsia="zh-CN"/>
              </w:rPr>
            </w:pPr>
            <w:r>
              <w:rPr>
                <w:rFonts w:hint="default" w:ascii="Times New Roman" w:hAnsi="Times New Roman" w:cs="Times New Roman"/>
                <w:snapToGrid w:val="0"/>
                <w:color w:val="auto"/>
                <w:kern w:val="0"/>
                <w:sz w:val="24"/>
                <w:highlight w:val="none"/>
                <w:lang w:val="en-US" w:eastAsia="zh-CN"/>
              </w:rPr>
              <w:t>本项目</w:t>
            </w:r>
            <w:r>
              <w:rPr>
                <w:rFonts w:hint="default" w:ascii="Times New Roman" w:hAnsi="Times New Roman" w:cs="Times New Roman"/>
                <w:snapToGrid w:val="0"/>
                <w:color w:val="auto"/>
                <w:kern w:val="0"/>
                <w:sz w:val="24"/>
                <w:highlight w:val="none"/>
              </w:rPr>
              <w:t>收集效率按照</w:t>
            </w:r>
            <w:r>
              <w:rPr>
                <w:rFonts w:hint="default" w:ascii="Times New Roman" w:hAnsi="Times New Roman" w:cs="Times New Roman"/>
                <w:snapToGrid w:val="0"/>
                <w:color w:val="auto"/>
                <w:kern w:val="0"/>
                <w:sz w:val="24"/>
                <w:highlight w:val="none"/>
                <w:lang w:val="en-US" w:eastAsia="zh-CN"/>
              </w:rPr>
              <w:t>90</w:t>
            </w:r>
            <w:r>
              <w:rPr>
                <w:rFonts w:hint="default" w:ascii="Times New Roman" w:hAnsi="Times New Roman" w:cs="Times New Roman"/>
                <w:snapToGrid w:val="0"/>
                <w:color w:val="auto"/>
                <w:kern w:val="0"/>
                <w:sz w:val="24"/>
                <w:highlight w:val="none"/>
              </w:rPr>
              <w:t>%考虑，</w:t>
            </w:r>
            <w:r>
              <w:rPr>
                <w:rFonts w:hint="default" w:ascii="Times New Roman" w:hAnsi="Times New Roman" w:eastAsia="宋体" w:cs="Times New Roman"/>
                <w:color w:val="auto"/>
                <w:kern w:val="2"/>
                <w:sz w:val="24"/>
                <w:szCs w:val="32"/>
                <w:highlight w:val="none"/>
                <w:lang w:val="en-US" w:eastAsia="zh-CN" w:bidi="ar-SA"/>
              </w:rPr>
              <w:t>风机风量10000</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r>
              <w:rPr>
                <w:rFonts w:hint="default" w:ascii="Times New Roman" w:hAnsi="Times New Roman" w:cs="Times New Roman"/>
                <w:color w:val="auto"/>
                <w:sz w:val="24"/>
                <w:highlight w:val="none"/>
                <w:lang w:eastAsia="zh-CN"/>
              </w:rPr>
              <w:t>，二级活性炭</w:t>
            </w:r>
            <w:r>
              <w:rPr>
                <w:rFonts w:hint="default" w:ascii="Times New Roman" w:hAnsi="Times New Roman" w:eastAsia="宋体" w:cs="Times New Roman"/>
                <w:color w:val="auto"/>
                <w:kern w:val="2"/>
                <w:sz w:val="24"/>
                <w:szCs w:val="32"/>
                <w:highlight w:val="none"/>
                <w:lang w:val="en-US" w:eastAsia="zh-CN" w:bidi="ar-SA"/>
              </w:rPr>
              <w:t>处理效率约为60%左右，则非甲烷总烃有组织排放量为1.08</w:t>
            </w:r>
            <w:r>
              <w:rPr>
                <w:rFonts w:hint="default" w:ascii="Times New Roman" w:hAnsi="Times New Roman" w:cs="Times New Roman"/>
                <w:color w:val="auto"/>
                <w:sz w:val="24"/>
                <w:highlight w:val="none"/>
                <w:lang w:val="en-US" w:eastAsia="zh-CN"/>
              </w:rPr>
              <w:t>t/a</w:t>
            </w:r>
            <w:r>
              <w:rPr>
                <w:rFonts w:hint="default" w:ascii="Times New Roman" w:hAnsi="Times New Roman" w:eastAsia="宋体" w:cs="Times New Roman"/>
                <w:color w:val="auto"/>
                <w:kern w:val="2"/>
                <w:sz w:val="24"/>
                <w:szCs w:val="32"/>
                <w:highlight w:val="none"/>
                <w:lang w:val="en-US" w:eastAsia="zh-CN" w:bidi="ar-SA"/>
              </w:rPr>
              <w:t>，排放</w:t>
            </w:r>
            <w:r>
              <w:rPr>
                <w:rFonts w:hint="default" w:ascii="Times New Roman" w:hAnsi="Times New Roman" w:cs="Times New Roman"/>
                <w:color w:val="auto"/>
                <w:sz w:val="24"/>
                <w:highlight w:val="none"/>
                <w:lang w:val="en-US" w:eastAsia="zh-CN"/>
              </w:rPr>
              <w:t>速率为0.</w:t>
            </w:r>
            <w:r>
              <w:rPr>
                <w:rFonts w:hint="eastAsia" w:cs="Times New Roman"/>
                <w:color w:val="auto"/>
                <w:sz w:val="24"/>
                <w:highlight w:val="none"/>
                <w:lang w:val="en-US" w:eastAsia="zh-CN"/>
              </w:rPr>
              <w:t>45</w:t>
            </w:r>
            <w:r>
              <w:rPr>
                <w:rFonts w:hint="default" w:ascii="Times New Roman" w:hAnsi="Times New Roman" w:cs="Times New Roman"/>
                <w:color w:val="auto"/>
                <w:sz w:val="24"/>
                <w:highlight w:val="none"/>
                <w:lang w:val="en-US" w:eastAsia="zh-CN"/>
              </w:rPr>
              <w:t>kg/h，排放</w:t>
            </w:r>
            <w:r>
              <w:rPr>
                <w:rFonts w:hint="default" w:ascii="Times New Roman" w:hAnsi="Times New Roman" w:cs="Times New Roman"/>
                <w:color w:val="auto"/>
                <w:sz w:val="24"/>
                <w:lang w:val="en-US" w:eastAsia="zh-CN"/>
              </w:rPr>
              <w:t>浓度为</w:t>
            </w:r>
            <w:r>
              <w:rPr>
                <w:rFonts w:hint="eastAsia" w:cs="Times New Roman"/>
                <w:color w:val="auto"/>
                <w:sz w:val="24"/>
                <w:lang w:val="en-US" w:eastAsia="zh-CN"/>
              </w:rPr>
              <w:t>45</w:t>
            </w:r>
            <w:r>
              <w:rPr>
                <w:rFonts w:hint="default" w:ascii="Times New Roman" w:hAnsi="Times New Roman" w:cs="Times New Roman"/>
                <w:color w:val="auto"/>
                <w:sz w:val="24"/>
                <w:lang w:val="en-US" w:eastAsia="zh-CN"/>
              </w:rPr>
              <w:t>mg/m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val="en-US" w:eastAsia="zh-CN"/>
              </w:rPr>
              <w:t>；未收集的有机废气无组织排放量为0.3t/a，排放速率为0.</w:t>
            </w:r>
            <w:r>
              <w:rPr>
                <w:rFonts w:hint="eastAsia" w:cs="Times New Roman"/>
                <w:color w:val="auto"/>
                <w:sz w:val="24"/>
                <w:lang w:val="en-US" w:eastAsia="zh-CN"/>
              </w:rPr>
              <w:t>125</w:t>
            </w:r>
            <w:r>
              <w:rPr>
                <w:rFonts w:hint="default" w:ascii="Times New Roman" w:hAnsi="Times New Roman" w:cs="Times New Roman"/>
                <w:color w:val="auto"/>
                <w:sz w:val="24"/>
                <w:lang w:val="en-US" w:eastAsia="zh-CN"/>
              </w:rPr>
              <w:t>kg/h。</w:t>
            </w:r>
            <w:bookmarkEnd w:id="10"/>
          </w:p>
          <w:p w14:paraId="41F61285">
            <w:pPr>
              <w:snapToGrid w:val="0"/>
              <w:spacing w:line="360" w:lineRule="auto"/>
              <w:rPr>
                <w:rFonts w:hint="default"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lang w:val="en-US" w:eastAsia="zh-CN"/>
              </w:rPr>
              <w:t>1.3</w:t>
            </w:r>
            <w:r>
              <w:rPr>
                <w:rFonts w:hint="default" w:ascii="Times New Roman" w:hAnsi="Times New Roman" w:eastAsia="宋体" w:cs="Times New Roman"/>
                <w:b/>
                <w:bCs/>
                <w:color w:val="auto"/>
                <w:sz w:val="24"/>
                <w:highlight w:val="none"/>
                <w:lang w:eastAsia="zh-CN"/>
              </w:rPr>
              <w:t>废气达标排放及影响分析</w:t>
            </w:r>
          </w:p>
          <w:p w14:paraId="3D11E56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项目注塑过程和挤出过程产生的非甲烷总烃经二级活性炭吸附处理后通过15m高排气筒（DA001）排放，本项目排放浓度为</w:t>
            </w:r>
            <w:r>
              <w:rPr>
                <w:rFonts w:hint="eastAsia" w:cs="Times New Roman"/>
                <w:color w:val="auto"/>
                <w:kern w:val="0"/>
                <w:sz w:val="24"/>
                <w:highlight w:val="none"/>
                <w:lang w:val="en-US" w:eastAsia="zh-CN" w:bidi="en-US"/>
              </w:rPr>
              <w:t>45</w:t>
            </w:r>
            <w:r>
              <w:rPr>
                <w:rFonts w:hint="default" w:ascii="Times New Roman" w:hAnsi="Times New Roman" w:eastAsia="宋体" w:cs="Times New Roman"/>
                <w:color w:val="auto"/>
                <w:kern w:val="0"/>
                <w:sz w:val="24"/>
                <w:highlight w:val="none"/>
                <w:lang w:val="en-US" w:eastAsia="en-US" w:bidi="en-US"/>
              </w:rPr>
              <w:t>mg/m</w:t>
            </w:r>
            <w:r>
              <w:rPr>
                <w:rFonts w:hint="default" w:ascii="Times New Roman" w:hAnsi="Times New Roman" w:eastAsia="宋体" w:cs="Times New Roman"/>
                <w:color w:val="auto"/>
                <w:kern w:val="0"/>
                <w:sz w:val="24"/>
                <w:highlight w:val="none"/>
                <w:vertAlign w:val="superscript"/>
                <w:lang w:val="en-US" w:eastAsia="zh-CN" w:bidi="en-US"/>
              </w:rPr>
              <w:t>3</w:t>
            </w:r>
            <w:r>
              <w:rPr>
                <w:rFonts w:hint="default" w:ascii="Times New Roman" w:hAnsi="Times New Roman" w:eastAsia="宋体" w:cs="Times New Roman"/>
                <w:color w:val="auto"/>
                <w:kern w:val="0"/>
                <w:sz w:val="24"/>
                <w:highlight w:val="none"/>
                <w:lang w:val="en-US" w:eastAsia="zh-CN" w:bidi="en-US"/>
              </w:rPr>
              <w:t>，满足</w:t>
            </w:r>
            <w:r>
              <w:rPr>
                <w:rFonts w:hint="default" w:ascii="Times New Roman" w:hAnsi="Times New Roman" w:eastAsia="宋体" w:cs="Times New Roman"/>
                <w:color w:val="auto"/>
                <w:kern w:val="0"/>
                <w:sz w:val="24"/>
                <w:highlight w:val="none"/>
                <w:lang w:val="en-US" w:eastAsia="en-US" w:bidi="en-US"/>
              </w:rPr>
              <w:t>《合成树脂工业污染物排放标准》（GB31572-2015）</w:t>
            </w:r>
            <w:r>
              <w:rPr>
                <w:rFonts w:hint="default" w:ascii="Times New Roman" w:hAnsi="Times New Roman" w:eastAsia="宋体" w:cs="Times New Roman"/>
                <w:color w:val="auto"/>
                <w:kern w:val="0"/>
                <w:sz w:val="24"/>
                <w:highlight w:val="none"/>
                <w:lang w:val="en-US" w:eastAsia="zh-CN" w:bidi="en-US"/>
              </w:rPr>
              <w:t>标准</w:t>
            </w:r>
            <w:r>
              <w:rPr>
                <w:rFonts w:hint="default" w:ascii="Times New Roman" w:hAnsi="Times New Roman" w:eastAsia="宋体" w:cs="Times New Roman"/>
                <w:color w:val="auto"/>
                <w:kern w:val="0"/>
                <w:sz w:val="24"/>
                <w:highlight w:val="none"/>
                <w:lang w:val="en-US" w:eastAsia="en-US" w:bidi="en-US"/>
              </w:rPr>
              <w:t>要求限值</w:t>
            </w:r>
            <w:r>
              <w:rPr>
                <w:rFonts w:hint="default" w:ascii="Times New Roman" w:hAnsi="Times New Roman" w:eastAsia="宋体" w:cs="Times New Roman"/>
                <w:color w:val="auto"/>
                <w:kern w:val="0"/>
                <w:sz w:val="24"/>
                <w:highlight w:val="none"/>
                <w:lang w:val="en-US" w:eastAsia="zh-CN" w:bidi="en-US"/>
              </w:rPr>
              <w:t>（6</w:t>
            </w:r>
            <w:r>
              <w:rPr>
                <w:rFonts w:hint="default" w:ascii="Times New Roman" w:hAnsi="Times New Roman" w:eastAsia="宋体" w:cs="Times New Roman"/>
                <w:color w:val="auto"/>
                <w:kern w:val="0"/>
                <w:sz w:val="24"/>
                <w:highlight w:val="none"/>
                <w:lang w:val="en-US" w:eastAsia="en-US" w:bidi="en-US"/>
              </w:rPr>
              <w:t>0mg/m</w:t>
            </w:r>
            <w:r>
              <w:rPr>
                <w:rFonts w:hint="default" w:ascii="Times New Roman" w:hAnsi="Times New Roman" w:eastAsia="宋体" w:cs="Times New Roman"/>
                <w:color w:val="auto"/>
                <w:kern w:val="0"/>
                <w:sz w:val="24"/>
                <w:highlight w:val="none"/>
                <w:vertAlign w:val="superscript"/>
                <w:lang w:val="en-US" w:eastAsia="en-US" w:bidi="en-US"/>
              </w:rPr>
              <w:t>3</w:t>
            </w:r>
            <w:r>
              <w:rPr>
                <w:rFonts w:hint="default" w:ascii="Times New Roman" w:hAnsi="Times New Roman" w:eastAsia="宋体" w:cs="Times New Roman"/>
                <w:color w:val="auto"/>
                <w:kern w:val="0"/>
                <w:sz w:val="24"/>
                <w:highlight w:val="none"/>
                <w:lang w:val="en-US" w:eastAsia="zh-CN" w:bidi="en-US"/>
              </w:rPr>
              <w:t>）。</w:t>
            </w:r>
          </w:p>
          <w:p w14:paraId="4A75E04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项目厂房高度9m，排气筒高度为15m，高于厂房高度6m，可</w:t>
            </w:r>
            <w:r>
              <w:rPr>
                <w:rFonts w:hint="eastAsia" w:ascii="Times New Roman" w:hAnsi="Times New Roman" w:eastAsia="宋体" w:cs="Times New Roman"/>
                <w:color w:val="auto"/>
                <w:kern w:val="0"/>
                <w:sz w:val="24"/>
                <w:highlight w:val="none"/>
                <w:lang w:val="en-US" w:eastAsia="zh-CN" w:bidi="en-US"/>
              </w:rPr>
              <w:t>满足排放要求。</w:t>
            </w:r>
          </w:p>
          <w:p w14:paraId="6AD658B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en-US" w:bidi="en-US"/>
              </w:rPr>
            </w:pPr>
            <w:r>
              <w:rPr>
                <w:rFonts w:hint="default" w:ascii="Times New Roman" w:hAnsi="Times New Roman" w:eastAsia="宋体" w:cs="Times New Roman"/>
                <w:color w:val="auto"/>
                <w:kern w:val="0"/>
                <w:sz w:val="24"/>
                <w:highlight w:val="none"/>
                <w:lang w:val="en-US" w:eastAsia="zh-CN" w:bidi="en-US"/>
              </w:rPr>
              <w:t>项目建成运营采取措施后的废气污染物产生量相对较小，有组织排放浓度满足相应标准要求，无组织排放强度较小，故该项目大气污染物环境影响可接受</w:t>
            </w:r>
            <w:r>
              <w:rPr>
                <w:rFonts w:hint="eastAsia" w:ascii="Times New Roman" w:hAnsi="Times New Roman" w:eastAsia="宋体" w:cs="Times New Roman"/>
                <w:color w:val="auto"/>
                <w:kern w:val="0"/>
                <w:sz w:val="24"/>
                <w:highlight w:val="none"/>
                <w:lang w:val="en-US" w:eastAsia="zh-CN" w:bidi="en-US"/>
              </w:rPr>
              <w:t>。</w:t>
            </w:r>
          </w:p>
          <w:p w14:paraId="20A15686">
            <w:pPr>
              <w:snapToGrid w:val="0"/>
              <w:spacing w:line="360" w:lineRule="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1.4</w:t>
            </w:r>
            <w:r>
              <w:rPr>
                <w:rFonts w:hint="default" w:ascii="Times New Roman" w:hAnsi="Times New Roman" w:eastAsia="宋体" w:cs="Times New Roman"/>
                <w:b/>
                <w:bCs/>
                <w:color w:val="auto"/>
                <w:sz w:val="24"/>
                <w:highlight w:val="none"/>
                <w:lang w:val="en-US" w:eastAsia="zh-CN"/>
              </w:rPr>
              <w:t>废气治理措施可行性分析</w:t>
            </w:r>
          </w:p>
          <w:p w14:paraId="176CC83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en-US" w:bidi="en-US"/>
              </w:rPr>
            </w:pPr>
            <w:r>
              <w:rPr>
                <w:rFonts w:hint="default" w:ascii="Times New Roman" w:hAnsi="Times New Roman" w:eastAsia="宋体" w:cs="Times New Roman"/>
                <w:color w:val="auto"/>
                <w:kern w:val="0"/>
                <w:sz w:val="24"/>
                <w:highlight w:val="none"/>
                <w:lang w:val="en-US" w:eastAsia="en-US" w:bidi="en-US"/>
              </w:rPr>
              <w:t>根据《挥发性有机物无组织排放控制标准》（GB37822-2019）中10.3.2规定：</w:t>
            </w:r>
            <w:r>
              <w:rPr>
                <w:rFonts w:hint="eastAsia" w:ascii="Times New Roman" w:hAnsi="Times New Roman" w:eastAsia="宋体" w:cs="Times New Roman"/>
                <w:color w:val="auto"/>
                <w:kern w:val="0"/>
                <w:sz w:val="24"/>
                <w:highlight w:val="none"/>
                <w:lang w:val="en-US" w:eastAsia="zh-CN" w:bidi="en-US"/>
              </w:rPr>
              <w:t>“</w:t>
            </w:r>
            <w:r>
              <w:rPr>
                <w:rFonts w:hint="default" w:ascii="Times New Roman" w:hAnsi="Times New Roman" w:eastAsia="宋体" w:cs="Times New Roman"/>
                <w:color w:val="auto"/>
                <w:kern w:val="0"/>
                <w:sz w:val="24"/>
                <w:highlight w:val="none"/>
                <w:lang w:val="en-US" w:eastAsia="en-US" w:bidi="en-US"/>
              </w:rPr>
              <w:t>对于重点地区，收集的废气中NMHC初始排放速率≥2kg/h时，应配置VOCs处理设施，处理效率不应低于80%</w:t>
            </w:r>
            <w:r>
              <w:rPr>
                <w:rFonts w:hint="eastAsia" w:ascii="Times New Roman" w:hAnsi="Times New Roman" w:eastAsia="宋体" w:cs="Times New Roman"/>
                <w:color w:val="auto"/>
                <w:kern w:val="0"/>
                <w:sz w:val="24"/>
                <w:highlight w:val="none"/>
                <w:lang w:val="en-US" w:eastAsia="zh-CN" w:bidi="en-US"/>
              </w:rPr>
              <w:t>”</w:t>
            </w:r>
            <w:r>
              <w:rPr>
                <w:rFonts w:hint="default" w:ascii="Times New Roman" w:hAnsi="Times New Roman" w:eastAsia="宋体" w:cs="Times New Roman"/>
                <w:color w:val="auto"/>
                <w:kern w:val="0"/>
                <w:sz w:val="24"/>
                <w:highlight w:val="none"/>
                <w:lang w:val="en-US" w:eastAsia="en-US" w:bidi="en-US"/>
              </w:rPr>
              <w:t>；根据《2020年挥发性有机物治理攻坚方案》第一条中规定</w:t>
            </w:r>
            <w:r>
              <w:rPr>
                <w:rFonts w:hint="eastAsia" w:ascii="Times New Roman" w:hAnsi="Times New Roman" w:eastAsia="宋体" w:cs="Times New Roman"/>
                <w:color w:val="auto"/>
                <w:kern w:val="0"/>
                <w:sz w:val="24"/>
                <w:highlight w:val="none"/>
                <w:lang w:val="en-US" w:eastAsia="zh-CN" w:bidi="en-US"/>
              </w:rPr>
              <w:t>“</w:t>
            </w:r>
            <w:r>
              <w:rPr>
                <w:rFonts w:hint="default" w:ascii="Times New Roman" w:hAnsi="Times New Roman" w:eastAsia="宋体" w:cs="Times New Roman"/>
                <w:color w:val="auto"/>
                <w:kern w:val="0"/>
                <w:sz w:val="24"/>
                <w:highlight w:val="none"/>
                <w:lang w:val="en-US" w:eastAsia="en-US" w:bidi="en-US"/>
              </w:rPr>
              <w:t>采用符合国家有关低VOCs含量产品规定的涂料、油墨、胶粘剂等，排放浓度稳定达标且排放速率满足相关规定的，相应生产工序可不要求建设末端治理设施。</w:t>
            </w:r>
            <w:r>
              <w:rPr>
                <w:rFonts w:hint="eastAsia" w:ascii="Times New Roman" w:hAnsi="Times New Roman" w:eastAsia="宋体" w:cs="Times New Roman"/>
                <w:color w:val="auto"/>
                <w:kern w:val="0"/>
                <w:sz w:val="24"/>
                <w:highlight w:val="none"/>
                <w:lang w:val="en-US" w:eastAsia="zh-CN" w:bidi="en-US"/>
              </w:rPr>
              <w:t>”</w:t>
            </w:r>
          </w:p>
          <w:p w14:paraId="02CB1EE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en-US" w:bidi="en-US"/>
              </w:rPr>
            </w:pPr>
            <w:r>
              <w:rPr>
                <w:rFonts w:hint="default" w:ascii="Times New Roman" w:hAnsi="Times New Roman" w:eastAsia="宋体" w:cs="Times New Roman"/>
                <w:color w:val="auto"/>
                <w:kern w:val="0"/>
                <w:sz w:val="24"/>
                <w:highlight w:val="none"/>
                <w:lang w:val="en-US" w:eastAsia="en-US" w:bidi="en-US"/>
              </w:rPr>
              <w:t>但鉴于项目所在地为不达标地区、结合地方环境管理要求，评价提出了对VOCs的收集处理措施。</w:t>
            </w:r>
          </w:p>
          <w:p w14:paraId="423E07F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eastAsia" w:ascii="Times New Roman" w:hAnsi="Times New Roman" w:eastAsia="宋体" w:cs="Times New Roman"/>
                <w:color w:val="auto"/>
                <w:kern w:val="0"/>
                <w:sz w:val="24"/>
                <w:highlight w:val="none"/>
                <w:lang w:val="en-US" w:eastAsia="zh-CN" w:bidi="en-US"/>
              </w:rPr>
              <w:t>根据</w:t>
            </w:r>
            <w:r>
              <w:rPr>
                <w:rFonts w:hint="default" w:ascii="Times New Roman" w:hAnsi="Times New Roman" w:eastAsia="宋体" w:cs="Times New Roman"/>
                <w:color w:val="auto"/>
                <w:kern w:val="0"/>
                <w:sz w:val="24"/>
                <w:highlight w:val="none"/>
                <w:lang w:val="en-US" w:eastAsia="zh-CN" w:bidi="en-US"/>
              </w:rPr>
              <w:t>《排污许可证申请与核发技术规范 橡胶和塑料制品工业》（HJ</w:t>
            </w:r>
            <w:r>
              <w:rPr>
                <w:rFonts w:hint="eastAsia" w:ascii="Times New Roman" w:hAnsi="Times New Roman" w:eastAsia="宋体" w:cs="Times New Roman"/>
                <w:color w:val="auto"/>
                <w:kern w:val="0"/>
                <w:sz w:val="24"/>
                <w:highlight w:val="none"/>
                <w:lang w:val="en-US" w:eastAsia="zh-CN" w:bidi="en-US"/>
              </w:rPr>
              <w:t>1122</w:t>
            </w:r>
            <w:r>
              <w:rPr>
                <w:rFonts w:hint="default" w:ascii="Times New Roman" w:hAnsi="Times New Roman" w:eastAsia="宋体" w:cs="Times New Roman"/>
                <w:color w:val="auto"/>
                <w:kern w:val="0"/>
                <w:sz w:val="24"/>
                <w:highlight w:val="none"/>
                <w:lang w:val="en-US" w:eastAsia="zh-CN" w:bidi="en-US"/>
              </w:rPr>
              <w:t>-</w:t>
            </w:r>
          </w:p>
          <w:p w14:paraId="60013743">
            <w:pPr>
              <w:keepNext w:val="0"/>
              <w:keepLines w:val="0"/>
              <w:suppressLineNumbers w:val="0"/>
              <w:spacing w:before="0" w:beforeAutospacing="0" w:after="0" w:afterAutospacing="0" w:line="360" w:lineRule="auto"/>
              <w:ind w:right="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20</w:t>
            </w:r>
            <w:r>
              <w:rPr>
                <w:rFonts w:hint="eastAsia" w:ascii="Times New Roman" w:hAnsi="Times New Roman" w:eastAsia="宋体" w:cs="Times New Roman"/>
                <w:color w:val="auto"/>
                <w:kern w:val="0"/>
                <w:sz w:val="24"/>
                <w:highlight w:val="none"/>
                <w:lang w:val="en-US" w:eastAsia="zh-CN" w:bidi="en-US"/>
              </w:rPr>
              <w:t>20</w:t>
            </w:r>
            <w:r>
              <w:rPr>
                <w:rFonts w:hint="default" w:ascii="Times New Roman" w:hAnsi="Times New Roman" w:eastAsia="宋体" w:cs="Times New Roman"/>
                <w:color w:val="auto"/>
                <w:kern w:val="0"/>
                <w:sz w:val="24"/>
                <w:highlight w:val="none"/>
                <w:lang w:val="en-US" w:eastAsia="zh-CN" w:bidi="en-US"/>
              </w:rPr>
              <w:t>）</w:t>
            </w:r>
            <w:r>
              <w:rPr>
                <w:rFonts w:hint="eastAsia" w:ascii="Times New Roman" w:hAnsi="Times New Roman" w:eastAsia="宋体" w:cs="Times New Roman"/>
                <w:color w:val="auto"/>
                <w:kern w:val="0"/>
                <w:sz w:val="24"/>
                <w:highlight w:val="none"/>
                <w:lang w:val="en-US" w:eastAsia="zh-CN" w:bidi="en-US"/>
              </w:rPr>
              <w:t>中规定，项目有机废气处理措施可行。具体见表4-3。</w:t>
            </w:r>
          </w:p>
          <w:p w14:paraId="19427912">
            <w:pPr>
              <w:keepNext w:val="0"/>
              <w:keepLines w:val="0"/>
              <w:pageBreakBefore w:val="0"/>
              <w:widowControl w:val="0"/>
              <w:kinsoku/>
              <w:wordWrap/>
              <w:overflowPunct/>
              <w:topLinePunct w:val="0"/>
              <w:autoSpaceDE/>
              <w:autoSpaceDN/>
              <w:bidi w:val="0"/>
              <w:adjustRightInd/>
              <w:snapToGrid/>
              <w:spacing w:after="80" w:line="264" w:lineRule="auto"/>
              <w:ind w:left="0" w:leftChars="0" w:right="0" w:rightChars="0"/>
              <w:jc w:val="center"/>
              <w:textAlignment w:val="center"/>
              <w:rPr>
                <w:rFonts w:hint="default" w:ascii="Times New Roman" w:hAnsi="Times New Roman" w:cs="Times New Roman" w:eastAsiaTheme="majorEastAsia"/>
                <w:b/>
                <w:bCs/>
                <w:color w:val="auto"/>
                <w:szCs w:val="21"/>
                <w:lang w:val="en-US" w:eastAsia="zh-CN"/>
              </w:rPr>
            </w:pPr>
            <w:r>
              <w:rPr>
                <w:rFonts w:hint="default" w:ascii="Times New Roman" w:hAnsi="Times New Roman" w:cs="Times New Roman" w:eastAsiaTheme="majorEastAsia"/>
                <w:b/>
                <w:bCs/>
                <w:color w:val="auto"/>
                <w:szCs w:val="21"/>
                <w:lang w:val="en-US" w:eastAsia="zh-CN"/>
              </w:rPr>
              <w:t>表4-3 废气污染防治可行性技术符合性分析表</w:t>
            </w:r>
          </w:p>
          <w:tbl>
            <w:tblPr>
              <w:tblStyle w:val="24"/>
              <w:tblW w:w="4983"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49"/>
              <w:gridCol w:w="1132"/>
              <w:gridCol w:w="900"/>
              <w:gridCol w:w="701"/>
              <w:gridCol w:w="703"/>
              <w:gridCol w:w="887"/>
              <w:gridCol w:w="1097"/>
              <w:gridCol w:w="812"/>
            </w:tblGrid>
            <w:tr w14:paraId="308B1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46" w:type="pct"/>
                  <w:noWrap w:val="0"/>
                  <w:vAlign w:val="center"/>
                </w:tcPr>
                <w:p w14:paraId="53757677">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val="en-US" w:eastAsia="zh-CN"/>
                    </w:rPr>
                    <w:t>排污单位类别</w:t>
                  </w:r>
                </w:p>
              </w:tc>
              <w:tc>
                <w:tcPr>
                  <w:tcW w:w="718" w:type="pct"/>
                  <w:noWrap w:val="0"/>
                  <w:vAlign w:val="center"/>
                </w:tcPr>
                <w:p w14:paraId="7E10D7FF">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生产设施</w:t>
                  </w:r>
                </w:p>
              </w:tc>
              <w:tc>
                <w:tcPr>
                  <w:tcW w:w="570" w:type="pct"/>
                  <w:noWrap w:val="0"/>
                  <w:vAlign w:val="center"/>
                </w:tcPr>
                <w:p w14:paraId="4AA3BA5B">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cs="Times New Roman"/>
                      <w:b/>
                      <w:bCs/>
                      <w:color w:val="auto"/>
                      <w:sz w:val="21"/>
                      <w:szCs w:val="21"/>
                      <w:lang w:eastAsia="zh-CN"/>
                    </w:rPr>
                  </w:pPr>
                  <w:r>
                    <w:rPr>
                      <w:rFonts w:hint="eastAsia" w:cs="Times New Roman"/>
                      <w:b/>
                      <w:bCs/>
                      <w:color w:val="auto"/>
                      <w:sz w:val="21"/>
                      <w:szCs w:val="21"/>
                      <w:lang w:eastAsia="zh-CN"/>
                    </w:rPr>
                    <w:t>废气产污环节</w:t>
                  </w:r>
                </w:p>
              </w:tc>
              <w:tc>
                <w:tcPr>
                  <w:tcW w:w="444" w:type="pct"/>
                  <w:noWrap w:val="0"/>
                  <w:vAlign w:val="center"/>
                </w:tcPr>
                <w:p w14:paraId="575E0A5B">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污染物种类</w:t>
                  </w:r>
                </w:p>
              </w:tc>
              <w:tc>
                <w:tcPr>
                  <w:tcW w:w="446" w:type="pct"/>
                  <w:noWrap w:val="0"/>
                  <w:vAlign w:val="center"/>
                </w:tcPr>
                <w:p w14:paraId="0355C0CF">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排放方式</w:t>
                  </w:r>
                </w:p>
              </w:tc>
              <w:tc>
                <w:tcPr>
                  <w:tcW w:w="562" w:type="pct"/>
                  <w:noWrap w:val="0"/>
                  <w:vAlign w:val="center"/>
                </w:tcPr>
                <w:p w14:paraId="47A94299">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可行技术</w:t>
                  </w:r>
                </w:p>
              </w:tc>
              <w:tc>
                <w:tcPr>
                  <w:tcW w:w="695" w:type="pct"/>
                  <w:noWrap w:val="0"/>
                  <w:vAlign w:val="center"/>
                </w:tcPr>
                <w:p w14:paraId="3C6B3FED">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项目实际采取措施</w:t>
                  </w:r>
                </w:p>
              </w:tc>
              <w:tc>
                <w:tcPr>
                  <w:tcW w:w="515" w:type="pct"/>
                  <w:noWrap w:val="0"/>
                  <w:vAlign w:val="center"/>
                </w:tcPr>
                <w:p w14:paraId="0F6162EE">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是否为可行技术</w:t>
                  </w:r>
                </w:p>
              </w:tc>
            </w:tr>
            <w:tr w14:paraId="3E87E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46" w:type="pct"/>
                  <w:noWrap w:val="0"/>
                  <w:vAlign w:val="center"/>
                </w:tcPr>
                <w:p w14:paraId="6EB064F3">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lang w:val="en-US" w:eastAsia="zh-CN"/>
                    </w:rPr>
                    <w:t>塑料板、管、型材制造</w:t>
                  </w:r>
                </w:p>
              </w:tc>
              <w:tc>
                <w:tcPr>
                  <w:tcW w:w="718" w:type="pct"/>
                  <w:noWrap w:val="0"/>
                  <w:vAlign w:val="center"/>
                </w:tcPr>
                <w:p w14:paraId="516AD427">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注塑机、挤出机</w:t>
                  </w:r>
                </w:p>
              </w:tc>
              <w:tc>
                <w:tcPr>
                  <w:tcW w:w="570" w:type="pct"/>
                  <w:noWrap w:val="0"/>
                  <w:vAlign w:val="center"/>
                </w:tcPr>
                <w:p w14:paraId="12ADF847">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挥发废气</w:t>
                  </w:r>
                </w:p>
              </w:tc>
              <w:tc>
                <w:tcPr>
                  <w:tcW w:w="444" w:type="pct"/>
                  <w:noWrap w:val="0"/>
                  <w:vAlign w:val="center"/>
                </w:tcPr>
                <w:p w14:paraId="4F090374">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非甲烷总烃</w:t>
                  </w:r>
                </w:p>
              </w:tc>
              <w:tc>
                <w:tcPr>
                  <w:tcW w:w="446" w:type="pct"/>
                  <w:noWrap w:val="0"/>
                  <w:vAlign w:val="center"/>
                </w:tcPr>
                <w:p w14:paraId="1B8EE3E1">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有组织</w:t>
                  </w:r>
                </w:p>
              </w:tc>
              <w:tc>
                <w:tcPr>
                  <w:tcW w:w="562" w:type="pct"/>
                  <w:noWrap w:val="0"/>
                  <w:vAlign w:val="center"/>
                </w:tcPr>
                <w:p w14:paraId="77D1C6D7">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Arial" w:cs="Times New Roman"/>
                      <w:color w:val="auto"/>
                      <w:kern w:val="2"/>
                      <w:sz w:val="21"/>
                      <w:szCs w:val="21"/>
                      <w:vertAlign w:val="baseline"/>
                      <w:lang w:val="en-US" w:eastAsia="zh-CN" w:bidi="ar-SA"/>
                    </w:rPr>
                  </w:pPr>
                  <w:r>
                    <w:rPr>
                      <w:rFonts w:hint="eastAsia" w:ascii="Times New Roman" w:hAnsi="Times New Roman" w:eastAsia="Arial" w:cs="Times New Roman"/>
                      <w:color w:val="auto"/>
                      <w:kern w:val="2"/>
                      <w:sz w:val="21"/>
                      <w:szCs w:val="21"/>
                      <w:vertAlign w:val="baseline"/>
                      <w:lang w:val="en-US" w:eastAsia="zh-CN" w:bidi="ar-SA"/>
                    </w:rPr>
                    <w:t>吸附</w:t>
                  </w:r>
                </w:p>
              </w:tc>
              <w:tc>
                <w:tcPr>
                  <w:tcW w:w="695" w:type="pct"/>
                  <w:noWrap w:val="0"/>
                  <w:vAlign w:val="center"/>
                </w:tcPr>
                <w:p w14:paraId="66775757">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二级活性炭</w:t>
                  </w:r>
                </w:p>
              </w:tc>
              <w:tc>
                <w:tcPr>
                  <w:tcW w:w="515" w:type="pct"/>
                  <w:noWrap w:val="0"/>
                  <w:vAlign w:val="center"/>
                </w:tcPr>
                <w:p w14:paraId="4795404A">
                  <w:pPr>
                    <w:pStyle w:val="34"/>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olor w:val="auto"/>
                      <w:lang w:eastAsia="zh-CN"/>
                    </w:rPr>
                  </w:pPr>
                  <w:r>
                    <w:rPr>
                      <w:rFonts w:hint="eastAsia" w:cs="Times New Roman"/>
                      <w:color w:val="auto"/>
                      <w:lang w:eastAsia="zh-CN"/>
                    </w:rPr>
                    <w:t>是</w:t>
                  </w:r>
                </w:p>
              </w:tc>
            </w:tr>
          </w:tbl>
          <w:p w14:paraId="789215B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本次评价对环保设施提出如下要求：</w:t>
            </w:r>
          </w:p>
          <w:p w14:paraId="3539708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①在废气处理设施达到正常运行条件后方可启动生产设备，在生产设备停止、残留VOCs废气收集处理完毕后，方可停运处理设施；</w:t>
            </w:r>
          </w:p>
          <w:p w14:paraId="620ADC6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②根据《活性炭吸附装置入户核查要点》相关要求，“颗粒活性炭碘吸附值≥800mg/g，比表面积≥850m</w:t>
            </w:r>
            <w:r>
              <w:rPr>
                <w:rFonts w:hint="default" w:ascii="Times New Roman" w:hAnsi="Times New Roman" w:eastAsia="宋体" w:cs="Times New Roman"/>
                <w:color w:val="auto"/>
                <w:kern w:val="0"/>
                <w:sz w:val="24"/>
                <w:highlight w:val="none"/>
                <w:vertAlign w:val="superscript"/>
                <w:lang w:val="en-US" w:eastAsia="zh-CN" w:bidi="en-US"/>
              </w:rPr>
              <w:t>2</w:t>
            </w:r>
            <w:r>
              <w:rPr>
                <w:rFonts w:hint="default" w:ascii="Times New Roman" w:hAnsi="Times New Roman" w:eastAsia="宋体" w:cs="Times New Roman"/>
                <w:color w:val="auto"/>
                <w:kern w:val="0"/>
                <w:sz w:val="24"/>
                <w:highlight w:val="none"/>
                <w:lang w:val="en-US" w:eastAsia="zh-CN" w:bidi="en-US"/>
              </w:rPr>
              <w:t>/g；蜂窝活性炭横向抗压强度应不低于0.9MPa，</w:t>
            </w:r>
          </w:p>
          <w:p w14:paraId="4276ECFB">
            <w:pPr>
              <w:keepNext w:val="0"/>
              <w:keepLines w:val="0"/>
              <w:suppressLineNumbers w:val="0"/>
              <w:spacing w:before="0" w:beforeAutospacing="0" w:after="0" w:afterAutospacing="0" w:line="360" w:lineRule="auto"/>
              <w:ind w:right="0"/>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纵向强度应不低于0.4MPa，碘吸附值≥650mg/g，比表面积≥750m</w:t>
            </w:r>
            <w:r>
              <w:rPr>
                <w:rFonts w:hint="default" w:ascii="Times New Roman" w:hAnsi="Times New Roman" w:eastAsia="宋体" w:cs="Times New Roman"/>
                <w:color w:val="auto"/>
                <w:kern w:val="0"/>
                <w:sz w:val="24"/>
                <w:highlight w:val="none"/>
                <w:vertAlign w:val="superscript"/>
                <w:lang w:val="en-US" w:eastAsia="zh-CN" w:bidi="en-US"/>
              </w:rPr>
              <w:t>2</w:t>
            </w:r>
            <w:r>
              <w:rPr>
                <w:rFonts w:hint="default" w:ascii="Times New Roman" w:hAnsi="Times New Roman" w:eastAsia="宋体" w:cs="Times New Roman"/>
                <w:color w:val="auto"/>
                <w:kern w:val="0"/>
                <w:sz w:val="24"/>
                <w:highlight w:val="none"/>
                <w:lang w:val="en-US" w:eastAsia="zh-CN" w:bidi="en-US"/>
              </w:rPr>
              <w:t>/g。活性</w:t>
            </w:r>
            <w:r>
              <w:rPr>
                <w:rFonts w:hint="default" w:ascii="Times New Roman" w:hAnsi="Times New Roman" w:eastAsia="宋体" w:cs="Times New Roman"/>
                <w:color w:val="auto"/>
                <w:kern w:val="0"/>
                <w:sz w:val="24"/>
                <w:szCs w:val="24"/>
                <w:highlight w:val="none"/>
                <w:lang w:val="en-US" w:eastAsia="zh-CN" w:bidi="en-US"/>
              </w:rPr>
              <w:t>炭更换周期一般不应超过累计运行500小时或3个月；</w:t>
            </w:r>
          </w:p>
          <w:p w14:paraId="28B88E4C">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ascii="Times New Roman" w:hAnsi="Times New Roman" w:eastAsia="宋体" w:cs="Times New Roman"/>
                <w:color w:val="auto"/>
                <w:kern w:val="0"/>
                <w:sz w:val="24"/>
                <w:szCs w:val="24"/>
                <w:highlight w:val="none"/>
                <w:lang w:val="en-US" w:eastAsia="zh-CN" w:bidi="en-US"/>
              </w:rPr>
            </w:pPr>
            <w:r>
              <w:rPr>
                <w:rFonts w:hint="eastAsia" w:ascii="Times New Roman" w:hAnsi="Times New Roman" w:eastAsia="宋体" w:cs="Times New Roman"/>
                <w:color w:val="auto"/>
                <w:kern w:val="0"/>
                <w:sz w:val="24"/>
                <w:szCs w:val="24"/>
                <w:highlight w:val="none"/>
                <w:lang w:val="en-US" w:eastAsia="zh-CN" w:bidi="en-US"/>
              </w:rPr>
              <w:t>③项目废气收集及处理设施安装完成后，应根据《排风罩的分类及技术条件》（GB/T16758-2008）及《局部排风设施控制风速检测与评估技术规范》（WS/T757-2016）规定的方法对风速进行测量，保证距离及其中开口面最远处的VOCs无组织排放位置风速不低于0.3米/秒；</w:t>
            </w:r>
          </w:p>
          <w:p w14:paraId="4B51C7F4">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eastAsia" w:ascii="Times New Roman" w:hAnsi="Times New Roman" w:eastAsia="宋体" w:cs="Times New Roman"/>
                <w:color w:val="auto"/>
                <w:kern w:val="0"/>
                <w:sz w:val="24"/>
                <w:szCs w:val="24"/>
                <w:highlight w:val="none"/>
                <w:lang w:val="en-US" w:eastAsia="zh-CN" w:bidi="en-US"/>
              </w:rPr>
              <w:t>④</w:t>
            </w:r>
            <w:r>
              <w:rPr>
                <w:rFonts w:hint="default" w:ascii="Times New Roman" w:hAnsi="Times New Roman" w:eastAsia="宋体" w:cs="Times New Roman"/>
                <w:color w:val="auto"/>
                <w:kern w:val="0"/>
                <w:sz w:val="24"/>
                <w:szCs w:val="24"/>
                <w:highlight w:val="none"/>
                <w:lang w:val="en-US" w:eastAsia="zh-CN" w:bidi="en-US"/>
              </w:rPr>
              <w:t>更换的废活性炭属于危险废物，收集后暂存于</w:t>
            </w:r>
            <w:r>
              <w:rPr>
                <w:rFonts w:hint="eastAsia" w:ascii="Times New Roman" w:hAnsi="Times New Roman" w:eastAsia="宋体" w:cs="Times New Roman"/>
                <w:color w:val="auto"/>
                <w:kern w:val="0"/>
                <w:sz w:val="24"/>
                <w:szCs w:val="24"/>
                <w:highlight w:val="none"/>
                <w:lang w:val="en-US" w:eastAsia="zh-CN" w:bidi="en-US"/>
              </w:rPr>
              <w:t>危险废物贮存库</w:t>
            </w:r>
            <w:r>
              <w:rPr>
                <w:rFonts w:hint="default" w:ascii="Times New Roman" w:hAnsi="Times New Roman" w:eastAsia="宋体" w:cs="Times New Roman"/>
                <w:color w:val="auto"/>
                <w:kern w:val="0"/>
                <w:sz w:val="24"/>
                <w:szCs w:val="24"/>
                <w:highlight w:val="none"/>
                <w:lang w:val="en-US" w:eastAsia="zh-CN" w:bidi="en-US"/>
              </w:rPr>
              <w:t>，定期交有资质单位处置，严禁私自处置。</w:t>
            </w:r>
          </w:p>
          <w:p w14:paraId="3F03D5BA">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⑤</w:t>
            </w:r>
            <w:r>
              <w:rPr>
                <w:rFonts w:hint="eastAsia" w:ascii="Times New Roman" w:hAnsi="Times New Roman" w:eastAsia="宋体" w:cs="Times New Roman"/>
                <w:color w:val="auto"/>
                <w:kern w:val="0"/>
                <w:sz w:val="24"/>
                <w:szCs w:val="24"/>
                <w:highlight w:val="none"/>
                <w:lang w:val="en-US" w:eastAsia="zh-CN" w:bidi="en-US"/>
              </w:rPr>
              <w:t>有机废气的的收集处理措施必须满足环评及相关政策要求，确保达标排放。</w:t>
            </w:r>
          </w:p>
          <w:p w14:paraId="2E0C8ACE">
            <w:pPr>
              <w:keepNext w:val="0"/>
              <w:keepLines w:val="0"/>
              <w:pageBreakBefore w:val="0"/>
              <w:widowControl/>
              <w:kinsoku/>
              <w:wordWrap/>
              <w:overflowPunct/>
              <w:topLinePunct w:val="0"/>
              <w:autoSpaceDE/>
              <w:autoSpaceDN/>
              <w:bidi w:val="0"/>
              <w:adjustRightInd/>
              <w:snapToGrid/>
              <w:spacing w:line="360" w:lineRule="auto"/>
              <w:ind w:right="0" w:rightChars="0"/>
              <w:jc w:val="left"/>
              <w:textAlignment w:val="auto"/>
              <w:rPr>
                <w:rFonts w:hint="default" w:ascii="Times New Roman" w:hAnsi="Times New Roman" w:cs="Times New Roman"/>
                <w:b/>
                <w:color w:val="auto"/>
                <w:kern w:val="0"/>
                <w:sz w:val="24"/>
                <w:lang w:bidi="en-US"/>
              </w:rPr>
            </w:pPr>
            <w:r>
              <w:rPr>
                <w:rFonts w:hint="eastAsia" w:ascii="Times New Roman" w:hAnsi="Times New Roman" w:cs="Times New Roman"/>
                <w:b/>
                <w:color w:val="auto"/>
                <w:kern w:val="0"/>
                <w:sz w:val="24"/>
                <w:lang w:val="en-US" w:eastAsia="zh-CN" w:bidi="en-US"/>
              </w:rPr>
              <w:t>1.</w:t>
            </w:r>
            <w:r>
              <w:rPr>
                <w:rFonts w:hint="default" w:ascii="Times New Roman" w:hAnsi="Times New Roman" w:cs="Times New Roman"/>
                <w:b/>
                <w:color w:val="auto"/>
                <w:kern w:val="0"/>
                <w:sz w:val="24"/>
                <w:lang w:val="en-US" w:eastAsia="zh-CN" w:bidi="en-US"/>
              </w:rPr>
              <w:t>5</w:t>
            </w:r>
            <w:r>
              <w:rPr>
                <w:rFonts w:hint="default" w:ascii="Times New Roman" w:hAnsi="Times New Roman" w:cs="Times New Roman"/>
                <w:b/>
                <w:color w:val="auto"/>
                <w:kern w:val="0"/>
                <w:sz w:val="24"/>
                <w:lang w:bidi="en-US"/>
              </w:rPr>
              <w:t>废气排放口设置情况</w:t>
            </w:r>
          </w:p>
          <w:p w14:paraId="6561B8EB">
            <w:pPr>
              <w:keepNext w:val="0"/>
              <w:keepLines w:val="0"/>
              <w:pageBreakBefore w:val="0"/>
              <w:widowControl/>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s="Times New Roman"/>
                <w:color w:val="auto"/>
                <w:kern w:val="0"/>
                <w:sz w:val="24"/>
                <w:lang w:bidi="en-US"/>
              </w:rPr>
            </w:pPr>
            <w:r>
              <w:rPr>
                <w:rFonts w:hint="default" w:ascii="Times New Roman" w:hAnsi="Times New Roman" w:cs="Times New Roman"/>
                <w:color w:val="auto"/>
                <w:kern w:val="0"/>
                <w:sz w:val="24"/>
                <w:lang w:bidi="en-US"/>
              </w:rPr>
              <w:t>本项目废气排放口设置情况见表4-</w:t>
            </w:r>
            <w:r>
              <w:rPr>
                <w:rFonts w:hint="eastAsia" w:ascii="Times New Roman" w:hAnsi="Times New Roman" w:cs="Times New Roman"/>
                <w:color w:val="auto"/>
                <w:kern w:val="0"/>
                <w:sz w:val="24"/>
                <w:lang w:val="en-US" w:eastAsia="zh-CN" w:bidi="en-US"/>
              </w:rPr>
              <w:t>4</w:t>
            </w:r>
            <w:r>
              <w:rPr>
                <w:rFonts w:hint="default" w:ascii="Times New Roman" w:hAnsi="Times New Roman" w:cs="Times New Roman"/>
                <w:color w:val="auto"/>
                <w:kern w:val="0"/>
                <w:sz w:val="24"/>
                <w:lang w:bidi="en-US"/>
              </w:rPr>
              <w:t>。</w:t>
            </w:r>
          </w:p>
          <w:p w14:paraId="490454BA">
            <w:pPr>
              <w:keepNext w:val="0"/>
              <w:keepLines w:val="0"/>
              <w:pageBreakBefore w:val="0"/>
              <w:widowControl w:val="0"/>
              <w:kinsoku/>
              <w:wordWrap/>
              <w:overflowPunct/>
              <w:topLinePunct w:val="0"/>
              <w:autoSpaceDE/>
              <w:autoSpaceDN/>
              <w:bidi w:val="0"/>
              <w:adjustRightInd/>
              <w:snapToGrid/>
              <w:spacing w:after="80" w:line="264" w:lineRule="auto"/>
              <w:ind w:left="0" w:leftChars="0" w:right="0" w:rightChars="0"/>
              <w:jc w:val="center"/>
              <w:textAlignment w:val="center"/>
              <w:rPr>
                <w:rFonts w:hint="default" w:ascii="Times New Roman" w:hAnsi="Times New Roman" w:cs="Times New Roman" w:eastAsiaTheme="majorEastAsia"/>
                <w:b/>
                <w:bCs/>
                <w:color w:val="auto"/>
                <w:szCs w:val="21"/>
                <w:lang w:val="en-US" w:eastAsia="zh-CN"/>
              </w:rPr>
            </w:pPr>
            <w:r>
              <w:rPr>
                <w:rFonts w:hint="default" w:ascii="Times New Roman" w:hAnsi="Times New Roman" w:cs="Times New Roman" w:eastAsiaTheme="majorEastAsia"/>
                <w:b/>
                <w:bCs/>
                <w:color w:val="auto"/>
                <w:szCs w:val="21"/>
                <w:lang w:val="en-US" w:eastAsia="zh-CN"/>
              </w:rPr>
              <w:t>表4-</w:t>
            </w:r>
            <w:r>
              <w:rPr>
                <w:rFonts w:hint="eastAsia" w:ascii="Times New Roman" w:hAnsi="Times New Roman" w:cs="Times New Roman" w:eastAsiaTheme="majorEastAsia"/>
                <w:b/>
                <w:bCs/>
                <w:color w:val="auto"/>
                <w:szCs w:val="21"/>
                <w:lang w:val="en-US" w:eastAsia="zh-CN"/>
              </w:rPr>
              <w:t xml:space="preserve">4 </w:t>
            </w:r>
            <w:r>
              <w:rPr>
                <w:rFonts w:hint="default" w:ascii="Times New Roman" w:hAnsi="Times New Roman" w:cs="Times New Roman" w:eastAsiaTheme="majorEastAsia"/>
                <w:b/>
                <w:bCs/>
                <w:color w:val="auto"/>
                <w:szCs w:val="21"/>
                <w:lang w:val="en-US" w:eastAsia="zh-CN"/>
              </w:rPr>
              <w:t>项目废气排放口设置情况表</w:t>
            </w:r>
          </w:p>
          <w:tbl>
            <w:tblPr>
              <w:tblStyle w:val="24"/>
              <w:tblW w:w="498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3"/>
              <w:gridCol w:w="739"/>
              <w:gridCol w:w="755"/>
              <w:gridCol w:w="723"/>
              <w:gridCol w:w="668"/>
              <w:gridCol w:w="627"/>
              <w:gridCol w:w="526"/>
              <w:gridCol w:w="742"/>
              <w:gridCol w:w="692"/>
              <w:gridCol w:w="1658"/>
            </w:tblGrid>
            <w:tr w14:paraId="28EDF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753" w:type="dxa"/>
                  <w:vMerge w:val="restart"/>
                  <w:noWrap w:val="0"/>
                  <w:vAlign w:val="center"/>
                </w:tcPr>
                <w:p w14:paraId="7096AEEB">
                  <w:pPr>
                    <w:keepNext w:val="0"/>
                    <w:keepLines w:val="0"/>
                    <w:pageBreakBefore w:val="0"/>
                    <w:widowControl w:val="0"/>
                    <w:kinsoku/>
                    <w:wordWrap/>
                    <w:overflowPunct/>
                    <w:topLinePunct w:val="0"/>
                    <w:autoSpaceDE w:val="0"/>
                    <w:autoSpaceDN w:val="0"/>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b/>
                      <w:color w:val="auto"/>
                      <w:spacing w:val="0"/>
                      <w:sz w:val="21"/>
                      <w:szCs w:val="21"/>
                      <w:lang w:val="en-US" w:eastAsia="zh-CN"/>
                    </w:rPr>
                  </w:pPr>
                  <w:r>
                    <w:rPr>
                      <w:rFonts w:hint="default" w:ascii="Times New Roman" w:hAnsi="Times New Roman" w:cs="Times New Roman"/>
                      <w:b/>
                      <w:bCs/>
                      <w:color w:val="auto"/>
                      <w:lang w:val="en-US" w:eastAsia="zh-CN"/>
                    </w:rPr>
                    <w:t>排放口名称</w:t>
                  </w:r>
                </w:p>
              </w:tc>
              <w:tc>
                <w:tcPr>
                  <w:tcW w:w="739" w:type="dxa"/>
                  <w:vMerge w:val="restart"/>
                  <w:noWrap w:val="0"/>
                  <w:vAlign w:val="center"/>
                </w:tcPr>
                <w:p w14:paraId="0197B561">
                  <w:pPr>
                    <w:keepNext w:val="0"/>
                    <w:keepLines w:val="0"/>
                    <w:pageBreakBefore w:val="0"/>
                    <w:widowControl w:val="0"/>
                    <w:kinsoku/>
                    <w:wordWrap/>
                    <w:overflowPunct/>
                    <w:topLinePunct w:val="0"/>
                    <w:autoSpaceDE w:val="0"/>
                    <w:autoSpaceDN w:val="0"/>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color w:val="auto"/>
                      <w:lang w:val="en-US" w:eastAsia="zh-CN"/>
                    </w:rPr>
                    <w:t>排放口编号</w:t>
                  </w:r>
                </w:p>
              </w:tc>
              <w:tc>
                <w:tcPr>
                  <w:tcW w:w="755" w:type="dxa"/>
                  <w:vMerge w:val="restart"/>
                  <w:noWrap w:val="0"/>
                  <w:vAlign w:val="center"/>
                </w:tcPr>
                <w:p w14:paraId="33ABDD88">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污染物</w:t>
                  </w:r>
                </w:p>
              </w:tc>
              <w:tc>
                <w:tcPr>
                  <w:tcW w:w="1391" w:type="dxa"/>
                  <w:gridSpan w:val="2"/>
                  <w:noWrap w:val="0"/>
                  <w:vAlign w:val="center"/>
                </w:tcPr>
                <w:p w14:paraId="5757359E">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坐标</w:t>
                  </w:r>
                </w:p>
              </w:tc>
              <w:tc>
                <w:tcPr>
                  <w:tcW w:w="627" w:type="dxa"/>
                  <w:vMerge w:val="restart"/>
                  <w:noWrap w:val="0"/>
                  <w:vAlign w:val="center"/>
                </w:tcPr>
                <w:p w14:paraId="4B50211C">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海拔高度/m</w:t>
                  </w:r>
                </w:p>
              </w:tc>
              <w:tc>
                <w:tcPr>
                  <w:tcW w:w="526" w:type="dxa"/>
                  <w:vMerge w:val="restart"/>
                  <w:noWrap w:val="0"/>
                  <w:vAlign w:val="center"/>
                </w:tcPr>
                <w:p w14:paraId="31D441A0">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排气筒高度/m</w:t>
                  </w:r>
                </w:p>
              </w:tc>
              <w:tc>
                <w:tcPr>
                  <w:tcW w:w="742" w:type="dxa"/>
                  <w:vMerge w:val="restart"/>
                  <w:noWrap w:val="0"/>
                  <w:vAlign w:val="center"/>
                </w:tcPr>
                <w:p w14:paraId="71C02D83">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排气筒出口内径/m</w:t>
                  </w:r>
                </w:p>
              </w:tc>
              <w:tc>
                <w:tcPr>
                  <w:tcW w:w="692" w:type="dxa"/>
                  <w:vMerge w:val="restart"/>
                  <w:noWrap w:val="0"/>
                  <w:vAlign w:val="center"/>
                </w:tcPr>
                <w:p w14:paraId="41A7CE39">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烟气温度/℃</w:t>
                  </w:r>
                </w:p>
              </w:tc>
              <w:tc>
                <w:tcPr>
                  <w:tcW w:w="1658" w:type="dxa"/>
                  <w:vMerge w:val="restart"/>
                  <w:noWrap w:val="0"/>
                  <w:vAlign w:val="center"/>
                </w:tcPr>
                <w:p w14:paraId="00719C52">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排放标准</w:t>
                  </w:r>
                </w:p>
              </w:tc>
            </w:tr>
            <w:tr w14:paraId="32516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753" w:type="dxa"/>
                  <w:vMerge w:val="continue"/>
                  <w:noWrap w:val="0"/>
                  <w:vAlign w:val="center"/>
                </w:tcPr>
                <w:p w14:paraId="14058EBC">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zCs w:val="21"/>
                      <w:lang w:val="en-US" w:eastAsia="zh-CN"/>
                    </w:rPr>
                  </w:pPr>
                </w:p>
              </w:tc>
              <w:tc>
                <w:tcPr>
                  <w:tcW w:w="739" w:type="dxa"/>
                  <w:vMerge w:val="continue"/>
                  <w:noWrap w:val="0"/>
                  <w:vAlign w:val="center"/>
                </w:tcPr>
                <w:p w14:paraId="18C1A39E">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zCs w:val="21"/>
                      <w:lang w:val="en-US" w:eastAsia="zh-CN"/>
                    </w:rPr>
                  </w:pPr>
                </w:p>
              </w:tc>
              <w:tc>
                <w:tcPr>
                  <w:tcW w:w="755" w:type="dxa"/>
                  <w:vMerge w:val="continue"/>
                  <w:noWrap w:val="0"/>
                  <w:vAlign w:val="center"/>
                </w:tcPr>
                <w:p w14:paraId="524E70EB">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zCs w:val="21"/>
                      <w:lang w:val="en-US" w:eastAsia="zh-CN"/>
                    </w:rPr>
                  </w:pPr>
                </w:p>
              </w:tc>
              <w:tc>
                <w:tcPr>
                  <w:tcW w:w="723" w:type="dxa"/>
                  <w:noWrap w:val="0"/>
                  <w:vAlign w:val="center"/>
                </w:tcPr>
                <w:p w14:paraId="342F7B0B">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color w:val="auto"/>
                      <w:spacing w:val="0"/>
                      <w:sz w:val="21"/>
                      <w:szCs w:val="21"/>
                      <w:lang w:val="en-US" w:eastAsia="zh-CN"/>
                    </w:rPr>
                  </w:pPr>
                  <w:r>
                    <w:rPr>
                      <w:rFonts w:hint="default" w:ascii="Times New Roman" w:hAnsi="Times New Roman" w:cs="Times New Roman"/>
                      <w:b/>
                      <w:bCs/>
                      <w:color w:val="auto"/>
                      <w:spacing w:val="0"/>
                      <w:sz w:val="21"/>
                      <w:szCs w:val="21"/>
                      <w:lang w:val="en-US" w:eastAsia="zh-CN"/>
                    </w:rPr>
                    <w:t>经度</w:t>
                  </w:r>
                  <w:r>
                    <w:rPr>
                      <w:rFonts w:hint="eastAsia" w:ascii="Times New Roman" w:hAnsi="Times New Roman" w:cs="Times New Roman"/>
                      <w:b/>
                      <w:bCs/>
                      <w:color w:val="auto"/>
                      <w:spacing w:val="0"/>
                      <w:sz w:val="21"/>
                      <w:szCs w:val="21"/>
                      <w:lang w:val="en-US" w:eastAsia="zh-CN"/>
                    </w:rPr>
                    <w:t>°</w:t>
                  </w:r>
                </w:p>
              </w:tc>
              <w:tc>
                <w:tcPr>
                  <w:tcW w:w="668" w:type="dxa"/>
                  <w:noWrap w:val="0"/>
                  <w:vAlign w:val="center"/>
                </w:tcPr>
                <w:p w14:paraId="3059E717">
                  <w:pPr>
                    <w:pStyle w:val="41"/>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color w:val="auto"/>
                      <w:spacing w:val="0"/>
                      <w:sz w:val="21"/>
                      <w:szCs w:val="21"/>
                      <w:lang w:val="en-US" w:eastAsia="zh-CN"/>
                    </w:rPr>
                  </w:pPr>
                  <w:r>
                    <w:rPr>
                      <w:rFonts w:hint="default" w:ascii="Times New Roman" w:hAnsi="Times New Roman" w:cs="Times New Roman"/>
                      <w:b/>
                      <w:bCs/>
                      <w:color w:val="auto"/>
                      <w:spacing w:val="0"/>
                      <w:sz w:val="21"/>
                      <w:szCs w:val="21"/>
                      <w:lang w:val="en-US" w:eastAsia="zh-CN"/>
                    </w:rPr>
                    <w:t>纬度</w:t>
                  </w:r>
                  <w:r>
                    <w:rPr>
                      <w:rFonts w:hint="eastAsia" w:ascii="Times New Roman" w:hAnsi="Times New Roman" w:cs="Times New Roman"/>
                      <w:b/>
                      <w:bCs/>
                      <w:color w:val="auto"/>
                      <w:spacing w:val="0"/>
                      <w:sz w:val="21"/>
                      <w:szCs w:val="21"/>
                      <w:lang w:val="en-US" w:eastAsia="zh-CN"/>
                    </w:rPr>
                    <w:t>°</w:t>
                  </w:r>
                </w:p>
              </w:tc>
              <w:tc>
                <w:tcPr>
                  <w:tcW w:w="627" w:type="dxa"/>
                  <w:vMerge w:val="continue"/>
                  <w:noWrap w:val="0"/>
                  <w:vAlign w:val="center"/>
                </w:tcPr>
                <w:p w14:paraId="13FB1EA6">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526" w:type="dxa"/>
                  <w:vMerge w:val="continue"/>
                  <w:noWrap w:val="0"/>
                  <w:vAlign w:val="center"/>
                </w:tcPr>
                <w:p w14:paraId="48E12FDA">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742" w:type="dxa"/>
                  <w:vMerge w:val="continue"/>
                  <w:noWrap w:val="0"/>
                  <w:vAlign w:val="center"/>
                </w:tcPr>
                <w:p w14:paraId="73021815">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692" w:type="dxa"/>
                  <w:vMerge w:val="continue"/>
                  <w:noWrap w:val="0"/>
                  <w:vAlign w:val="center"/>
                </w:tcPr>
                <w:p w14:paraId="1B9F7AF4">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1658" w:type="dxa"/>
                  <w:vMerge w:val="continue"/>
                  <w:noWrap w:val="0"/>
                  <w:vAlign w:val="center"/>
                </w:tcPr>
                <w:p w14:paraId="1FC6EE9D">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cs="Times New Roman"/>
                      <w:color w:val="auto"/>
                      <w:spacing w:val="0"/>
                      <w:szCs w:val="21"/>
                    </w:rPr>
                  </w:pPr>
                </w:p>
              </w:tc>
            </w:tr>
            <w:tr w14:paraId="616F8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 w:hRule="atLeast"/>
                <w:jc w:val="center"/>
              </w:trPr>
              <w:tc>
                <w:tcPr>
                  <w:tcW w:w="753" w:type="dxa"/>
                  <w:noWrap w:val="0"/>
                  <w:vAlign w:val="center"/>
                </w:tcPr>
                <w:p w14:paraId="1B22E32D">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color w:val="auto"/>
                      <w:szCs w:val="21"/>
                      <w:lang w:val="en-US" w:eastAsia="zh-CN"/>
                    </w:rPr>
                    <w:t>注塑、挤出</w:t>
                  </w:r>
                </w:p>
              </w:tc>
              <w:tc>
                <w:tcPr>
                  <w:tcW w:w="739" w:type="dxa"/>
                  <w:noWrap w:val="0"/>
                  <w:vAlign w:val="center"/>
                </w:tcPr>
                <w:p w14:paraId="355EF6BD">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DA00</w:t>
                  </w:r>
                  <w:r>
                    <w:rPr>
                      <w:rFonts w:hint="eastAsia" w:ascii="Times New Roman" w:hAnsi="Times New Roman" w:eastAsia="宋体" w:cs="Times New Roman"/>
                      <w:b w:val="0"/>
                      <w:bCs/>
                      <w:color w:val="auto"/>
                      <w:sz w:val="21"/>
                      <w:szCs w:val="21"/>
                      <w:lang w:val="en-US" w:eastAsia="zh-CN"/>
                    </w:rPr>
                    <w:t>1</w:t>
                  </w:r>
                </w:p>
              </w:tc>
              <w:tc>
                <w:tcPr>
                  <w:tcW w:w="755" w:type="dxa"/>
                  <w:noWrap w:val="0"/>
                  <w:vAlign w:val="center"/>
                </w:tcPr>
                <w:p w14:paraId="038F7C65">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非甲烷总烃</w:t>
                  </w:r>
                </w:p>
              </w:tc>
              <w:tc>
                <w:tcPr>
                  <w:tcW w:w="723" w:type="dxa"/>
                  <w:noWrap w:val="0"/>
                  <w:vAlign w:val="center"/>
                </w:tcPr>
                <w:p w14:paraId="6F7B414E">
                  <w:pPr>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108°28′50.68″</w:t>
                  </w:r>
                </w:p>
              </w:tc>
              <w:tc>
                <w:tcPr>
                  <w:tcW w:w="668" w:type="dxa"/>
                  <w:noWrap w:val="0"/>
                  <w:vAlign w:val="center"/>
                </w:tcPr>
                <w:p w14:paraId="6F7A36AE">
                  <w:pPr>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34°14′31.89″</w:t>
                  </w:r>
                </w:p>
              </w:tc>
              <w:tc>
                <w:tcPr>
                  <w:tcW w:w="627" w:type="dxa"/>
                  <w:noWrap w:val="0"/>
                  <w:vAlign w:val="center"/>
                </w:tcPr>
                <w:p w14:paraId="4E2B90D6">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414</w:t>
                  </w:r>
                </w:p>
              </w:tc>
              <w:tc>
                <w:tcPr>
                  <w:tcW w:w="526" w:type="dxa"/>
                  <w:noWrap w:val="0"/>
                  <w:vAlign w:val="center"/>
                </w:tcPr>
                <w:p w14:paraId="46303FF6">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15</w:t>
                  </w:r>
                </w:p>
              </w:tc>
              <w:tc>
                <w:tcPr>
                  <w:tcW w:w="742" w:type="dxa"/>
                  <w:noWrap w:val="0"/>
                  <w:vAlign w:val="center"/>
                </w:tcPr>
                <w:p w14:paraId="21DC2AB3">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0.5</w:t>
                  </w:r>
                </w:p>
              </w:tc>
              <w:tc>
                <w:tcPr>
                  <w:tcW w:w="692" w:type="dxa"/>
                  <w:noWrap w:val="0"/>
                  <w:vAlign w:val="center"/>
                </w:tcPr>
                <w:p w14:paraId="1D5FA875">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sz w:val="21"/>
                      <w:szCs w:val="21"/>
                      <w:lang w:val="en-US" w:eastAsia="zh-CN"/>
                    </w:rPr>
                    <w:t>20</w:t>
                  </w:r>
                </w:p>
              </w:tc>
              <w:tc>
                <w:tcPr>
                  <w:tcW w:w="1658" w:type="dxa"/>
                  <w:noWrap w:val="0"/>
                  <w:vAlign w:val="center"/>
                </w:tcPr>
                <w:p w14:paraId="43783136">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《合成树脂工业污染物排放标准》（GB31572-2015）</w:t>
                  </w:r>
                </w:p>
              </w:tc>
            </w:tr>
          </w:tbl>
          <w:p w14:paraId="3D399A62">
            <w:pPr>
              <w:pStyle w:val="19"/>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313" w:beforeLines="100" w:line="360" w:lineRule="auto"/>
              <w:jc w:val="left"/>
              <w:textAlignment w:val="auto"/>
              <w:rPr>
                <w:rFonts w:hint="default" w:ascii="Times New Roman" w:hAnsi="Times New Roman" w:eastAsia="宋体" w:cs="Times New Roman"/>
                <w:b/>
                <w:color w:val="auto"/>
                <w:kern w:val="0"/>
                <w:sz w:val="24"/>
                <w:szCs w:val="24"/>
                <w:lang w:val="en-US" w:eastAsia="zh-CN" w:bidi="en-US"/>
              </w:rPr>
            </w:pPr>
            <w:r>
              <w:rPr>
                <w:rFonts w:hint="eastAsia" w:ascii="Times New Roman" w:hAnsi="Times New Roman" w:eastAsia="宋体" w:cs="Times New Roman"/>
                <w:b/>
                <w:color w:val="auto"/>
                <w:kern w:val="0"/>
                <w:sz w:val="24"/>
                <w:szCs w:val="24"/>
                <w:lang w:val="en-US" w:eastAsia="zh-CN" w:bidi="en-US"/>
              </w:rPr>
              <w:t>1.6</w:t>
            </w:r>
            <w:r>
              <w:rPr>
                <w:rFonts w:hint="default" w:ascii="Times New Roman" w:hAnsi="Times New Roman" w:eastAsia="宋体" w:cs="Times New Roman"/>
                <w:b/>
                <w:color w:val="auto"/>
                <w:kern w:val="0"/>
                <w:sz w:val="24"/>
                <w:szCs w:val="24"/>
                <w:lang w:val="en-US" w:eastAsia="zh-CN" w:bidi="en-US"/>
              </w:rPr>
              <w:t>非正常工况下大气环境影响分析</w:t>
            </w:r>
          </w:p>
          <w:p w14:paraId="2970D573">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2F1641E5">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本项目非正常工况主要包括开、停车，检修；电力供应突然中断；废气处理设施故障。项目非正常工况会引起污染物的非正常排放。本项目非正常工况下情况分析如下：</w:t>
            </w:r>
          </w:p>
          <w:p w14:paraId="33E3F427">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（1）开停车</w:t>
            </w:r>
          </w:p>
          <w:p w14:paraId="1790A136">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项目计划停车，装置首先要停工，生产装置及环保设施等同步进行检修、维护和保养后，再开工生产。</w:t>
            </w:r>
          </w:p>
          <w:p w14:paraId="6762E6A8">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（2）电力故障</w:t>
            </w:r>
          </w:p>
          <w:p w14:paraId="5A330F5E">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 xml:space="preserve">当生产系统出现故障如停电故障，由于本项目采用双回路供电，出现停电的概率极低。 </w:t>
            </w:r>
          </w:p>
          <w:p w14:paraId="6B9B3A97">
            <w:pPr>
              <w:pStyle w:val="5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由于开停车、设备检修等非正常工况产生的废气量均比正常工况的小，污染物也比正常工况时产生量少，废气经尾气处理装置处理后排放对周围环境的影响也相应地比正常工况轻，本次非正常情况主要考虑废气环保设施运行不正常的情况，本报告按最不利的情况考虑，即废气处理装置完全失效，处理效率下降至0%。非正常工况下废气排放详见下表4-5。本次评价环评要求企业实定期检查尾气处理装置，严格管理，避免失效工况发生。</w:t>
            </w:r>
          </w:p>
          <w:p w14:paraId="49E22C53">
            <w:pPr>
              <w:keepNext w:val="0"/>
              <w:keepLines w:val="0"/>
              <w:pageBreakBefore w:val="0"/>
              <w:widowControl/>
              <w:kinsoku/>
              <w:wordWrap/>
              <w:overflowPunct/>
              <w:topLinePunct w:val="0"/>
              <w:autoSpaceDE/>
              <w:autoSpaceDN/>
              <w:bidi w:val="0"/>
              <w:spacing w:line="360" w:lineRule="auto"/>
              <w:ind w:right="0" w:rightChars="0"/>
              <w:jc w:val="center"/>
              <w:textAlignment w:val="auto"/>
              <w:rPr>
                <w:rFonts w:hint="default" w:ascii="Times New Roman" w:hAnsi="Times New Roman" w:eastAsia="宋体" w:cs="Times New Roman"/>
                <w:b/>
                <w:bCs/>
                <w:color w:val="auto"/>
                <w:szCs w:val="21"/>
                <w:lang w:val="en-US" w:eastAsia="zh-CN"/>
              </w:rPr>
            </w:pPr>
            <w:r>
              <w:rPr>
                <w:rFonts w:hint="default" w:ascii="Times New Roman" w:hAnsi="Times New Roman" w:cs="Times New Roman" w:eastAsiaTheme="minorEastAsia"/>
                <w:b/>
                <w:bCs/>
                <w:color w:val="auto"/>
                <w:szCs w:val="21"/>
                <w:lang w:val="en-US" w:eastAsia="zh-CN"/>
              </w:rPr>
              <w:t>表4-5   非正常工况排放情况一览表</w:t>
            </w:r>
          </w:p>
          <w:tbl>
            <w:tblPr>
              <w:tblStyle w:val="24"/>
              <w:tblW w:w="78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567"/>
              <w:gridCol w:w="564"/>
              <w:gridCol w:w="853"/>
              <w:gridCol w:w="883"/>
              <w:gridCol w:w="933"/>
              <w:gridCol w:w="834"/>
              <w:gridCol w:w="833"/>
              <w:gridCol w:w="1712"/>
            </w:tblGrid>
            <w:tr w14:paraId="361CF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5" w:hRule="atLeast"/>
                <w:jc w:val="center"/>
              </w:trPr>
              <w:tc>
                <w:tcPr>
                  <w:tcW w:w="649" w:type="dxa"/>
                  <w:noWrap w:val="0"/>
                  <w:vAlign w:val="center"/>
                </w:tcPr>
                <w:p w14:paraId="36899FFA">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非正常工况</w:t>
                  </w:r>
                </w:p>
              </w:tc>
              <w:tc>
                <w:tcPr>
                  <w:tcW w:w="567" w:type="dxa"/>
                  <w:noWrap w:val="0"/>
                  <w:vAlign w:val="center"/>
                </w:tcPr>
                <w:p w14:paraId="17F6065E">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排放源</w:t>
                  </w:r>
                </w:p>
              </w:tc>
              <w:tc>
                <w:tcPr>
                  <w:tcW w:w="564" w:type="dxa"/>
                  <w:noWrap w:val="0"/>
                  <w:vAlign w:val="center"/>
                </w:tcPr>
                <w:p w14:paraId="5AD89ED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污染物</w:t>
                  </w:r>
                </w:p>
              </w:tc>
              <w:tc>
                <w:tcPr>
                  <w:tcW w:w="853" w:type="dxa"/>
                  <w:noWrap w:val="0"/>
                  <w:vAlign w:val="center"/>
                </w:tcPr>
                <w:p w14:paraId="47AA07A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非正常排放原因</w:t>
                  </w:r>
                </w:p>
              </w:tc>
              <w:tc>
                <w:tcPr>
                  <w:tcW w:w="883" w:type="dxa"/>
                  <w:noWrap w:val="0"/>
                  <w:vAlign w:val="center"/>
                </w:tcPr>
                <w:p w14:paraId="739B303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产生量</w:t>
                  </w:r>
                </w:p>
                <w:p w14:paraId="4A5C5DC0">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（t/a）</w:t>
                  </w:r>
                </w:p>
              </w:tc>
              <w:tc>
                <w:tcPr>
                  <w:tcW w:w="933" w:type="dxa"/>
                  <w:noWrap w:val="0"/>
                  <w:vAlign w:val="center"/>
                </w:tcPr>
                <w:p w14:paraId="44E3D34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产生速率</w:t>
                  </w:r>
                </w:p>
                <w:p w14:paraId="7FD78D01">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（kg/h）</w:t>
                  </w:r>
                </w:p>
              </w:tc>
              <w:tc>
                <w:tcPr>
                  <w:tcW w:w="834" w:type="dxa"/>
                  <w:noWrap w:val="0"/>
                  <w:vAlign w:val="center"/>
                </w:tcPr>
                <w:p w14:paraId="5398CE4E">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单次持续时间（h）</w:t>
                  </w:r>
                </w:p>
              </w:tc>
              <w:tc>
                <w:tcPr>
                  <w:tcW w:w="833" w:type="dxa"/>
                  <w:noWrap w:val="0"/>
                  <w:vAlign w:val="center"/>
                </w:tcPr>
                <w:p w14:paraId="206FDFA5">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年发生频次（次）</w:t>
                  </w:r>
                </w:p>
              </w:tc>
              <w:tc>
                <w:tcPr>
                  <w:tcW w:w="1712" w:type="dxa"/>
                  <w:noWrap w:val="0"/>
                  <w:vAlign w:val="center"/>
                </w:tcPr>
                <w:p w14:paraId="2EA291E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措施</w:t>
                  </w:r>
                </w:p>
              </w:tc>
            </w:tr>
            <w:tr w14:paraId="2E527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61" w:hRule="atLeast"/>
                <w:jc w:val="center"/>
              </w:trPr>
              <w:tc>
                <w:tcPr>
                  <w:tcW w:w="649" w:type="dxa"/>
                  <w:noWrap w:val="0"/>
                  <w:vAlign w:val="center"/>
                </w:tcPr>
                <w:p w14:paraId="1602E17F">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2"/>
                      <w:lang w:val="en-US" w:eastAsia="zh-CN" w:bidi="ar-SA"/>
                    </w:rPr>
                  </w:pPr>
                  <w:r>
                    <w:rPr>
                      <w:rFonts w:hint="default" w:ascii="Times New Roman" w:hAnsi="Times New Roman" w:cs="Times New Roman"/>
                      <w:color w:val="auto"/>
                      <w:lang w:val="en-US" w:eastAsia="zh-CN"/>
                    </w:rPr>
                    <w:t>废气治理设施异常</w:t>
                  </w:r>
                </w:p>
              </w:tc>
              <w:tc>
                <w:tcPr>
                  <w:tcW w:w="567" w:type="dxa"/>
                  <w:noWrap w:val="0"/>
                  <w:vAlign w:val="center"/>
                </w:tcPr>
                <w:p w14:paraId="35FE48F0">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DA001</w:t>
                  </w:r>
                </w:p>
              </w:tc>
              <w:tc>
                <w:tcPr>
                  <w:tcW w:w="564" w:type="dxa"/>
                  <w:noWrap w:val="0"/>
                  <w:vAlign w:val="center"/>
                </w:tcPr>
                <w:p w14:paraId="1E48CE98">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非甲烷总烃</w:t>
                  </w:r>
                </w:p>
              </w:tc>
              <w:tc>
                <w:tcPr>
                  <w:tcW w:w="853" w:type="dxa"/>
                  <w:noWrap w:val="0"/>
                  <w:vAlign w:val="center"/>
                </w:tcPr>
                <w:p w14:paraId="7D3E7F0C">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eastAsia" w:cs="Times New Roman"/>
                      <w:color w:val="auto"/>
                      <w:lang w:val="en-US" w:eastAsia="zh-CN"/>
                    </w:rPr>
                  </w:pPr>
                  <w:r>
                    <w:rPr>
                      <w:rFonts w:hint="eastAsia" w:cs="Times New Roman"/>
                      <w:color w:val="auto"/>
                      <w:lang w:val="en-US" w:eastAsia="zh-CN"/>
                    </w:rPr>
                    <w:t>设备</w:t>
                  </w:r>
                </w:p>
                <w:p w14:paraId="418E77C6">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故障</w:t>
                  </w:r>
                </w:p>
              </w:tc>
              <w:tc>
                <w:tcPr>
                  <w:tcW w:w="883" w:type="dxa"/>
                  <w:noWrap w:val="0"/>
                  <w:vAlign w:val="center"/>
                </w:tcPr>
                <w:p w14:paraId="20A16207">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0.001</w:t>
                  </w:r>
                </w:p>
              </w:tc>
              <w:tc>
                <w:tcPr>
                  <w:tcW w:w="933" w:type="dxa"/>
                  <w:noWrap w:val="0"/>
                  <w:vAlign w:val="center"/>
                </w:tcPr>
                <w:p w14:paraId="1BE22B3C">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1.25</w:t>
                  </w:r>
                </w:p>
              </w:tc>
              <w:tc>
                <w:tcPr>
                  <w:tcW w:w="834" w:type="dxa"/>
                  <w:noWrap w:val="0"/>
                  <w:vAlign w:val="center"/>
                </w:tcPr>
                <w:p w14:paraId="56E99C08">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1</w:t>
                  </w:r>
                </w:p>
              </w:tc>
              <w:tc>
                <w:tcPr>
                  <w:tcW w:w="833" w:type="dxa"/>
                  <w:noWrap w:val="0"/>
                  <w:vAlign w:val="center"/>
                </w:tcPr>
                <w:p w14:paraId="6E64D430">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1</w:t>
                  </w:r>
                </w:p>
              </w:tc>
              <w:tc>
                <w:tcPr>
                  <w:tcW w:w="1712" w:type="dxa"/>
                  <w:noWrap w:val="0"/>
                  <w:vAlign w:val="center"/>
                </w:tcPr>
                <w:p w14:paraId="426CB092">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及时停止生产，对废气设备进行维修。日常加强环保设施的彻底检修，力争将非正常工况污染物排放量降低到最低限度</w:t>
                  </w:r>
                  <w:r>
                    <w:rPr>
                      <w:rFonts w:hint="eastAsia" w:cs="Times New Roman"/>
                      <w:color w:val="auto"/>
                      <w:lang w:val="en-US" w:eastAsia="zh-CN"/>
                    </w:rPr>
                    <w:t>。</w:t>
                  </w:r>
                </w:p>
              </w:tc>
            </w:tr>
          </w:tbl>
          <w:p w14:paraId="514CD9E9">
            <w:pPr>
              <w:pStyle w:val="59"/>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cs="Times New Roman"/>
                <w:b/>
                <w:bCs/>
                <w:color w:val="auto"/>
                <w:highlight w:val="none"/>
              </w:rPr>
            </w:pPr>
            <w:r>
              <w:rPr>
                <w:rFonts w:hint="eastAsia" w:ascii="Times New Roman" w:hAnsi="Times New Roman" w:cs="Times New Roman"/>
                <w:b/>
                <w:bCs/>
                <w:color w:val="auto"/>
                <w:highlight w:val="none"/>
                <w:lang w:val="en-US" w:eastAsia="zh-CN"/>
              </w:rPr>
              <w:t>1.7</w:t>
            </w:r>
            <w:r>
              <w:rPr>
                <w:rFonts w:hint="default" w:ascii="Times New Roman" w:hAnsi="Times New Roman" w:eastAsia="宋体" w:cs="Times New Roman"/>
                <w:b/>
                <w:color w:val="auto"/>
                <w:kern w:val="0"/>
                <w:sz w:val="24"/>
                <w:szCs w:val="24"/>
                <w:lang w:val="en-US" w:eastAsia="zh-CN" w:bidi="en-US"/>
              </w:rPr>
              <w:t>废气监测计划</w:t>
            </w:r>
          </w:p>
          <w:p w14:paraId="24FF85F7">
            <w:pPr>
              <w:keepNext w:val="0"/>
              <w:keepLines w:val="0"/>
              <w:pageBreakBefore w:val="0"/>
              <w:widowControl w:val="0"/>
              <w:kinsoku/>
              <w:wordWrap/>
              <w:overflowPunct/>
              <w:topLinePunct w:val="0"/>
              <w:autoSpaceDE/>
              <w:autoSpaceDN/>
              <w:bidi w:val="0"/>
              <w:adjustRightInd/>
              <w:snapToGrid/>
              <w:spacing w:before="313" w:beforeLines="100"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en-US"/>
              </w:rPr>
            </w:pPr>
            <w:r>
              <w:rPr>
                <w:rFonts w:hint="eastAsia" w:ascii="Times New Roman" w:hAnsi="Times New Roman" w:eastAsia="宋体" w:cs="Times New Roman"/>
                <w:color w:val="auto"/>
                <w:kern w:val="0"/>
                <w:sz w:val="24"/>
                <w:szCs w:val="24"/>
                <w:highlight w:val="none"/>
                <w:lang w:val="en-US" w:eastAsia="zh-CN" w:bidi="en-US"/>
              </w:rPr>
              <w:t>根据《排污许可证申请与核发技术规范 橡胶和塑料制品工业》（HJ1122-2020），项</w:t>
            </w:r>
            <w:r>
              <w:rPr>
                <w:rFonts w:hint="default" w:ascii="Times New Roman" w:hAnsi="Times New Roman" w:eastAsia="宋体" w:cs="Times New Roman"/>
                <w:color w:val="auto"/>
                <w:kern w:val="0"/>
                <w:sz w:val="24"/>
                <w:szCs w:val="24"/>
                <w:highlight w:val="none"/>
                <w:lang w:val="en-US" w:eastAsia="zh-CN" w:bidi="en-US"/>
              </w:rPr>
              <w:t>目废气监测计划见下表。</w:t>
            </w:r>
          </w:p>
          <w:p w14:paraId="69E58F55">
            <w:pPr>
              <w:keepNext w:val="0"/>
              <w:keepLines w:val="0"/>
              <w:pageBreakBefore w:val="0"/>
              <w:widowControl/>
              <w:kinsoku/>
              <w:wordWrap/>
              <w:overflowPunct/>
              <w:topLinePunct w:val="0"/>
              <w:autoSpaceDE/>
              <w:autoSpaceDN/>
              <w:bidi w:val="0"/>
              <w:spacing w:line="360" w:lineRule="auto"/>
              <w:ind w:left="0" w:leftChars="0" w:right="0" w:rightChars="0" w:firstLine="422" w:firstLineChars="200"/>
              <w:jc w:val="center"/>
              <w:textAlignment w:val="auto"/>
              <w:rPr>
                <w:rFonts w:hint="default" w:ascii="Times New Roman" w:hAnsi="Times New Roman" w:cs="Times New Roman" w:eastAsiaTheme="minorEastAsia"/>
                <w:b/>
                <w:bCs/>
                <w:color w:val="auto"/>
                <w:szCs w:val="21"/>
                <w:lang w:val="en-US" w:eastAsia="zh-CN"/>
              </w:rPr>
            </w:pPr>
            <w:r>
              <w:rPr>
                <w:rFonts w:hint="default" w:ascii="Times New Roman" w:hAnsi="Times New Roman" w:cs="Times New Roman" w:eastAsiaTheme="minorEastAsia"/>
                <w:b/>
                <w:bCs/>
                <w:color w:val="auto"/>
                <w:szCs w:val="21"/>
                <w:lang w:val="en-US" w:eastAsia="zh-CN"/>
              </w:rPr>
              <w:t>表4-6 营运期废气监测一览表</w:t>
            </w:r>
          </w:p>
          <w:tbl>
            <w:tblPr>
              <w:tblStyle w:val="24"/>
              <w:tblW w:w="4997"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6"/>
              <w:gridCol w:w="406"/>
              <w:gridCol w:w="1500"/>
              <w:gridCol w:w="596"/>
              <w:gridCol w:w="901"/>
              <w:gridCol w:w="1097"/>
              <w:gridCol w:w="2125"/>
              <w:gridCol w:w="871"/>
            </w:tblGrid>
            <w:tr w14:paraId="1FDB5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513" w:type="pct"/>
                  <w:gridSpan w:val="2"/>
                  <w:noWrap w:val="0"/>
                  <w:vAlign w:val="center"/>
                </w:tcPr>
                <w:p w14:paraId="7A0B8355">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类别</w:t>
                  </w:r>
                </w:p>
              </w:tc>
              <w:tc>
                <w:tcPr>
                  <w:tcW w:w="949" w:type="pct"/>
                  <w:noWrap w:val="0"/>
                  <w:vAlign w:val="center"/>
                </w:tcPr>
                <w:p w14:paraId="5A4D9E2C">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监测点位/断面</w:t>
                  </w:r>
                </w:p>
              </w:tc>
              <w:tc>
                <w:tcPr>
                  <w:tcW w:w="377" w:type="pct"/>
                  <w:noWrap w:val="0"/>
                  <w:vAlign w:val="center"/>
                </w:tcPr>
                <w:p w14:paraId="200D186B">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监测点数</w:t>
                  </w:r>
                </w:p>
              </w:tc>
              <w:tc>
                <w:tcPr>
                  <w:tcW w:w="569" w:type="pct"/>
                  <w:noWrap w:val="0"/>
                  <w:vAlign w:val="center"/>
                </w:tcPr>
                <w:p w14:paraId="7FD2D703">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监测项目</w:t>
                  </w:r>
                </w:p>
              </w:tc>
              <w:tc>
                <w:tcPr>
                  <w:tcW w:w="694" w:type="pct"/>
                  <w:noWrap w:val="0"/>
                  <w:vAlign w:val="center"/>
                </w:tcPr>
                <w:p w14:paraId="7B4CEA5B">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监测时间及频率</w:t>
                  </w:r>
                </w:p>
              </w:tc>
              <w:tc>
                <w:tcPr>
                  <w:tcW w:w="1344" w:type="pct"/>
                  <w:noWrap w:val="0"/>
                  <w:vAlign w:val="center"/>
                </w:tcPr>
                <w:p w14:paraId="565412BB">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控制标准</w:t>
                  </w:r>
                </w:p>
              </w:tc>
              <w:tc>
                <w:tcPr>
                  <w:tcW w:w="551" w:type="pct"/>
                  <w:noWrap w:val="0"/>
                  <w:vAlign w:val="center"/>
                </w:tcPr>
                <w:p w14:paraId="7242D439">
                  <w:pPr>
                    <w:pStyle w:val="23"/>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监测方式</w:t>
                  </w:r>
                </w:p>
              </w:tc>
            </w:tr>
            <w:tr w14:paraId="6638A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2" w:hRule="atLeast"/>
              </w:trPr>
              <w:tc>
                <w:tcPr>
                  <w:tcW w:w="256" w:type="pct"/>
                  <w:vMerge w:val="restart"/>
                  <w:noWrap w:val="0"/>
                  <w:vAlign w:val="center"/>
                </w:tcPr>
                <w:p w14:paraId="72E506DB">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废气</w:t>
                  </w:r>
                </w:p>
              </w:tc>
              <w:tc>
                <w:tcPr>
                  <w:tcW w:w="256" w:type="pct"/>
                  <w:vMerge w:val="restart"/>
                  <w:noWrap w:val="0"/>
                  <w:vAlign w:val="center"/>
                </w:tcPr>
                <w:p w14:paraId="43876B3F">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有机废气</w:t>
                  </w:r>
                </w:p>
              </w:tc>
              <w:tc>
                <w:tcPr>
                  <w:tcW w:w="949" w:type="pct"/>
                  <w:noWrap w:val="0"/>
                  <w:vAlign w:val="center"/>
                </w:tcPr>
                <w:p w14:paraId="0A2BF218">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DA001排气口</w:t>
                  </w:r>
                </w:p>
              </w:tc>
              <w:tc>
                <w:tcPr>
                  <w:tcW w:w="377" w:type="pct"/>
                  <w:noWrap w:val="0"/>
                  <w:vAlign w:val="center"/>
                </w:tcPr>
                <w:p w14:paraId="291BC02F">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1</w:t>
                  </w:r>
                </w:p>
              </w:tc>
              <w:tc>
                <w:tcPr>
                  <w:tcW w:w="569" w:type="pct"/>
                  <w:vMerge w:val="restart"/>
                  <w:noWrap w:val="0"/>
                  <w:vAlign w:val="center"/>
                </w:tcPr>
                <w:p w14:paraId="2E96BE1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非甲烷总烃</w:t>
                  </w:r>
                </w:p>
              </w:tc>
              <w:tc>
                <w:tcPr>
                  <w:tcW w:w="694" w:type="pct"/>
                  <w:noWrap w:val="0"/>
                  <w:vAlign w:val="center"/>
                </w:tcPr>
                <w:p w14:paraId="68BACA9E">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1次/</w:t>
                  </w:r>
                  <w:r>
                    <w:rPr>
                      <w:rFonts w:hint="eastAsia" w:ascii="Times New Roman" w:hAnsi="Times New Roman" w:eastAsia="宋体" w:cs="Times New Roman"/>
                      <w:b w:val="0"/>
                      <w:bCs/>
                      <w:color w:val="auto"/>
                      <w:sz w:val="21"/>
                      <w:szCs w:val="21"/>
                      <w:highlight w:val="none"/>
                      <w:lang w:val="en-US" w:eastAsia="zh-CN"/>
                    </w:rPr>
                    <w:t>年</w:t>
                  </w:r>
                </w:p>
              </w:tc>
              <w:tc>
                <w:tcPr>
                  <w:tcW w:w="1344" w:type="pct"/>
                  <w:vMerge w:val="restart"/>
                  <w:noWrap w:val="0"/>
                  <w:vAlign w:val="center"/>
                </w:tcPr>
                <w:p w14:paraId="7EE693E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b w:val="0"/>
                      <w:bCs/>
                      <w:color w:val="auto"/>
                      <w:szCs w:val="21"/>
                      <w:highlight w:val="none"/>
                      <w:lang w:bidi="ar"/>
                    </w:rPr>
                    <w:t>《合成树脂工业污染物排放标准》（GB31572-2015）</w:t>
                  </w:r>
                  <w:r>
                    <w:rPr>
                      <w:rFonts w:hint="eastAsia" w:ascii="Times New Roman" w:hAnsi="Times New Roman"/>
                      <w:b w:val="0"/>
                      <w:bCs/>
                      <w:color w:val="auto"/>
                      <w:szCs w:val="21"/>
                      <w:highlight w:val="none"/>
                      <w:lang w:eastAsia="zh-CN" w:bidi="ar"/>
                    </w:rPr>
                    <w:t>表</w:t>
                  </w:r>
                  <w:r>
                    <w:rPr>
                      <w:rFonts w:hint="eastAsia" w:ascii="Times New Roman" w:hAnsi="Times New Roman"/>
                      <w:b w:val="0"/>
                      <w:bCs/>
                      <w:color w:val="auto"/>
                      <w:szCs w:val="21"/>
                      <w:highlight w:val="none"/>
                      <w:lang w:val="en-US" w:eastAsia="zh-CN" w:bidi="ar"/>
                    </w:rPr>
                    <w:t>5和表9排放限值要求</w:t>
                  </w:r>
                </w:p>
              </w:tc>
              <w:tc>
                <w:tcPr>
                  <w:tcW w:w="551" w:type="pct"/>
                  <w:vMerge w:val="restart"/>
                  <w:noWrap w:val="0"/>
                  <w:vAlign w:val="center"/>
                </w:tcPr>
                <w:p w14:paraId="4E0712A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Cs/>
                      <w:color w:val="auto"/>
                      <w:szCs w:val="21"/>
                      <w:highlight w:val="none"/>
                    </w:rPr>
                  </w:pPr>
                  <w:r>
                    <w:rPr>
                      <w:rFonts w:hint="default" w:ascii="Times New Roman" w:hAnsi="Times New Roman" w:cs="Times New Roman"/>
                      <w:color w:val="auto"/>
                      <w:sz w:val="21"/>
                      <w:highlight w:val="none"/>
                    </w:rPr>
                    <w:t>委托资质单位监测</w:t>
                  </w:r>
                </w:p>
              </w:tc>
            </w:tr>
            <w:tr w14:paraId="519E6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256" w:type="pct"/>
                  <w:vMerge w:val="continue"/>
                  <w:noWrap w:val="0"/>
                  <w:vAlign w:val="center"/>
                </w:tcPr>
                <w:p w14:paraId="779A6DA0">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p>
              </w:tc>
              <w:tc>
                <w:tcPr>
                  <w:tcW w:w="256" w:type="pct"/>
                  <w:vMerge w:val="continue"/>
                  <w:noWrap w:val="0"/>
                  <w:vAlign w:val="center"/>
                </w:tcPr>
                <w:p w14:paraId="5B0CB161">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eastAsia" w:ascii="Times New Roman" w:hAnsi="Times New Roman" w:eastAsia="宋体" w:cs="Times New Roman"/>
                      <w:b w:val="0"/>
                      <w:bCs/>
                      <w:color w:val="auto"/>
                      <w:sz w:val="21"/>
                      <w:szCs w:val="21"/>
                      <w:highlight w:val="none"/>
                      <w:lang w:val="en-US" w:eastAsia="zh-CN"/>
                    </w:rPr>
                  </w:pPr>
                </w:p>
              </w:tc>
              <w:tc>
                <w:tcPr>
                  <w:tcW w:w="949" w:type="pct"/>
                  <w:noWrap w:val="0"/>
                  <w:vAlign w:val="center"/>
                </w:tcPr>
                <w:p w14:paraId="137EEC60">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上风向1个点，下风向3个点</w:t>
                  </w:r>
                </w:p>
              </w:tc>
              <w:tc>
                <w:tcPr>
                  <w:tcW w:w="377" w:type="pct"/>
                  <w:noWrap w:val="0"/>
                  <w:vAlign w:val="center"/>
                </w:tcPr>
                <w:p w14:paraId="52DC9B4A">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4</w:t>
                  </w:r>
                </w:p>
              </w:tc>
              <w:tc>
                <w:tcPr>
                  <w:tcW w:w="569" w:type="pct"/>
                  <w:vMerge w:val="continue"/>
                  <w:noWrap w:val="0"/>
                  <w:vAlign w:val="center"/>
                </w:tcPr>
                <w:p w14:paraId="45FB840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cs="Times New Roman"/>
                      <w:color w:val="auto"/>
                      <w:sz w:val="21"/>
                      <w:szCs w:val="21"/>
                      <w:highlight w:val="none"/>
                    </w:rPr>
                  </w:pPr>
                </w:p>
              </w:tc>
              <w:tc>
                <w:tcPr>
                  <w:tcW w:w="694" w:type="pct"/>
                  <w:noWrap w:val="0"/>
                  <w:vAlign w:val="center"/>
                </w:tcPr>
                <w:p w14:paraId="1EB8161E">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1次/</w:t>
                  </w:r>
                  <w:r>
                    <w:rPr>
                      <w:rFonts w:hint="eastAsia" w:ascii="Times New Roman" w:hAnsi="Times New Roman" w:eastAsia="宋体" w:cs="Times New Roman"/>
                      <w:b w:val="0"/>
                      <w:bCs/>
                      <w:color w:val="auto"/>
                      <w:sz w:val="21"/>
                      <w:szCs w:val="21"/>
                      <w:highlight w:val="none"/>
                      <w:lang w:val="en-US" w:eastAsia="zh-CN"/>
                    </w:rPr>
                    <w:t>年</w:t>
                  </w:r>
                </w:p>
              </w:tc>
              <w:tc>
                <w:tcPr>
                  <w:tcW w:w="1344" w:type="pct"/>
                  <w:vMerge w:val="continue"/>
                  <w:noWrap w:val="0"/>
                  <w:vAlign w:val="center"/>
                </w:tcPr>
                <w:p w14:paraId="07310634">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551" w:type="pct"/>
                  <w:vMerge w:val="continue"/>
                  <w:noWrap w:val="0"/>
                  <w:vAlign w:val="center"/>
                </w:tcPr>
                <w:p w14:paraId="46561960">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color w:val="auto"/>
                      <w:sz w:val="21"/>
                      <w:highlight w:val="none"/>
                    </w:rPr>
                  </w:pPr>
                </w:p>
              </w:tc>
            </w:tr>
            <w:tr w14:paraId="2F555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256" w:type="pct"/>
                  <w:vMerge w:val="continue"/>
                  <w:noWrap w:val="0"/>
                  <w:vAlign w:val="center"/>
                </w:tcPr>
                <w:p w14:paraId="13E42705">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p>
              </w:tc>
              <w:tc>
                <w:tcPr>
                  <w:tcW w:w="256" w:type="pct"/>
                  <w:vMerge w:val="continue"/>
                  <w:noWrap w:val="0"/>
                  <w:vAlign w:val="center"/>
                </w:tcPr>
                <w:p w14:paraId="60FB896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eastAsia" w:ascii="Times New Roman" w:hAnsi="Times New Roman" w:eastAsia="宋体" w:cs="Times New Roman"/>
                      <w:b w:val="0"/>
                      <w:bCs/>
                      <w:color w:val="auto"/>
                      <w:sz w:val="21"/>
                      <w:szCs w:val="21"/>
                      <w:highlight w:val="none"/>
                      <w:lang w:val="en-US" w:eastAsia="zh-CN"/>
                    </w:rPr>
                  </w:pPr>
                </w:p>
              </w:tc>
              <w:tc>
                <w:tcPr>
                  <w:tcW w:w="949" w:type="pct"/>
                  <w:noWrap w:val="0"/>
                  <w:vAlign w:val="center"/>
                </w:tcPr>
                <w:p w14:paraId="11D65BB9">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color w:val="auto"/>
                      <w:sz w:val="21"/>
                      <w:szCs w:val="21"/>
                      <w:highlight w:val="none"/>
                    </w:rPr>
                    <w:t>厂内监控点</w:t>
                  </w:r>
                </w:p>
              </w:tc>
              <w:tc>
                <w:tcPr>
                  <w:tcW w:w="377" w:type="pct"/>
                  <w:noWrap w:val="0"/>
                  <w:vAlign w:val="center"/>
                </w:tcPr>
                <w:p w14:paraId="5A4DCA6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1</w:t>
                  </w:r>
                </w:p>
              </w:tc>
              <w:tc>
                <w:tcPr>
                  <w:tcW w:w="569" w:type="pct"/>
                  <w:vMerge w:val="continue"/>
                  <w:noWrap w:val="0"/>
                  <w:vAlign w:val="center"/>
                </w:tcPr>
                <w:p w14:paraId="1CEEFA7B">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eastAsia" w:ascii="Times New Roman" w:hAnsi="Times New Roman" w:eastAsia="宋体" w:cs="Times New Roman"/>
                      <w:b w:val="0"/>
                      <w:bCs/>
                      <w:color w:val="auto"/>
                      <w:sz w:val="21"/>
                      <w:szCs w:val="21"/>
                      <w:highlight w:val="none"/>
                      <w:lang w:val="en-US" w:eastAsia="zh-CN"/>
                    </w:rPr>
                  </w:pPr>
                </w:p>
              </w:tc>
              <w:tc>
                <w:tcPr>
                  <w:tcW w:w="694" w:type="pct"/>
                  <w:noWrap w:val="0"/>
                  <w:vAlign w:val="center"/>
                </w:tcPr>
                <w:p w14:paraId="0CD53FDC">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1次/</w:t>
                  </w:r>
                  <w:r>
                    <w:rPr>
                      <w:rFonts w:hint="eastAsia" w:ascii="Times New Roman" w:hAnsi="Times New Roman" w:eastAsia="宋体" w:cs="Times New Roman"/>
                      <w:b w:val="0"/>
                      <w:bCs/>
                      <w:color w:val="auto"/>
                      <w:sz w:val="21"/>
                      <w:szCs w:val="21"/>
                      <w:highlight w:val="none"/>
                      <w:lang w:val="en-US" w:eastAsia="zh-CN"/>
                    </w:rPr>
                    <w:t>年</w:t>
                  </w:r>
                </w:p>
              </w:tc>
              <w:tc>
                <w:tcPr>
                  <w:tcW w:w="1344" w:type="pct"/>
                  <w:noWrap w:val="0"/>
                  <w:vAlign w:val="center"/>
                </w:tcPr>
                <w:p w14:paraId="7F006D04">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《挥发性有机物无组织排放控制标准》（GB37822-2019）</w:t>
                  </w:r>
                </w:p>
              </w:tc>
              <w:tc>
                <w:tcPr>
                  <w:tcW w:w="551" w:type="pct"/>
                  <w:vMerge w:val="continue"/>
                  <w:noWrap w:val="0"/>
                  <w:vAlign w:val="center"/>
                </w:tcPr>
                <w:p w14:paraId="065FC844">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color w:val="auto"/>
                      <w:sz w:val="21"/>
                      <w:highlight w:val="none"/>
                    </w:rPr>
                  </w:pPr>
                </w:p>
              </w:tc>
            </w:tr>
          </w:tbl>
          <w:p w14:paraId="4F0DB724">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eastAsia" w:cs="Times New Roman"/>
                <w:b/>
                <w:bCs w:val="0"/>
                <w:color w:val="auto"/>
                <w:spacing w:val="-10"/>
                <w:sz w:val="24"/>
                <w:szCs w:val="24"/>
                <w:highlight w:val="none"/>
                <w:lang w:val="en-US" w:eastAsia="zh-CN"/>
              </w:rPr>
              <w:t>2、废水</w:t>
            </w:r>
          </w:p>
          <w:p w14:paraId="2D11620A">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eastAsia" w:cs="Times New Roman"/>
                <w:b/>
                <w:bCs w:val="0"/>
                <w:color w:val="auto"/>
                <w:spacing w:val="-10"/>
                <w:sz w:val="24"/>
                <w:szCs w:val="24"/>
                <w:highlight w:val="none"/>
                <w:lang w:val="en-US" w:eastAsia="zh-CN"/>
              </w:rPr>
              <w:t>2</w:t>
            </w:r>
            <w:r>
              <w:rPr>
                <w:rFonts w:hint="default" w:ascii="Times New Roman" w:hAnsi="Times New Roman" w:cs="Times New Roman"/>
                <w:b/>
                <w:bCs w:val="0"/>
                <w:color w:val="auto"/>
                <w:spacing w:val="-10"/>
                <w:sz w:val="24"/>
                <w:szCs w:val="24"/>
                <w:highlight w:val="none"/>
                <w:lang w:val="en-US" w:eastAsia="zh-CN"/>
              </w:rPr>
              <w:t>.1废水源强核算</w:t>
            </w:r>
          </w:p>
          <w:p w14:paraId="056DF859">
            <w:pPr>
              <w:pStyle w:val="51"/>
              <w:spacing w:line="360" w:lineRule="auto"/>
              <w:ind w:firstLine="480" w:firstLineChars="200"/>
              <w:jc w:val="both"/>
              <w:rPr>
                <w:rFonts w:hint="eastAsia" w:ascii="Times New Roman" w:hAnsi="Times New Roman" w:eastAsia="宋体" w:cs="Times New Roman"/>
                <w:color w:val="auto"/>
                <w:kern w:val="0"/>
                <w:sz w:val="24"/>
                <w:szCs w:val="24"/>
                <w:highlight w:val="none"/>
                <w:lang w:val="en-US" w:eastAsia="zh-CN" w:bidi="en-US"/>
              </w:rPr>
            </w:pPr>
            <w:r>
              <w:rPr>
                <w:rFonts w:hint="default" w:ascii="Times New Roman" w:hAnsi="Times New Roman" w:cs="Times New Roman" w:eastAsiaTheme="minorEastAsia"/>
                <w:color w:val="auto"/>
                <w:kern w:val="0"/>
                <w:sz w:val="24"/>
                <w:szCs w:val="24"/>
                <w:highlight w:val="none"/>
                <w:lang w:val="en-US" w:eastAsia="zh-CN" w:bidi="en-US"/>
              </w:rPr>
              <w:t>本项目运行过程中产生的废水主要是生活污水。本项目年生产150天，厂区员工为8人，不在厂区食宿，用水主要为职工生活用水，本项目生活用水量为84m</w:t>
            </w:r>
            <w:r>
              <w:rPr>
                <w:rFonts w:hint="default" w:ascii="Times New Roman" w:hAnsi="Times New Roman" w:cs="Times New Roman" w:eastAsiaTheme="minorEastAsia"/>
                <w:color w:val="auto"/>
                <w:kern w:val="0"/>
                <w:sz w:val="24"/>
                <w:szCs w:val="24"/>
                <w:highlight w:val="none"/>
                <w:vertAlign w:val="superscript"/>
                <w:lang w:val="en-US" w:eastAsia="zh-CN" w:bidi="en-US"/>
              </w:rPr>
              <w:t>3</w:t>
            </w:r>
            <w:r>
              <w:rPr>
                <w:rFonts w:hint="default" w:ascii="Times New Roman" w:hAnsi="Times New Roman" w:cs="Times New Roman" w:eastAsiaTheme="minorEastAsia"/>
                <w:color w:val="auto"/>
                <w:kern w:val="0"/>
                <w:sz w:val="24"/>
                <w:szCs w:val="24"/>
                <w:highlight w:val="none"/>
                <w:lang w:val="en-US" w:eastAsia="zh-CN" w:bidi="en-US"/>
              </w:rPr>
              <w:t>/a。污水产生量按照用水量的80%计算，则生活污水产生量为67.2m</w:t>
            </w:r>
            <w:r>
              <w:rPr>
                <w:rFonts w:hint="default" w:ascii="Times New Roman" w:hAnsi="Times New Roman" w:cs="Times New Roman" w:eastAsiaTheme="minorEastAsia"/>
                <w:color w:val="auto"/>
                <w:kern w:val="0"/>
                <w:sz w:val="24"/>
                <w:szCs w:val="24"/>
                <w:highlight w:val="none"/>
                <w:vertAlign w:val="superscript"/>
                <w:lang w:val="en-US" w:eastAsia="zh-CN" w:bidi="en-US"/>
              </w:rPr>
              <w:t>3</w:t>
            </w:r>
            <w:r>
              <w:rPr>
                <w:rFonts w:hint="default" w:ascii="Times New Roman" w:hAnsi="Times New Roman" w:cs="Times New Roman" w:eastAsiaTheme="minorEastAsia"/>
                <w:color w:val="auto"/>
                <w:kern w:val="0"/>
                <w:sz w:val="24"/>
                <w:szCs w:val="24"/>
                <w:highlight w:val="none"/>
                <w:lang w:val="en-US" w:eastAsia="zh-CN" w:bidi="en-US"/>
              </w:rPr>
              <w:t>/a。生活污水排入化粪池，定期清掏，后用于农田施肥。</w:t>
            </w:r>
          </w:p>
          <w:p w14:paraId="2C00FF34">
            <w:pPr>
              <w:pStyle w:val="51"/>
              <w:spacing w:line="276" w:lineRule="auto"/>
              <w:jc w:val="center"/>
              <w:rPr>
                <w:b/>
                <w:bCs/>
                <w:color w:val="auto"/>
                <w:szCs w:val="21"/>
              </w:rPr>
            </w:pPr>
            <w:r>
              <w:rPr>
                <w:b/>
                <w:bCs/>
                <w:color w:val="auto"/>
                <w:szCs w:val="21"/>
              </w:rPr>
              <w:t>表4-</w:t>
            </w:r>
            <w:r>
              <w:rPr>
                <w:rFonts w:hint="eastAsia"/>
                <w:b/>
                <w:bCs/>
                <w:color w:val="auto"/>
                <w:szCs w:val="21"/>
                <w:lang w:val="en-US" w:eastAsia="zh-CN"/>
              </w:rPr>
              <w:t>7</w:t>
            </w:r>
            <w:r>
              <w:rPr>
                <w:rFonts w:hint="eastAsia"/>
                <w:b/>
                <w:bCs/>
                <w:color w:val="auto"/>
                <w:szCs w:val="21"/>
              </w:rPr>
              <w:t xml:space="preserve"> </w:t>
            </w:r>
            <w:r>
              <w:rPr>
                <w:b/>
                <w:bCs/>
                <w:color w:val="auto"/>
                <w:szCs w:val="21"/>
              </w:rPr>
              <w:t>本项目废水产生与排放情况一览表</w:t>
            </w:r>
          </w:p>
          <w:tbl>
            <w:tblPr>
              <w:tblStyle w:val="24"/>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25"/>
              <w:gridCol w:w="1526"/>
              <w:gridCol w:w="4253"/>
            </w:tblGrid>
            <w:tr w14:paraId="45224E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45AC3EF5">
                  <w:pPr>
                    <w:pStyle w:val="51"/>
                    <w:spacing w:line="240" w:lineRule="auto"/>
                    <w:jc w:val="center"/>
                    <w:rPr>
                      <w:rFonts w:hint="eastAsia" w:asciiTheme="minorEastAsia" w:hAnsiTheme="minorEastAsia" w:eastAsiaTheme="minorEastAsia" w:cstheme="minorEastAsia"/>
                      <w:b/>
                      <w:bCs/>
                      <w:color w:val="auto"/>
                      <w:szCs w:val="21"/>
                    </w:rPr>
                  </w:pPr>
                  <w:bookmarkStart w:id="14" w:name="_Hlk68887236"/>
                  <w:r>
                    <w:rPr>
                      <w:rFonts w:hint="eastAsia" w:asciiTheme="minorEastAsia" w:hAnsiTheme="minorEastAsia" w:eastAsiaTheme="minorEastAsia" w:cstheme="minorEastAsia"/>
                      <w:b/>
                      <w:bCs/>
                      <w:color w:val="auto"/>
                      <w:szCs w:val="21"/>
                    </w:rPr>
                    <w:t>产污环节</w:t>
                  </w:r>
                </w:p>
              </w:tc>
              <w:tc>
                <w:tcPr>
                  <w:tcW w:w="2690" w:type="pct"/>
                  <w:tcBorders>
                    <w:tl2br w:val="nil"/>
                    <w:tr2bl w:val="nil"/>
                  </w:tcBorders>
                  <w:noWrap w:val="0"/>
                  <w:vAlign w:val="center"/>
                </w:tcPr>
                <w:p w14:paraId="72F6E1C9">
                  <w:pPr>
                    <w:pStyle w:val="51"/>
                    <w:spacing w:line="240" w:lineRule="auto"/>
                    <w:jc w:val="center"/>
                    <w:rPr>
                      <w:rFonts w:hint="eastAsia"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生活污水</w:t>
                  </w:r>
                </w:p>
              </w:tc>
            </w:tr>
            <w:tr w14:paraId="045FEE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14CCE487">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color w:val="auto"/>
                      <w:szCs w:val="21"/>
                    </w:rPr>
                    <w:t>废水产生量m</w:t>
                  </w:r>
                  <w:r>
                    <w:rPr>
                      <w:color w:val="auto"/>
                      <w:szCs w:val="21"/>
                      <w:vertAlign w:val="superscript"/>
                    </w:rPr>
                    <w:t>3</w:t>
                  </w:r>
                  <w:r>
                    <w:rPr>
                      <w:color w:val="auto"/>
                      <w:szCs w:val="21"/>
                    </w:rPr>
                    <w:t>/</w:t>
                  </w:r>
                  <w:r>
                    <w:rPr>
                      <w:rFonts w:hint="eastAsia"/>
                      <w:color w:val="auto"/>
                      <w:szCs w:val="21"/>
                    </w:rPr>
                    <w:t>a</w:t>
                  </w:r>
                </w:p>
              </w:tc>
              <w:tc>
                <w:tcPr>
                  <w:tcW w:w="2690" w:type="pct"/>
                  <w:tcBorders>
                    <w:tl2br w:val="nil"/>
                    <w:tr2bl w:val="nil"/>
                  </w:tcBorders>
                  <w:noWrap w:val="0"/>
                  <w:vAlign w:val="center"/>
                </w:tcPr>
                <w:p w14:paraId="01877489">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eastAsia="宋体"/>
                      <w:color w:val="auto"/>
                      <w:szCs w:val="21"/>
                      <w:lang w:val="en-US" w:eastAsia="zh-CN"/>
                    </w:rPr>
                  </w:pPr>
                  <w:r>
                    <w:rPr>
                      <w:rFonts w:hint="eastAsia"/>
                      <w:color w:val="auto"/>
                      <w:szCs w:val="21"/>
                      <w:lang w:val="en-US" w:eastAsia="zh-CN"/>
                    </w:rPr>
                    <w:t>67.2</w:t>
                  </w:r>
                </w:p>
              </w:tc>
            </w:tr>
            <w:tr w14:paraId="19186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048A9376">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污染物种类</w:t>
                  </w:r>
                </w:p>
              </w:tc>
              <w:tc>
                <w:tcPr>
                  <w:tcW w:w="2690" w:type="pct"/>
                  <w:tcBorders>
                    <w:tl2br w:val="nil"/>
                    <w:tr2bl w:val="nil"/>
                  </w:tcBorders>
                  <w:noWrap w:val="0"/>
                  <w:vAlign w:val="center"/>
                </w:tcPr>
                <w:p w14:paraId="74006751">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eastAsia="宋体"/>
                      <w:color w:val="auto"/>
                      <w:szCs w:val="21"/>
                      <w:lang w:val="en-US" w:eastAsia="zh-CN"/>
                    </w:rPr>
                  </w:pPr>
                  <w:r>
                    <w:rPr>
                      <w:rFonts w:hint="eastAsia"/>
                      <w:color w:val="auto"/>
                      <w:szCs w:val="21"/>
                    </w:rPr>
                    <w:t>COD、BOD</w:t>
                  </w:r>
                  <w:r>
                    <w:rPr>
                      <w:rFonts w:hint="eastAsia"/>
                      <w:color w:val="auto"/>
                      <w:szCs w:val="21"/>
                      <w:vertAlign w:val="subscript"/>
                    </w:rPr>
                    <w:t>5</w:t>
                  </w:r>
                  <w:r>
                    <w:rPr>
                      <w:rFonts w:hint="eastAsia"/>
                      <w:color w:val="auto"/>
                      <w:szCs w:val="21"/>
                    </w:rPr>
                    <w:t>、NH</w:t>
                  </w:r>
                  <w:r>
                    <w:rPr>
                      <w:rFonts w:hint="eastAsia"/>
                      <w:color w:val="auto"/>
                      <w:szCs w:val="21"/>
                      <w:vertAlign w:val="subscript"/>
                    </w:rPr>
                    <w:t>4</w:t>
                  </w:r>
                  <w:r>
                    <w:rPr>
                      <w:rFonts w:hint="eastAsia"/>
                      <w:color w:val="auto"/>
                      <w:szCs w:val="21"/>
                    </w:rPr>
                    <w:t>-N、SS、</w:t>
                  </w:r>
                  <w:r>
                    <w:rPr>
                      <w:rFonts w:hint="eastAsia"/>
                      <w:color w:val="auto"/>
                      <w:szCs w:val="21"/>
                      <w:lang w:val="en-US" w:eastAsia="zh-CN"/>
                    </w:rPr>
                    <w:t>PH</w:t>
                  </w:r>
                </w:p>
              </w:tc>
            </w:tr>
            <w:tr w14:paraId="17539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1CE7C683">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bookmarkStart w:id="15" w:name="_Hlk68796675"/>
                  <w:r>
                    <w:rPr>
                      <w:color w:val="auto"/>
                      <w:szCs w:val="21"/>
                    </w:rPr>
                    <w:t>污染物产生浓度mg/L</w:t>
                  </w:r>
                </w:p>
              </w:tc>
              <w:tc>
                <w:tcPr>
                  <w:tcW w:w="2690" w:type="pct"/>
                  <w:tcBorders>
                    <w:tl2br w:val="nil"/>
                    <w:tr2bl w:val="nil"/>
                  </w:tcBorders>
                  <w:noWrap w:val="0"/>
                  <w:vAlign w:val="center"/>
                </w:tcPr>
                <w:p w14:paraId="66910F67">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tr w14:paraId="2AD8C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28858E1C">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污染物产生量t/a</w:t>
                  </w:r>
                </w:p>
              </w:tc>
              <w:tc>
                <w:tcPr>
                  <w:tcW w:w="2690" w:type="pct"/>
                  <w:tcBorders>
                    <w:tl2br w:val="nil"/>
                    <w:tr2bl w:val="nil"/>
                  </w:tcBorders>
                  <w:noWrap w:val="0"/>
                  <w:vAlign w:val="center"/>
                </w:tcPr>
                <w:p w14:paraId="3353E4DC">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bookmarkEnd w:id="15"/>
            <w:tr w14:paraId="6FEDF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344" w:type="pct"/>
                  <w:vMerge w:val="restart"/>
                  <w:tcBorders>
                    <w:tl2br w:val="nil"/>
                    <w:tr2bl w:val="nil"/>
                  </w:tcBorders>
                  <w:noWrap w:val="0"/>
                  <w:vAlign w:val="center"/>
                </w:tcPr>
                <w:p w14:paraId="72430BD5">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污染治理设施</w:t>
                  </w:r>
                </w:p>
              </w:tc>
              <w:tc>
                <w:tcPr>
                  <w:tcW w:w="965" w:type="pct"/>
                  <w:tcBorders>
                    <w:tl2br w:val="nil"/>
                    <w:tr2bl w:val="nil"/>
                  </w:tcBorders>
                  <w:noWrap w:val="0"/>
                  <w:vAlign w:val="center"/>
                </w:tcPr>
                <w:p w14:paraId="1DF1991A">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设施编号</w:t>
                  </w:r>
                </w:p>
              </w:tc>
              <w:tc>
                <w:tcPr>
                  <w:tcW w:w="2690" w:type="pct"/>
                  <w:tcBorders>
                    <w:tl2br w:val="nil"/>
                    <w:tr2bl w:val="nil"/>
                  </w:tcBorders>
                  <w:noWrap w:val="0"/>
                  <w:vAlign w:val="center"/>
                </w:tcPr>
                <w:p w14:paraId="3B72E73B">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rFonts w:hint="eastAsia"/>
                      <w:color w:val="auto"/>
                      <w:szCs w:val="21"/>
                    </w:rPr>
                    <w:t>TW001</w:t>
                  </w:r>
                </w:p>
              </w:tc>
            </w:tr>
            <w:tr w14:paraId="3E5C0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344" w:type="pct"/>
                  <w:vMerge w:val="continue"/>
                  <w:tcBorders>
                    <w:tl2br w:val="nil"/>
                    <w:tr2bl w:val="nil"/>
                  </w:tcBorders>
                  <w:noWrap w:val="0"/>
                  <w:vAlign w:val="center"/>
                </w:tcPr>
                <w:p w14:paraId="3845E580">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38EC936A">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设施名称</w:t>
                  </w:r>
                </w:p>
              </w:tc>
              <w:tc>
                <w:tcPr>
                  <w:tcW w:w="2690" w:type="pct"/>
                  <w:tcBorders>
                    <w:tl2br w:val="nil"/>
                    <w:tr2bl w:val="nil"/>
                  </w:tcBorders>
                  <w:noWrap w:val="0"/>
                  <w:vAlign w:val="center"/>
                </w:tcPr>
                <w:p w14:paraId="6C2A2EC0">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化粪池</w:t>
                  </w:r>
                </w:p>
              </w:tc>
            </w:tr>
            <w:tr w14:paraId="2699E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344" w:type="pct"/>
                  <w:vMerge w:val="continue"/>
                  <w:tcBorders>
                    <w:tl2br w:val="nil"/>
                    <w:tr2bl w:val="nil"/>
                  </w:tcBorders>
                  <w:noWrap w:val="0"/>
                  <w:vAlign w:val="center"/>
                </w:tcPr>
                <w:p w14:paraId="3F3D0A67">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72E3D929">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处理工艺</w:t>
                  </w:r>
                </w:p>
              </w:tc>
              <w:tc>
                <w:tcPr>
                  <w:tcW w:w="2690" w:type="pct"/>
                  <w:tcBorders>
                    <w:tl2br w:val="nil"/>
                    <w:tr2bl w:val="nil"/>
                  </w:tcBorders>
                  <w:noWrap w:val="0"/>
                  <w:vAlign w:val="center"/>
                </w:tcPr>
                <w:p w14:paraId="7F9D185C">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沉淀</w:t>
                  </w:r>
                </w:p>
              </w:tc>
            </w:tr>
            <w:tr w14:paraId="11141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344" w:type="pct"/>
                  <w:vMerge w:val="continue"/>
                  <w:tcBorders>
                    <w:tl2br w:val="nil"/>
                    <w:tr2bl w:val="nil"/>
                  </w:tcBorders>
                  <w:noWrap w:val="0"/>
                  <w:vAlign w:val="center"/>
                </w:tcPr>
                <w:p w14:paraId="25AD2D15">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0D3C38B8">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处理效率</w:t>
                  </w:r>
                </w:p>
              </w:tc>
              <w:tc>
                <w:tcPr>
                  <w:tcW w:w="2690" w:type="pct"/>
                  <w:tcBorders>
                    <w:tl2br w:val="nil"/>
                    <w:tr2bl w:val="nil"/>
                  </w:tcBorders>
                  <w:noWrap w:val="0"/>
                  <w:vAlign w:val="center"/>
                </w:tcPr>
                <w:p w14:paraId="5B416E07">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tr w14:paraId="4EA4A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344" w:type="pct"/>
                  <w:vMerge w:val="continue"/>
                  <w:tcBorders>
                    <w:tl2br w:val="nil"/>
                    <w:tr2bl w:val="nil"/>
                  </w:tcBorders>
                  <w:noWrap w:val="0"/>
                  <w:vAlign w:val="center"/>
                </w:tcPr>
                <w:p w14:paraId="61C3214F">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766A1532">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是否可行</w:t>
                  </w:r>
                </w:p>
              </w:tc>
              <w:tc>
                <w:tcPr>
                  <w:tcW w:w="2690" w:type="pct"/>
                  <w:tcBorders>
                    <w:tl2br w:val="nil"/>
                    <w:tr2bl w:val="nil"/>
                  </w:tcBorders>
                  <w:noWrap w:val="0"/>
                  <w:vAlign w:val="center"/>
                </w:tcPr>
                <w:p w14:paraId="6C7A8892">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可行</w:t>
                  </w:r>
                </w:p>
              </w:tc>
            </w:tr>
            <w:tr w14:paraId="78F30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53749388">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污染物排放浓度</w:t>
                  </w:r>
                </w:p>
              </w:tc>
              <w:tc>
                <w:tcPr>
                  <w:tcW w:w="2690" w:type="pct"/>
                  <w:tcBorders>
                    <w:tl2br w:val="nil"/>
                    <w:tr2bl w:val="nil"/>
                  </w:tcBorders>
                  <w:noWrap w:val="0"/>
                  <w:vAlign w:val="center"/>
                </w:tcPr>
                <w:p w14:paraId="2ECD0D32">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tr w14:paraId="53B11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1BE04A56">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color w:val="auto"/>
                      <w:szCs w:val="21"/>
                    </w:rPr>
                    <w:t>废水排放量m</w:t>
                  </w:r>
                  <w:r>
                    <w:rPr>
                      <w:color w:val="auto"/>
                      <w:szCs w:val="21"/>
                      <w:vertAlign w:val="superscript"/>
                    </w:rPr>
                    <w:t>3</w:t>
                  </w:r>
                  <w:r>
                    <w:rPr>
                      <w:color w:val="auto"/>
                      <w:szCs w:val="21"/>
                    </w:rPr>
                    <w:t>/</w:t>
                  </w:r>
                  <w:r>
                    <w:rPr>
                      <w:rFonts w:hint="eastAsia"/>
                      <w:color w:val="auto"/>
                      <w:szCs w:val="21"/>
                    </w:rPr>
                    <w:t>a</w:t>
                  </w:r>
                </w:p>
              </w:tc>
              <w:tc>
                <w:tcPr>
                  <w:tcW w:w="2690" w:type="pct"/>
                  <w:tcBorders>
                    <w:tl2br w:val="nil"/>
                    <w:tr2bl w:val="nil"/>
                  </w:tcBorders>
                  <w:noWrap w:val="0"/>
                  <w:vAlign w:val="center"/>
                </w:tcPr>
                <w:p w14:paraId="2E386860">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0（不外排）</w:t>
                  </w:r>
                </w:p>
              </w:tc>
            </w:tr>
            <w:tr w14:paraId="10E29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2309" w:type="pct"/>
                  <w:gridSpan w:val="2"/>
                  <w:tcBorders>
                    <w:tl2br w:val="nil"/>
                    <w:tr2bl w:val="nil"/>
                  </w:tcBorders>
                  <w:noWrap w:val="0"/>
                  <w:vAlign w:val="center"/>
                </w:tcPr>
                <w:p w14:paraId="7747FA6C">
                  <w:pPr>
                    <w:pStyle w:val="51"/>
                    <w:spacing w:line="240" w:lineRule="auto"/>
                    <w:jc w:val="center"/>
                    <w:rPr>
                      <w:color w:val="auto"/>
                      <w:szCs w:val="21"/>
                    </w:rPr>
                  </w:pPr>
                  <w:r>
                    <w:rPr>
                      <w:color w:val="auto"/>
                      <w:szCs w:val="21"/>
                    </w:rPr>
                    <w:t>污染物排放量t/a</w:t>
                  </w:r>
                </w:p>
              </w:tc>
              <w:tc>
                <w:tcPr>
                  <w:tcW w:w="2690" w:type="pct"/>
                  <w:tcBorders>
                    <w:tl2br w:val="nil"/>
                    <w:tr2bl w:val="nil"/>
                  </w:tcBorders>
                  <w:noWrap w:val="0"/>
                  <w:vAlign w:val="center"/>
                </w:tcPr>
                <w:p w14:paraId="38E8A165">
                  <w:pPr>
                    <w:pStyle w:val="51"/>
                    <w:spacing w:line="240" w:lineRule="auto"/>
                    <w:jc w:val="center"/>
                    <w:rPr>
                      <w:rFonts w:hint="eastAsia"/>
                      <w:color w:val="auto"/>
                      <w:szCs w:val="21"/>
                    </w:rPr>
                  </w:pPr>
                  <w:r>
                    <w:rPr>
                      <w:rFonts w:hint="eastAsia"/>
                      <w:color w:val="auto"/>
                      <w:szCs w:val="21"/>
                    </w:rPr>
                    <w:t>/</w:t>
                  </w:r>
                </w:p>
              </w:tc>
            </w:tr>
            <w:bookmarkEnd w:id="14"/>
          </w:tbl>
          <w:p w14:paraId="1D1087A6">
            <w:pPr>
              <w:adjustRightInd w:val="0"/>
              <w:snapToGrid w:val="0"/>
              <w:spacing w:line="360" w:lineRule="auto"/>
              <w:rPr>
                <w:rFonts w:hint="default" w:ascii="Times New Roman" w:hAnsi="Times New Roman" w:eastAsia="宋体" w:cs="Times New Roman"/>
                <w:b/>
                <w:color w:val="auto"/>
                <w:kern w:val="0"/>
                <w:sz w:val="24"/>
                <w:szCs w:val="24"/>
                <w:lang w:val="en-US" w:eastAsia="zh-CN" w:bidi="en-US"/>
              </w:rPr>
            </w:pPr>
            <w:r>
              <w:rPr>
                <w:rFonts w:hint="eastAsia" w:ascii="Times New Roman" w:hAnsi="Times New Roman" w:eastAsia="宋体" w:cs="Times New Roman"/>
                <w:b/>
                <w:color w:val="auto"/>
                <w:kern w:val="0"/>
                <w:sz w:val="24"/>
                <w:szCs w:val="24"/>
                <w:lang w:val="en-US" w:eastAsia="zh-CN" w:bidi="en-US"/>
              </w:rPr>
              <w:t>2.2</w:t>
            </w:r>
            <w:r>
              <w:rPr>
                <w:rFonts w:hint="default" w:ascii="Times New Roman" w:hAnsi="Times New Roman" w:eastAsia="宋体" w:cs="Times New Roman"/>
                <w:b/>
                <w:color w:val="auto"/>
                <w:kern w:val="0"/>
                <w:sz w:val="24"/>
                <w:szCs w:val="24"/>
                <w:lang w:val="en-US" w:eastAsia="zh-CN" w:bidi="en-US"/>
              </w:rPr>
              <w:t>废水治理措施可行性分析</w:t>
            </w:r>
          </w:p>
          <w:p w14:paraId="11D03D0C">
            <w:pPr>
              <w:adjustRightInd w:val="0"/>
              <w:snapToGrid w:val="0"/>
              <w:spacing w:line="360" w:lineRule="auto"/>
              <w:ind w:firstLine="480" w:firstLineChars="200"/>
              <w:rPr>
                <w:bCs/>
                <w:color w:val="auto"/>
                <w:sz w:val="24"/>
              </w:rPr>
            </w:pPr>
            <w:r>
              <w:rPr>
                <w:rFonts w:hint="eastAsia"/>
                <w:bCs/>
                <w:color w:val="auto"/>
                <w:sz w:val="24"/>
              </w:rPr>
              <w:t>本</w:t>
            </w:r>
            <w:r>
              <w:rPr>
                <w:bCs/>
                <w:color w:val="auto"/>
                <w:sz w:val="24"/>
              </w:rPr>
              <w:t>项目废水依托现有化粪池处理，</w:t>
            </w:r>
            <w:r>
              <w:rPr>
                <w:rFonts w:hint="eastAsia"/>
                <w:bCs/>
                <w:color w:val="auto"/>
                <w:sz w:val="24"/>
                <w:lang w:eastAsia="zh-CN"/>
              </w:rPr>
              <w:t>化粪池位于厂房西侧，</w:t>
            </w:r>
            <w:r>
              <w:rPr>
                <w:rFonts w:hint="default" w:ascii="Times New Roman" w:hAnsi="Times New Roman" w:cs="Times New Roman"/>
                <w:color w:val="auto"/>
                <w:sz w:val="24"/>
                <w:szCs w:val="24"/>
              </w:rPr>
              <w:t>容积</w:t>
            </w:r>
            <w:r>
              <w:rPr>
                <w:rFonts w:hint="eastAsia" w:ascii="Times New Roman" w:hAnsi="Times New Roman" w:cs="Times New Roman"/>
                <w:color w:val="auto"/>
                <w:sz w:val="24"/>
                <w:szCs w:val="24"/>
                <w:lang w:val="en-US" w:eastAsia="zh-CN"/>
              </w:rPr>
              <w:t>2×50</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3</w:t>
            </w:r>
            <w:r>
              <w:rPr>
                <w:bCs/>
                <w:color w:val="auto"/>
                <w:sz w:val="24"/>
              </w:rPr>
              <w:t>本项目废水量为</w:t>
            </w:r>
            <w:r>
              <w:rPr>
                <w:rFonts w:hint="eastAsia"/>
                <w:bCs/>
                <w:color w:val="auto"/>
                <w:sz w:val="24"/>
                <w:lang w:val="en-US" w:eastAsia="zh-CN"/>
              </w:rPr>
              <w:t>40.32</w:t>
            </w:r>
            <w:r>
              <w:rPr>
                <w:bCs/>
                <w:color w:val="auto"/>
                <w:sz w:val="24"/>
              </w:rPr>
              <w:t>m</w:t>
            </w:r>
            <w:r>
              <w:rPr>
                <w:bCs/>
                <w:color w:val="auto"/>
                <w:sz w:val="24"/>
                <w:vertAlign w:val="superscript"/>
              </w:rPr>
              <w:t>3</w:t>
            </w:r>
            <w:r>
              <w:rPr>
                <w:bCs/>
                <w:color w:val="auto"/>
                <w:sz w:val="24"/>
              </w:rPr>
              <w:t xml:space="preserve"> /</w:t>
            </w:r>
            <w:r>
              <w:rPr>
                <w:rFonts w:hint="eastAsia"/>
                <w:bCs/>
                <w:color w:val="auto"/>
                <w:sz w:val="24"/>
              </w:rPr>
              <w:t>a</w:t>
            </w:r>
            <w:r>
              <w:rPr>
                <w:bCs/>
                <w:color w:val="auto"/>
                <w:sz w:val="24"/>
              </w:rPr>
              <w:t>，</w:t>
            </w:r>
            <w:r>
              <w:rPr>
                <w:rFonts w:hint="eastAsia"/>
                <w:bCs/>
                <w:color w:val="auto"/>
                <w:sz w:val="24"/>
              </w:rPr>
              <w:t>则日产生活污水</w:t>
            </w:r>
            <w:r>
              <w:rPr>
                <w:rFonts w:hint="eastAsia"/>
                <w:bCs/>
                <w:color w:val="auto"/>
                <w:sz w:val="24"/>
                <w:lang w:val="en-US" w:eastAsia="zh-CN"/>
              </w:rPr>
              <w:t>0.2688</w:t>
            </w:r>
            <w:r>
              <w:rPr>
                <w:rFonts w:hint="eastAsia"/>
                <w:bCs/>
                <w:color w:val="auto"/>
                <w:sz w:val="24"/>
                <w:highlight w:val="none"/>
              </w:rPr>
              <w:t>m</w:t>
            </w:r>
            <w:r>
              <w:rPr>
                <w:rFonts w:hint="eastAsia"/>
                <w:bCs/>
                <w:color w:val="auto"/>
                <w:sz w:val="24"/>
                <w:highlight w:val="none"/>
                <w:vertAlign w:val="superscript"/>
              </w:rPr>
              <w:t>3</w:t>
            </w:r>
            <w:r>
              <w:rPr>
                <w:rFonts w:hint="eastAsia"/>
                <w:bCs/>
                <w:color w:val="auto"/>
                <w:sz w:val="24"/>
                <w:highlight w:val="none"/>
              </w:rPr>
              <w:t>。根据企业提供资料，</w:t>
            </w:r>
            <w:r>
              <w:rPr>
                <w:rFonts w:hint="eastAsia"/>
                <w:bCs/>
                <w:color w:val="auto"/>
                <w:sz w:val="24"/>
                <w:highlight w:val="none"/>
                <w:lang w:eastAsia="zh-CN"/>
              </w:rPr>
              <w:t>废水停留半月后进行清掏用于周边农田施肥，</w:t>
            </w:r>
            <w:r>
              <w:rPr>
                <w:rFonts w:hint="eastAsia"/>
                <w:bCs/>
                <w:color w:val="auto"/>
                <w:sz w:val="24"/>
                <w:highlight w:val="none"/>
              </w:rPr>
              <w:t>化粪池</w:t>
            </w:r>
            <w:r>
              <w:rPr>
                <w:bCs/>
                <w:color w:val="auto"/>
                <w:sz w:val="24"/>
                <w:highlight w:val="none"/>
              </w:rPr>
              <w:t>有足</w:t>
            </w:r>
            <w:r>
              <w:rPr>
                <w:bCs/>
                <w:color w:val="auto"/>
                <w:sz w:val="24"/>
              </w:rPr>
              <w:t>够的容积接纳本项目废水，废水依托</w:t>
            </w:r>
            <w:r>
              <w:rPr>
                <w:rFonts w:hint="eastAsia"/>
                <w:bCs/>
                <w:color w:val="auto"/>
                <w:sz w:val="24"/>
              </w:rPr>
              <w:t>现有</w:t>
            </w:r>
            <w:r>
              <w:rPr>
                <w:bCs/>
                <w:color w:val="auto"/>
                <w:sz w:val="24"/>
              </w:rPr>
              <w:t>化粪池可行。且项目选址</w:t>
            </w:r>
            <w:r>
              <w:rPr>
                <w:bCs/>
                <w:color w:val="auto"/>
                <w:sz w:val="24"/>
                <w:highlight w:val="none"/>
              </w:rPr>
              <w:t>于</w:t>
            </w:r>
            <w:r>
              <w:rPr>
                <w:rFonts w:hint="eastAsia"/>
                <w:bCs/>
                <w:color w:val="auto"/>
                <w:sz w:val="24"/>
                <w:highlight w:val="none"/>
                <w:lang w:eastAsia="zh-CN"/>
              </w:rPr>
              <w:t>西咸新区泾河新城</w:t>
            </w:r>
            <w:r>
              <w:rPr>
                <w:rFonts w:hint="eastAsia" w:ascii="Times New Roman" w:hAnsi="Times New Roman" w:eastAsia="宋体" w:cs="Times New Roman"/>
                <w:bCs/>
                <w:color w:val="auto"/>
                <w:sz w:val="24"/>
                <w:highlight w:val="none"/>
                <w:lang w:eastAsia="zh-CN"/>
              </w:rPr>
              <w:t>工业密集区</w:t>
            </w:r>
            <w:r>
              <w:rPr>
                <w:rFonts w:hint="eastAsia"/>
                <w:bCs/>
                <w:color w:val="auto"/>
                <w:sz w:val="24"/>
                <w:highlight w:val="none"/>
                <w:lang w:eastAsia="zh-CN"/>
              </w:rPr>
              <w:t>永乐园区</w:t>
            </w:r>
            <w:r>
              <w:rPr>
                <w:bCs/>
                <w:color w:val="auto"/>
                <w:sz w:val="24"/>
                <w:highlight w:val="none"/>
              </w:rPr>
              <w:t>，周</w:t>
            </w:r>
            <w:r>
              <w:rPr>
                <w:bCs/>
                <w:color w:val="auto"/>
                <w:sz w:val="24"/>
              </w:rPr>
              <w:t>边有耕地，项目产生的生活</w:t>
            </w:r>
            <w:r>
              <w:rPr>
                <w:rFonts w:hint="eastAsia"/>
                <w:bCs/>
                <w:color w:val="auto"/>
                <w:sz w:val="24"/>
              </w:rPr>
              <w:t>污水</w:t>
            </w:r>
            <w:r>
              <w:rPr>
                <w:bCs/>
                <w:color w:val="auto"/>
                <w:sz w:val="24"/>
              </w:rPr>
              <w:t>由当地农民拉运肥田，能够满足废水的消纳要求。</w:t>
            </w:r>
          </w:p>
          <w:p w14:paraId="16373F34">
            <w:pPr>
              <w:adjustRightInd w:val="0"/>
              <w:snapToGrid w:val="0"/>
              <w:spacing w:line="360" w:lineRule="auto"/>
              <w:ind w:firstLine="380"/>
              <w:rPr>
                <w:b/>
                <w:color w:val="auto"/>
                <w:sz w:val="24"/>
              </w:rPr>
            </w:pPr>
            <w:r>
              <w:rPr>
                <w:bCs/>
                <w:color w:val="auto"/>
                <w:sz w:val="24"/>
              </w:rPr>
              <w:t>综上，本项目废水不进入地表水体，对周围地表水环境影响较小。</w:t>
            </w:r>
          </w:p>
          <w:p w14:paraId="37E3AF11">
            <w:pPr>
              <w:numPr>
                <w:ilvl w:val="0"/>
                <w:numId w:val="0"/>
              </w:numPr>
              <w:adjustRightInd w:val="0"/>
              <w:snapToGrid w:val="0"/>
              <w:spacing w:line="360" w:lineRule="auto"/>
              <w:ind w:leftChars="0"/>
              <w:rPr>
                <w:rFonts w:hint="default" w:ascii="Times New Roman" w:hAnsi="Times New Roman" w:cs="Times New Roman"/>
                <w:b/>
                <w:bCs w:val="0"/>
                <w:color w:val="auto"/>
                <w:spacing w:val="-10"/>
                <w:sz w:val="24"/>
                <w:szCs w:val="24"/>
                <w:highlight w:val="none"/>
                <w:lang w:val="en-US" w:eastAsia="zh-CN"/>
              </w:rPr>
            </w:pPr>
            <w:r>
              <w:rPr>
                <w:rFonts w:hint="eastAsia" w:cs="Times New Roman"/>
                <w:b/>
                <w:bCs w:val="0"/>
                <w:color w:val="auto"/>
                <w:spacing w:val="-10"/>
                <w:sz w:val="24"/>
                <w:szCs w:val="24"/>
                <w:highlight w:val="none"/>
                <w:lang w:val="en-US" w:eastAsia="zh-CN"/>
              </w:rPr>
              <w:t>3、</w:t>
            </w:r>
            <w:r>
              <w:rPr>
                <w:rFonts w:hint="default" w:ascii="Times New Roman" w:hAnsi="Times New Roman" w:cs="Times New Roman"/>
                <w:b/>
                <w:bCs w:val="0"/>
                <w:color w:val="auto"/>
                <w:spacing w:val="-10"/>
                <w:sz w:val="24"/>
                <w:szCs w:val="24"/>
                <w:highlight w:val="none"/>
                <w:lang w:val="en-US" w:eastAsia="zh-CN"/>
              </w:rPr>
              <w:t>噪声</w:t>
            </w:r>
          </w:p>
          <w:p w14:paraId="0EF3CCB3">
            <w:pPr>
              <w:numPr>
                <w:ilvl w:val="0"/>
                <w:numId w:val="0"/>
              </w:numPr>
              <w:adjustRightInd w:val="0"/>
              <w:snapToGrid w:val="0"/>
              <w:spacing w:line="360" w:lineRule="auto"/>
              <w:ind w:leftChars="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3.1噪声源强</w:t>
            </w:r>
            <w:r>
              <w:rPr>
                <w:rFonts w:hint="default" w:ascii="Times New Roman" w:hAnsi="Times New Roman" w:cs="Times New Roman"/>
                <w:b/>
                <w:color w:val="auto"/>
                <w:sz w:val="24"/>
                <w:szCs w:val="32"/>
                <w:highlight w:val="none"/>
              </w:rPr>
              <w:t>及降噪措施</w:t>
            </w:r>
          </w:p>
          <w:p w14:paraId="19AAEE61">
            <w:pPr>
              <w:adjustRightInd w:val="0"/>
              <w:snapToGrid w:val="0"/>
              <w:spacing w:line="360" w:lineRule="auto"/>
              <w:ind w:firstLine="380"/>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lang w:val="en-US" w:eastAsia="zh-CN"/>
              </w:rPr>
              <w:t>本项目营运期的噪声主要来源于生产设施及环保措施风机等生产设备运行时产生的噪声，噪声源强在80-95dB（A）之间，噪声源强及治理措施见下表。</w:t>
            </w:r>
          </w:p>
          <w:p w14:paraId="213F0B4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default" w:ascii="Times New Roman" w:hAnsi="Times New Roman" w:cs="Times New Roman" w:eastAsiaTheme="majorEastAsia"/>
                <w:b/>
                <w:bCs/>
                <w:color w:val="auto"/>
                <w:sz w:val="21"/>
                <w:szCs w:val="20"/>
              </w:rPr>
            </w:pPr>
            <w:r>
              <w:rPr>
                <w:rFonts w:hint="default" w:ascii="Times New Roman" w:hAnsi="Times New Roman" w:cs="Times New Roman" w:eastAsiaTheme="majorEastAsia"/>
                <w:b/>
                <w:bCs/>
                <w:color w:val="auto"/>
                <w:sz w:val="21"/>
                <w:szCs w:val="20"/>
              </w:rPr>
              <w:t>表4-</w:t>
            </w:r>
            <w:r>
              <w:rPr>
                <w:rFonts w:hint="default" w:ascii="Times New Roman" w:hAnsi="Times New Roman" w:cs="Times New Roman" w:eastAsiaTheme="majorEastAsia"/>
                <w:b/>
                <w:bCs/>
                <w:color w:val="auto"/>
                <w:sz w:val="21"/>
                <w:szCs w:val="20"/>
                <w:lang w:val="en-US" w:eastAsia="zh-CN"/>
              </w:rPr>
              <w:t>8</w:t>
            </w:r>
            <w:r>
              <w:rPr>
                <w:rFonts w:hint="default" w:ascii="Times New Roman" w:hAnsi="Times New Roman" w:cs="Times New Roman" w:eastAsiaTheme="majorEastAsia"/>
                <w:b/>
                <w:bCs/>
                <w:color w:val="auto"/>
                <w:sz w:val="21"/>
                <w:szCs w:val="20"/>
              </w:rPr>
              <w:t xml:space="preserve">  工业企业噪声源强调查清单</w:t>
            </w:r>
          </w:p>
          <w:tbl>
            <w:tblPr>
              <w:tblStyle w:val="24"/>
              <w:tblW w:w="499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0"/>
              <w:gridCol w:w="659"/>
              <w:gridCol w:w="591"/>
              <w:gridCol w:w="658"/>
              <w:gridCol w:w="527"/>
              <w:gridCol w:w="512"/>
              <w:gridCol w:w="471"/>
              <w:gridCol w:w="754"/>
              <w:gridCol w:w="770"/>
              <w:gridCol w:w="651"/>
              <w:gridCol w:w="668"/>
              <w:gridCol w:w="612"/>
              <w:gridCol w:w="591"/>
            </w:tblGrid>
            <w:tr w14:paraId="5F6D29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restart"/>
                  <w:noWrap w:val="0"/>
                  <w:vAlign w:val="center"/>
                </w:tcPr>
                <w:p w14:paraId="7653AE33">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建筑物名称</w:t>
                  </w:r>
                </w:p>
              </w:tc>
              <w:tc>
                <w:tcPr>
                  <w:tcW w:w="417" w:type="pct"/>
                  <w:vMerge w:val="restart"/>
                  <w:noWrap w:val="0"/>
                  <w:vAlign w:val="center"/>
                </w:tcPr>
                <w:p w14:paraId="7EBD6AC6">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rPr>
                  </w:pPr>
                  <w:r>
                    <w:rPr>
                      <w:rFonts w:hint="default" w:ascii="Times New Roman" w:hAnsi="Times New Roman" w:eastAsia="宋体" w:cs="Times New Roman"/>
                      <w:b/>
                      <w:bCs w:val="0"/>
                      <w:color w:val="auto"/>
                      <w:kern w:val="2"/>
                      <w:highlight w:val="none"/>
                    </w:rPr>
                    <w:t>设备名称</w:t>
                  </w:r>
                </w:p>
              </w:tc>
              <w:tc>
                <w:tcPr>
                  <w:tcW w:w="374" w:type="pct"/>
                  <w:vMerge w:val="restart"/>
                  <w:noWrap w:val="0"/>
                  <w:vAlign w:val="center"/>
                </w:tcPr>
                <w:p w14:paraId="2615D14E">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eastAsia="宋体" w:cs="Times New Roman"/>
                      <w:b/>
                      <w:bCs w:val="0"/>
                      <w:color w:val="auto"/>
                      <w:kern w:val="2"/>
                      <w:highlight w:val="none"/>
                      <w:lang w:eastAsia="zh-CN"/>
                    </w:rPr>
                    <w:t>处理前噪声</w:t>
                  </w:r>
                  <w:r>
                    <w:rPr>
                      <w:rFonts w:hint="default" w:ascii="Times New Roman" w:hAnsi="Times New Roman" w:eastAsia="宋体" w:cs="Times New Roman"/>
                      <w:b/>
                      <w:bCs w:val="0"/>
                      <w:color w:val="auto"/>
                      <w:kern w:val="2"/>
                      <w:highlight w:val="none"/>
                      <w:lang w:val="en-US" w:eastAsia="zh-CN"/>
                    </w:rPr>
                    <w:t>dB</w:t>
                  </w:r>
                  <w:r>
                    <w:rPr>
                      <w:rFonts w:hint="default" w:ascii="Times New Roman" w:hAnsi="Times New Roman" w:cs="Times New Roman"/>
                      <w:b/>
                      <w:bCs w:val="0"/>
                      <w:color w:val="auto"/>
                      <w:kern w:val="2"/>
                      <w:highlight w:val="none"/>
                      <w:lang w:val="en-US" w:eastAsia="zh-CN"/>
                    </w:rPr>
                    <w:t>（</w:t>
                  </w:r>
                  <w:r>
                    <w:rPr>
                      <w:rFonts w:hint="default" w:ascii="Times New Roman" w:hAnsi="Times New Roman" w:eastAsia="宋体" w:cs="Times New Roman"/>
                      <w:b/>
                      <w:bCs w:val="0"/>
                      <w:color w:val="auto"/>
                      <w:kern w:val="2"/>
                      <w:highlight w:val="none"/>
                      <w:lang w:val="en-US" w:eastAsia="zh-CN"/>
                    </w:rPr>
                    <w:t>A</w:t>
                  </w:r>
                  <w:r>
                    <w:rPr>
                      <w:rFonts w:hint="default" w:ascii="Times New Roman" w:hAnsi="Times New Roman" w:cs="Times New Roman"/>
                      <w:b/>
                      <w:bCs w:val="0"/>
                      <w:color w:val="auto"/>
                      <w:kern w:val="2"/>
                      <w:highlight w:val="none"/>
                      <w:lang w:val="en-US" w:eastAsia="zh-CN"/>
                    </w:rPr>
                    <w:t>）</w:t>
                  </w:r>
                </w:p>
              </w:tc>
              <w:tc>
                <w:tcPr>
                  <w:tcW w:w="416" w:type="pct"/>
                  <w:vMerge w:val="restart"/>
                  <w:noWrap w:val="0"/>
                  <w:vAlign w:val="center"/>
                </w:tcPr>
                <w:p w14:paraId="47656678">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声源控制</w:t>
                  </w:r>
                  <w:r>
                    <w:rPr>
                      <w:rFonts w:hint="default" w:ascii="Times New Roman" w:hAnsi="Times New Roman" w:eastAsia="宋体" w:cs="Times New Roman"/>
                      <w:b/>
                      <w:bCs w:val="0"/>
                      <w:color w:val="auto"/>
                      <w:kern w:val="2"/>
                      <w:highlight w:val="none"/>
                      <w:lang w:eastAsia="zh-CN"/>
                    </w:rPr>
                    <w:t>措施</w:t>
                  </w:r>
                </w:p>
              </w:tc>
              <w:tc>
                <w:tcPr>
                  <w:tcW w:w="956" w:type="pct"/>
                  <w:gridSpan w:val="3"/>
                  <w:noWrap w:val="0"/>
                  <w:vAlign w:val="center"/>
                </w:tcPr>
                <w:p w14:paraId="0A3A713C">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空间相对位置</w:t>
                  </w:r>
                  <w:r>
                    <w:rPr>
                      <w:rFonts w:hint="default" w:ascii="Times New Roman" w:hAnsi="Times New Roman" w:cs="Times New Roman"/>
                      <w:b/>
                      <w:bCs w:val="0"/>
                      <w:color w:val="auto"/>
                      <w:kern w:val="2"/>
                      <w:highlight w:val="none"/>
                      <w:lang w:val="en-US" w:eastAsia="zh-CN"/>
                    </w:rPr>
                    <w:t>/m</w:t>
                  </w:r>
                </w:p>
              </w:tc>
              <w:tc>
                <w:tcPr>
                  <w:tcW w:w="477" w:type="pct"/>
                  <w:vMerge w:val="restart"/>
                  <w:noWrap w:val="0"/>
                  <w:vAlign w:val="center"/>
                </w:tcPr>
                <w:p w14:paraId="32F520E5">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距室内边</w:t>
                  </w:r>
                </w:p>
                <w:p w14:paraId="0A05B776">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界距离/m</w:t>
                  </w:r>
                </w:p>
              </w:tc>
              <w:tc>
                <w:tcPr>
                  <w:tcW w:w="487" w:type="pct"/>
                  <w:vMerge w:val="restart"/>
                  <w:noWrap w:val="0"/>
                  <w:vAlign w:val="center"/>
                </w:tcPr>
                <w:p w14:paraId="5E0E9545">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室内边界声级</w:t>
                  </w:r>
                </w:p>
                <w:p w14:paraId="2AEE1732">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/dB（A）</w:t>
                  </w:r>
                </w:p>
              </w:tc>
              <w:tc>
                <w:tcPr>
                  <w:tcW w:w="412" w:type="pct"/>
                  <w:vMerge w:val="restart"/>
                  <w:noWrap w:val="0"/>
                  <w:vAlign w:val="center"/>
                </w:tcPr>
                <w:p w14:paraId="5ABB25FC">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运行时段</w:t>
                  </w:r>
                </w:p>
              </w:tc>
              <w:tc>
                <w:tcPr>
                  <w:tcW w:w="423" w:type="pct"/>
                  <w:vMerge w:val="restart"/>
                  <w:noWrap w:val="0"/>
                  <w:vAlign w:val="center"/>
                </w:tcPr>
                <w:p w14:paraId="5B696A11">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建筑物插入损失/dB</w:t>
                  </w:r>
                  <w:r>
                    <w:rPr>
                      <w:rFonts w:hint="default" w:ascii="Times New Roman" w:hAnsi="Times New Roman" w:cs="Times New Roman"/>
                      <w:b/>
                      <w:bCs w:val="0"/>
                      <w:color w:val="auto"/>
                      <w:kern w:val="2"/>
                      <w:highlight w:val="none"/>
                      <w:lang w:eastAsia="zh-CN"/>
                    </w:rPr>
                    <w:t>（</w:t>
                  </w:r>
                  <w:r>
                    <w:rPr>
                      <w:rFonts w:hint="default" w:ascii="Times New Roman" w:hAnsi="Times New Roman" w:eastAsia="宋体" w:cs="Times New Roman"/>
                      <w:b/>
                      <w:bCs w:val="0"/>
                      <w:color w:val="auto"/>
                      <w:kern w:val="2"/>
                      <w:highlight w:val="none"/>
                      <w:lang w:eastAsia="zh-CN"/>
                    </w:rPr>
                    <w:t>A</w:t>
                  </w:r>
                  <w:r>
                    <w:rPr>
                      <w:rFonts w:hint="default" w:ascii="Times New Roman" w:hAnsi="Times New Roman" w:cs="Times New Roman"/>
                      <w:b/>
                      <w:bCs w:val="0"/>
                      <w:color w:val="auto"/>
                      <w:kern w:val="2"/>
                      <w:highlight w:val="none"/>
                      <w:lang w:eastAsia="zh-CN"/>
                    </w:rPr>
                    <w:t>）</w:t>
                  </w:r>
                </w:p>
              </w:tc>
              <w:tc>
                <w:tcPr>
                  <w:tcW w:w="761" w:type="pct"/>
                  <w:gridSpan w:val="2"/>
                  <w:noWrap w:val="0"/>
                  <w:vAlign w:val="center"/>
                </w:tcPr>
                <w:p w14:paraId="57D4E4E4">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建筑物外噪声</w:t>
                  </w:r>
                </w:p>
              </w:tc>
            </w:tr>
            <w:tr w14:paraId="38120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69B27A1C">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p>
              </w:tc>
              <w:tc>
                <w:tcPr>
                  <w:tcW w:w="417" w:type="pct"/>
                  <w:vMerge w:val="continue"/>
                  <w:noWrap w:val="0"/>
                  <w:vAlign w:val="center"/>
                </w:tcPr>
                <w:p w14:paraId="3513DD56">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rPr>
                  </w:pPr>
                </w:p>
              </w:tc>
              <w:tc>
                <w:tcPr>
                  <w:tcW w:w="374" w:type="pct"/>
                  <w:vMerge w:val="continue"/>
                  <w:noWrap w:val="0"/>
                  <w:vAlign w:val="center"/>
                </w:tcPr>
                <w:p w14:paraId="2038D23A">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16" w:type="pct"/>
                  <w:vMerge w:val="continue"/>
                  <w:noWrap w:val="0"/>
                  <w:vAlign w:val="center"/>
                </w:tcPr>
                <w:p w14:paraId="63F82DEA">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p>
              </w:tc>
              <w:tc>
                <w:tcPr>
                  <w:tcW w:w="333" w:type="pct"/>
                  <w:noWrap w:val="0"/>
                  <w:vAlign w:val="center"/>
                </w:tcPr>
                <w:p w14:paraId="67310395">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X</w:t>
                  </w:r>
                </w:p>
              </w:tc>
              <w:tc>
                <w:tcPr>
                  <w:tcW w:w="324" w:type="pct"/>
                  <w:noWrap w:val="0"/>
                  <w:vAlign w:val="center"/>
                </w:tcPr>
                <w:p w14:paraId="3EF724A7">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Y</w:t>
                  </w:r>
                </w:p>
              </w:tc>
              <w:tc>
                <w:tcPr>
                  <w:tcW w:w="298" w:type="pct"/>
                  <w:noWrap w:val="0"/>
                  <w:vAlign w:val="center"/>
                </w:tcPr>
                <w:p w14:paraId="3466CBA9">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Z</w:t>
                  </w:r>
                </w:p>
              </w:tc>
              <w:tc>
                <w:tcPr>
                  <w:tcW w:w="477" w:type="pct"/>
                  <w:vMerge w:val="continue"/>
                  <w:noWrap w:val="0"/>
                  <w:vAlign w:val="center"/>
                </w:tcPr>
                <w:p w14:paraId="0767E762">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87" w:type="pct"/>
                  <w:vMerge w:val="continue"/>
                  <w:noWrap w:val="0"/>
                  <w:vAlign w:val="center"/>
                </w:tcPr>
                <w:p w14:paraId="542693EB">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12" w:type="pct"/>
                  <w:vMerge w:val="continue"/>
                  <w:noWrap w:val="0"/>
                  <w:vAlign w:val="center"/>
                </w:tcPr>
                <w:p w14:paraId="296F35A3">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23" w:type="pct"/>
                  <w:vMerge w:val="continue"/>
                  <w:noWrap w:val="0"/>
                  <w:vAlign w:val="center"/>
                </w:tcPr>
                <w:p w14:paraId="196D8B6A">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387" w:type="pct"/>
                  <w:noWrap w:val="0"/>
                  <w:vAlign w:val="center"/>
                </w:tcPr>
                <w:p w14:paraId="5A8DBF3B">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eastAsia="zh-CN"/>
                    </w:rPr>
                    <w:t>声压级</w:t>
                  </w:r>
                  <w:r>
                    <w:rPr>
                      <w:rFonts w:hint="default" w:ascii="Times New Roman" w:hAnsi="Times New Roman" w:cs="Times New Roman"/>
                      <w:b/>
                      <w:bCs w:val="0"/>
                      <w:color w:val="auto"/>
                      <w:kern w:val="2"/>
                      <w:highlight w:val="none"/>
                      <w:lang w:val="en-US" w:eastAsia="zh-CN"/>
                    </w:rPr>
                    <w:t>/</w:t>
                  </w:r>
                  <w:r>
                    <w:rPr>
                      <w:rFonts w:hint="default" w:ascii="Times New Roman" w:hAnsi="Times New Roman" w:eastAsia="宋体" w:cs="Times New Roman"/>
                      <w:b/>
                      <w:bCs w:val="0"/>
                      <w:color w:val="auto"/>
                      <w:kern w:val="2"/>
                      <w:highlight w:val="none"/>
                      <w:lang w:eastAsia="zh-CN"/>
                    </w:rPr>
                    <w:t>dB</w:t>
                  </w:r>
                  <w:r>
                    <w:rPr>
                      <w:rFonts w:hint="default" w:ascii="Times New Roman" w:hAnsi="Times New Roman" w:cs="Times New Roman"/>
                      <w:b/>
                      <w:bCs w:val="0"/>
                      <w:color w:val="auto"/>
                      <w:kern w:val="2"/>
                      <w:highlight w:val="none"/>
                      <w:lang w:eastAsia="zh-CN"/>
                    </w:rPr>
                    <w:t>（</w:t>
                  </w:r>
                  <w:r>
                    <w:rPr>
                      <w:rFonts w:hint="default" w:ascii="Times New Roman" w:hAnsi="Times New Roman" w:eastAsia="宋体" w:cs="Times New Roman"/>
                      <w:b/>
                      <w:bCs w:val="0"/>
                      <w:color w:val="auto"/>
                      <w:kern w:val="2"/>
                      <w:highlight w:val="none"/>
                      <w:lang w:eastAsia="zh-CN"/>
                    </w:rPr>
                    <w:t>A</w:t>
                  </w:r>
                  <w:r>
                    <w:rPr>
                      <w:rFonts w:hint="default" w:ascii="Times New Roman" w:hAnsi="Times New Roman" w:cs="Times New Roman"/>
                      <w:b/>
                      <w:bCs w:val="0"/>
                      <w:color w:val="auto"/>
                      <w:kern w:val="2"/>
                      <w:highlight w:val="none"/>
                      <w:lang w:eastAsia="zh-CN"/>
                    </w:rPr>
                    <w:t>）</w:t>
                  </w:r>
                </w:p>
              </w:tc>
              <w:tc>
                <w:tcPr>
                  <w:tcW w:w="374" w:type="pct"/>
                  <w:noWrap w:val="0"/>
                  <w:vAlign w:val="center"/>
                </w:tcPr>
                <w:p w14:paraId="02B96A9B">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建筑物外距离m</w:t>
                  </w:r>
                </w:p>
              </w:tc>
            </w:tr>
            <w:tr w14:paraId="5042E8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jc w:val="center"/>
              </w:trPr>
              <w:tc>
                <w:tcPr>
                  <w:tcW w:w="272" w:type="pct"/>
                  <w:vMerge w:val="restart"/>
                  <w:noWrap w:val="0"/>
                  <w:vAlign w:val="center"/>
                </w:tcPr>
                <w:p w14:paraId="0869A44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生产车间</w:t>
                  </w:r>
                </w:p>
              </w:tc>
              <w:tc>
                <w:tcPr>
                  <w:tcW w:w="417" w:type="pct"/>
                  <w:noWrap w:val="0"/>
                  <w:vAlign w:val="center"/>
                </w:tcPr>
                <w:p w14:paraId="457C76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注塑机</w:t>
                  </w:r>
                </w:p>
              </w:tc>
              <w:tc>
                <w:tcPr>
                  <w:tcW w:w="374" w:type="pct"/>
                  <w:noWrap w:val="0"/>
                  <w:vAlign w:val="center"/>
                </w:tcPr>
                <w:p w14:paraId="74C20F34">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ascii="Times New Roman" w:hAnsi="Times New Roman" w:cs="Times New Roman"/>
                      <w:color w:val="auto"/>
                      <w:szCs w:val="21"/>
                      <w:lang w:val="en-US" w:eastAsia="zh-CN"/>
                    </w:rPr>
                    <w:t>0</w:t>
                  </w:r>
                </w:p>
              </w:tc>
              <w:tc>
                <w:tcPr>
                  <w:tcW w:w="416" w:type="pct"/>
                  <w:vMerge w:val="restart"/>
                  <w:noWrap w:val="0"/>
                  <w:vAlign w:val="center"/>
                </w:tcPr>
                <w:p w14:paraId="1C2ED5F7">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eastAsia="zh-CN"/>
                    </w:rPr>
                    <w:t>低噪声设备、安装减振基座、</w:t>
                  </w:r>
                  <w:r>
                    <w:rPr>
                      <w:rFonts w:hint="default" w:ascii="Times New Roman" w:hAnsi="Times New Roman" w:cs="Times New Roman"/>
                      <w:b w:val="0"/>
                      <w:bCs w:val="0"/>
                      <w:color w:val="auto"/>
                    </w:rPr>
                    <w:t>室内布置</w:t>
                  </w:r>
                  <w:r>
                    <w:rPr>
                      <w:rFonts w:hint="default" w:ascii="Times New Roman" w:hAnsi="Times New Roman" w:cs="Times New Roman"/>
                      <w:b w:val="0"/>
                      <w:bCs w:val="0"/>
                      <w:color w:val="auto"/>
                      <w:lang w:eastAsia="zh-CN"/>
                    </w:rPr>
                    <w:t>，加强维护保养，风机采取软性连接</w:t>
                  </w:r>
                </w:p>
              </w:tc>
              <w:tc>
                <w:tcPr>
                  <w:tcW w:w="333" w:type="pct"/>
                  <w:noWrap w:val="0"/>
                  <w:vAlign w:val="center"/>
                </w:tcPr>
                <w:p w14:paraId="16484B4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10</w:t>
                  </w:r>
                </w:p>
              </w:tc>
              <w:tc>
                <w:tcPr>
                  <w:tcW w:w="324" w:type="pct"/>
                  <w:noWrap w:val="0"/>
                  <w:vAlign w:val="center"/>
                </w:tcPr>
                <w:p w14:paraId="24AC512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20</w:t>
                  </w:r>
                </w:p>
              </w:tc>
              <w:tc>
                <w:tcPr>
                  <w:tcW w:w="298" w:type="pct"/>
                  <w:noWrap w:val="0"/>
                  <w:vAlign w:val="center"/>
                </w:tcPr>
                <w:p w14:paraId="744BC52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w:t>
                  </w:r>
                </w:p>
              </w:tc>
              <w:tc>
                <w:tcPr>
                  <w:tcW w:w="477" w:type="pct"/>
                  <w:noWrap w:val="0"/>
                  <w:vAlign w:val="center"/>
                </w:tcPr>
                <w:p w14:paraId="140C5A6A">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5</w:t>
                  </w:r>
                </w:p>
              </w:tc>
              <w:tc>
                <w:tcPr>
                  <w:tcW w:w="487" w:type="pct"/>
                  <w:noWrap w:val="0"/>
                  <w:vAlign w:val="center"/>
                </w:tcPr>
                <w:p w14:paraId="73E196B9">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54</w:t>
                  </w:r>
                </w:p>
              </w:tc>
              <w:tc>
                <w:tcPr>
                  <w:tcW w:w="412" w:type="pct"/>
                  <w:vMerge w:val="restart"/>
                  <w:noWrap w:val="0"/>
                  <w:vAlign w:val="center"/>
                </w:tcPr>
                <w:p w14:paraId="7CF161F5">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70D1B805">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65A7395B">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62DA272A">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21F0853E">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0E9C75AE">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2AB4CD00">
                  <w:pPr>
                    <w:widowControl/>
                    <w:adjustRightInd w:val="0"/>
                    <w:snapToGrid w:val="0"/>
                    <w:spacing w:line="240" w:lineRule="auto"/>
                    <w:ind w:firstLine="0" w:firstLineChars="0"/>
                    <w:jc w:val="both"/>
                    <w:rPr>
                      <w:rFonts w:hint="default" w:ascii="Times New Roman" w:hAnsi="Times New Roman" w:cs="Times New Roman"/>
                      <w:b w:val="0"/>
                      <w:bCs w:val="0"/>
                      <w:color w:val="auto"/>
                      <w:lang w:val="en-US" w:eastAsia="zh-CN"/>
                    </w:rPr>
                  </w:pPr>
                  <w:r>
                    <w:rPr>
                      <w:rFonts w:hint="eastAsia" w:cs="Times New Roman"/>
                      <w:bCs/>
                      <w:color w:val="auto"/>
                      <w:highlight w:val="none"/>
                      <w:lang w:val="en-US" w:eastAsia="zh-CN"/>
                    </w:rPr>
                    <w:t>6</w:t>
                  </w:r>
                  <w:r>
                    <w:rPr>
                      <w:rFonts w:hint="default" w:ascii="Times New Roman" w:hAnsi="Times New Roman" w:cs="Times New Roman"/>
                      <w:bCs/>
                      <w:color w:val="auto"/>
                      <w:highlight w:val="none"/>
                      <w:lang w:val="en-US" w:eastAsia="zh-CN"/>
                    </w:rPr>
                    <w:t>:00-2</w:t>
                  </w:r>
                  <w:r>
                    <w:rPr>
                      <w:rFonts w:hint="eastAsia" w:cs="Times New Roman"/>
                      <w:bCs/>
                      <w:color w:val="auto"/>
                      <w:highlight w:val="none"/>
                      <w:lang w:val="en-US" w:eastAsia="zh-CN"/>
                    </w:rPr>
                    <w:t>2</w:t>
                  </w:r>
                  <w:r>
                    <w:rPr>
                      <w:rFonts w:hint="default" w:ascii="Times New Roman" w:hAnsi="Times New Roman" w:cs="Times New Roman"/>
                      <w:bCs/>
                      <w:color w:val="auto"/>
                      <w:highlight w:val="none"/>
                      <w:lang w:val="en-US" w:eastAsia="zh-CN"/>
                    </w:rPr>
                    <w:t>:00</w:t>
                  </w:r>
                </w:p>
              </w:tc>
              <w:tc>
                <w:tcPr>
                  <w:tcW w:w="423" w:type="pct"/>
                  <w:noWrap w:val="0"/>
                  <w:vAlign w:val="center"/>
                </w:tcPr>
                <w:p w14:paraId="3418AD55">
                  <w:pPr>
                    <w:widowControl/>
                    <w:adjustRightInd w:val="0"/>
                    <w:snapToGrid w:val="0"/>
                    <w:spacing w:line="240" w:lineRule="auto"/>
                    <w:ind w:left="-63" w:leftChars="-30" w:right="-63" w:rightChars="-30" w:firstLine="0" w:firstLineChars="0"/>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21</w:t>
                  </w:r>
                </w:p>
              </w:tc>
              <w:tc>
                <w:tcPr>
                  <w:tcW w:w="387" w:type="pct"/>
                  <w:noWrap w:val="0"/>
                  <w:vAlign w:val="center"/>
                </w:tcPr>
                <w:p w14:paraId="499BD50E">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33</w:t>
                  </w:r>
                </w:p>
              </w:tc>
              <w:tc>
                <w:tcPr>
                  <w:tcW w:w="374" w:type="pct"/>
                  <w:noWrap w:val="0"/>
                  <w:vAlign w:val="center"/>
                </w:tcPr>
                <w:p w14:paraId="0DF94A30">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w:t>
                  </w:r>
                </w:p>
              </w:tc>
            </w:tr>
            <w:tr w14:paraId="6F7E4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272" w:type="pct"/>
                  <w:vMerge w:val="continue"/>
                  <w:noWrap w:val="0"/>
                  <w:vAlign w:val="center"/>
                </w:tcPr>
                <w:p w14:paraId="471ABAE9">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p>
              </w:tc>
              <w:tc>
                <w:tcPr>
                  <w:tcW w:w="417" w:type="pct"/>
                  <w:noWrap w:val="0"/>
                  <w:vAlign w:val="center"/>
                </w:tcPr>
                <w:p w14:paraId="3F0CC6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注塑机</w:t>
                  </w:r>
                </w:p>
              </w:tc>
              <w:tc>
                <w:tcPr>
                  <w:tcW w:w="374" w:type="pct"/>
                  <w:noWrap w:val="0"/>
                  <w:vAlign w:val="center"/>
                </w:tcPr>
                <w:p w14:paraId="45E1C426">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ascii="Times New Roman" w:hAnsi="Times New Roman" w:cs="Times New Roman"/>
                      <w:color w:val="auto"/>
                      <w:szCs w:val="21"/>
                      <w:lang w:val="en-US" w:eastAsia="zh-CN"/>
                    </w:rPr>
                    <w:t>0</w:t>
                  </w:r>
                </w:p>
              </w:tc>
              <w:tc>
                <w:tcPr>
                  <w:tcW w:w="416" w:type="pct"/>
                  <w:vMerge w:val="continue"/>
                  <w:noWrap w:val="0"/>
                  <w:vAlign w:val="center"/>
                </w:tcPr>
                <w:p w14:paraId="6CEAB900">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333" w:type="pct"/>
                  <w:noWrap w:val="0"/>
                  <w:vAlign w:val="center"/>
                </w:tcPr>
                <w:p w14:paraId="2DB1CC8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40</w:t>
                  </w:r>
                </w:p>
              </w:tc>
              <w:tc>
                <w:tcPr>
                  <w:tcW w:w="324" w:type="pct"/>
                  <w:noWrap w:val="0"/>
                  <w:vAlign w:val="center"/>
                </w:tcPr>
                <w:p w14:paraId="2C00235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20</w:t>
                  </w:r>
                </w:p>
              </w:tc>
              <w:tc>
                <w:tcPr>
                  <w:tcW w:w="298" w:type="pct"/>
                  <w:noWrap w:val="0"/>
                  <w:vAlign w:val="center"/>
                </w:tcPr>
                <w:p w14:paraId="2A991B0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w:t>
                  </w:r>
                </w:p>
              </w:tc>
              <w:tc>
                <w:tcPr>
                  <w:tcW w:w="477" w:type="pct"/>
                  <w:noWrap w:val="0"/>
                  <w:vAlign w:val="center"/>
                </w:tcPr>
                <w:p w14:paraId="4733B7FF">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5</w:t>
                  </w:r>
                </w:p>
              </w:tc>
              <w:tc>
                <w:tcPr>
                  <w:tcW w:w="487" w:type="pct"/>
                  <w:noWrap w:val="0"/>
                  <w:vAlign w:val="center"/>
                </w:tcPr>
                <w:p w14:paraId="0B62F8D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54</w:t>
                  </w:r>
                </w:p>
              </w:tc>
              <w:tc>
                <w:tcPr>
                  <w:tcW w:w="412" w:type="pct"/>
                  <w:vMerge w:val="continue"/>
                  <w:noWrap w:val="0"/>
                  <w:vAlign w:val="center"/>
                </w:tcPr>
                <w:p w14:paraId="76933206">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p>
              </w:tc>
              <w:tc>
                <w:tcPr>
                  <w:tcW w:w="423" w:type="pct"/>
                  <w:noWrap w:val="0"/>
                  <w:vAlign w:val="center"/>
                </w:tcPr>
                <w:p w14:paraId="3BB1A79A">
                  <w:pPr>
                    <w:widowControl/>
                    <w:adjustRightInd w:val="0"/>
                    <w:snapToGrid w:val="0"/>
                    <w:spacing w:line="240" w:lineRule="auto"/>
                    <w:ind w:left="-63" w:leftChars="-30" w:right="-63" w:rightChars="-30" w:firstLine="0" w:firstLineChars="0"/>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21</w:t>
                  </w:r>
                </w:p>
              </w:tc>
              <w:tc>
                <w:tcPr>
                  <w:tcW w:w="387" w:type="pct"/>
                  <w:noWrap w:val="0"/>
                  <w:vAlign w:val="center"/>
                </w:tcPr>
                <w:p w14:paraId="4FADCA1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33</w:t>
                  </w:r>
                </w:p>
              </w:tc>
              <w:tc>
                <w:tcPr>
                  <w:tcW w:w="374" w:type="pct"/>
                  <w:noWrap w:val="0"/>
                  <w:vAlign w:val="center"/>
                </w:tcPr>
                <w:p w14:paraId="5835F048">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1</w:t>
                  </w:r>
                </w:p>
              </w:tc>
            </w:tr>
            <w:tr w14:paraId="1F6FF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4" w:hRule="atLeast"/>
                <w:jc w:val="center"/>
              </w:trPr>
              <w:tc>
                <w:tcPr>
                  <w:tcW w:w="272" w:type="pct"/>
                  <w:vMerge w:val="continue"/>
                  <w:noWrap w:val="0"/>
                  <w:vAlign w:val="center"/>
                </w:tcPr>
                <w:p w14:paraId="111A5152">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noWrap w:val="0"/>
                  <w:vAlign w:val="center"/>
                </w:tcPr>
                <w:p w14:paraId="726957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注塑机</w:t>
                  </w:r>
                </w:p>
              </w:tc>
              <w:tc>
                <w:tcPr>
                  <w:tcW w:w="374" w:type="pct"/>
                  <w:noWrap w:val="0"/>
                  <w:vAlign w:val="center"/>
                </w:tcPr>
                <w:p w14:paraId="6E18DCA3">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ascii="Times New Roman" w:hAnsi="Times New Roman" w:cs="Times New Roman"/>
                      <w:color w:val="auto"/>
                      <w:szCs w:val="21"/>
                      <w:lang w:val="en-US" w:eastAsia="zh-CN"/>
                    </w:rPr>
                    <w:t>0</w:t>
                  </w:r>
                </w:p>
              </w:tc>
              <w:tc>
                <w:tcPr>
                  <w:tcW w:w="416" w:type="pct"/>
                  <w:vMerge w:val="continue"/>
                  <w:noWrap w:val="0"/>
                  <w:vAlign w:val="center"/>
                </w:tcPr>
                <w:p w14:paraId="4DB08E01">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333" w:type="pct"/>
                  <w:noWrap w:val="0"/>
                  <w:vAlign w:val="center"/>
                </w:tcPr>
                <w:p w14:paraId="47FDE1AD">
                  <w:pPr>
                    <w:widowControl/>
                    <w:adjustRightInd w:val="0"/>
                    <w:snapToGrid w:val="0"/>
                    <w:spacing w:line="240" w:lineRule="auto"/>
                    <w:ind w:firstLine="0" w:firstLineChars="0"/>
                    <w:jc w:val="both"/>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60</w:t>
                  </w:r>
                </w:p>
              </w:tc>
              <w:tc>
                <w:tcPr>
                  <w:tcW w:w="324" w:type="pct"/>
                  <w:noWrap w:val="0"/>
                  <w:vAlign w:val="center"/>
                </w:tcPr>
                <w:p w14:paraId="3764BA4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20</w:t>
                  </w:r>
                </w:p>
              </w:tc>
              <w:tc>
                <w:tcPr>
                  <w:tcW w:w="298" w:type="pct"/>
                  <w:noWrap w:val="0"/>
                  <w:vAlign w:val="center"/>
                </w:tcPr>
                <w:p w14:paraId="48B6DE23">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w:t>
                  </w:r>
                </w:p>
              </w:tc>
              <w:tc>
                <w:tcPr>
                  <w:tcW w:w="477" w:type="pct"/>
                  <w:noWrap w:val="0"/>
                  <w:vAlign w:val="center"/>
                </w:tcPr>
                <w:p w14:paraId="7D4D0143">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5</w:t>
                  </w:r>
                </w:p>
              </w:tc>
              <w:tc>
                <w:tcPr>
                  <w:tcW w:w="487" w:type="pct"/>
                  <w:noWrap w:val="0"/>
                  <w:vAlign w:val="center"/>
                </w:tcPr>
                <w:p w14:paraId="6C7B428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54</w:t>
                  </w:r>
                </w:p>
              </w:tc>
              <w:tc>
                <w:tcPr>
                  <w:tcW w:w="412" w:type="pct"/>
                  <w:vMerge w:val="continue"/>
                  <w:noWrap w:val="0"/>
                  <w:vAlign w:val="center"/>
                </w:tcPr>
                <w:p w14:paraId="2C69CCB9">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423" w:type="pct"/>
                  <w:noWrap w:val="0"/>
                  <w:vAlign w:val="center"/>
                </w:tcPr>
                <w:p w14:paraId="5D315C8F">
                  <w:pPr>
                    <w:widowControl/>
                    <w:adjustRightInd w:val="0"/>
                    <w:snapToGrid w:val="0"/>
                    <w:spacing w:line="240" w:lineRule="auto"/>
                    <w:ind w:left="-63" w:leftChars="-30" w:right="-63" w:rightChars="-30" w:firstLine="0" w:firstLineChars="0"/>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21</w:t>
                  </w:r>
                </w:p>
              </w:tc>
              <w:tc>
                <w:tcPr>
                  <w:tcW w:w="387" w:type="pct"/>
                  <w:noWrap w:val="0"/>
                  <w:vAlign w:val="center"/>
                </w:tcPr>
                <w:p w14:paraId="129CC8F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33</w:t>
                  </w:r>
                </w:p>
              </w:tc>
              <w:tc>
                <w:tcPr>
                  <w:tcW w:w="374" w:type="pct"/>
                  <w:noWrap w:val="0"/>
                  <w:vAlign w:val="center"/>
                </w:tcPr>
                <w:p w14:paraId="48198A0D">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r>
                    <w:rPr>
                      <w:rFonts w:hint="default" w:ascii="Times New Roman" w:hAnsi="Times New Roman" w:cs="Times New Roman"/>
                      <w:b w:val="0"/>
                      <w:bCs w:val="0"/>
                      <w:color w:val="auto"/>
                      <w:lang w:val="en-US" w:eastAsia="zh-CN"/>
                    </w:rPr>
                    <w:t>1</w:t>
                  </w:r>
                </w:p>
              </w:tc>
            </w:tr>
            <w:tr w14:paraId="4BCED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8" w:hRule="atLeast"/>
                <w:jc w:val="center"/>
              </w:trPr>
              <w:tc>
                <w:tcPr>
                  <w:tcW w:w="272" w:type="pct"/>
                  <w:vMerge w:val="continue"/>
                  <w:noWrap w:val="0"/>
                  <w:vAlign w:val="center"/>
                </w:tcPr>
                <w:p w14:paraId="139BFC91">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noWrap w:val="0"/>
                  <w:vAlign w:val="center"/>
                </w:tcPr>
                <w:p w14:paraId="3E355C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挤出机</w:t>
                  </w:r>
                </w:p>
              </w:tc>
              <w:tc>
                <w:tcPr>
                  <w:tcW w:w="374" w:type="pct"/>
                  <w:noWrap w:val="0"/>
                  <w:vAlign w:val="center"/>
                </w:tcPr>
                <w:p w14:paraId="5FA0065D">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ascii="Times New Roman" w:hAnsi="Times New Roman" w:cs="Times New Roman"/>
                      <w:color w:val="auto"/>
                      <w:szCs w:val="21"/>
                      <w:lang w:val="en-US" w:eastAsia="zh-CN"/>
                    </w:rPr>
                    <w:t>0</w:t>
                  </w:r>
                </w:p>
              </w:tc>
              <w:tc>
                <w:tcPr>
                  <w:tcW w:w="416" w:type="pct"/>
                  <w:vMerge w:val="continue"/>
                  <w:noWrap w:val="0"/>
                  <w:vAlign w:val="center"/>
                </w:tcPr>
                <w:p w14:paraId="02A21CEB">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333" w:type="pct"/>
                  <w:noWrap w:val="0"/>
                  <w:vAlign w:val="center"/>
                </w:tcPr>
                <w:p w14:paraId="61A3FE7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10</w:t>
                  </w:r>
                </w:p>
              </w:tc>
              <w:tc>
                <w:tcPr>
                  <w:tcW w:w="324" w:type="pct"/>
                  <w:noWrap w:val="0"/>
                  <w:vAlign w:val="center"/>
                </w:tcPr>
                <w:p w14:paraId="4C6B00A6">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20</w:t>
                  </w:r>
                </w:p>
              </w:tc>
              <w:tc>
                <w:tcPr>
                  <w:tcW w:w="298" w:type="pct"/>
                  <w:noWrap w:val="0"/>
                  <w:vAlign w:val="center"/>
                </w:tcPr>
                <w:p w14:paraId="6F061EC0">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1</w:t>
                  </w:r>
                </w:p>
              </w:tc>
              <w:tc>
                <w:tcPr>
                  <w:tcW w:w="477" w:type="pct"/>
                  <w:noWrap w:val="0"/>
                  <w:vAlign w:val="center"/>
                </w:tcPr>
                <w:p w14:paraId="4513D7AF">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5</w:t>
                  </w:r>
                </w:p>
              </w:tc>
              <w:tc>
                <w:tcPr>
                  <w:tcW w:w="487" w:type="pct"/>
                  <w:noWrap w:val="0"/>
                  <w:vAlign w:val="center"/>
                </w:tcPr>
                <w:p w14:paraId="1D8FC790">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52</w:t>
                  </w:r>
                </w:p>
              </w:tc>
              <w:tc>
                <w:tcPr>
                  <w:tcW w:w="412" w:type="pct"/>
                  <w:vMerge w:val="continue"/>
                  <w:noWrap w:val="0"/>
                  <w:vAlign w:val="center"/>
                </w:tcPr>
                <w:p w14:paraId="7E205D73">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423" w:type="pct"/>
                  <w:noWrap w:val="0"/>
                  <w:vAlign w:val="center"/>
                </w:tcPr>
                <w:p w14:paraId="0197D8E1">
                  <w:pPr>
                    <w:widowControl/>
                    <w:adjustRightInd w:val="0"/>
                    <w:snapToGrid w:val="0"/>
                    <w:spacing w:line="240" w:lineRule="auto"/>
                    <w:ind w:left="-63" w:leftChars="-30" w:right="-63" w:rightChars="-30" w:firstLine="0" w:firstLineChars="0"/>
                    <w:jc w:val="center"/>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21</w:t>
                  </w:r>
                </w:p>
              </w:tc>
              <w:tc>
                <w:tcPr>
                  <w:tcW w:w="387" w:type="pct"/>
                  <w:noWrap w:val="0"/>
                  <w:vAlign w:val="center"/>
                </w:tcPr>
                <w:p w14:paraId="78F0946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31</w:t>
                  </w:r>
                </w:p>
              </w:tc>
              <w:tc>
                <w:tcPr>
                  <w:tcW w:w="374" w:type="pct"/>
                  <w:noWrap w:val="0"/>
                  <w:vAlign w:val="center"/>
                </w:tcPr>
                <w:p w14:paraId="5EC33414">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r>
                    <w:rPr>
                      <w:rFonts w:hint="default" w:ascii="Times New Roman" w:hAnsi="Times New Roman" w:cs="Times New Roman"/>
                      <w:b w:val="0"/>
                      <w:bCs w:val="0"/>
                      <w:color w:val="auto"/>
                      <w:lang w:val="en-US" w:eastAsia="zh-CN"/>
                    </w:rPr>
                    <w:t>1</w:t>
                  </w:r>
                </w:p>
              </w:tc>
            </w:tr>
            <w:tr w14:paraId="24E48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4" w:hRule="atLeast"/>
                <w:jc w:val="center"/>
              </w:trPr>
              <w:tc>
                <w:tcPr>
                  <w:tcW w:w="272" w:type="pct"/>
                  <w:vMerge w:val="continue"/>
                  <w:noWrap w:val="0"/>
                  <w:vAlign w:val="center"/>
                </w:tcPr>
                <w:p w14:paraId="61F39761">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094A9A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挤出机</w:t>
                  </w:r>
                </w:p>
              </w:tc>
              <w:tc>
                <w:tcPr>
                  <w:tcW w:w="374" w:type="pct"/>
                  <w:shd w:val="clear" w:color="auto" w:fill="auto"/>
                  <w:noWrap w:val="0"/>
                  <w:vAlign w:val="center"/>
                </w:tcPr>
                <w:p w14:paraId="5C38E5B8">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ascii="Times New Roman" w:hAnsi="Times New Roman" w:cs="Times New Roman"/>
                      <w:color w:val="auto"/>
                      <w:szCs w:val="21"/>
                      <w:lang w:val="en-US" w:eastAsia="zh-CN"/>
                    </w:rPr>
                    <w:t>0</w:t>
                  </w:r>
                </w:p>
              </w:tc>
              <w:tc>
                <w:tcPr>
                  <w:tcW w:w="416" w:type="pct"/>
                  <w:vMerge w:val="continue"/>
                  <w:shd w:val="clear" w:color="auto" w:fill="auto"/>
                  <w:noWrap w:val="0"/>
                  <w:vAlign w:val="center"/>
                </w:tcPr>
                <w:p w14:paraId="351DEAB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631088DF">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ascii="Times New Roman" w:hAnsi="Times New Roman" w:eastAsia="宋体" w:cs="Times New Roman"/>
                      <w:b w:val="0"/>
                      <w:bCs w:val="0"/>
                      <w:color w:val="auto"/>
                      <w:highlight w:val="none"/>
                      <w:lang w:val="en-US" w:eastAsia="zh-CN"/>
                    </w:rPr>
                    <w:t>40</w:t>
                  </w:r>
                </w:p>
              </w:tc>
              <w:tc>
                <w:tcPr>
                  <w:tcW w:w="324" w:type="pct"/>
                  <w:shd w:val="clear" w:color="auto" w:fill="auto"/>
                  <w:noWrap w:val="0"/>
                  <w:vAlign w:val="center"/>
                </w:tcPr>
                <w:p w14:paraId="7D94C53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20</w:t>
                  </w:r>
                </w:p>
              </w:tc>
              <w:tc>
                <w:tcPr>
                  <w:tcW w:w="298" w:type="pct"/>
                  <w:shd w:val="clear" w:color="auto" w:fill="auto"/>
                  <w:noWrap w:val="0"/>
                  <w:vAlign w:val="center"/>
                </w:tcPr>
                <w:p w14:paraId="166766F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eastAsia="宋体" w:cs="Times New Roman"/>
                      <w:b w:val="0"/>
                      <w:bCs w:val="0"/>
                      <w:color w:val="auto"/>
                      <w:lang w:val="en-US" w:eastAsia="zh-CN"/>
                    </w:rPr>
                    <w:t>1</w:t>
                  </w:r>
                </w:p>
              </w:tc>
              <w:tc>
                <w:tcPr>
                  <w:tcW w:w="477" w:type="pct"/>
                  <w:shd w:val="clear" w:color="auto" w:fill="auto"/>
                  <w:noWrap w:val="0"/>
                  <w:vAlign w:val="center"/>
                </w:tcPr>
                <w:p w14:paraId="0C56442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kern w:val="2"/>
                      <w:sz w:val="21"/>
                      <w:szCs w:val="24"/>
                      <w:lang w:val="en-US" w:eastAsia="zh-CN" w:bidi="ar-SA"/>
                    </w:rPr>
                    <w:t>5</w:t>
                  </w:r>
                </w:p>
              </w:tc>
              <w:tc>
                <w:tcPr>
                  <w:tcW w:w="487" w:type="pct"/>
                  <w:shd w:val="clear" w:color="auto" w:fill="auto"/>
                  <w:noWrap w:val="0"/>
                  <w:vAlign w:val="center"/>
                </w:tcPr>
                <w:p w14:paraId="5765F834">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ascii="Times New Roman" w:hAnsi="Times New Roman" w:eastAsia="宋体" w:cs="Times New Roman"/>
                      <w:b w:val="0"/>
                      <w:bCs w:val="0"/>
                      <w:color w:val="auto"/>
                      <w:lang w:val="en-US" w:eastAsia="zh-CN"/>
                    </w:rPr>
                    <w:t>52</w:t>
                  </w:r>
                </w:p>
              </w:tc>
              <w:tc>
                <w:tcPr>
                  <w:tcW w:w="412" w:type="pct"/>
                  <w:vMerge w:val="continue"/>
                  <w:shd w:val="clear" w:color="auto" w:fill="auto"/>
                  <w:noWrap w:val="0"/>
                  <w:vAlign w:val="center"/>
                </w:tcPr>
                <w:p w14:paraId="04A8F68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3FCBCEE6">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ascii="Times New Roman" w:hAnsi="Times New Roman" w:cs="Times New Roman"/>
                      <w:b w:val="0"/>
                      <w:bCs w:val="0"/>
                      <w:color w:val="auto"/>
                      <w:lang w:val="en-US" w:eastAsia="zh-CN"/>
                    </w:rPr>
                    <w:t>21</w:t>
                  </w:r>
                </w:p>
              </w:tc>
              <w:tc>
                <w:tcPr>
                  <w:tcW w:w="387" w:type="pct"/>
                  <w:shd w:val="clear" w:color="auto" w:fill="auto"/>
                  <w:noWrap w:val="0"/>
                  <w:vAlign w:val="center"/>
                </w:tcPr>
                <w:p w14:paraId="4A01DC1A">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ascii="Times New Roman" w:hAnsi="Times New Roman" w:eastAsia="宋体" w:cs="Times New Roman"/>
                      <w:b w:val="0"/>
                      <w:bCs w:val="0"/>
                      <w:color w:val="auto"/>
                      <w:lang w:val="en-US" w:eastAsia="zh-CN"/>
                    </w:rPr>
                    <w:t>31</w:t>
                  </w:r>
                </w:p>
              </w:tc>
              <w:tc>
                <w:tcPr>
                  <w:tcW w:w="374" w:type="pct"/>
                  <w:shd w:val="clear" w:color="auto" w:fill="auto"/>
                  <w:noWrap w:val="0"/>
                  <w:vAlign w:val="center"/>
                </w:tcPr>
                <w:p w14:paraId="118219A5">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b w:val="0"/>
                      <w:bCs w:val="0"/>
                      <w:color w:val="auto"/>
                      <w:lang w:val="en-US" w:eastAsia="zh-CN"/>
                    </w:rPr>
                    <w:t>1</w:t>
                  </w:r>
                </w:p>
              </w:tc>
            </w:tr>
            <w:tr w14:paraId="459D8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jc w:val="center"/>
              </w:trPr>
              <w:tc>
                <w:tcPr>
                  <w:tcW w:w="272" w:type="pct"/>
                  <w:vMerge w:val="continue"/>
                  <w:noWrap w:val="0"/>
                  <w:vAlign w:val="center"/>
                </w:tcPr>
                <w:p w14:paraId="20936C54">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49264D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挤出机</w:t>
                  </w:r>
                </w:p>
              </w:tc>
              <w:tc>
                <w:tcPr>
                  <w:tcW w:w="374" w:type="pct"/>
                  <w:shd w:val="clear" w:color="auto" w:fill="auto"/>
                  <w:noWrap w:val="0"/>
                  <w:vAlign w:val="center"/>
                </w:tcPr>
                <w:p w14:paraId="7CE4CC2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ascii="Times New Roman" w:hAnsi="Times New Roman" w:cs="Times New Roman"/>
                      <w:color w:val="auto"/>
                      <w:szCs w:val="21"/>
                      <w:lang w:val="en-US" w:eastAsia="zh-CN"/>
                    </w:rPr>
                    <w:t>0</w:t>
                  </w:r>
                </w:p>
              </w:tc>
              <w:tc>
                <w:tcPr>
                  <w:tcW w:w="416" w:type="pct"/>
                  <w:vMerge w:val="continue"/>
                  <w:shd w:val="clear" w:color="auto" w:fill="auto"/>
                  <w:noWrap w:val="0"/>
                  <w:vAlign w:val="center"/>
                </w:tcPr>
                <w:p w14:paraId="109CB42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5E5E704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60</w:t>
                  </w:r>
                </w:p>
              </w:tc>
              <w:tc>
                <w:tcPr>
                  <w:tcW w:w="324" w:type="pct"/>
                  <w:shd w:val="clear" w:color="auto" w:fill="auto"/>
                  <w:noWrap w:val="0"/>
                  <w:vAlign w:val="center"/>
                </w:tcPr>
                <w:p w14:paraId="3147AF2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20</w:t>
                  </w:r>
                </w:p>
              </w:tc>
              <w:tc>
                <w:tcPr>
                  <w:tcW w:w="298" w:type="pct"/>
                  <w:shd w:val="clear" w:color="auto" w:fill="auto"/>
                  <w:noWrap w:val="0"/>
                  <w:vAlign w:val="center"/>
                </w:tcPr>
                <w:p w14:paraId="6E30237F">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eastAsia="宋体" w:cs="Times New Roman"/>
                      <w:b w:val="0"/>
                      <w:bCs w:val="0"/>
                      <w:color w:val="auto"/>
                      <w:lang w:val="en-US" w:eastAsia="zh-CN"/>
                    </w:rPr>
                    <w:t>1</w:t>
                  </w:r>
                </w:p>
              </w:tc>
              <w:tc>
                <w:tcPr>
                  <w:tcW w:w="477" w:type="pct"/>
                  <w:shd w:val="clear" w:color="auto" w:fill="auto"/>
                  <w:noWrap w:val="0"/>
                  <w:vAlign w:val="center"/>
                </w:tcPr>
                <w:p w14:paraId="5CADDC8D">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kern w:val="2"/>
                      <w:sz w:val="21"/>
                      <w:szCs w:val="24"/>
                      <w:lang w:val="en-US" w:eastAsia="zh-CN" w:bidi="ar-SA"/>
                    </w:rPr>
                    <w:t>5</w:t>
                  </w:r>
                </w:p>
              </w:tc>
              <w:tc>
                <w:tcPr>
                  <w:tcW w:w="487" w:type="pct"/>
                  <w:shd w:val="clear" w:color="auto" w:fill="auto"/>
                  <w:noWrap w:val="0"/>
                  <w:vAlign w:val="center"/>
                </w:tcPr>
                <w:p w14:paraId="46BF1283">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ascii="Times New Roman" w:hAnsi="Times New Roman" w:eastAsia="宋体" w:cs="Times New Roman"/>
                      <w:b w:val="0"/>
                      <w:bCs w:val="0"/>
                      <w:color w:val="auto"/>
                      <w:lang w:val="en-US" w:eastAsia="zh-CN"/>
                    </w:rPr>
                    <w:t>52</w:t>
                  </w:r>
                </w:p>
              </w:tc>
              <w:tc>
                <w:tcPr>
                  <w:tcW w:w="412" w:type="pct"/>
                  <w:vMerge w:val="continue"/>
                  <w:shd w:val="clear" w:color="auto" w:fill="auto"/>
                  <w:noWrap w:val="0"/>
                  <w:vAlign w:val="center"/>
                </w:tcPr>
                <w:p w14:paraId="4337499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185FBDC7">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ascii="Times New Roman" w:hAnsi="Times New Roman" w:cs="Times New Roman"/>
                      <w:b w:val="0"/>
                      <w:bCs w:val="0"/>
                      <w:color w:val="auto"/>
                      <w:lang w:val="en-US" w:eastAsia="zh-CN"/>
                    </w:rPr>
                    <w:t>21</w:t>
                  </w:r>
                </w:p>
              </w:tc>
              <w:tc>
                <w:tcPr>
                  <w:tcW w:w="387" w:type="pct"/>
                  <w:shd w:val="clear" w:color="auto" w:fill="auto"/>
                  <w:noWrap w:val="0"/>
                  <w:vAlign w:val="center"/>
                </w:tcPr>
                <w:p w14:paraId="079FDF05">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ascii="Times New Roman" w:hAnsi="Times New Roman" w:eastAsia="宋体" w:cs="Times New Roman"/>
                      <w:b w:val="0"/>
                      <w:bCs w:val="0"/>
                      <w:color w:val="auto"/>
                      <w:lang w:val="en-US" w:eastAsia="zh-CN"/>
                    </w:rPr>
                    <w:t>31</w:t>
                  </w:r>
                </w:p>
              </w:tc>
              <w:tc>
                <w:tcPr>
                  <w:tcW w:w="374" w:type="pct"/>
                  <w:shd w:val="clear" w:color="auto" w:fill="auto"/>
                  <w:noWrap w:val="0"/>
                  <w:vAlign w:val="center"/>
                </w:tcPr>
                <w:p w14:paraId="19767AB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b w:val="0"/>
                      <w:bCs w:val="0"/>
                      <w:color w:val="auto"/>
                      <w:lang w:val="en-US" w:eastAsia="zh-CN"/>
                    </w:rPr>
                    <w:t>1</w:t>
                  </w:r>
                </w:p>
              </w:tc>
            </w:tr>
            <w:tr w14:paraId="6BA74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9" w:hRule="atLeast"/>
                <w:jc w:val="center"/>
              </w:trPr>
              <w:tc>
                <w:tcPr>
                  <w:tcW w:w="272" w:type="pct"/>
                  <w:vMerge w:val="continue"/>
                  <w:noWrap w:val="0"/>
                  <w:vAlign w:val="center"/>
                </w:tcPr>
                <w:p w14:paraId="44D2D476">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4A0652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冷却塔</w:t>
                  </w:r>
                </w:p>
              </w:tc>
              <w:tc>
                <w:tcPr>
                  <w:tcW w:w="374" w:type="pct"/>
                  <w:shd w:val="clear" w:color="auto" w:fill="auto"/>
                  <w:noWrap w:val="0"/>
                  <w:vAlign w:val="center"/>
                </w:tcPr>
                <w:p w14:paraId="7D17BF20">
                  <w:pPr>
                    <w:widowControl/>
                    <w:adjustRightInd w:val="0"/>
                    <w:snapToGrid w:val="0"/>
                    <w:spacing w:line="240" w:lineRule="auto"/>
                    <w:ind w:firstLine="0" w:firstLine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90</w:t>
                  </w:r>
                </w:p>
              </w:tc>
              <w:tc>
                <w:tcPr>
                  <w:tcW w:w="416" w:type="pct"/>
                  <w:vMerge w:val="continue"/>
                  <w:shd w:val="clear" w:color="auto" w:fill="auto"/>
                  <w:noWrap w:val="0"/>
                  <w:vAlign w:val="center"/>
                </w:tcPr>
                <w:p w14:paraId="005C7D0F">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728A05AD">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40</w:t>
                  </w:r>
                </w:p>
              </w:tc>
              <w:tc>
                <w:tcPr>
                  <w:tcW w:w="324" w:type="pct"/>
                  <w:shd w:val="clear" w:color="auto" w:fill="auto"/>
                  <w:noWrap w:val="0"/>
                  <w:vAlign w:val="center"/>
                </w:tcPr>
                <w:p w14:paraId="4816D085">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20</w:t>
                  </w:r>
                </w:p>
              </w:tc>
              <w:tc>
                <w:tcPr>
                  <w:tcW w:w="298" w:type="pct"/>
                  <w:shd w:val="clear" w:color="auto" w:fill="auto"/>
                  <w:noWrap w:val="0"/>
                  <w:vAlign w:val="center"/>
                </w:tcPr>
                <w:p w14:paraId="6D489A2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1</w:t>
                  </w:r>
                </w:p>
              </w:tc>
              <w:tc>
                <w:tcPr>
                  <w:tcW w:w="477" w:type="pct"/>
                  <w:shd w:val="clear" w:color="auto" w:fill="auto"/>
                  <w:noWrap w:val="0"/>
                  <w:vAlign w:val="center"/>
                </w:tcPr>
                <w:p w14:paraId="45750775">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5</w:t>
                  </w:r>
                </w:p>
              </w:tc>
              <w:tc>
                <w:tcPr>
                  <w:tcW w:w="487" w:type="pct"/>
                  <w:shd w:val="clear" w:color="auto" w:fill="auto"/>
                  <w:noWrap w:val="0"/>
                  <w:vAlign w:val="center"/>
                </w:tcPr>
                <w:p w14:paraId="08491360">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55</w:t>
                  </w:r>
                </w:p>
              </w:tc>
              <w:tc>
                <w:tcPr>
                  <w:tcW w:w="412" w:type="pct"/>
                  <w:vMerge w:val="continue"/>
                  <w:shd w:val="clear" w:color="auto" w:fill="auto"/>
                  <w:noWrap w:val="0"/>
                  <w:vAlign w:val="center"/>
                </w:tcPr>
                <w:p w14:paraId="547558D8">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2BCF7627">
                  <w:pPr>
                    <w:widowControl/>
                    <w:adjustRightInd w:val="0"/>
                    <w:snapToGrid w:val="0"/>
                    <w:spacing w:line="240" w:lineRule="auto"/>
                    <w:ind w:left="-63" w:leftChars="-30" w:right="-63" w:rightChars="-30" w:firstLine="0" w:firstLineChars="0"/>
                    <w:jc w:val="center"/>
                    <w:rPr>
                      <w:rFonts w:hint="default" w:ascii="Times New Roman" w:hAnsi="Times New Roman" w:cs="Times New Roman"/>
                      <w:b w:val="0"/>
                      <w:bCs w:val="0"/>
                      <w:color w:val="auto"/>
                      <w:lang w:val="en-US" w:eastAsia="zh-CN"/>
                    </w:rPr>
                  </w:pPr>
                  <w:r>
                    <w:rPr>
                      <w:rFonts w:hint="eastAsia" w:cs="Times New Roman"/>
                      <w:b w:val="0"/>
                      <w:bCs w:val="0"/>
                      <w:color w:val="auto"/>
                      <w:lang w:val="en-US" w:eastAsia="zh-CN"/>
                    </w:rPr>
                    <w:t>21</w:t>
                  </w:r>
                </w:p>
              </w:tc>
              <w:tc>
                <w:tcPr>
                  <w:tcW w:w="387" w:type="pct"/>
                  <w:shd w:val="clear" w:color="auto" w:fill="auto"/>
                  <w:noWrap w:val="0"/>
                  <w:vAlign w:val="center"/>
                </w:tcPr>
                <w:p w14:paraId="2ED9C21D">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lang w:val="en-US" w:eastAsia="zh-CN"/>
                    </w:rPr>
                  </w:pPr>
                  <w:r>
                    <w:rPr>
                      <w:rFonts w:hint="eastAsia" w:cs="Times New Roman"/>
                      <w:b w:val="0"/>
                      <w:bCs w:val="0"/>
                      <w:color w:val="auto"/>
                      <w:lang w:val="en-US" w:eastAsia="zh-CN"/>
                    </w:rPr>
                    <w:t>35</w:t>
                  </w:r>
                </w:p>
              </w:tc>
              <w:tc>
                <w:tcPr>
                  <w:tcW w:w="374" w:type="pct"/>
                  <w:shd w:val="clear" w:color="auto" w:fill="auto"/>
                  <w:noWrap w:val="0"/>
                  <w:vAlign w:val="center"/>
                </w:tcPr>
                <w:p w14:paraId="6C0468D2">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eastAsia" w:cs="Times New Roman"/>
                      <w:b w:val="0"/>
                      <w:bCs w:val="0"/>
                      <w:color w:val="auto"/>
                      <w:lang w:val="en-US" w:eastAsia="zh-CN"/>
                    </w:rPr>
                    <w:t>1</w:t>
                  </w:r>
                </w:p>
              </w:tc>
            </w:tr>
            <w:tr w14:paraId="70130C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9" w:hRule="atLeast"/>
                <w:jc w:val="center"/>
              </w:trPr>
              <w:tc>
                <w:tcPr>
                  <w:tcW w:w="272" w:type="pct"/>
                  <w:vMerge w:val="continue"/>
                  <w:noWrap w:val="0"/>
                  <w:vAlign w:val="center"/>
                </w:tcPr>
                <w:p w14:paraId="695F37B4">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5A69F1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环保风机</w:t>
                  </w:r>
                </w:p>
              </w:tc>
              <w:tc>
                <w:tcPr>
                  <w:tcW w:w="374" w:type="pct"/>
                  <w:shd w:val="clear" w:color="auto" w:fill="auto"/>
                  <w:noWrap w:val="0"/>
                  <w:vAlign w:val="center"/>
                </w:tcPr>
                <w:p w14:paraId="178166A5">
                  <w:pPr>
                    <w:widowControl/>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95</w:t>
                  </w:r>
                </w:p>
              </w:tc>
              <w:tc>
                <w:tcPr>
                  <w:tcW w:w="416" w:type="pct"/>
                  <w:vMerge w:val="continue"/>
                  <w:shd w:val="clear" w:color="auto" w:fill="auto"/>
                  <w:noWrap w:val="0"/>
                  <w:vAlign w:val="center"/>
                </w:tcPr>
                <w:p w14:paraId="2B9B0D3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78722D1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40</w:t>
                  </w:r>
                </w:p>
              </w:tc>
              <w:tc>
                <w:tcPr>
                  <w:tcW w:w="324" w:type="pct"/>
                  <w:shd w:val="clear" w:color="auto" w:fill="auto"/>
                  <w:noWrap w:val="0"/>
                  <w:vAlign w:val="center"/>
                </w:tcPr>
                <w:p w14:paraId="0BB981D6">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20</w:t>
                  </w:r>
                </w:p>
              </w:tc>
              <w:tc>
                <w:tcPr>
                  <w:tcW w:w="298" w:type="pct"/>
                  <w:shd w:val="clear" w:color="auto" w:fill="auto"/>
                  <w:noWrap w:val="0"/>
                  <w:vAlign w:val="center"/>
                </w:tcPr>
                <w:p w14:paraId="09D27132">
                  <w:pPr>
                    <w:widowControl/>
                    <w:adjustRightInd w:val="0"/>
                    <w:snapToGrid w:val="0"/>
                    <w:spacing w:line="240" w:lineRule="auto"/>
                    <w:ind w:firstLine="0" w:firstLineChars="0"/>
                    <w:jc w:val="center"/>
                    <w:rPr>
                      <w:rFonts w:hint="eastAsia"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lang w:val="en-US" w:eastAsia="zh-CN"/>
                    </w:rPr>
                    <w:t>1</w:t>
                  </w:r>
                </w:p>
              </w:tc>
              <w:tc>
                <w:tcPr>
                  <w:tcW w:w="477" w:type="pct"/>
                  <w:shd w:val="clear" w:color="auto" w:fill="auto"/>
                  <w:noWrap w:val="0"/>
                  <w:vAlign w:val="center"/>
                </w:tcPr>
                <w:p w14:paraId="08576369">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kern w:val="2"/>
                      <w:sz w:val="21"/>
                      <w:szCs w:val="24"/>
                      <w:lang w:val="en-US" w:eastAsia="zh-CN" w:bidi="ar-SA"/>
                    </w:rPr>
                    <w:t>5</w:t>
                  </w:r>
                </w:p>
              </w:tc>
              <w:tc>
                <w:tcPr>
                  <w:tcW w:w="487" w:type="pct"/>
                  <w:shd w:val="clear" w:color="auto" w:fill="auto"/>
                  <w:noWrap w:val="0"/>
                  <w:vAlign w:val="center"/>
                </w:tcPr>
                <w:p w14:paraId="232F10AC">
                  <w:pPr>
                    <w:widowControl/>
                    <w:adjustRightInd w:val="0"/>
                    <w:snapToGrid w:val="0"/>
                    <w:spacing w:line="240" w:lineRule="auto"/>
                    <w:ind w:left="-63" w:leftChars="-30" w:right="-63" w:rightChars="-30" w:firstLine="0" w:firstLineChars="0"/>
                    <w:jc w:val="center"/>
                    <w:rPr>
                      <w:rFonts w:hint="eastAsia"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lang w:val="en-US" w:eastAsia="zh-CN"/>
                    </w:rPr>
                    <w:t>75</w:t>
                  </w:r>
                </w:p>
              </w:tc>
              <w:tc>
                <w:tcPr>
                  <w:tcW w:w="412" w:type="pct"/>
                  <w:vMerge w:val="continue"/>
                  <w:shd w:val="clear" w:color="auto" w:fill="auto"/>
                  <w:noWrap w:val="0"/>
                  <w:vAlign w:val="center"/>
                </w:tcPr>
                <w:p w14:paraId="0D6CEFD3">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219FFB1A">
                  <w:pPr>
                    <w:widowControl/>
                    <w:adjustRightInd w:val="0"/>
                    <w:snapToGrid w:val="0"/>
                    <w:spacing w:line="240" w:lineRule="auto"/>
                    <w:ind w:left="-63" w:leftChars="-30" w:right="-63" w:rightChars="-30" w:firstLine="0" w:firstLineChars="0"/>
                    <w:jc w:val="center"/>
                    <w:rPr>
                      <w:rFonts w:hint="eastAsia"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lang w:val="en-US" w:eastAsia="zh-CN"/>
                    </w:rPr>
                    <w:t>21</w:t>
                  </w:r>
                </w:p>
              </w:tc>
              <w:tc>
                <w:tcPr>
                  <w:tcW w:w="387" w:type="pct"/>
                  <w:shd w:val="clear" w:color="auto" w:fill="auto"/>
                  <w:noWrap w:val="0"/>
                  <w:vAlign w:val="center"/>
                </w:tcPr>
                <w:p w14:paraId="2CAB7D3E">
                  <w:pPr>
                    <w:widowControl/>
                    <w:adjustRightInd w:val="0"/>
                    <w:snapToGrid w:val="0"/>
                    <w:spacing w:line="240" w:lineRule="auto"/>
                    <w:ind w:left="-63" w:leftChars="-30" w:right="-63" w:rightChars="-30" w:firstLine="0" w:firstLineChars="0"/>
                    <w:jc w:val="center"/>
                    <w:rPr>
                      <w:rFonts w:hint="eastAsia"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lang w:val="en-US" w:eastAsia="zh-CN"/>
                    </w:rPr>
                    <w:t>54</w:t>
                  </w:r>
                </w:p>
              </w:tc>
              <w:tc>
                <w:tcPr>
                  <w:tcW w:w="374" w:type="pct"/>
                  <w:shd w:val="clear" w:color="auto" w:fill="auto"/>
                  <w:noWrap w:val="0"/>
                  <w:vAlign w:val="center"/>
                </w:tcPr>
                <w:p w14:paraId="2C780366">
                  <w:pPr>
                    <w:widowControl/>
                    <w:adjustRightInd w:val="0"/>
                    <w:snapToGrid w:val="0"/>
                    <w:spacing w:line="240" w:lineRule="auto"/>
                    <w:ind w:firstLine="0" w:firstLineChars="0"/>
                    <w:jc w:val="center"/>
                    <w:rPr>
                      <w:rFonts w:hint="eastAsia" w:ascii="Times New Roman" w:hAnsi="Times New Roman" w:eastAsia="宋体" w:cs="Times New Roman"/>
                      <w:b w:val="0"/>
                      <w:bCs w:val="0"/>
                      <w:color w:val="auto"/>
                      <w:kern w:val="2"/>
                      <w:sz w:val="21"/>
                      <w:szCs w:val="24"/>
                      <w:lang w:val="en-US" w:eastAsia="zh-CN" w:bidi="ar-SA"/>
                    </w:rPr>
                  </w:pPr>
                  <w:r>
                    <w:rPr>
                      <w:rFonts w:hint="eastAsia" w:cs="Times New Roman"/>
                      <w:b w:val="0"/>
                      <w:bCs w:val="0"/>
                      <w:color w:val="auto"/>
                      <w:lang w:val="en-US" w:eastAsia="zh-CN"/>
                    </w:rPr>
                    <w:t>1</w:t>
                  </w:r>
                </w:p>
              </w:tc>
            </w:tr>
          </w:tbl>
          <w:p w14:paraId="03E06212">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both"/>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注：以</w:t>
            </w:r>
            <w:r>
              <w:rPr>
                <w:rFonts w:hint="eastAsia" w:ascii="Times New Roman" w:hAnsi="Times New Roman" w:eastAsia="宋体" w:cs="Times New Roman"/>
                <w:b/>
                <w:bCs/>
                <w:color w:val="auto"/>
                <w:sz w:val="21"/>
                <w:szCs w:val="21"/>
                <w:lang w:eastAsia="zh-CN"/>
              </w:rPr>
              <w:t>厂房</w:t>
            </w:r>
            <w:r>
              <w:rPr>
                <w:rFonts w:hint="default" w:ascii="Times New Roman" w:hAnsi="Times New Roman" w:eastAsia="宋体" w:cs="Times New Roman"/>
                <w:b/>
                <w:bCs/>
                <w:color w:val="auto"/>
                <w:sz w:val="21"/>
                <w:szCs w:val="21"/>
              </w:rPr>
              <w:t>西南角为原点（0,0）</w:t>
            </w:r>
          </w:p>
          <w:p w14:paraId="15D50247">
            <w:pPr>
              <w:keepNext w:val="0"/>
              <w:keepLines w:val="0"/>
              <w:pageBreakBefore w:val="0"/>
              <w:widowControl w:val="0"/>
              <w:kinsoku/>
              <w:wordWrap/>
              <w:overflowPunct/>
              <w:topLinePunct w:val="0"/>
              <w:autoSpaceDE/>
              <w:autoSpaceDN/>
              <w:bidi w:val="0"/>
              <w:spacing w:line="520" w:lineRule="exact"/>
              <w:ind w:right="0" w:rightChars="0"/>
              <w:jc w:val="both"/>
              <w:textAlignment w:val="auto"/>
              <w:rPr>
                <w:rFonts w:hint="default" w:ascii="Times New Roman" w:hAnsi="Times New Roman" w:eastAsia="Times New Roman" w:cs="Times New Roman"/>
                <w:b/>
                <w:bCs w:val="0"/>
                <w:color w:val="auto"/>
                <w:sz w:val="24"/>
                <w:lang w:bidi="zh-CN"/>
              </w:rPr>
            </w:pPr>
            <w:r>
              <w:rPr>
                <w:rFonts w:hint="eastAsia" w:ascii="Times New Roman" w:hAnsi="Times New Roman" w:eastAsia="Times New Roman" w:cs="Times New Roman"/>
                <w:b/>
                <w:bCs w:val="0"/>
                <w:color w:val="auto"/>
                <w:sz w:val="24"/>
                <w:lang w:val="en-US" w:bidi="zh-CN"/>
              </w:rPr>
              <w:t>3.2</w:t>
            </w:r>
            <w:r>
              <w:rPr>
                <w:rFonts w:hint="default" w:ascii="Times New Roman" w:hAnsi="Times New Roman" w:eastAsia="Times New Roman" w:cs="Times New Roman"/>
                <w:b/>
                <w:bCs w:val="0"/>
                <w:color w:val="auto"/>
                <w:sz w:val="24"/>
                <w:lang w:bidi="zh-CN"/>
              </w:rPr>
              <w:t>噪声源强分析</w:t>
            </w:r>
          </w:p>
          <w:p w14:paraId="2360D693">
            <w:pPr>
              <w:keepNext w:val="0"/>
              <w:keepLines w:val="0"/>
              <w:pageBreakBefore w:val="0"/>
              <w:widowControl w:val="0"/>
              <w:kinsoku/>
              <w:wordWrap/>
              <w:overflowPunct/>
              <w:topLinePunct w:val="0"/>
              <w:autoSpaceDE/>
              <w:autoSpaceDN/>
              <w:bidi w:val="0"/>
              <w:adjustRightInd/>
              <w:snapToGrid/>
              <w:spacing w:before="80"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为更进一步降低项目噪声对周边声环境的影响，项目须采取以下措施：</w:t>
            </w:r>
          </w:p>
          <w:p w14:paraId="07BD6AAF">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①选用低噪声设备</w:t>
            </w:r>
          </w:p>
          <w:p w14:paraId="274A9812">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设备选型时优先选用振动小、噪声低的设备；</w:t>
            </w:r>
            <w:bookmarkStart w:id="16" w:name="OLE_LINK51"/>
            <w:r>
              <w:rPr>
                <w:rFonts w:hint="default" w:ascii="Times New Roman" w:hAnsi="Times New Roman" w:eastAsia="Times New Roman" w:cs="Times New Roman"/>
                <w:bCs/>
                <w:color w:val="auto"/>
                <w:sz w:val="24"/>
                <w:lang w:bidi="zh-CN"/>
              </w:rPr>
              <w:t>且</w:t>
            </w:r>
            <w:bookmarkEnd w:id="16"/>
            <w:r>
              <w:rPr>
                <w:rFonts w:hint="default" w:ascii="Times New Roman" w:hAnsi="Times New Roman" w:eastAsia="Times New Roman" w:cs="Times New Roman"/>
                <w:bCs/>
                <w:color w:val="auto"/>
                <w:sz w:val="24"/>
                <w:lang w:bidi="zh-CN"/>
              </w:rPr>
              <w:t>生产设备均安装于室内。</w:t>
            </w:r>
          </w:p>
          <w:p w14:paraId="45DC662A">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②加强设备养护管理</w:t>
            </w:r>
          </w:p>
          <w:p w14:paraId="24A27CDB">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建立设备定期维护、保养的管理制度，以防止设备故障形成的非正常生产噪声，同时确保环保措施发挥最佳有效的功能；加强职工环保意识教育，提倡文明生产，防止人为噪声。</w:t>
            </w:r>
          </w:p>
          <w:p w14:paraId="5B498BA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cs="Times New Roman"/>
                <w:color w:val="auto"/>
                <w:sz w:val="24"/>
                <w:szCs w:val="24"/>
                <w:lang w:eastAsia="zh-CN"/>
              </w:rPr>
              <w:t>③</w:t>
            </w:r>
            <w:r>
              <w:rPr>
                <w:rFonts w:hint="default" w:ascii="Times New Roman" w:hAnsi="Times New Roman" w:eastAsia="Times New Roman" w:cs="Times New Roman"/>
                <w:bCs/>
                <w:color w:val="auto"/>
                <w:sz w:val="24"/>
                <w:lang w:bidi="zh-CN"/>
              </w:rPr>
              <w:t>采取适用的技术降噪</w:t>
            </w:r>
          </w:p>
          <w:p w14:paraId="29673C5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96" w:firstLineChars="200"/>
              <w:jc w:val="both"/>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snapToGrid w:val="0"/>
                <w:color w:val="auto"/>
                <w:spacing w:val="4"/>
                <w:kern w:val="18"/>
                <w:sz w:val="24"/>
                <w:szCs w:val="24"/>
                <w:highlight w:val="none"/>
                <w:lang w:val="en-US" w:eastAsia="zh-CN" w:bidi="ar-SA"/>
              </w:rPr>
              <w:t>对于高噪声设备除要求选用低噪声设备外，安装时应安装减振胶垫，降低振动噪声源强，风机采取安装减振胶垫、</w:t>
            </w:r>
            <w:r>
              <w:rPr>
                <w:rFonts w:hint="default" w:ascii="Times New Roman" w:hAnsi="Times New Roman" w:cs="Times New Roman"/>
                <w:snapToGrid w:val="0"/>
                <w:color w:val="auto"/>
                <w:spacing w:val="4"/>
                <w:kern w:val="18"/>
                <w:sz w:val="24"/>
                <w:szCs w:val="24"/>
                <w:highlight w:val="none"/>
                <w:lang w:val="en-US" w:eastAsia="zh-CN" w:bidi="ar-SA"/>
              </w:rPr>
              <w:t>软性连接</w:t>
            </w:r>
            <w:r>
              <w:rPr>
                <w:rFonts w:hint="default" w:ascii="Times New Roman" w:hAnsi="Times New Roman" w:eastAsia="宋体" w:cs="Times New Roman"/>
                <w:snapToGrid w:val="0"/>
                <w:color w:val="auto"/>
                <w:spacing w:val="4"/>
                <w:kern w:val="18"/>
                <w:sz w:val="24"/>
                <w:szCs w:val="24"/>
                <w:highlight w:val="none"/>
                <w:lang w:val="en-US" w:eastAsia="zh-CN" w:bidi="ar-SA"/>
              </w:rPr>
              <w:t>等措施。</w:t>
            </w:r>
            <w:r>
              <w:rPr>
                <w:rFonts w:hint="default" w:ascii="Times New Roman" w:hAnsi="Times New Roman" w:eastAsia="Times New Roman" w:cs="Times New Roman"/>
                <w:bCs/>
                <w:color w:val="auto"/>
                <w:sz w:val="24"/>
                <w:lang w:bidi="zh-CN"/>
              </w:rPr>
              <w:t>采取以上措施可综合降噪</w:t>
            </w:r>
            <w:r>
              <w:rPr>
                <w:rFonts w:hint="default" w:ascii="Times New Roman" w:hAnsi="Times New Roman" w:eastAsia="Times New Roman" w:cs="Times New Roman"/>
                <w:bCs/>
                <w:color w:val="auto"/>
                <w:sz w:val="24"/>
                <w:lang w:val="en-US" w:bidi="zh-CN"/>
              </w:rPr>
              <w:t>15</w:t>
            </w:r>
            <w:r>
              <w:rPr>
                <w:rFonts w:hint="default" w:ascii="Times New Roman" w:hAnsi="Times New Roman" w:eastAsia="Times New Roman" w:cs="Times New Roman"/>
                <w:bCs/>
                <w:color w:val="auto"/>
                <w:sz w:val="24"/>
                <w:lang w:bidi="zh-CN"/>
              </w:rPr>
              <w:t>dB（A）左右。</w:t>
            </w:r>
          </w:p>
          <w:p w14:paraId="7CC4BF65">
            <w:pPr>
              <w:keepNext w:val="0"/>
              <w:keepLines w:val="0"/>
              <w:widowControl w:val="0"/>
              <w:suppressLineNumbers w:val="0"/>
              <w:shd w:val="clear" w:color="auto" w:fill="auto"/>
              <w:spacing w:before="0" w:beforeAutospacing="0" w:after="0" w:afterAutospacing="0" w:line="360" w:lineRule="auto"/>
              <w:ind w:right="0"/>
              <w:jc w:val="both"/>
              <w:rPr>
                <w:rFonts w:hint="default" w:ascii="Times New Roman" w:hAnsi="Times New Roman" w:eastAsia="宋体" w:cs="Times New Roman"/>
                <w:b/>
                <w:bCs/>
                <w:color w:val="auto"/>
                <w:sz w:val="24"/>
                <w:szCs w:val="24"/>
                <w:highlight w:val="none"/>
              </w:rPr>
            </w:pPr>
            <w:r>
              <w:rPr>
                <w:rFonts w:hint="eastAsia" w:ascii="宋体" w:hAnsi="宋体" w:eastAsia="宋体" w:cs="宋体"/>
                <w:b/>
                <w:bCs/>
                <w:color w:val="auto"/>
                <w:kern w:val="0"/>
                <w:sz w:val="24"/>
                <w:szCs w:val="24"/>
                <w:highlight w:val="none"/>
                <w:lang w:val="en-US" w:eastAsia="zh-CN" w:bidi="ar"/>
              </w:rPr>
              <w:t>3.3预测模式选择</w:t>
            </w:r>
          </w:p>
          <w:p w14:paraId="2622602E">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根据《环境影响评价技术导则</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声环境》（HJ2.4-20</w:t>
            </w:r>
            <w:r>
              <w:rPr>
                <w:rFonts w:hint="default" w:ascii="Times New Roman" w:hAnsi="Times New Roman" w:cs="Times New Roman"/>
                <w:color w:val="auto"/>
                <w:sz w:val="24"/>
                <w:lang w:val="en-US" w:eastAsia="zh-CN"/>
              </w:rPr>
              <w:t>21</w:t>
            </w:r>
            <w:r>
              <w:rPr>
                <w:rFonts w:hint="default" w:ascii="Times New Roman" w:hAnsi="Times New Roman" w:cs="Times New Roman"/>
                <w:color w:val="auto"/>
                <w:sz w:val="24"/>
              </w:rPr>
              <w:t>）中规定，在不能取得声源倍频带声功率级或倍频带声压级，只能获得A声功率级或某点的A声级时，可用A声功率级或某点的A声级计算。</w:t>
            </w:r>
          </w:p>
          <w:p w14:paraId="30D77180">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b w:val="0"/>
                <w:bCs/>
                <w:color w:val="auto"/>
                <w:sz w:val="24"/>
              </w:rPr>
            </w:pPr>
            <w:r>
              <w:rPr>
                <w:rFonts w:hint="default" w:ascii="Times New Roman" w:hAnsi="Times New Roman" w:cs="Times New Roman"/>
                <w:b w:val="0"/>
                <w:bCs/>
                <w:color w:val="auto"/>
                <w:sz w:val="24"/>
                <w:lang w:val="en-US" w:eastAsia="zh-CN"/>
              </w:rPr>
              <w:t>（1）</w:t>
            </w:r>
            <w:r>
              <w:rPr>
                <w:rFonts w:hint="default" w:ascii="Times New Roman" w:hAnsi="Times New Roman" w:cs="Times New Roman"/>
                <w:b w:val="0"/>
                <w:bCs/>
                <w:color w:val="auto"/>
                <w:sz w:val="24"/>
              </w:rPr>
              <w:t>预测条件假设</w:t>
            </w:r>
          </w:p>
          <w:p w14:paraId="24B0C5C1">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①所有产噪设备均在正常工况条件下运行；</w:t>
            </w:r>
          </w:p>
          <w:p w14:paraId="68767FBF">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②考虑室内声源所在厂房围护结构的隔声、吸声作用；</w:t>
            </w:r>
          </w:p>
          <w:p w14:paraId="596EE352">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③衰减仅考虑几何发散衰减，屏障衰减。</w:t>
            </w:r>
          </w:p>
          <w:p w14:paraId="38ADB78B">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b w:val="0"/>
                <w:bCs/>
                <w:color w:val="auto"/>
                <w:sz w:val="24"/>
              </w:rPr>
            </w:pPr>
            <w:r>
              <w:rPr>
                <w:rFonts w:hint="default" w:ascii="Times New Roman" w:hAnsi="Times New Roman" w:cs="Times New Roman"/>
                <w:b w:val="0"/>
                <w:bCs/>
                <w:color w:val="auto"/>
                <w:sz w:val="24"/>
                <w:lang w:val="en-US" w:eastAsia="zh-CN"/>
              </w:rPr>
              <w:t>（2）</w:t>
            </w:r>
            <w:r>
              <w:rPr>
                <w:rFonts w:hint="default" w:ascii="Times New Roman" w:hAnsi="Times New Roman" w:cs="Times New Roman"/>
                <w:b w:val="0"/>
                <w:bCs/>
                <w:color w:val="auto"/>
                <w:sz w:val="24"/>
              </w:rPr>
              <w:t>室内声源</w:t>
            </w:r>
          </w:p>
          <w:p w14:paraId="7BAE4F5C">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①如果已知声源的声压级，且声源位于地面上，则</w:t>
            </w:r>
          </w:p>
          <w:p w14:paraId="2473A90E">
            <w:pPr>
              <w:keepNext w:val="0"/>
              <w:keepLines w:val="0"/>
              <w:pageBreakBefore w:val="0"/>
              <w:widowControl w:val="0"/>
              <w:kinsoku/>
              <w:wordWrap/>
              <w:overflowPunct/>
              <w:topLinePunct w:val="0"/>
              <w:autoSpaceDE/>
              <w:autoSpaceDN/>
              <w:bidi w:val="0"/>
              <w:adjustRightInd/>
              <w:snapToGrid/>
              <w:spacing w:before="0" w:beforeLines="50" w:line="360" w:lineRule="auto"/>
              <w:ind w:left="0" w:leftChars="0" w:right="0" w:rightChars="0" w:firstLine="480" w:firstLineChars="200"/>
              <w:jc w:val="center"/>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485900" cy="228600"/>
                  <wp:effectExtent l="0" t="0" r="0" b="0"/>
                  <wp:docPr id="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
                          <pic:cNvPicPr>
                            <a:picLocks noChangeAspect="1"/>
                          </pic:cNvPicPr>
                        </pic:nvPicPr>
                        <pic:blipFill>
                          <a:blip r:embed="rId10"/>
                          <a:stretch>
                            <a:fillRect/>
                          </a:stretch>
                        </pic:blipFill>
                        <pic:spPr>
                          <a:xfrm>
                            <a:off x="0" y="0"/>
                            <a:ext cx="1485900" cy="228600"/>
                          </a:xfrm>
                          <a:prstGeom prst="rect">
                            <a:avLst/>
                          </a:prstGeom>
                          <a:noFill/>
                          <a:ln>
                            <a:noFill/>
                          </a:ln>
                        </pic:spPr>
                      </pic:pic>
                    </a:graphicData>
                  </a:graphic>
                </wp:inline>
              </w:drawing>
            </w:r>
          </w:p>
          <w:p w14:paraId="4BF7CF8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②首先计算出某个室内声源靠近围护结构处的声压级：</w:t>
            </w:r>
          </w:p>
          <w:p w14:paraId="6E0FA317">
            <w:pPr>
              <w:spacing w:line="360" w:lineRule="auto"/>
              <w:jc w:val="center"/>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739900" cy="533400"/>
                  <wp:effectExtent l="0" t="0" r="12700" b="0"/>
                  <wp:docPr id="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4"/>
                          <pic:cNvPicPr>
                            <a:picLocks noChangeAspect="1"/>
                          </pic:cNvPicPr>
                        </pic:nvPicPr>
                        <pic:blipFill>
                          <a:blip r:embed="rId11"/>
                          <a:stretch>
                            <a:fillRect/>
                          </a:stretch>
                        </pic:blipFill>
                        <pic:spPr>
                          <a:xfrm>
                            <a:off x="0" y="0"/>
                            <a:ext cx="1739900" cy="533400"/>
                          </a:xfrm>
                          <a:prstGeom prst="rect">
                            <a:avLst/>
                          </a:prstGeom>
                          <a:noFill/>
                          <a:ln>
                            <a:noFill/>
                          </a:ln>
                        </pic:spPr>
                      </pic:pic>
                    </a:graphicData>
                  </a:graphic>
                </wp:inline>
              </w:drawing>
            </w:r>
          </w:p>
          <w:p w14:paraId="1FDF98E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color w:val="auto"/>
                <w:sz w:val="24"/>
              </w:rPr>
              <w:drawing>
                <wp:inline distT="0" distB="0" distL="114300" distR="114300">
                  <wp:extent cx="228600" cy="241300"/>
                  <wp:effectExtent l="0" t="0" r="0" b="5080"/>
                  <wp:docPr id="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
                          <pic:cNvPicPr>
                            <a:picLocks noChangeAspect="1"/>
                          </pic:cNvPicPr>
                        </pic:nvPicPr>
                        <pic:blipFill>
                          <a:blip r:embed="rId12"/>
                          <a:stretch>
                            <a:fillRect/>
                          </a:stretch>
                        </pic:blipFill>
                        <pic:spPr>
                          <a:xfrm>
                            <a:off x="0" y="0"/>
                            <a:ext cx="228600" cy="241300"/>
                          </a:xfrm>
                          <a:prstGeom prst="rect">
                            <a:avLst/>
                          </a:prstGeom>
                          <a:noFill/>
                          <a:ln>
                            <a:noFill/>
                          </a:ln>
                        </pic:spPr>
                      </pic:pic>
                    </a:graphicData>
                  </a:graphic>
                </wp:inline>
              </w:drawing>
            </w:r>
            <w:r>
              <w:rPr>
                <w:rFonts w:hint="default" w:ascii="Times New Roman" w:hAnsi="Times New Roman" w:eastAsia="宋体" w:cs="Times New Roman"/>
                <w:color w:val="auto"/>
                <w:sz w:val="24"/>
              </w:rPr>
              <w:t>：某个室内声源靠近维护结构处的声压级。</w:t>
            </w:r>
          </w:p>
          <w:p w14:paraId="34D8E15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Lw：某个室内声源靠近维护结构处产生的声功率级。</w:t>
            </w:r>
          </w:p>
          <w:p w14:paraId="03FC4B4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Q：指向性因数；通常对无指向性声源，当声源放在房间中心时，Q=1；当放在一面墙的中心时，Q=2；当放在两面墙夹角处时，Q=4；当放在三面墙夹角处时，Q=8。 </w:t>
            </w:r>
          </w:p>
          <w:p w14:paraId="54802A2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R：房间常数；R=Sa/(1-a)，S 为房间内表面面积，m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；a 为平均吸声系数，本评价a取0.15。</w:t>
            </w:r>
          </w:p>
          <w:p w14:paraId="4A70A7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r：声源到靠近围护结构某点处的距离，m。</w:t>
            </w:r>
          </w:p>
          <w:p w14:paraId="184479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③计算出所有室内声源在靠近围护结构处产生的总声压级：</w:t>
            </w:r>
          </w:p>
          <w:p w14:paraId="531634B7">
            <w:pPr>
              <w:spacing w:line="360" w:lineRule="auto"/>
              <w:jc w:val="center"/>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992630" cy="553085"/>
                  <wp:effectExtent l="0" t="0" r="0" b="18415"/>
                  <wp:docPr id="8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6"/>
                          <pic:cNvPicPr>
                            <a:picLocks noChangeAspect="1"/>
                          </pic:cNvPicPr>
                        </pic:nvPicPr>
                        <pic:blipFill>
                          <a:blip r:embed="rId13"/>
                          <a:stretch>
                            <a:fillRect/>
                          </a:stretch>
                        </pic:blipFill>
                        <pic:spPr>
                          <a:xfrm>
                            <a:off x="0" y="0"/>
                            <a:ext cx="1992630" cy="553085"/>
                          </a:xfrm>
                          <a:prstGeom prst="rect">
                            <a:avLst/>
                          </a:prstGeom>
                          <a:noFill/>
                          <a:ln>
                            <a:noFill/>
                          </a:ln>
                        </pic:spPr>
                      </pic:pic>
                    </a:graphicData>
                  </a:graphic>
                </wp:inline>
              </w:drawing>
            </w:r>
          </w:p>
          <w:p w14:paraId="642709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式中：</w:t>
            </w:r>
            <w:r>
              <w:rPr>
                <w:rFonts w:hint="default" w:ascii="Times New Roman" w:hAnsi="Times New Roman" w:eastAsia="宋体" w:cs="Times New Roman"/>
                <w:color w:val="auto"/>
                <w:sz w:val="24"/>
              </w:rPr>
              <w:t xml:space="preserve">Lp1(T)：靠近围护结构处室内N个声源的叠加声压级，dB(A)； </w:t>
            </w:r>
          </w:p>
          <w:p w14:paraId="16889DE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Lp1.j：j声源的声压级，dB(A)； </w:t>
            </w:r>
          </w:p>
          <w:p w14:paraId="1CA8F3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室内声源总数。</w:t>
            </w:r>
          </w:p>
          <w:p w14:paraId="02099CE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④计算出室外靠近围护结构处的声压级：</w:t>
            </w:r>
          </w:p>
          <w:p w14:paraId="13E775BF">
            <w:pPr>
              <w:keepNext w:val="0"/>
              <w:keepLines w:val="0"/>
              <w:pageBreakBefore w:val="0"/>
              <w:widowControl w:val="0"/>
              <w:kinsoku/>
              <w:wordWrap/>
              <w:overflowPunct/>
              <w:topLinePunct w:val="0"/>
              <w:autoSpaceDE/>
              <w:autoSpaceDN/>
              <w:bidi w:val="0"/>
              <w:adjustRightInd/>
              <w:snapToGrid/>
              <w:spacing w:before="0" w:beforeLines="50" w:line="360" w:lineRule="auto"/>
              <w:jc w:val="center"/>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638300" cy="241300"/>
                  <wp:effectExtent l="0" t="0" r="0" b="5080"/>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pic:cNvPicPr>
                        </pic:nvPicPr>
                        <pic:blipFill>
                          <a:blip r:embed="rId14"/>
                          <a:stretch>
                            <a:fillRect/>
                          </a:stretch>
                        </pic:blipFill>
                        <pic:spPr>
                          <a:xfrm>
                            <a:off x="0" y="0"/>
                            <a:ext cx="1638300" cy="241300"/>
                          </a:xfrm>
                          <a:prstGeom prst="rect">
                            <a:avLst/>
                          </a:prstGeom>
                          <a:noFill/>
                          <a:ln>
                            <a:noFill/>
                          </a:ln>
                        </pic:spPr>
                      </pic:pic>
                    </a:graphicData>
                  </a:graphic>
                </wp:inline>
              </w:drawing>
            </w:r>
          </w:p>
          <w:p w14:paraId="33E1E5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式中：Lp2 (T)：靠近围护结构处室外N个声源的叠加声压级，dB(A)； </w:t>
            </w:r>
          </w:p>
          <w:p w14:paraId="702157A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TLi；围护结构的隔声量，dB(A)。</w:t>
            </w:r>
          </w:p>
          <w:p w14:paraId="7EAF58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⑤将室外声级Lp2(T)和透声面积换算成等效的室外声源，计算出等效声源的声功率级LW；</w:t>
            </w:r>
          </w:p>
          <w:p w14:paraId="191956D1">
            <w:pPr>
              <w:keepNext w:val="0"/>
              <w:keepLines w:val="0"/>
              <w:pageBreakBefore w:val="0"/>
              <w:widowControl w:val="0"/>
              <w:kinsoku/>
              <w:wordWrap/>
              <w:overflowPunct/>
              <w:topLinePunct w:val="0"/>
              <w:autoSpaceDE/>
              <w:autoSpaceDN/>
              <w:bidi w:val="0"/>
              <w:adjustRightInd/>
              <w:spacing w:line="360" w:lineRule="auto"/>
              <w:jc w:val="center"/>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270000" cy="241300"/>
                  <wp:effectExtent l="0" t="0" r="0" b="5080"/>
                  <wp:docPr id="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
                          <pic:cNvPicPr>
                            <a:picLocks noChangeAspect="1"/>
                          </pic:cNvPicPr>
                        </pic:nvPicPr>
                        <pic:blipFill>
                          <a:blip r:embed="rId15"/>
                          <a:stretch>
                            <a:fillRect/>
                          </a:stretch>
                        </pic:blipFill>
                        <pic:spPr>
                          <a:xfrm>
                            <a:off x="0" y="0"/>
                            <a:ext cx="1270000" cy="241300"/>
                          </a:xfrm>
                          <a:prstGeom prst="rect">
                            <a:avLst/>
                          </a:prstGeom>
                          <a:noFill/>
                          <a:ln>
                            <a:noFill/>
                          </a:ln>
                        </pic:spPr>
                      </pic:pic>
                    </a:graphicData>
                  </a:graphic>
                </wp:inline>
              </w:drawing>
            </w:r>
          </w:p>
          <w:p w14:paraId="615C80A5">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式中：s为透声面积，m</w:t>
            </w:r>
            <w:r>
              <w:rPr>
                <w:rFonts w:hint="default" w:ascii="Times New Roman" w:hAnsi="Times New Roman" w:eastAsia="宋体" w:cs="Times New Roman"/>
                <w:color w:val="auto"/>
                <w:sz w:val="24"/>
                <w:szCs w:val="32"/>
                <w:highlight w:val="none"/>
                <w:vertAlign w:val="superscript"/>
              </w:rPr>
              <w:t>2</w:t>
            </w:r>
            <w:r>
              <w:rPr>
                <w:rFonts w:hint="default" w:ascii="Times New Roman" w:hAnsi="Times New Roman" w:eastAsia="宋体" w:cs="Times New Roman"/>
                <w:color w:val="auto"/>
                <w:sz w:val="24"/>
                <w:szCs w:val="32"/>
                <w:highlight w:val="none"/>
              </w:rPr>
              <w:t>。</w:t>
            </w:r>
          </w:p>
          <w:p w14:paraId="4ED202E2">
            <w:pPr>
              <w:keepNext w:val="0"/>
              <w:keepLines w:val="0"/>
              <w:pageBreakBefore w:val="0"/>
              <w:widowControl w:val="0"/>
              <w:kinsoku/>
              <w:wordWrap/>
              <w:overflowPunct/>
              <w:topLinePunct w:val="0"/>
              <w:autoSpaceDE/>
              <w:autoSpaceDN/>
              <w:bidi w:val="0"/>
              <w:adjustRightInd/>
              <w:spacing w:line="360" w:lineRule="auto"/>
              <w:ind w:firstLine="432" w:firstLineChars="180"/>
              <w:jc w:val="left"/>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⑥等效室外声源的位置为围护结构的位置，其声功率级为Lw，由此按室外声源方法计算等效室外声源在预测点产生的A声级。</w:t>
            </w:r>
          </w:p>
          <w:p w14:paraId="21067A34">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b w:val="0"/>
                <w:bCs w:val="0"/>
                <w:color w:val="auto"/>
                <w:sz w:val="24"/>
                <w:szCs w:val="32"/>
                <w:highlight w:val="none"/>
              </w:rPr>
            </w:pPr>
            <w:r>
              <w:rPr>
                <w:rFonts w:hint="default" w:ascii="Times New Roman" w:hAnsi="Times New Roman" w:eastAsia="宋体" w:cs="Times New Roman"/>
                <w:b w:val="0"/>
                <w:bCs w:val="0"/>
                <w:color w:val="auto"/>
                <w:sz w:val="24"/>
                <w:szCs w:val="32"/>
                <w:highlight w:val="none"/>
              </w:rPr>
              <w:t>总声压级</w:t>
            </w:r>
          </w:p>
          <w:p w14:paraId="1AF83F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32"/>
                <w:highlight w:val="none"/>
              </w:rPr>
            </w:pPr>
            <m:oMathPara>
              <m:oMath>
                <m:sSub>
                  <m:sSubPr>
                    <m:ctrlPr>
                      <w:rPr>
                        <w:rFonts w:hint="default" w:ascii="Cambria Math" w:hAnsi="Cambria Math" w:cs="Times New Roman"/>
                        <w:b w:val="0"/>
                        <w:bCs w:val="0"/>
                        <w:color w:val="auto"/>
                        <w:kern w:val="2"/>
                        <w:sz w:val="24"/>
                        <w:szCs w:val="32"/>
                        <w:highlight w:val="none"/>
                        <w:lang w:val="en-US" w:eastAsia="zh-CN" w:bidi="ar-SA"/>
                      </w:rPr>
                    </m:ctrlPr>
                  </m:sSubPr>
                  <m:e>
                    <m:r>
                      <m:rPr>
                        <m:sty m:val="p"/>
                      </m:rPr>
                      <w:rPr>
                        <w:rFonts w:hint="default" w:ascii="Cambria Math" w:hAnsi="Cambria Math" w:cs="Times New Roman"/>
                        <w:color w:val="auto"/>
                        <w:kern w:val="2"/>
                        <w:sz w:val="24"/>
                        <w:szCs w:val="32"/>
                        <w:highlight w:val="none"/>
                        <w:lang w:val="en-US" w:eastAsia="zh-CN" w:bidi="ar-SA"/>
                      </w:rPr>
                      <m:t>L</m:t>
                    </m:r>
                    <m:ctrlPr>
                      <w:rPr>
                        <w:rFonts w:hint="default" w:ascii="Cambria Math" w:hAnsi="Cambria Math" w:cs="Times New Roman"/>
                        <w:b w:val="0"/>
                        <w:bCs w:val="0"/>
                        <w:color w:val="auto"/>
                        <w:kern w:val="2"/>
                        <w:sz w:val="24"/>
                        <w:szCs w:val="32"/>
                        <w:highlight w:val="none"/>
                        <w:lang w:val="en-US" w:eastAsia="zh-CN" w:bidi="ar-SA"/>
                      </w:rPr>
                    </m:ctrlPr>
                  </m:e>
                  <m:sub>
                    <m:r>
                      <m:rPr>
                        <m:sty m:val="p"/>
                      </m:rPr>
                      <w:rPr>
                        <w:rFonts w:hint="default" w:ascii="Cambria Math" w:hAnsi="Cambria Math" w:cs="Times New Roman"/>
                        <w:color w:val="auto"/>
                        <w:kern w:val="2"/>
                        <w:sz w:val="24"/>
                        <w:szCs w:val="32"/>
                        <w:highlight w:val="none"/>
                        <w:lang w:val="en-US" w:eastAsia="zh-CN" w:bidi="ar-SA"/>
                      </w:rPr>
                      <m:t>eq</m:t>
                    </m:r>
                    <m:ctrlPr>
                      <w:rPr>
                        <w:rFonts w:hint="default" w:ascii="Cambria Math" w:hAnsi="Cambria Math" w:cs="Times New Roman"/>
                        <w:b w:val="0"/>
                        <w:bCs w:val="0"/>
                        <w:color w:val="auto"/>
                        <w:kern w:val="2"/>
                        <w:sz w:val="24"/>
                        <w:szCs w:val="32"/>
                        <w:highlight w:val="none"/>
                        <w:lang w:val="en-US" w:eastAsia="zh-CN" w:bidi="ar-SA"/>
                      </w:rPr>
                    </m:ctrlPr>
                  </m:sub>
                </m:sSub>
                <m:r>
                  <m:rPr>
                    <m:sty m:val="p"/>
                  </m:rPr>
                  <w:rPr>
                    <w:rFonts w:hint="default" w:ascii="Cambria Math" w:hAnsi="Cambria Math" w:cs="Times New Roman"/>
                    <w:color w:val="auto"/>
                    <w:kern w:val="2"/>
                    <w:sz w:val="24"/>
                    <w:szCs w:val="32"/>
                    <w:highlight w:val="none"/>
                    <w:lang w:val="en-US" w:eastAsia="zh-CN" w:bidi="ar-SA"/>
                  </w:rPr>
                  <m:t>=10lg(</m:t>
                </m:r>
                <m:sSup>
                  <m:sSupPr>
                    <m:ctrlPr>
                      <w:rPr>
                        <w:rFonts w:hint="default" w:ascii="Cambria Math" w:hAnsi="Cambria Math" w:cs="Times New Roman"/>
                        <w:b w:val="0"/>
                        <w:bCs w:val="0"/>
                        <w:color w:val="auto"/>
                        <w:kern w:val="2"/>
                        <w:sz w:val="24"/>
                        <w:szCs w:val="32"/>
                        <w:highlight w:val="none"/>
                        <w:lang w:val="en-US" w:eastAsia="zh-CN" w:bidi="ar-SA"/>
                      </w:rPr>
                    </m:ctrlPr>
                  </m:sSupPr>
                  <m:e>
                    <m:r>
                      <m:rPr>
                        <m:sty m:val="p"/>
                      </m:rPr>
                      <w:rPr>
                        <w:rFonts w:hint="default" w:ascii="Cambria Math" w:hAnsi="Cambria Math" w:cs="Times New Roman"/>
                        <w:color w:val="auto"/>
                        <w:kern w:val="2"/>
                        <w:sz w:val="24"/>
                        <w:szCs w:val="32"/>
                        <w:highlight w:val="none"/>
                        <w:lang w:val="en-US" w:eastAsia="zh-CN" w:bidi="ar-SA"/>
                      </w:rPr>
                      <m:t>10</m:t>
                    </m:r>
                    <m:ctrlPr>
                      <w:rPr>
                        <w:rFonts w:hint="default" w:ascii="Cambria Math" w:hAnsi="Cambria Math" w:cs="Times New Roman"/>
                        <w:b w:val="0"/>
                        <w:bCs w:val="0"/>
                        <w:color w:val="auto"/>
                        <w:kern w:val="2"/>
                        <w:sz w:val="24"/>
                        <w:szCs w:val="32"/>
                        <w:highlight w:val="none"/>
                        <w:lang w:val="en-US" w:eastAsia="zh-CN" w:bidi="ar-SA"/>
                      </w:rPr>
                    </m:ctrlPr>
                  </m:e>
                  <m:sup>
                    <m:r>
                      <m:rPr>
                        <m:sty m:val="p"/>
                      </m:rPr>
                      <w:rPr>
                        <w:rFonts w:hint="default" w:ascii="Cambria Math" w:hAnsi="Cambria Math" w:cs="Times New Roman"/>
                        <w:color w:val="auto"/>
                        <w:kern w:val="2"/>
                        <w:sz w:val="24"/>
                        <w:szCs w:val="32"/>
                        <w:highlight w:val="none"/>
                        <w:lang w:val="en-US" w:eastAsia="zh-CN" w:bidi="ar-SA"/>
                      </w:rPr>
                      <m:t>0.1</m:t>
                    </m:r>
                    <m:sSub>
                      <m:sSubPr>
                        <m:ctrlPr>
                          <w:rPr>
                            <w:rFonts w:hint="default" w:ascii="Cambria Math" w:hAnsi="Cambria Math" w:cs="Times New Roman"/>
                            <w:b w:val="0"/>
                            <w:bCs w:val="0"/>
                            <w:color w:val="auto"/>
                            <w:kern w:val="2"/>
                            <w:sz w:val="24"/>
                            <w:szCs w:val="32"/>
                            <w:highlight w:val="none"/>
                            <w:lang w:val="en-US" w:eastAsia="zh-CN" w:bidi="ar-SA"/>
                          </w:rPr>
                        </m:ctrlPr>
                      </m:sSubPr>
                      <m:e>
                        <m:r>
                          <m:rPr>
                            <m:sty m:val="p"/>
                          </m:rPr>
                          <w:rPr>
                            <w:rFonts w:hint="default" w:ascii="Cambria Math" w:hAnsi="Cambria Math" w:cs="Times New Roman"/>
                            <w:color w:val="auto"/>
                            <w:kern w:val="2"/>
                            <w:sz w:val="24"/>
                            <w:szCs w:val="32"/>
                            <w:highlight w:val="none"/>
                            <w:lang w:val="en-US" w:eastAsia="zh-CN" w:bidi="ar-SA"/>
                          </w:rPr>
                          <m:t>L</m:t>
                        </m:r>
                        <m:ctrlPr>
                          <w:rPr>
                            <w:rFonts w:hint="default" w:ascii="Cambria Math" w:hAnsi="Cambria Math" w:cs="Times New Roman"/>
                            <w:b w:val="0"/>
                            <w:bCs w:val="0"/>
                            <w:color w:val="auto"/>
                            <w:kern w:val="2"/>
                            <w:sz w:val="24"/>
                            <w:szCs w:val="32"/>
                            <w:highlight w:val="none"/>
                            <w:lang w:val="en-US" w:eastAsia="zh-CN" w:bidi="ar-SA"/>
                          </w:rPr>
                        </m:ctrlPr>
                      </m:e>
                      <m:sub>
                        <m:r>
                          <m:rPr>
                            <m:sty m:val="p"/>
                          </m:rPr>
                          <w:rPr>
                            <w:rFonts w:hint="default" w:ascii="Cambria Math" w:hAnsi="Cambria Math" w:cs="Times New Roman"/>
                            <w:color w:val="auto"/>
                            <w:kern w:val="2"/>
                            <w:sz w:val="24"/>
                            <w:szCs w:val="32"/>
                            <w:highlight w:val="none"/>
                            <w:lang w:val="en-US" w:eastAsia="zh-CN" w:bidi="ar-SA"/>
                          </w:rPr>
                          <m:t>eqg</m:t>
                        </m:r>
                        <m:ctrlPr>
                          <w:rPr>
                            <w:rFonts w:hint="default" w:ascii="Cambria Math" w:hAnsi="Cambria Math" w:cs="Times New Roman"/>
                            <w:b w:val="0"/>
                            <w:bCs w:val="0"/>
                            <w:color w:val="auto"/>
                            <w:kern w:val="2"/>
                            <w:sz w:val="24"/>
                            <w:szCs w:val="32"/>
                            <w:highlight w:val="none"/>
                            <w:lang w:val="en-US" w:eastAsia="zh-CN" w:bidi="ar-SA"/>
                          </w:rPr>
                        </m:ctrlPr>
                      </m:sub>
                    </m:sSub>
                    <m:ctrlPr>
                      <w:rPr>
                        <w:rFonts w:hint="default" w:ascii="Cambria Math" w:hAnsi="Cambria Math" w:cs="Times New Roman"/>
                        <w:b w:val="0"/>
                        <w:bCs w:val="0"/>
                        <w:color w:val="auto"/>
                        <w:kern w:val="2"/>
                        <w:sz w:val="24"/>
                        <w:szCs w:val="32"/>
                        <w:highlight w:val="none"/>
                        <w:lang w:val="en-US" w:eastAsia="zh-CN" w:bidi="ar-SA"/>
                      </w:rPr>
                    </m:ctrlPr>
                  </m:sup>
                </m:sSup>
                <m:r>
                  <m:rPr>
                    <m:sty m:val="p"/>
                  </m:rPr>
                  <w:rPr>
                    <w:rFonts w:hint="default" w:ascii="Cambria Math" w:hAnsi="Cambria Math" w:cs="Times New Roman"/>
                    <w:color w:val="auto"/>
                    <w:kern w:val="2"/>
                    <w:sz w:val="24"/>
                    <w:szCs w:val="32"/>
                    <w:highlight w:val="none"/>
                    <w:lang w:val="en-US" w:eastAsia="zh-CN" w:bidi="ar-SA"/>
                  </w:rPr>
                  <m:t>+</m:t>
                </m:r>
                <m:sSup>
                  <m:sSupPr>
                    <m:ctrlPr>
                      <w:rPr>
                        <w:rFonts w:hint="default" w:ascii="Cambria Math" w:hAnsi="Cambria Math" w:cs="Times New Roman"/>
                        <w:b w:val="0"/>
                        <w:bCs w:val="0"/>
                        <w:color w:val="auto"/>
                        <w:kern w:val="2"/>
                        <w:sz w:val="24"/>
                        <w:szCs w:val="32"/>
                        <w:highlight w:val="none"/>
                        <w:lang w:val="en-US" w:eastAsia="zh-CN" w:bidi="ar-SA"/>
                      </w:rPr>
                    </m:ctrlPr>
                  </m:sSupPr>
                  <m:e>
                    <m:r>
                      <m:rPr>
                        <m:sty m:val="p"/>
                      </m:rPr>
                      <w:rPr>
                        <w:rFonts w:hint="default" w:ascii="Cambria Math" w:hAnsi="Cambria Math" w:cs="Times New Roman"/>
                        <w:color w:val="auto"/>
                        <w:kern w:val="2"/>
                        <w:sz w:val="24"/>
                        <w:szCs w:val="32"/>
                        <w:highlight w:val="none"/>
                        <w:lang w:val="en-US" w:eastAsia="zh-CN" w:bidi="ar-SA"/>
                      </w:rPr>
                      <m:t>10</m:t>
                    </m:r>
                    <m:ctrlPr>
                      <w:rPr>
                        <w:rFonts w:hint="default" w:ascii="Cambria Math" w:hAnsi="Cambria Math" w:cs="Times New Roman"/>
                        <w:b w:val="0"/>
                        <w:bCs w:val="0"/>
                        <w:color w:val="auto"/>
                        <w:kern w:val="2"/>
                        <w:sz w:val="24"/>
                        <w:szCs w:val="32"/>
                        <w:highlight w:val="none"/>
                        <w:lang w:val="en-US" w:eastAsia="zh-CN" w:bidi="ar-SA"/>
                      </w:rPr>
                    </m:ctrlPr>
                  </m:e>
                  <m:sup>
                    <m:r>
                      <m:rPr>
                        <m:sty m:val="p"/>
                      </m:rPr>
                      <w:rPr>
                        <w:rFonts w:hint="default" w:ascii="Cambria Math" w:hAnsi="Cambria Math" w:cs="Times New Roman"/>
                        <w:color w:val="auto"/>
                        <w:kern w:val="2"/>
                        <w:sz w:val="24"/>
                        <w:szCs w:val="32"/>
                        <w:highlight w:val="none"/>
                        <w:lang w:val="en-US" w:eastAsia="zh-CN" w:bidi="ar-SA"/>
                      </w:rPr>
                      <m:t>0.1</m:t>
                    </m:r>
                    <m:sSub>
                      <m:sSubPr>
                        <m:ctrlPr>
                          <w:rPr>
                            <w:rFonts w:hint="default" w:ascii="Cambria Math" w:hAnsi="Cambria Math" w:cs="Times New Roman"/>
                            <w:b w:val="0"/>
                            <w:bCs w:val="0"/>
                            <w:color w:val="auto"/>
                            <w:kern w:val="2"/>
                            <w:sz w:val="24"/>
                            <w:szCs w:val="32"/>
                            <w:highlight w:val="none"/>
                            <w:lang w:val="en-US" w:eastAsia="zh-CN" w:bidi="ar-SA"/>
                          </w:rPr>
                        </m:ctrlPr>
                      </m:sSubPr>
                      <m:e>
                        <m:r>
                          <m:rPr>
                            <m:sty m:val="p"/>
                          </m:rPr>
                          <w:rPr>
                            <w:rFonts w:hint="default" w:ascii="Cambria Math" w:hAnsi="Cambria Math" w:cs="Times New Roman"/>
                            <w:color w:val="auto"/>
                            <w:kern w:val="2"/>
                            <w:sz w:val="24"/>
                            <w:szCs w:val="32"/>
                            <w:highlight w:val="none"/>
                            <w:lang w:val="en-US" w:eastAsia="zh-CN" w:bidi="ar-SA"/>
                          </w:rPr>
                          <m:t>L</m:t>
                        </m:r>
                        <m:ctrlPr>
                          <w:rPr>
                            <w:rFonts w:hint="default" w:ascii="Cambria Math" w:hAnsi="Cambria Math" w:cs="Times New Roman"/>
                            <w:b w:val="0"/>
                            <w:bCs w:val="0"/>
                            <w:color w:val="auto"/>
                            <w:kern w:val="2"/>
                            <w:sz w:val="24"/>
                            <w:szCs w:val="32"/>
                            <w:highlight w:val="none"/>
                            <w:lang w:val="en-US" w:eastAsia="zh-CN" w:bidi="ar-SA"/>
                          </w:rPr>
                        </m:ctrlPr>
                      </m:e>
                      <m:sub>
                        <m:r>
                          <m:rPr>
                            <m:sty m:val="p"/>
                          </m:rPr>
                          <w:rPr>
                            <w:rFonts w:hint="default" w:ascii="Cambria Math" w:hAnsi="Cambria Math" w:cs="Times New Roman"/>
                            <w:color w:val="auto"/>
                            <w:kern w:val="2"/>
                            <w:sz w:val="24"/>
                            <w:szCs w:val="32"/>
                            <w:highlight w:val="none"/>
                            <w:lang w:val="en-US" w:eastAsia="zh-CN" w:bidi="ar-SA"/>
                          </w:rPr>
                          <m:t>eqb</m:t>
                        </m:r>
                        <m:ctrlPr>
                          <w:rPr>
                            <w:rFonts w:hint="default" w:ascii="Cambria Math" w:hAnsi="Cambria Math" w:cs="Times New Roman"/>
                            <w:b w:val="0"/>
                            <w:bCs w:val="0"/>
                            <w:color w:val="auto"/>
                            <w:kern w:val="2"/>
                            <w:sz w:val="24"/>
                            <w:szCs w:val="32"/>
                            <w:highlight w:val="none"/>
                            <w:lang w:val="en-US" w:eastAsia="zh-CN" w:bidi="ar-SA"/>
                          </w:rPr>
                        </m:ctrlPr>
                      </m:sub>
                    </m:sSub>
                    <m:ctrlPr>
                      <w:rPr>
                        <w:rFonts w:hint="default" w:ascii="Cambria Math" w:hAnsi="Cambria Math" w:cs="Times New Roman"/>
                        <w:b w:val="0"/>
                        <w:bCs w:val="0"/>
                        <w:color w:val="auto"/>
                        <w:kern w:val="2"/>
                        <w:sz w:val="24"/>
                        <w:szCs w:val="32"/>
                        <w:highlight w:val="none"/>
                        <w:lang w:val="en-US" w:eastAsia="zh-CN" w:bidi="ar-SA"/>
                      </w:rPr>
                    </m:ctrlPr>
                  </m:sup>
                </m:sSup>
                <m:r>
                  <m:rPr>
                    <m:sty m:val="p"/>
                  </m:rPr>
                  <w:rPr>
                    <w:rFonts w:hint="default" w:ascii="Cambria Math" w:hAnsi="Cambria Math" w:cs="Times New Roman"/>
                    <w:color w:val="auto"/>
                    <w:kern w:val="2"/>
                    <w:sz w:val="24"/>
                    <w:szCs w:val="32"/>
                    <w:highlight w:val="none"/>
                    <w:lang w:val="en-US" w:eastAsia="zh-CN" w:bidi="ar-SA"/>
                  </w:rPr>
                  <m:t>)</m:t>
                </m:r>
              </m:oMath>
            </m:oMathPara>
          </w:p>
          <w:p w14:paraId="2FA755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 xml:space="preserve">式中：Leqg：项目声源在预测点的等效声级贡献值，dB(A)； </w:t>
            </w:r>
          </w:p>
          <w:p w14:paraId="7F6463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rPr>
              <w:t>Leqb：预测点的背景值，dB(A)。</w:t>
            </w:r>
            <w:r>
              <w:rPr>
                <w:rFonts w:hint="eastAsia" w:cs="Times New Roman"/>
                <w:color w:val="auto"/>
                <w:sz w:val="24"/>
                <w:szCs w:val="32"/>
                <w:highlight w:val="none"/>
                <w:lang w:val="en-US" w:eastAsia="zh-CN"/>
              </w:rPr>
              <w:t xml:space="preserve"> </w:t>
            </w:r>
          </w:p>
          <w:p w14:paraId="3C472F5D">
            <w:pPr>
              <w:keepNext w:val="0"/>
              <w:keepLines w:val="0"/>
              <w:pageBreakBefore w:val="0"/>
              <w:widowControl w:val="0"/>
              <w:kinsoku/>
              <w:wordWrap/>
              <w:overflowPunct/>
              <w:topLinePunct w:val="0"/>
              <w:autoSpaceDE/>
              <w:autoSpaceDN/>
              <w:bidi w:val="0"/>
              <w:adjustRightInd/>
              <w:spacing w:line="360" w:lineRule="auto"/>
              <w:ind w:firstLine="432" w:firstLineChars="180"/>
              <w:jc w:val="left"/>
              <w:textAlignment w:val="auto"/>
              <w:rPr>
                <w:rFonts w:hint="default" w:ascii="Times New Roman" w:hAnsi="Times New Roman" w:eastAsia="宋体" w:cs="Times New Roman"/>
                <w:b w:val="0"/>
                <w:bCs w:val="0"/>
                <w:color w:val="auto"/>
                <w:sz w:val="24"/>
                <w:szCs w:val="32"/>
                <w:highlight w:val="none"/>
              </w:rPr>
            </w:pPr>
            <w:r>
              <w:rPr>
                <w:rFonts w:hint="default" w:ascii="Times New Roman" w:hAnsi="Times New Roman" w:eastAsia="宋体" w:cs="Times New Roman"/>
                <w:b w:val="0"/>
                <w:bCs w:val="0"/>
                <w:color w:val="auto"/>
                <w:sz w:val="24"/>
                <w:szCs w:val="32"/>
                <w:highlight w:val="none"/>
                <w:lang w:val="en-US" w:eastAsia="zh-CN"/>
              </w:rPr>
              <w:t>（4）</w:t>
            </w:r>
            <w:r>
              <w:rPr>
                <w:rFonts w:hint="default" w:ascii="Times New Roman" w:hAnsi="Times New Roman" w:eastAsia="宋体" w:cs="Times New Roman"/>
                <w:b w:val="0"/>
                <w:bCs w:val="0"/>
                <w:color w:val="auto"/>
                <w:sz w:val="24"/>
                <w:szCs w:val="32"/>
                <w:highlight w:val="none"/>
              </w:rPr>
              <w:t>预测因子、预测时段、预测方案</w:t>
            </w:r>
          </w:p>
          <w:p w14:paraId="055D485C">
            <w:pPr>
              <w:keepNext w:val="0"/>
              <w:keepLines w:val="0"/>
              <w:pageBreakBefore w:val="0"/>
              <w:widowControl w:val="0"/>
              <w:kinsoku/>
              <w:wordWrap/>
              <w:overflowPunct/>
              <w:topLinePunct w:val="0"/>
              <w:autoSpaceDE/>
              <w:autoSpaceDN/>
              <w:bidi w:val="0"/>
              <w:adjustRightInd/>
              <w:spacing w:line="360" w:lineRule="auto"/>
              <w:ind w:left="0" w:leftChars="0"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①预测因子：等效连续A声级Leq（A）。</w:t>
            </w:r>
          </w:p>
          <w:p w14:paraId="698EFED9">
            <w:pPr>
              <w:keepNext w:val="0"/>
              <w:keepLines w:val="0"/>
              <w:pageBreakBefore w:val="0"/>
              <w:widowControl w:val="0"/>
              <w:kinsoku/>
              <w:wordWrap/>
              <w:overflowPunct/>
              <w:topLinePunct w:val="0"/>
              <w:autoSpaceDE/>
              <w:autoSpaceDN/>
              <w:bidi w:val="0"/>
              <w:adjustRightInd/>
              <w:spacing w:line="360" w:lineRule="auto"/>
              <w:ind w:left="0" w:leftChars="0"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②预测时段：固定声源投入运行期。</w:t>
            </w:r>
          </w:p>
          <w:p w14:paraId="0DF13CE3">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default" w:ascii="Times New Roman" w:hAnsi="Times New Roman" w:eastAsia="宋体" w:cs="Times New Roman"/>
                <w:color w:val="auto"/>
                <w:sz w:val="24"/>
                <w:szCs w:val="32"/>
                <w:highlight w:val="none"/>
              </w:rPr>
              <w:t>③预测方案：</w:t>
            </w:r>
            <w:r>
              <w:rPr>
                <w:rFonts w:hint="default" w:ascii="Times New Roman" w:hAnsi="Times New Roman" w:eastAsia="宋体" w:cs="Times New Roman"/>
                <w:color w:val="auto"/>
                <w:sz w:val="24"/>
                <w:szCs w:val="32"/>
                <w:highlight w:val="none"/>
                <w:lang w:val="en-US" w:eastAsia="zh-CN"/>
              </w:rPr>
              <w:t>本项目夜间不运行，</w:t>
            </w:r>
            <w:r>
              <w:rPr>
                <w:rFonts w:hint="default" w:ascii="Times New Roman" w:hAnsi="Times New Roman" w:eastAsia="宋体" w:cs="Times New Roman"/>
                <w:color w:val="auto"/>
                <w:sz w:val="24"/>
                <w:szCs w:val="32"/>
                <w:highlight w:val="none"/>
              </w:rPr>
              <w:t>本次预测按照最不利情况考虑，即所有设备同时连续运行的情况进行预测，预测厂界</w:t>
            </w:r>
            <w:r>
              <w:rPr>
                <w:rFonts w:hint="default" w:ascii="Times New Roman" w:hAnsi="Times New Roman" w:eastAsia="宋体" w:cs="Times New Roman"/>
                <w:color w:val="auto"/>
                <w:sz w:val="24"/>
                <w:szCs w:val="32"/>
                <w:highlight w:val="none"/>
                <w:lang w:val="en-US" w:eastAsia="zh-CN"/>
              </w:rPr>
              <w:t>昼间</w:t>
            </w:r>
            <w:r>
              <w:rPr>
                <w:rFonts w:hint="default" w:ascii="Times New Roman" w:hAnsi="Times New Roman" w:eastAsia="宋体" w:cs="Times New Roman"/>
                <w:color w:val="auto"/>
                <w:sz w:val="24"/>
                <w:szCs w:val="32"/>
                <w:highlight w:val="none"/>
              </w:rPr>
              <w:t>噪声的达标情况</w:t>
            </w:r>
            <w:r>
              <w:rPr>
                <w:rFonts w:hint="eastAsia" w:ascii="宋体" w:hAnsi="宋体" w:eastAsia="宋体" w:cs="宋体"/>
                <w:color w:val="auto"/>
                <w:kern w:val="2"/>
                <w:sz w:val="24"/>
                <w:szCs w:val="24"/>
                <w:lang w:val="en-US" w:eastAsia="zh-CN" w:bidi="ar"/>
              </w:rPr>
              <w:t>。</w:t>
            </w:r>
          </w:p>
          <w:p w14:paraId="646DC1A6">
            <w:pPr>
              <w:keepNext w:val="0"/>
              <w:keepLines w:val="0"/>
              <w:widowControl w:val="0"/>
              <w:suppressLineNumbers w:val="0"/>
              <w:shd w:val="clear" w:color="auto" w:fill="auto"/>
              <w:spacing w:before="0" w:beforeAutospacing="0" w:after="0" w:afterAutospacing="0" w:line="360" w:lineRule="auto"/>
              <w:ind w:right="0"/>
              <w:jc w:val="both"/>
              <w:rPr>
                <w:rFonts w:hint="default" w:ascii="Times New Roman" w:hAnsi="Times New Roman" w:eastAsia="宋体" w:cs="Times New Roman"/>
                <w:b/>
                <w:bCs/>
                <w:color w:val="auto"/>
                <w:sz w:val="24"/>
                <w:szCs w:val="24"/>
                <w:highlight w:val="none"/>
              </w:rPr>
            </w:pPr>
            <w:r>
              <w:rPr>
                <w:rFonts w:hint="eastAsia" w:ascii="宋体" w:hAnsi="宋体" w:eastAsia="宋体" w:cs="宋体"/>
                <w:b/>
                <w:bCs/>
                <w:color w:val="auto"/>
                <w:kern w:val="0"/>
                <w:sz w:val="24"/>
                <w:szCs w:val="24"/>
                <w:highlight w:val="none"/>
                <w:lang w:val="en-US" w:eastAsia="zh-CN" w:bidi="ar"/>
              </w:rPr>
              <w:t>3.4 噪声预测结果</w:t>
            </w:r>
          </w:p>
          <w:p w14:paraId="79DBB16C">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eastAsia" w:ascii="宋体" w:hAnsi="宋体" w:eastAsia="宋体" w:cs="宋体"/>
                <w:color w:val="auto"/>
                <w:kern w:val="0"/>
                <w:sz w:val="24"/>
                <w:szCs w:val="24"/>
                <w:highlight w:val="none"/>
                <w:lang w:val="en-US" w:eastAsia="zh-CN" w:bidi="ar"/>
              </w:rPr>
            </w:pPr>
            <w:r>
              <w:rPr>
                <w:rFonts w:hint="eastAsia" w:eastAsia="宋体" w:cs="宋体"/>
                <w:color w:val="auto"/>
                <w:kern w:val="0"/>
                <w:sz w:val="24"/>
                <w:szCs w:val="24"/>
                <w:highlight w:val="none"/>
                <w:lang w:val="en-US" w:eastAsia="zh-CN" w:bidi="ar"/>
              </w:rPr>
              <w:t>预测结果见</w:t>
            </w:r>
            <w:r>
              <w:rPr>
                <w:rFonts w:hint="eastAsia" w:ascii="宋体" w:hAnsi="宋体" w:eastAsia="宋体" w:cs="宋体"/>
                <w:color w:val="auto"/>
                <w:kern w:val="0"/>
                <w:sz w:val="24"/>
                <w:szCs w:val="24"/>
                <w:highlight w:val="none"/>
                <w:lang w:val="en-US" w:eastAsia="zh-CN" w:bidi="ar"/>
              </w:rPr>
              <w:t>表</w:t>
            </w:r>
            <w:r>
              <w:rPr>
                <w:rFonts w:hint="eastAsia" w:ascii="Times New Roman" w:hAnsi="Times New Roman" w:eastAsia="宋体" w:cs="Times New Roman"/>
                <w:color w:val="auto"/>
                <w:kern w:val="0"/>
                <w:sz w:val="24"/>
                <w:szCs w:val="24"/>
                <w:highlight w:val="none"/>
                <w:lang w:val="en-US" w:eastAsia="zh-CN" w:bidi="ar"/>
              </w:rPr>
              <w:t>4-9</w:t>
            </w:r>
            <w:r>
              <w:rPr>
                <w:rFonts w:hint="eastAsia" w:ascii="宋体" w:hAnsi="宋体" w:eastAsia="宋体" w:cs="宋体"/>
                <w:color w:val="auto"/>
                <w:kern w:val="0"/>
                <w:sz w:val="24"/>
                <w:szCs w:val="24"/>
                <w:highlight w:val="none"/>
                <w:lang w:val="en-US" w:eastAsia="zh-CN" w:bidi="ar"/>
              </w:rPr>
              <w:t>。</w:t>
            </w:r>
          </w:p>
          <w:p w14:paraId="2F8414EF">
            <w:pPr>
              <w:shd w:val="clear" w:color="auto" w:fill="auto"/>
              <w:spacing w:beforeLines="0" w:afterLines="0" w:line="360" w:lineRule="auto"/>
              <w:jc w:val="center"/>
              <w:rPr>
                <w:rFonts w:hint="default" w:ascii="Times New Roman" w:hAnsi="Times New Roman" w:eastAsia="宋体" w:cs="Times New Roman"/>
                <w:b/>
                <w:color w:val="auto"/>
                <w:sz w:val="21"/>
                <w:szCs w:val="24"/>
                <w:highlight w:val="none"/>
                <w:lang w:val="en-US" w:eastAsia="zh-CN"/>
              </w:rPr>
            </w:pPr>
            <w:r>
              <w:rPr>
                <w:rFonts w:hint="default" w:ascii="Times New Roman" w:hAnsi="Times New Roman" w:eastAsia="宋体" w:cs="Times New Roman"/>
                <w:b/>
                <w:color w:val="auto"/>
                <w:sz w:val="21"/>
                <w:szCs w:val="24"/>
                <w:highlight w:val="none"/>
                <w:lang w:val="en-US" w:eastAsia="zh-CN"/>
              </w:rPr>
              <w:t>表4-9 噪声影响预测结果表  单位：dB（A）</w:t>
            </w:r>
          </w:p>
          <w:tbl>
            <w:tblPr>
              <w:tblStyle w:val="24"/>
              <w:tblW w:w="498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180"/>
              <w:gridCol w:w="1314"/>
              <w:gridCol w:w="1864"/>
              <w:gridCol w:w="2023"/>
              <w:gridCol w:w="1505"/>
            </w:tblGrid>
            <w:tr w14:paraId="463675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1581" w:type="pct"/>
                  <w:gridSpan w:val="2"/>
                  <w:vMerge w:val="restart"/>
                  <w:noWrap w:val="0"/>
                  <w:vAlign w:val="center"/>
                </w:tcPr>
                <w:p w14:paraId="034DE7FF">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分类</w:t>
                  </w:r>
                </w:p>
              </w:tc>
              <w:tc>
                <w:tcPr>
                  <w:tcW w:w="1181" w:type="pct"/>
                  <w:vMerge w:val="restart"/>
                  <w:tcBorders>
                    <w:right w:val="single" w:color="auto" w:sz="4" w:space="0"/>
                  </w:tcBorders>
                  <w:noWrap w:val="0"/>
                  <w:vAlign w:val="center"/>
                </w:tcPr>
                <w:p w14:paraId="74149268">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贡献值</w:t>
                  </w:r>
                </w:p>
              </w:tc>
              <w:tc>
                <w:tcPr>
                  <w:tcW w:w="1282" w:type="pct"/>
                  <w:tcBorders>
                    <w:left w:val="single" w:color="auto" w:sz="4" w:space="0"/>
                    <w:bottom w:val="single" w:color="auto" w:sz="4" w:space="0"/>
                  </w:tcBorders>
                  <w:noWrap w:val="0"/>
                  <w:vAlign w:val="center"/>
                </w:tcPr>
                <w:p w14:paraId="16A3EAB0">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标准值</w:t>
                  </w:r>
                </w:p>
              </w:tc>
              <w:tc>
                <w:tcPr>
                  <w:tcW w:w="954" w:type="pct"/>
                  <w:vMerge w:val="restart"/>
                  <w:tcBorders>
                    <w:left w:val="single" w:color="auto" w:sz="4" w:space="0"/>
                  </w:tcBorders>
                  <w:noWrap w:val="0"/>
                  <w:vAlign w:val="center"/>
                </w:tcPr>
                <w:p w14:paraId="3104A07F">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达标情况</w:t>
                  </w:r>
                </w:p>
              </w:tc>
            </w:tr>
            <w:tr w14:paraId="4C7160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1581" w:type="pct"/>
                  <w:gridSpan w:val="2"/>
                  <w:vMerge w:val="continue"/>
                  <w:noWrap w:val="0"/>
                  <w:vAlign w:val="center"/>
                </w:tcPr>
                <w:p w14:paraId="460CBA75">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1181" w:type="pct"/>
                  <w:vMerge w:val="continue"/>
                  <w:tcBorders>
                    <w:right w:val="single" w:color="auto" w:sz="4" w:space="0"/>
                  </w:tcBorders>
                  <w:noWrap w:val="0"/>
                  <w:vAlign w:val="center"/>
                </w:tcPr>
                <w:p w14:paraId="03A0B90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highlight w:val="none"/>
                      <w:lang w:val="en-US" w:eastAsia="zh-CN"/>
                    </w:rPr>
                  </w:pPr>
                </w:p>
              </w:tc>
              <w:tc>
                <w:tcPr>
                  <w:tcW w:w="1282" w:type="pct"/>
                  <w:tcBorders>
                    <w:left w:val="single" w:color="auto" w:sz="4" w:space="0"/>
                  </w:tcBorders>
                  <w:noWrap w:val="0"/>
                  <w:vAlign w:val="center"/>
                </w:tcPr>
                <w:p w14:paraId="6780073E">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昼间</w:t>
                  </w:r>
                </w:p>
              </w:tc>
              <w:tc>
                <w:tcPr>
                  <w:tcW w:w="954" w:type="pct"/>
                  <w:vMerge w:val="continue"/>
                  <w:tcBorders>
                    <w:left w:val="single" w:color="auto" w:sz="4" w:space="0"/>
                  </w:tcBorders>
                  <w:noWrap w:val="0"/>
                  <w:vAlign w:val="center"/>
                </w:tcPr>
                <w:p w14:paraId="00A5D564">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r>
            <w:tr w14:paraId="0E635C8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748" w:type="pct"/>
                  <w:vMerge w:val="restart"/>
                  <w:noWrap w:val="0"/>
                  <w:vAlign w:val="center"/>
                </w:tcPr>
                <w:p w14:paraId="548BCD25">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p>
              </w:tc>
              <w:tc>
                <w:tcPr>
                  <w:tcW w:w="833" w:type="pct"/>
                  <w:noWrap w:val="0"/>
                  <w:vAlign w:val="center"/>
                </w:tcPr>
                <w:p w14:paraId="676E4018">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东厂界</w:t>
                  </w:r>
                </w:p>
              </w:tc>
              <w:tc>
                <w:tcPr>
                  <w:tcW w:w="1181" w:type="pct"/>
                  <w:tcBorders>
                    <w:right w:val="single" w:color="auto" w:sz="4" w:space="0"/>
                  </w:tcBorders>
                  <w:noWrap w:val="0"/>
                  <w:vAlign w:val="center"/>
                </w:tcPr>
                <w:p w14:paraId="606984D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w:t>
                  </w:r>
                </w:p>
              </w:tc>
              <w:tc>
                <w:tcPr>
                  <w:tcW w:w="1282" w:type="pct"/>
                  <w:tcBorders>
                    <w:left w:val="single" w:color="auto" w:sz="4" w:space="0"/>
                  </w:tcBorders>
                  <w:noWrap w:val="0"/>
                  <w:vAlign w:val="center"/>
                </w:tcPr>
                <w:p w14:paraId="07F36F0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631E15A1">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14:paraId="45A5E44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748" w:type="pct"/>
                  <w:vMerge w:val="continue"/>
                  <w:noWrap w:val="0"/>
                  <w:vAlign w:val="center"/>
                </w:tcPr>
                <w:p w14:paraId="34831FA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833" w:type="pct"/>
                  <w:noWrap w:val="0"/>
                  <w:vAlign w:val="center"/>
                </w:tcPr>
                <w:p w14:paraId="0E3B7C1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南厂界</w:t>
                  </w:r>
                </w:p>
              </w:tc>
              <w:tc>
                <w:tcPr>
                  <w:tcW w:w="1181" w:type="pct"/>
                  <w:tcBorders>
                    <w:right w:val="single" w:color="auto" w:sz="4" w:space="0"/>
                  </w:tcBorders>
                  <w:noWrap w:val="0"/>
                  <w:vAlign w:val="center"/>
                </w:tcPr>
                <w:p w14:paraId="65A9DC0E">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46</w:t>
                  </w:r>
                </w:p>
              </w:tc>
              <w:tc>
                <w:tcPr>
                  <w:tcW w:w="1282" w:type="pct"/>
                  <w:tcBorders>
                    <w:left w:val="single" w:color="auto" w:sz="4" w:space="0"/>
                  </w:tcBorders>
                  <w:noWrap w:val="0"/>
                  <w:vAlign w:val="center"/>
                </w:tcPr>
                <w:p w14:paraId="07234D6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240F574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14:paraId="60E9683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748" w:type="pct"/>
                  <w:vMerge w:val="continue"/>
                  <w:noWrap w:val="0"/>
                  <w:vAlign w:val="center"/>
                </w:tcPr>
                <w:p w14:paraId="53F5F21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833" w:type="pct"/>
                  <w:noWrap w:val="0"/>
                  <w:vAlign w:val="center"/>
                </w:tcPr>
                <w:p w14:paraId="5085180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西厂界</w:t>
                  </w:r>
                </w:p>
              </w:tc>
              <w:tc>
                <w:tcPr>
                  <w:tcW w:w="1181" w:type="pct"/>
                  <w:tcBorders>
                    <w:right w:val="single" w:color="auto" w:sz="4" w:space="0"/>
                  </w:tcBorders>
                  <w:noWrap w:val="0"/>
                  <w:vAlign w:val="center"/>
                </w:tcPr>
                <w:p w14:paraId="2CE07DA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45</w:t>
                  </w:r>
                </w:p>
              </w:tc>
              <w:tc>
                <w:tcPr>
                  <w:tcW w:w="1282" w:type="pct"/>
                  <w:tcBorders>
                    <w:left w:val="single" w:color="auto" w:sz="4" w:space="0"/>
                  </w:tcBorders>
                  <w:noWrap w:val="0"/>
                  <w:vAlign w:val="center"/>
                </w:tcPr>
                <w:p w14:paraId="4C4E8A9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6244E37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14:paraId="607AB84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748" w:type="pct"/>
                  <w:vMerge w:val="continue"/>
                  <w:noWrap w:val="0"/>
                  <w:vAlign w:val="center"/>
                </w:tcPr>
                <w:p w14:paraId="36AB5D6C">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833" w:type="pct"/>
                  <w:noWrap w:val="0"/>
                  <w:vAlign w:val="center"/>
                </w:tcPr>
                <w:p w14:paraId="56A50FFF">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北厂界</w:t>
                  </w:r>
                </w:p>
              </w:tc>
              <w:tc>
                <w:tcPr>
                  <w:tcW w:w="1181" w:type="pct"/>
                  <w:tcBorders>
                    <w:right w:val="single" w:color="auto" w:sz="4" w:space="0"/>
                  </w:tcBorders>
                  <w:noWrap w:val="0"/>
                  <w:vAlign w:val="center"/>
                </w:tcPr>
                <w:p w14:paraId="3FADF434">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58</w:t>
                  </w:r>
                </w:p>
              </w:tc>
              <w:tc>
                <w:tcPr>
                  <w:tcW w:w="1282" w:type="pct"/>
                  <w:tcBorders>
                    <w:left w:val="single" w:color="auto" w:sz="4" w:space="0"/>
                  </w:tcBorders>
                  <w:noWrap w:val="0"/>
                  <w:vAlign w:val="center"/>
                </w:tcPr>
                <w:p w14:paraId="4063E77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076F3D1E">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bl>
          <w:p w14:paraId="1C62CB55">
            <w:pPr>
              <w:pStyle w:val="11"/>
              <w:ind w:left="0" w:leftChars="0" w:firstLine="0" w:firstLineChars="0"/>
              <w:rPr>
                <w:rFonts w:hint="eastAsia"/>
                <w:color w:val="auto"/>
                <w:lang w:val="en-US" w:eastAsia="zh-CN"/>
              </w:rPr>
            </w:pPr>
          </w:p>
          <w:p w14:paraId="5BB47659">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lang w:val="en-US" w:eastAsia="zh-CN" w:bidi="ar"/>
              </w:rPr>
              <w:t>根据预测结果可知，项目运营期间，经厂房隔声后各厂界噪声贡献值满足《工业企业厂界环境噪声排放标准》（</w:t>
            </w:r>
            <w:r>
              <w:rPr>
                <w:rFonts w:hint="default" w:ascii="Times New Roman" w:hAnsi="Times New Roman" w:eastAsia="宋体" w:cs="Times New Roman"/>
                <w:color w:val="auto"/>
                <w:kern w:val="0"/>
                <w:sz w:val="24"/>
                <w:szCs w:val="24"/>
                <w:lang w:val="en-US" w:eastAsia="zh-CN" w:bidi="ar"/>
              </w:rPr>
              <w:t>GB12348-2008）3</w:t>
            </w:r>
            <w:r>
              <w:rPr>
                <w:rFonts w:hint="eastAsia" w:ascii="宋体" w:hAnsi="宋体" w:eastAsia="宋体" w:cs="宋体"/>
                <w:color w:val="auto"/>
                <w:kern w:val="0"/>
                <w:sz w:val="24"/>
                <w:szCs w:val="24"/>
                <w:lang w:val="en-US" w:eastAsia="zh-CN" w:bidi="ar"/>
              </w:rPr>
              <w:t>类标准的要求，故厂内设备噪声不会对周围声环境造成较大的影响</w:t>
            </w:r>
            <w:r>
              <w:rPr>
                <w:rFonts w:hint="eastAsia" w:ascii="宋体" w:hAnsi="宋体" w:eastAsia="宋体" w:cs="宋体"/>
                <w:color w:val="auto"/>
                <w:kern w:val="0"/>
                <w:sz w:val="24"/>
                <w:szCs w:val="24"/>
                <w:highlight w:val="none"/>
                <w:lang w:val="en-US" w:eastAsia="zh-CN" w:bidi="ar"/>
              </w:rPr>
              <w:t>。</w:t>
            </w:r>
          </w:p>
          <w:p w14:paraId="34435920">
            <w:pPr>
              <w:keepNext w:val="0"/>
              <w:keepLines w:val="0"/>
              <w:pageBreakBefore w:val="0"/>
              <w:widowControl w:val="0"/>
              <w:shd w:val="clear" w:color="auto" w:fill="auto"/>
              <w:kinsoku/>
              <w:wordWrap/>
              <w:overflowPunct/>
              <w:topLinePunct w:val="0"/>
              <w:autoSpaceDE/>
              <w:autoSpaceDN/>
              <w:bidi w:val="0"/>
              <w:adjustRightInd/>
              <w:snapToGrid/>
              <w:spacing w:beforeLines="0" w:afterLines="0" w:line="360" w:lineRule="auto"/>
              <w:textAlignment w:val="auto"/>
              <w:rPr>
                <w:rFonts w:hint="default" w:ascii="Times New Roman" w:hAnsi="Times New Roman" w:eastAsia="Times New Roman" w:cs="Times New Roman"/>
                <w:b/>
                <w:color w:val="auto"/>
                <w:sz w:val="24"/>
                <w:szCs w:val="24"/>
                <w:highlight w:val="none"/>
              </w:rPr>
            </w:pPr>
            <w:r>
              <w:rPr>
                <w:rFonts w:hint="eastAsia" w:ascii="宋体" w:hAnsi="Times New Roman" w:eastAsia="宋体" w:cs="Times New Roman"/>
                <w:b/>
                <w:color w:val="auto"/>
                <w:sz w:val="24"/>
                <w:szCs w:val="24"/>
                <w:highlight w:val="none"/>
                <w:lang w:val="en-US" w:eastAsia="zh-CN"/>
              </w:rPr>
              <w:t>3.5</w:t>
            </w:r>
            <w:r>
              <w:rPr>
                <w:rFonts w:hint="default" w:ascii="宋体" w:hAnsi="Times New Roman" w:eastAsia="宋体" w:cs="Times New Roman"/>
                <w:b/>
                <w:color w:val="auto"/>
                <w:sz w:val="24"/>
                <w:szCs w:val="24"/>
                <w:highlight w:val="none"/>
              </w:rPr>
              <w:t>运营期</w:t>
            </w:r>
            <w:r>
              <w:rPr>
                <w:rFonts w:hint="eastAsia" w:ascii="宋体" w:hAnsi="Times New Roman" w:eastAsia="宋体" w:cs="Times New Roman"/>
                <w:b/>
                <w:color w:val="auto"/>
                <w:sz w:val="24"/>
                <w:szCs w:val="24"/>
                <w:highlight w:val="none"/>
                <w:lang w:val="en-US" w:eastAsia="zh-CN"/>
              </w:rPr>
              <w:t>噪声</w:t>
            </w:r>
            <w:r>
              <w:rPr>
                <w:rFonts w:hint="default" w:ascii="宋体" w:hAnsi="Times New Roman" w:eastAsia="宋体" w:cs="Times New Roman"/>
                <w:b/>
                <w:color w:val="auto"/>
                <w:sz w:val="24"/>
                <w:szCs w:val="24"/>
                <w:highlight w:val="none"/>
              </w:rPr>
              <w:t>监测计划</w:t>
            </w:r>
          </w:p>
          <w:p w14:paraId="7D40D057">
            <w:pPr>
              <w:shd w:val="clear" w:color="auto" w:fill="auto"/>
              <w:spacing w:beforeLines="0" w:afterLines="0" w:line="360" w:lineRule="auto"/>
              <w:ind w:firstLine="480" w:firstLineChars="200"/>
              <w:rPr>
                <w:rFonts w:hint="default" w:ascii="Times New Roman" w:hAnsi="Times New Roman" w:eastAsia="宋体" w:cs="Times New Roman"/>
                <w:b/>
                <w:color w:val="auto"/>
                <w:sz w:val="21"/>
                <w:szCs w:val="24"/>
                <w:highlight w:val="none"/>
              </w:rPr>
            </w:pPr>
            <w:r>
              <w:rPr>
                <w:rFonts w:hint="default" w:ascii="宋体" w:hAnsi="Times New Roman" w:eastAsia="宋体" w:cs="Times New Roman"/>
                <w:color w:val="auto"/>
                <w:sz w:val="24"/>
                <w:szCs w:val="24"/>
                <w:highlight w:val="none"/>
              </w:rPr>
              <w:t>根据本项目运营期各项污染物的污染特点及《排污单位自行监测技术指南 总则》（</w:t>
            </w:r>
            <w:r>
              <w:rPr>
                <w:rFonts w:hint="default" w:ascii="Times New Roman" w:hAnsi="Times New Roman" w:eastAsia="宋体" w:cs="Times New Roman"/>
                <w:color w:val="auto"/>
                <w:sz w:val="24"/>
                <w:szCs w:val="24"/>
                <w:highlight w:val="none"/>
              </w:rPr>
              <w:t>HJ819-2017</w:t>
            </w:r>
            <w:r>
              <w:rPr>
                <w:rFonts w:hint="default" w:ascii="宋体" w:hAnsi="Times New Roman" w:eastAsia="宋体" w:cs="Times New Roman"/>
                <w:color w:val="auto"/>
                <w:sz w:val="24"/>
                <w:szCs w:val="24"/>
                <w:highlight w:val="none"/>
              </w:rPr>
              <w:t>）中的相关监测要求，制定了本项目运营期</w:t>
            </w:r>
            <w:r>
              <w:rPr>
                <w:rFonts w:hint="default" w:ascii="宋体" w:hAnsi="Times New Roman" w:eastAsia="宋体" w:cs="Times New Roman"/>
                <w:color w:val="auto"/>
                <w:sz w:val="24"/>
                <w:szCs w:val="24"/>
                <w:highlight w:val="none"/>
                <w:lang w:val="en-US" w:eastAsia="zh-CN"/>
              </w:rPr>
              <w:t>噪声</w:t>
            </w:r>
            <w:r>
              <w:rPr>
                <w:rFonts w:hint="default" w:ascii="宋体" w:hAnsi="Times New Roman" w:eastAsia="宋体" w:cs="Times New Roman"/>
                <w:color w:val="auto"/>
                <w:sz w:val="24"/>
                <w:szCs w:val="24"/>
                <w:highlight w:val="none"/>
              </w:rPr>
              <w:t>污染源与环境监测计划表，见表</w:t>
            </w:r>
            <w:r>
              <w:rPr>
                <w:rFonts w:hint="default" w:ascii="Times New Roman" w:hAnsi="Times New Roman" w:cs="Times New Roman" w:eastAsiaTheme="minorEastAsia"/>
                <w:color w:val="auto"/>
                <w:sz w:val="24"/>
                <w:szCs w:val="24"/>
                <w:highlight w:val="none"/>
              </w:rPr>
              <w:t>4-1</w:t>
            </w:r>
            <w:r>
              <w:rPr>
                <w:rFonts w:hint="default" w:ascii="Times New Roman" w:hAnsi="Times New Roman" w:cs="Times New Roman" w:eastAsiaTheme="minorEastAsia"/>
                <w:color w:val="auto"/>
                <w:sz w:val="24"/>
                <w:szCs w:val="24"/>
                <w:highlight w:val="none"/>
                <w:lang w:val="en-US" w:eastAsia="zh-CN"/>
              </w:rPr>
              <w:t>0</w:t>
            </w:r>
            <w:r>
              <w:rPr>
                <w:rFonts w:hint="default" w:ascii="Times New Roman" w:hAnsi="Times New Roman" w:eastAsia="宋体" w:cs="Times New Roman"/>
                <w:color w:val="auto"/>
                <w:sz w:val="24"/>
                <w:szCs w:val="24"/>
                <w:highlight w:val="none"/>
              </w:rPr>
              <w:t>。</w:t>
            </w:r>
          </w:p>
          <w:p w14:paraId="1DA68853">
            <w:pPr>
              <w:shd w:val="clear" w:color="auto" w:fill="auto"/>
              <w:spacing w:beforeLines="0" w:afterLines="0" w:line="360" w:lineRule="auto"/>
              <w:jc w:val="center"/>
              <w:rPr>
                <w:rFonts w:hint="default" w:ascii="Times New Roman" w:hAnsi="Times New Roman" w:eastAsia="宋体" w:cs="Times New Roman"/>
                <w:b/>
                <w:color w:val="auto"/>
                <w:sz w:val="21"/>
                <w:szCs w:val="24"/>
                <w:highlight w:val="none"/>
                <w:lang w:val="en-US" w:eastAsia="zh-CN"/>
              </w:rPr>
            </w:pPr>
            <w:r>
              <w:rPr>
                <w:rFonts w:hint="default" w:ascii="Times New Roman" w:hAnsi="Times New Roman" w:eastAsia="宋体" w:cs="Times New Roman"/>
                <w:b/>
                <w:color w:val="auto"/>
                <w:sz w:val="21"/>
                <w:szCs w:val="24"/>
                <w:highlight w:val="none"/>
                <w:lang w:val="en-US" w:eastAsia="zh-CN"/>
              </w:rPr>
              <w:t>表4-10 运营期噪声污染源监测计划</w:t>
            </w:r>
          </w:p>
          <w:tbl>
            <w:tblPr>
              <w:tblStyle w:val="24"/>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2"/>
              <w:gridCol w:w="1118"/>
              <w:gridCol w:w="1072"/>
              <w:gridCol w:w="1936"/>
              <w:gridCol w:w="954"/>
              <w:gridCol w:w="1521"/>
            </w:tblGrid>
            <w:tr w14:paraId="357C7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23" w:type="pct"/>
                  <w:tcBorders>
                    <w:tl2br w:val="nil"/>
                    <w:tr2bl w:val="nil"/>
                  </w:tcBorders>
                  <w:noWrap w:val="0"/>
                  <w:vAlign w:val="center"/>
                </w:tcPr>
                <w:p w14:paraId="22AFBCDB">
                  <w:pPr>
                    <w:pStyle w:val="51"/>
                    <w:spacing w:line="240" w:lineRule="auto"/>
                    <w:jc w:val="center"/>
                    <w:rPr>
                      <w:b/>
                      <w:bCs/>
                      <w:color w:val="auto"/>
                      <w:szCs w:val="21"/>
                    </w:rPr>
                  </w:pPr>
                  <w:bookmarkStart w:id="17" w:name="_Hlk68887805"/>
                  <w:r>
                    <w:rPr>
                      <w:b/>
                      <w:bCs/>
                      <w:color w:val="auto"/>
                      <w:szCs w:val="21"/>
                    </w:rPr>
                    <w:t>监测点位</w:t>
                  </w:r>
                </w:p>
              </w:tc>
              <w:tc>
                <w:tcPr>
                  <w:tcW w:w="706" w:type="pct"/>
                  <w:tcBorders>
                    <w:tl2br w:val="nil"/>
                    <w:tr2bl w:val="nil"/>
                  </w:tcBorders>
                  <w:noWrap w:val="0"/>
                  <w:vAlign w:val="center"/>
                </w:tcPr>
                <w:p w14:paraId="73F1FEA4">
                  <w:pPr>
                    <w:pStyle w:val="51"/>
                    <w:spacing w:line="240" w:lineRule="auto"/>
                    <w:jc w:val="center"/>
                    <w:rPr>
                      <w:b/>
                      <w:bCs/>
                      <w:color w:val="auto"/>
                      <w:szCs w:val="21"/>
                    </w:rPr>
                  </w:pPr>
                  <w:r>
                    <w:rPr>
                      <w:b/>
                      <w:bCs/>
                      <w:color w:val="auto"/>
                      <w:szCs w:val="21"/>
                    </w:rPr>
                    <w:t>监测项目</w:t>
                  </w:r>
                </w:p>
              </w:tc>
              <w:tc>
                <w:tcPr>
                  <w:tcW w:w="678" w:type="pct"/>
                  <w:tcBorders>
                    <w:tl2br w:val="nil"/>
                    <w:tr2bl w:val="nil"/>
                  </w:tcBorders>
                  <w:noWrap w:val="0"/>
                  <w:vAlign w:val="center"/>
                </w:tcPr>
                <w:p w14:paraId="60957E1C">
                  <w:pPr>
                    <w:pStyle w:val="51"/>
                    <w:spacing w:line="240" w:lineRule="auto"/>
                    <w:jc w:val="center"/>
                    <w:rPr>
                      <w:b/>
                      <w:bCs/>
                      <w:color w:val="auto"/>
                      <w:szCs w:val="21"/>
                    </w:rPr>
                  </w:pPr>
                  <w:r>
                    <w:rPr>
                      <w:b/>
                      <w:bCs/>
                      <w:color w:val="auto"/>
                      <w:szCs w:val="21"/>
                    </w:rPr>
                    <w:t>监测频次</w:t>
                  </w:r>
                </w:p>
              </w:tc>
              <w:tc>
                <w:tcPr>
                  <w:tcW w:w="1224" w:type="pct"/>
                  <w:tcBorders>
                    <w:tl2br w:val="nil"/>
                    <w:tr2bl w:val="nil"/>
                  </w:tcBorders>
                  <w:noWrap w:val="0"/>
                  <w:vAlign w:val="center"/>
                </w:tcPr>
                <w:p w14:paraId="378713A6">
                  <w:pPr>
                    <w:pStyle w:val="51"/>
                    <w:spacing w:line="240" w:lineRule="auto"/>
                    <w:jc w:val="center"/>
                    <w:rPr>
                      <w:b/>
                      <w:bCs/>
                      <w:color w:val="auto"/>
                      <w:szCs w:val="21"/>
                    </w:rPr>
                  </w:pPr>
                  <w:r>
                    <w:rPr>
                      <w:b/>
                      <w:bCs/>
                      <w:color w:val="auto"/>
                      <w:szCs w:val="21"/>
                    </w:rPr>
                    <w:t>执行标准</w:t>
                  </w:r>
                </w:p>
              </w:tc>
              <w:tc>
                <w:tcPr>
                  <w:tcW w:w="603" w:type="pct"/>
                  <w:tcBorders>
                    <w:tl2br w:val="nil"/>
                    <w:tr2bl w:val="nil"/>
                  </w:tcBorders>
                  <w:noWrap w:val="0"/>
                  <w:vAlign w:val="center"/>
                </w:tcPr>
                <w:p w14:paraId="2C6D84F2">
                  <w:pPr>
                    <w:pStyle w:val="51"/>
                    <w:spacing w:line="240" w:lineRule="auto"/>
                    <w:jc w:val="center"/>
                    <w:rPr>
                      <w:b/>
                      <w:bCs/>
                      <w:color w:val="auto"/>
                      <w:szCs w:val="21"/>
                    </w:rPr>
                  </w:pPr>
                  <w:r>
                    <w:rPr>
                      <w:b/>
                      <w:bCs/>
                      <w:color w:val="auto"/>
                      <w:szCs w:val="21"/>
                    </w:rPr>
                    <w:t>级别</w:t>
                  </w:r>
                </w:p>
              </w:tc>
              <w:tc>
                <w:tcPr>
                  <w:tcW w:w="962" w:type="pct"/>
                  <w:tcBorders>
                    <w:tl2br w:val="nil"/>
                    <w:tr2bl w:val="nil"/>
                  </w:tcBorders>
                  <w:noWrap w:val="0"/>
                  <w:vAlign w:val="center"/>
                </w:tcPr>
                <w:p w14:paraId="6F53FAF8">
                  <w:pPr>
                    <w:pStyle w:val="51"/>
                    <w:spacing w:line="240" w:lineRule="auto"/>
                    <w:jc w:val="center"/>
                    <w:rPr>
                      <w:b/>
                      <w:bCs/>
                      <w:color w:val="auto"/>
                      <w:szCs w:val="21"/>
                    </w:rPr>
                  </w:pPr>
                  <w:r>
                    <w:rPr>
                      <w:b/>
                      <w:bCs/>
                      <w:color w:val="auto"/>
                      <w:szCs w:val="21"/>
                    </w:rPr>
                    <w:t>标准限值</w:t>
                  </w:r>
                </w:p>
              </w:tc>
            </w:tr>
            <w:tr w14:paraId="50628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23" w:type="pct"/>
                  <w:tcBorders>
                    <w:tl2br w:val="nil"/>
                    <w:tr2bl w:val="nil"/>
                  </w:tcBorders>
                  <w:noWrap w:val="0"/>
                  <w:vAlign w:val="center"/>
                </w:tcPr>
                <w:p w14:paraId="0A0E9048">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厂界东侧</w:t>
                  </w:r>
                </w:p>
              </w:tc>
              <w:tc>
                <w:tcPr>
                  <w:tcW w:w="706" w:type="pct"/>
                  <w:vMerge w:val="restart"/>
                  <w:tcBorders>
                    <w:tl2br w:val="nil"/>
                    <w:tr2bl w:val="nil"/>
                  </w:tcBorders>
                  <w:noWrap w:val="0"/>
                  <w:vAlign w:val="center"/>
                </w:tcPr>
                <w:p w14:paraId="53871C74">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等效连续A声级</w:t>
                  </w:r>
                </w:p>
              </w:tc>
              <w:tc>
                <w:tcPr>
                  <w:tcW w:w="678" w:type="pct"/>
                  <w:vMerge w:val="restart"/>
                  <w:tcBorders>
                    <w:tl2br w:val="nil"/>
                    <w:tr2bl w:val="nil"/>
                  </w:tcBorders>
                  <w:noWrap w:val="0"/>
                  <w:vAlign w:val="center"/>
                </w:tcPr>
                <w:p w14:paraId="3E0E186E">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1次/季</w:t>
                  </w:r>
                </w:p>
              </w:tc>
              <w:tc>
                <w:tcPr>
                  <w:tcW w:w="1224" w:type="pct"/>
                  <w:vMerge w:val="restart"/>
                  <w:tcBorders>
                    <w:tl2br w:val="nil"/>
                    <w:tr2bl w:val="nil"/>
                  </w:tcBorders>
                  <w:noWrap w:val="0"/>
                  <w:vAlign w:val="center"/>
                </w:tcPr>
                <w:p w14:paraId="6657F1EF">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w:t>
                  </w:r>
                </w:p>
              </w:tc>
              <w:tc>
                <w:tcPr>
                  <w:tcW w:w="603" w:type="pct"/>
                  <w:vMerge w:val="restart"/>
                  <w:tcBorders>
                    <w:tl2br w:val="nil"/>
                    <w:tr2bl w:val="nil"/>
                  </w:tcBorders>
                  <w:noWrap w:val="0"/>
                  <w:vAlign w:val="center"/>
                </w:tcPr>
                <w:p w14:paraId="53FA3EAE">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类</w:t>
                  </w:r>
                </w:p>
              </w:tc>
              <w:tc>
                <w:tcPr>
                  <w:tcW w:w="962" w:type="pct"/>
                  <w:vMerge w:val="restart"/>
                  <w:tcBorders>
                    <w:tl2br w:val="nil"/>
                    <w:tr2bl w:val="nil"/>
                  </w:tcBorders>
                  <w:noWrap w:val="0"/>
                  <w:vAlign w:val="center"/>
                </w:tcPr>
                <w:p w14:paraId="69404A90">
                  <w:pPr>
                    <w:pStyle w:val="51"/>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昼间：6</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dB(A)</w:t>
                  </w:r>
                </w:p>
              </w:tc>
            </w:tr>
            <w:tr w14:paraId="24D86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823" w:type="pct"/>
                  <w:tcBorders>
                    <w:tl2br w:val="nil"/>
                    <w:tr2bl w:val="nil"/>
                  </w:tcBorders>
                  <w:noWrap w:val="0"/>
                  <w:vAlign w:val="center"/>
                </w:tcPr>
                <w:p w14:paraId="2E3754AD">
                  <w:pPr>
                    <w:pStyle w:val="51"/>
                    <w:spacing w:line="240" w:lineRule="auto"/>
                    <w:jc w:val="center"/>
                    <w:rPr>
                      <w:rFonts w:hint="eastAsia"/>
                      <w:color w:val="auto"/>
                      <w:szCs w:val="21"/>
                    </w:rPr>
                  </w:pPr>
                  <w:r>
                    <w:rPr>
                      <w:rFonts w:hint="eastAsia"/>
                      <w:color w:val="auto"/>
                      <w:szCs w:val="21"/>
                    </w:rPr>
                    <w:t>厂界南侧</w:t>
                  </w:r>
                </w:p>
              </w:tc>
              <w:tc>
                <w:tcPr>
                  <w:tcW w:w="706" w:type="pct"/>
                  <w:vMerge w:val="continue"/>
                  <w:tcBorders>
                    <w:tl2br w:val="nil"/>
                    <w:tr2bl w:val="nil"/>
                  </w:tcBorders>
                  <w:noWrap w:val="0"/>
                  <w:vAlign w:val="center"/>
                </w:tcPr>
                <w:p w14:paraId="3DF6562A">
                  <w:pPr>
                    <w:pStyle w:val="51"/>
                    <w:spacing w:line="240" w:lineRule="auto"/>
                    <w:jc w:val="center"/>
                    <w:rPr>
                      <w:color w:val="auto"/>
                      <w:szCs w:val="21"/>
                    </w:rPr>
                  </w:pPr>
                </w:p>
              </w:tc>
              <w:tc>
                <w:tcPr>
                  <w:tcW w:w="678" w:type="pct"/>
                  <w:vMerge w:val="continue"/>
                  <w:tcBorders>
                    <w:tl2br w:val="nil"/>
                    <w:tr2bl w:val="nil"/>
                  </w:tcBorders>
                  <w:noWrap w:val="0"/>
                  <w:vAlign w:val="center"/>
                </w:tcPr>
                <w:p w14:paraId="68991797">
                  <w:pPr>
                    <w:pStyle w:val="51"/>
                    <w:spacing w:line="240" w:lineRule="auto"/>
                    <w:jc w:val="center"/>
                    <w:rPr>
                      <w:color w:val="auto"/>
                      <w:szCs w:val="21"/>
                    </w:rPr>
                  </w:pPr>
                </w:p>
              </w:tc>
              <w:tc>
                <w:tcPr>
                  <w:tcW w:w="1224" w:type="pct"/>
                  <w:vMerge w:val="continue"/>
                  <w:tcBorders>
                    <w:tl2br w:val="nil"/>
                    <w:tr2bl w:val="nil"/>
                  </w:tcBorders>
                  <w:noWrap w:val="0"/>
                  <w:vAlign w:val="center"/>
                </w:tcPr>
                <w:p w14:paraId="6629935F">
                  <w:pPr>
                    <w:pStyle w:val="51"/>
                    <w:spacing w:line="240" w:lineRule="auto"/>
                    <w:jc w:val="center"/>
                    <w:rPr>
                      <w:color w:val="auto"/>
                      <w:szCs w:val="21"/>
                    </w:rPr>
                  </w:pPr>
                </w:p>
              </w:tc>
              <w:tc>
                <w:tcPr>
                  <w:tcW w:w="603" w:type="pct"/>
                  <w:vMerge w:val="continue"/>
                  <w:tcBorders>
                    <w:tl2br w:val="nil"/>
                    <w:tr2bl w:val="nil"/>
                  </w:tcBorders>
                  <w:noWrap w:val="0"/>
                  <w:vAlign w:val="center"/>
                </w:tcPr>
                <w:p w14:paraId="2CE092E0">
                  <w:pPr>
                    <w:pStyle w:val="51"/>
                    <w:spacing w:line="240" w:lineRule="auto"/>
                    <w:jc w:val="center"/>
                    <w:rPr>
                      <w:color w:val="auto"/>
                      <w:szCs w:val="21"/>
                    </w:rPr>
                  </w:pPr>
                </w:p>
              </w:tc>
              <w:tc>
                <w:tcPr>
                  <w:tcW w:w="962" w:type="pct"/>
                  <w:vMerge w:val="continue"/>
                  <w:tcBorders>
                    <w:tl2br w:val="nil"/>
                    <w:tr2bl w:val="nil"/>
                  </w:tcBorders>
                  <w:noWrap w:val="0"/>
                  <w:vAlign w:val="center"/>
                </w:tcPr>
                <w:p w14:paraId="3B906295">
                  <w:pPr>
                    <w:pStyle w:val="51"/>
                    <w:spacing w:line="240" w:lineRule="auto"/>
                    <w:jc w:val="center"/>
                    <w:rPr>
                      <w:color w:val="auto"/>
                      <w:szCs w:val="21"/>
                    </w:rPr>
                  </w:pPr>
                </w:p>
              </w:tc>
            </w:tr>
            <w:tr w14:paraId="4BD0E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823" w:type="pct"/>
                  <w:tcBorders>
                    <w:tl2br w:val="nil"/>
                    <w:tr2bl w:val="nil"/>
                  </w:tcBorders>
                  <w:noWrap w:val="0"/>
                  <w:vAlign w:val="center"/>
                </w:tcPr>
                <w:p w14:paraId="75BD827E">
                  <w:pPr>
                    <w:pStyle w:val="51"/>
                    <w:spacing w:line="240" w:lineRule="auto"/>
                    <w:jc w:val="center"/>
                    <w:rPr>
                      <w:rFonts w:hint="eastAsia"/>
                      <w:color w:val="auto"/>
                      <w:szCs w:val="21"/>
                    </w:rPr>
                  </w:pPr>
                  <w:r>
                    <w:rPr>
                      <w:rFonts w:hint="eastAsia"/>
                      <w:color w:val="auto"/>
                      <w:szCs w:val="21"/>
                    </w:rPr>
                    <w:t>厂界</w:t>
                  </w:r>
                  <w:r>
                    <w:rPr>
                      <w:rFonts w:hint="eastAsia"/>
                      <w:color w:val="auto"/>
                      <w:szCs w:val="21"/>
                      <w:lang w:eastAsia="zh-CN"/>
                    </w:rPr>
                    <w:t>西</w:t>
                  </w:r>
                  <w:r>
                    <w:rPr>
                      <w:rFonts w:hint="eastAsia"/>
                      <w:color w:val="auto"/>
                      <w:szCs w:val="21"/>
                    </w:rPr>
                    <w:t>侧</w:t>
                  </w:r>
                </w:p>
              </w:tc>
              <w:tc>
                <w:tcPr>
                  <w:tcW w:w="706" w:type="pct"/>
                  <w:vMerge w:val="continue"/>
                  <w:tcBorders>
                    <w:tl2br w:val="nil"/>
                    <w:tr2bl w:val="nil"/>
                  </w:tcBorders>
                  <w:noWrap w:val="0"/>
                  <w:vAlign w:val="center"/>
                </w:tcPr>
                <w:p w14:paraId="30482827">
                  <w:pPr>
                    <w:pStyle w:val="51"/>
                    <w:spacing w:line="240" w:lineRule="auto"/>
                    <w:jc w:val="center"/>
                    <w:rPr>
                      <w:color w:val="auto"/>
                      <w:szCs w:val="21"/>
                    </w:rPr>
                  </w:pPr>
                </w:p>
              </w:tc>
              <w:tc>
                <w:tcPr>
                  <w:tcW w:w="678" w:type="pct"/>
                  <w:vMerge w:val="continue"/>
                  <w:tcBorders>
                    <w:tl2br w:val="nil"/>
                    <w:tr2bl w:val="nil"/>
                  </w:tcBorders>
                  <w:noWrap w:val="0"/>
                  <w:vAlign w:val="center"/>
                </w:tcPr>
                <w:p w14:paraId="3BD4BB99">
                  <w:pPr>
                    <w:pStyle w:val="51"/>
                    <w:spacing w:line="240" w:lineRule="auto"/>
                    <w:jc w:val="center"/>
                    <w:rPr>
                      <w:color w:val="auto"/>
                      <w:szCs w:val="21"/>
                    </w:rPr>
                  </w:pPr>
                </w:p>
              </w:tc>
              <w:tc>
                <w:tcPr>
                  <w:tcW w:w="1224" w:type="pct"/>
                  <w:vMerge w:val="continue"/>
                  <w:tcBorders>
                    <w:tl2br w:val="nil"/>
                    <w:tr2bl w:val="nil"/>
                  </w:tcBorders>
                  <w:noWrap w:val="0"/>
                  <w:vAlign w:val="center"/>
                </w:tcPr>
                <w:p w14:paraId="7A659962">
                  <w:pPr>
                    <w:pStyle w:val="51"/>
                    <w:spacing w:line="240" w:lineRule="auto"/>
                    <w:jc w:val="center"/>
                    <w:rPr>
                      <w:color w:val="auto"/>
                      <w:szCs w:val="21"/>
                    </w:rPr>
                  </w:pPr>
                </w:p>
              </w:tc>
              <w:tc>
                <w:tcPr>
                  <w:tcW w:w="603" w:type="pct"/>
                  <w:vMerge w:val="continue"/>
                  <w:tcBorders>
                    <w:tl2br w:val="nil"/>
                    <w:tr2bl w:val="nil"/>
                  </w:tcBorders>
                  <w:noWrap w:val="0"/>
                  <w:vAlign w:val="center"/>
                </w:tcPr>
                <w:p w14:paraId="13A41462">
                  <w:pPr>
                    <w:pStyle w:val="51"/>
                    <w:spacing w:line="240" w:lineRule="auto"/>
                    <w:jc w:val="center"/>
                    <w:rPr>
                      <w:color w:val="auto"/>
                      <w:szCs w:val="21"/>
                    </w:rPr>
                  </w:pPr>
                </w:p>
              </w:tc>
              <w:tc>
                <w:tcPr>
                  <w:tcW w:w="962" w:type="pct"/>
                  <w:vMerge w:val="continue"/>
                  <w:tcBorders>
                    <w:tl2br w:val="nil"/>
                    <w:tr2bl w:val="nil"/>
                  </w:tcBorders>
                  <w:noWrap w:val="0"/>
                  <w:vAlign w:val="center"/>
                </w:tcPr>
                <w:p w14:paraId="472A406A">
                  <w:pPr>
                    <w:pStyle w:val="51"/>
                    <w:spacing w:line="240" w:lineRule="auto"/>
                    <w:jc w:val="center"/>
                    <w:rPr>
                      <w:color w:val="auto"/>
                      <w:szCs w:val="21"/>
                    </w:rPr>
                  </w:pPr>
                </w:p>
              </w:tc>
            </w:tr>
            <w:tr w14:paraId="53475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823" w:type="pct"/>
                  <w:tcBorders>
                    <w:tl2br w:val="nil"/>
                    <w:tr2bl w:val="nil"/>
                  </w:tcBorders>
                  <w:noWrap w:val="0"/>
                  <w:vAlign w:val="center"/>
                </w:tcPr>
                <w:p w14:paraId="6409887A">
                  <w:pPr>
                    <w:pStyle w:val="51"/>
                    <w:spacing w:line="240" w:lineRule="auto"/>
                    <w:jc w:val="center"/>
                    <w:rPr>
                      <w:rFonts w:hint="eastAsia"/>
                      <w:color w:val="auto"/>
                      <w:szCs w:val="21"/>
                    </w:rPr>
                  </w:pPr>
                  <w:r>
                    <w:rPr>
                      <w:rFonts w:hint="eastAsia"/>
                      <w:color w:val="auto"/>
                      <w:szCs w:val="21"/>
                    </w:rPr>
                    <w:t>厂界</w:t>
                  </w:r>
                  <w:r>
                    <w:rPr>
                      <w:rFonts w:hint="eastAsia"/>
                      <w:color w:val="auto"/>
                      <w:szCs w:val="21"/>
                      <w:lang w:eastAsia="zh-CN"/>
                    </w:rPr>
                    <w:t>北</w:t>
                  </w:r>
                  <w:r>
                    <w:rPr>
                      <w:rFonts w:hint="eastAsia"/>
                      <w:color w:val="auto"/>
                      <w:szCs w:val="21"/>
                    </w:rPr>
                    <w:t>侧</w:t>
                  </w:r>
                </w:p>
              </w:tc>
              <w:tc>
                <w:tcPr>
                  <w:tcW w:w="706" w:type="pct"/>
                  <w:vMerge w:val="continue"/>
                  <w:tcBorders>
                    <w:tl2br w:val="nil"/>
                    <w:tr2bl w:val="nil"/>
                  </w:tcBorders>
                  <w:shd w:val="clear" w:color="auto" w:fill="auto"/>
                  <w:noWrap w:val="0"/>
                  <w:vAlign w:val="center"/>
                </w:tcPr>
                <w:p w14:paraId="2E1782F4">
                  <w:pPr>
                    <w:pStyle w:val="51"/>
                    <w:spacing w:line="240" w:lineRule="auto"/>
                    <w:jc w:val="center"/>
                    <w:rPr>
                      <w:rFonts w:ascii="Times New Roman" w:hAnsi="Times New Roman" w:eastAsia="宋体" w:cs="Times New Roman"/>
                      <w:color w:val="auto"/>
                      <w:kern w:val="2"/>
                      <w:sz w:val="21"/>
                      <w:szCs w:val="21"/>
                      <w:lang w:val="en-US" w:eastAsia="zh-CN" w:bidi="ar-SA"/>
                    </w:rPr>
                  </w:pPr>
                </w:p>
              </w:tc>
              <w:tc>
                <w:tcPr>
                  <w:tcW w:w="678" w:type="pct"/>
                  <w:vMerge w:val="continue"/>
                  <w:tcBorders>
                    <w:tl2br w:val="nil"/>
                    <w:tr2bl w:val="nil"/>
                  </w:tcBorders>
                  <w:shd w:val="clear" w:color="auto" w:fill="auto"/>
                  <w:noWrap w:val="0"/>
                  <w:vAlign w:val="center"/>
                </w:tcPr>
                <w:p w14:paraId="6182B8FE">
                  <w:pPr>
                    <w:pStyle w:val="51"/>
                    <w:spacing w:line="240" w:lineRule="auto"/>
                    <w:jc w:val="center"/>
                    <w:rPr>
                      <w:rFonts w:ascii="Times New Roman" w:hAnsi="Times New Roman" w:eastAsia="宋体" w:cs="Times New Roman"/>
                      <w:color w:val="auto"/>
                      <w:kern w:val="2"/>
                      <w:sz w:val="21"/>
                      <w:szCs w:val="21"/>
                      <w:lang w:val="en-US" w:eastAsia="zh-CN" w:bidi="ar-SA"/>
                    </w:rPr>
                  </w:pPr>
                </w:p>
              </w:tc>
              <w:tc>
                <w:tcPr>
                  <w:tcW w:w="1224" w:type="pct"/>
                  <w:vMerge w:val="continue"/>
                  <w:tcBorders>
                    <w:tl2br w:val="nil"/>
                    <w:tr2bl w:val="nil"/>
                  </w:tcBorders>
                  <w:shd w:val="clear" w:color="auto" w:fill="auto"/>
                  <w:noWrap w:val="0"/>
                  <w:vAlign w:val="center"/>
                </w:tcPr>
                <w:p w14:paraId="12FD94CD">
                  <w:pPr>
                    <w:pStyle w:val="51"/>
                    <w:spacing w:line="240" w:lineRule="auto"/>
                    <w:jc w:val="center"/>
                    <w:rPr>
                      <w:rFonts w:ascii="Times New Roman" w:hAnsi="Times New Roman" w:eastAsia="宋体" w:cs="Times New Roman"/>
                      <w:color w:val="auto"/>
                      <w:kern w:val="2"/>
                      <w:sz w:val="21"/>
                      <w:szCs w:val="21"/>
                      <w:lang w:val="en-US" w:eastAsia="zh-CN" w:bidi="ar-SA"/>
                    </w:rPr>
                  </w:pPr>
                </w:p>
              </w:tc>
              <w:tc>
                <w:tcPr>
                  <w:tcW w:w="603" w:type="pct"/>
                  <w:vMerge w:val="continue"/>
                  <w:tcBorders>
                    <w:tl2br w:val="nil"/>
                    <w:tr2bl w:val="nil"/>
                  </w:tcBorders>
                  <w:shd w:val="clear" w:color="auto" w:fill="auto"/>
                  <w:noWrap w:val="0"/>
                  <w:vAlign w:val="center"/>
                </w:tcPr>
                <w:p w14:paraId="4454D79F">
                  <w:pPr>
                    <w:pStyle w:val="51"/>
                    <w:spacing w:line="240" w:lineRule="auto"/>
                    <w:jc w:val="center"/>
                    <w:rPr>
                      <w:rFonts w:hint="eastAsia" w:ascii="Times New Roman" w:hAnsi="Times New Roman" w:eastAsia="宋体" w:cs="Times New Roman"/>
                      <w:color w:val="auto"/>
                      <w:kern w:val="2"/>
                      <w:sz w:val="21"/>
                      <w:szCs w:val="21"/>
                      <w:lang w:val="en-US" w:eastAsia="zh-CN" w:bidi="ar-SA"/>
                    </w:rPr>
                  </w:pPr>
                </w:p>
              </w:tc>
              <w:tc>
                <w:tcPr>
                  <w:tcW w:w="962" w:type="pct"/>
                  <w:vMerge w:val="continue"/>
                  <w:tcBorders>
                    <w:tl2br w:val="nil"/>
                    <w:tr2bl w:val="nil"/>
                  </w:tcBorders>
                  <w:shd w:val="clear" w:color="auto" w:fill="auto"/>
                  <w:noWrap w:val="0"/>
                  <w:vAlign w:val="center"/>
                </w:tcPr>
                <w:p w14:paraId="53C4D850">
                  <w:pPr>
                    <w:rPr>
                      <w:rFonts w:ascii="Times New Roman" w:hAnsi="Times New Roman" w:eastAsia="宋体" w:cs="Times New Roman"/>
                      <w:color w:val="auto"/>
                      <w:kern w:val="2"/>
                      <w:sz w:val="21"/>
                      <w:szCs w:val="21"/>
                      <w:lang w:val="en-US" w:eastAsia="zh-CN" w:bidi="ar-SA"/>
                    </w:rPr>
                  </w:pPr>
                </w:p>
              </w:tc>
            </w:tr>
            <w:bookmarkEnd w:id="17"/>
          </w:tbl>
          <w:p w14:paraId="07C9764A">
            <w:pPr>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line="360" w:lineRule="auto"/>
              <w:textAlignment w:val="auto"/>
              <w:rPr>
                <w:rFonts w:hint="default" w:ascii="Times New Roman" w:hAnsi="Times New Roman" w:eastAsia="宋体" w:cs="Times New Roman"/>
                <w:b/>
                <w:bCs w:val="0"/>
                <w:color w:val="auto"/>
                <w:spacing w:val="-10"/>
                <w:sz w:val="24"/>
                <w:szCs w:val="24"/>
                <w:highlight w:val="none"/>
                <w:lang w:val="en-US" w:eastAsia="zh-CN"/>
              </w:rPr>
            </w:pPr>
            <w:r>
              <w:rPr>
                <w:rFonts w:hint="eastAsia" w:ascii="Times New Roman" w:hAnsi="Times New Roman" w:eastAsia="宋体" w:cs="Times New Roman"/>
                <w:b/>
                <w:bCs w:val="0"/>
                <w:color w:val="auto"/>
                <w:spacing w:val="-10"/>
                <w:sz w:val="24"/>
                <w:szCs w:val="24"/>
                <w:highlight w:val="none"/>
                <w:lang w:val="en-US" w:eastAsia="zh-CN"/>
              </w:rPr>
              <w:t>4</w:t>
            </w:r>
            <w:r>
              <w:rPr>
                <w:rFonts w:hint="default" w:ascii="Times New Roman" w:hAnsi="Times New Roman" w:eastAsia="宋体" w:cs="Times New Roman"/>
                <w:b/>
                <w:bCs w:val="0"/>
                <w:color w:val="auto"/>
                <w:spacing w:val="-10"/>
                <w:sz w:val="24"/>
                <w:szCs w:val="24"/>
                <w:highlight w:val="none"/>
                <w:lang w:val="en-US" w:eastAsia="zh-CN"/>
              </w:rPr>
              <w:t>、固体</w:t>
            </w:r>
            <w:r>
              <w:rPr>
                <w:rFonts w:hint="default" w:ascii="宋体" w:hAnsi="Times New Roman" w:eastAsia="宋体" w:cs="Times New Roman"/>
                <w:b/>
                <w:color w:val="auto"/>
                <w:sz w:val="24"/>
                <w:szCs w:val="24"/>
                <w:highlight w:val="none"/>
                <w:lang w:val="en-US" w:eastAsia="zh-CN"/>
              </w:rPr>
              <w:t>废物</w:t>
            </w:r>
          </w:p>
          <w:p w14:paraId="6E99D5D4">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宋体"/>
                <w:color w:val="auto"/>
                <w:sz w:val="24"/>
                <w:szCs w:val="24"/>
                <w:highlight w:val="none"/>
                <w:lang w:val="en-US" w:eastAsia="zh-CN"/>
              </w:rPr>
            </w:pPr>
            <w:r>
              <w:rPr>
                <w:rFonts w:hint="eastAsia" w:ascii="Times New Roman" w:hAnsi="Times New Roman" w:eastAsia="宋体" w:cs="宋体"/>
                <w:color w:val="auto"/>
                <w:sz w:val="24"/>
                <w:szCs w:val="24"/>
                <w:highlight w:val="none"/>
                <w:lang w:val="en-US" w:eastAsia="zh-CN"/>
              </w:rPr>
              <w:t>项目营运期固体废物分为生产固废和生活垃圾两类。</w:t>
            </w:r>
          </w:p>
          <w:p w14:paraId="61E58968">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rPr>
                <w:rFonts w:hint="default" w:ascii="Times New Roman" w:hAnsi="Times New Roman" w:eastAsia="宋体" w:cs="Times New Roman"/>
                <w:b/>
                <w:bCs/>
                <w:snapToGrid w:val="0"/>
                <w:color w:val="auto"/>
                <w:kern w:val="0"/>
                <w:sz w:val="24"/>
                <w:lang w:val="en-US" w:eastAsia="zh-CN"/>
              </w:rPr>
            </w:pPr>
            <w:r>
              <w:rPr>
                <w:rFonts w:hint="eastAsia" w:ascii="Times New Roman" w:hAnsi="Times New Roman" w:cs="Times New Roman"/>
                <w:b/>
                <w:bCs/>
                <w:snapToGrid w:val="0"/>
                <w:color w:val="auto"/>
                <w:kern w:val="0"/>
                <w:sz w:val="24"/>
                <w:lang w:val="en-US" w:eastAsia="zh-CN"/>
              </w:rPr>
              <w:t>4.1</w:t>
            </w:r>
            <w:r>
              <w:rPr>
                <w:rFonts w:hint="default" w:ascii="Times New Roman" w:hAnsi="Times New Roman" w:cs="Times New Roman"/>
                <w:b/>
                <w:bCs/>
                <w:snapToGrid w:val="0"/>
                <w:color w:val="auto"/>
                <w:kern w:val="0"/>
                <w:sz w:val="24"/>
                <w:lang w:val="en-US" w:eastAsia="zh-CN"/>
              </w:rPr>
              <w:t>固废产生情况</w:t>
            </w:r>
          </w:p>
          <w:p w14:paraId="11FAC2A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right="0" w:firstLine="480" w:firstLineChars="200"/>
              <w:contextualSpacing/>
              <w:jc w:val="both"/>
              <w:textAlignment w:val="auto"/>
              <w:rPr>
                <w:rFonts w:hint="default" w:ascii="Times New Roman" w:hAnsi="Times New Roman" w:eastAsia="宋体" w:cs="Times New Roman"/>
                <w:color w:val="auto"/>
                <w:sz w:val="24"/>
                <w:szCs w:val="24"/>
                <w:highlight w:val="none"/>
              </w:rPr>
            </w:pPr>
            <w:r>
              <w:rPr>
                <w:rFonts w:hint="eastAsia" w:ascii="宋体" w:hAnsi="宋体" w:eastAsia="宋体" w:cs="宋体"/>
                <w:color w:val="auto"/>
                <w:kern w:val="0"/>
                <w:sz w:val="24"/>
                <w:szCs w:val="24"/>
                <w:highlight w:val="none"/>
                <w:lang w:val="en-US" w:eastAsia="zh-CN" w:bidi="ar"/>
              </w:rPr>
              <w:t>（1）生产固废</w:t>
            </w:r>
          </w:p>
          <w:p w14:paraId="7A14178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right="0" w:firstLine="480" w:firstLineChars="200"/>
              <w:contextualSpacing/>
              <w:jc w:val="both"/>
              <w:textAlignment w:val="auto"/>
              <w:rPr>
                <w:rFonts w:hint="default" w:ascii="Times New Roman" w:hAnsi="Times New Roman" w:eastAsia="宋体" w:cs="Times New Roman"/>
                <w:color w:val="auto"/>
                <w:sz w:val="24"/>
                <w:szCs w:val="24"/>
                <w:highlight w:val="none"/>
              </w:rPr>
            </w:pPr>
            <w:r>
              <w:rPr>
                <w:rFonts w:hint="eastAsia" w:ascii="宋体" w:hAnsi="宋体" w:eastAsia="宋体" w:cs="宋体"/>
                <w:color w:val="auto"/>
                <w:kern w:val="0"/>
                <w:sz w:val="24"/>
                <w:szCs w:val="24"/>
                <w:highlight w:val="none"/>
                <w:lang w:val="en-US" w:eastAsia="zh-CN" w:bidi="ar"/>
              </w:rPr>
              <w:t>本项目生产固废主要包括一般固废：废包装材料、废边角料及不合格产品；危险废物：废润滑油桶、废油抹布及手套、废活性炭。</w:t>
            </w:r>
          </w:p>
          <w:p w14:paraId="2388CE65">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①废包装材料</w:t>
            </w:r>
          </w:p>
          <w:p w14:paraId="7C0EEF02">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default" w:ascii="Times New Roman" w:hAnsi="Times New Roman" w:cs="Times New Roman"/>
                <w:snapToGrid w:val="0"/>
                <w:color w:val="auto"/>
                <w:kern w:val="0"/>
                <w:sz w:val="24"/>
                <w:lang w:val="en-US" w:eastAsia="zh-CN"/>
              </w:rPr>
            </w:pPr>
            <w:r>
              <w:rPr>
                <w:rFonts w:hint="eastAsia"/>
                <w:color w:val="auto"/>
                <w:sz w:val="24"/>
                <w:lang w:val="en-US" w:eastAsia="zh-CN"/>
              </w:rPr>
              <w:t>项目产生的废包装材料主要为原料包装材料，产生量约为0.5t/a，</w:t>
            </w:r>
            <w:r>
              <w:rPr>
                <w:rFonts w:hint="default" w:ascii="Times New Roman" w:hAnsi="Times New Roman" w:cs="Times New Roman"/>
                <w:snapToGrid w:val="0"/>
                <w:color w:val="auto"/>
                <w:kern w:val="0"/>
                <w:sz w:val="24"/>
                <w:lang w:val="en-US" w:eastAsia="zh-CN"/>
              </w:rPr>
              <w:t>属于一般固体废物，暂存于一般固废间，定期交由废品回收单位进行回收处理</w:t>
            </w:r>
            <w:r>
              <w:rPr>
                <w:rFonts w:hint="eastAsia" w:ascii="Times New Roman" w:hAnsi="Times New Roman" w:cs="Times New Roman"/>
                <w:snapToGrid w:val="0"/>
                <w:color w:val="auto"/>
                <w:kern w:val="0"/>
                <w:sz w:val="24"/>
                <w:lang w:val="en-US" w:eastAsia="zh-CN"/>
              </w:rPr>
              <w:t>。</w:t>
            </w:r>
          </w:p>
          <w:p w14:paraId="551008BA">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default" w:ascii="Times New Roman" w:hAnsi="Times New Roman" w:eastAsia="宋体" w:cs="Times New Roman"/>
                <w:color w:val="auto"/>
                <w:sz w:val="24"/>
                <w:szCs w:val="24"/>
                <w:lang w:val="en-US" w:eastAsia="zh-CN"/>
              </w:rPr>
            </w:pPr>
            <w:r>
              <w:rPr>
                <w:rFonts w:hint="eastAsia" w:ascii="宋体" w:hAnsi="宋体" w:eastAsia="宋体" w:cs="宋体"/>
                <w:color w:val="auto"/>
                <w:kern w:val="0"/>
                <w:sz w:val="24"/>
                <w:szCs w:val="24"/>
                <w:highlight w:val="none"/>
                <w:lang w:val="en-US" w:eastAsia="zh-CN" w:bidi="ar"/>
              </w:rPr>
              <w:t>②边角料及不合格产品</w:t>
            </w:r>
          </w:p>
          <w:p w14:paraId="3F127A9A">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default" w:ascii="Times New Roman" w:hAnsi="Times New Roman" w:eastAsia="宋体" w:cs="Times New Roman"/>
                <w:snapToGrid w:val="0"/>
                <w:color w:val="auto"/>
                <w:kern w:val="0"/>
                <w:sz w:val="24"/>
                <w:lang w:val="en-US" w:eastAsia="zh-CN"/>
              </w:rPr>
            </w:pPr>
            <w:r>
              <w:rPr>
                <w:rFonts w:hint="eastAsia"/>
                <w:color w:val="auto"/>
                <w:sz w:val="24"/>
                <w:lang w:val="en-US" w:eastAsia="zh-CN"/>
              </w:rPr>
              <w:t>根据企业提供资料，边角料及不合格产品产生量约为原料的3%，项目原料总吨数约为2000t，则边角料</w:t>
            </w:r>
            <w:r>
              <w:rPr>
                <w:rFonts w:hint="eastAsia" w:ascii="宋体" w:hAnsi="宋体" w:eastAsia="宋体" w:cs="宋体"/>
                <w:color w:val="auto"/>
                <w:kern w:val="0"/>
                <w:sz w:val="24"/>
                <w:szCs w:val="24"/>
                <w:highlight w:val="none"/>
                <w:lang w:val="en-US" w:eastAsia="zh-CN" w:bidi="ar"/>
              </w:rPr>
              <w:t>及不合格产品</w:t>
            </w:r>
            <w:r>
              <w:rPr>
                <w:rFonts w:hint="eastAsia"/>
                <w:color w:val="auto"/>
                <w:sz w:val="24"/>
                <w:lang w:val="en-US" w:eastAsia="zh-CN"/>
              </w:rPr>
              <w:t>产生量为60t，集中收集以废品形式外售。</w:t>
            </w:r>
          </w:p>
          <w:p w14:paraId="4AA1AF77">
            <w:pPr>
              <w:keepNext w:val="0"/>
              <w:keepLines w:val="0"/>
              <w:widowControl w:val="0"/>
              <w:suppressLineNumbers w:val="0"/>
              <w:shd w:val="clear" w:color="auto" w:fill="auto"/>
              <w:autoSpaceDE w:val="0"/>
              <w:autoSpaceDN w:val="0"/>
              <w:spacing w:before="0" w:beforeAutospacing="0" w:after="0" w:afterAutospacing="0" w:line="360" w:lineRule="auto"/>
              <w:ind w:left="0" w:right="0" w:firstLine="480" w:firstLineChars="200"/>
              <w:contextualSpacing/>
              <w:jc w:val="left"/>
              <w:rPr>
                <w:rFonts w:hint="eastAsia" w:ascii="宋体" w:hAnsi="宋体" w:eastAsia="宋体" w:cs="宋体"/>
                <w:color w:val="auto"/>
                <w:kern w:val="2"/>
                <w:sz w:val="24"/>
                <w:szCs w:val="24"/>
                <w:highlight w:val="none"/>
                <w:lang w:val="en-US" w:eastAsia="zh-CN" w:bidi="ar"/>
              </w:rPr>
            </w:pPr>
            <w:r>
              <w:rPr>
                <w:rFonts w:hint="default" w:ascii="Times New Roman" w:hAnsi="Times New Roman" w:eastAsia="宋体" w:cs="Times New Roman"/>
                <w:snapToGrid w:val="0"/>
                <w:color w:val="auto"/>
                <w:kern w:val="0"/>
                <w:sz w:val="24"/>
                <w:highlight w:val="none"/>
                <w:lang w:val="en-US" w:eastAsia="zh-CN"/>
              </w:rPr>
              <w:t>③</w:t>
            </w:r>
            <w:r>
              <w:rPr>
                <w:rFonts w:hint="eastAsia"/>
                <w:highlight w:val="none"/>
                <w:lang w:eastAsia="zh-CN"/>
              </w:rPr>
              <w:t>废润滑油、</w:t>
            </w:r>
            <w:r>
              <w:rPr>
                <w:rFonts w:hint="eastAsia" w:ascii="宋体" w:hAnsi="宋体" w:eastAsia="宋体" w:cs="宋体"/>
                <w:color w:val="auto"/>
                <w:kern w:val="2"/>
                <w:sz w:val="24"/>
                <w:szCs w:val="24"/>
                <w:highlight w:val="none"/>
                <w:lang w:val="en-US" w:eastAsia="zh-CN" w:bidi="ar"/>
              </w:rPr>
              <w:t>废润滑油桶、废含油抹布及手套</w:t>
            </w:r>
          </w:p>
          <w:p w14:paraId="4BB99065">
            <w:pPr>
              <w:keepNext w:val="0"/>
              <w:keepLines w:val="0"/>
              <w:widowControl w:val="0"/>
              <w:suppressLineNumbers w:val="0"/>
              <w:shd w:val="clear" w:color="auto" w:fill="auto"/>
              <w:autoSpaceDE w:val="0"/>
              <w:autoSpaceDN w:val="0"/>
              <w:spacing w:before="0" w:beforeAutospacing="0" w:after="0" w:afterAutospacing="0" w:line="360" w:lineRule="auto"/>
              <w:ind w:left="0" w:right="0" w:firstLine="480" w:firstLineChars="200"/>
              <w:contextualSpacing/>
              <w:jc w:val="left"/>
              <w:rPr>
                <w:rFonts w:hint="eastAsia" w:ascii="Times New Roman" w:hAnsi="Times New Roman" w:eastAsia="宋体" w:cs="Times New Roman"/>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本项目设备在维修、检修过程中会产生一定的</w:t>
            </w:r>
            <w:r>
              <w:rPr>
                <w:rFonts w:hint="eastAsia" w:ascii="宋体" w:hAnsi="宋体" w:cs="宋体"/>
                <w:color w:val="auto"/>
                <w:kern w:val="2"/>
                <w:sz w:val="24"/>
                <w:szCs w:val="24"/>
                <w:highlight w:val="none"/>
                <w:lang w:val="en-US" w:eastAsia="zh-CN" w:bidi="ar"/>
              </w:rPr>
              <w:t>废润滑油、</w:t>
            </w:r>
            <w:r>
              <w:rPr>
                <w:rFonts w:hint="eastAsia" w:ascii="宋体" w:hAnsi="宋体" w:eastAsia="宋体" w:cs="宋体"/>
                <w:color w:val="auto"/>
                <w:kern w:val="2"/>
                <w:sz w:val="24"/>
                <w:szCs w:val="24"/>
                <w:highlight w:val="none"/>
                <w:lang w:val="en-US" w:eastAsia="zh-CN" w:bidi="ar"/>
              </w:rPr>
              <w:t>废润滑桶、废含油抹布及手套，根据建设单位提供数据，</w:t>
            </w:r>
            <w:r>
              <w:rPr>
                <w:rFonts w:hint="eastAsia" w:ascii="宋体" w:hAnsi="宋体" w:cs="宋体"/>
                <w:color w:val="auto"/>
                <w:kern w:val="2"/>
                <w:sz w:val="24"/>
                <w:szCs w:val="24"/>
                <w:highlight w:val="none"/>
                <w:lang w:val="en-US" w:eastAsia="zh-CN" w:bidi="ar"/>
              </w:rPr>
              <w:t>废润滑油、</w:t>
            </w:r>
            <w:r>
              <w:rPr>
                <w:rFonts w:hint="eastAsia" w:ascii="宋体" w:hAnsi="宋体" w:eastAsia="宋体" w:cs="宋体"/>
                <w:color w:val="auto"/>
                <w:kern w:val="2"/>
                <w:sz w:val="24"/>
                <w:szCs w:val="24"/>
                <w:highlight w:val="none"/>
                <w:lang w:val="en-US" w:eastAsia="zh-CN" w:bidi="ar"/>
              </w:rPr>
              <w:t>废润滑桶产生量为</w:t>
            </w:r>
            <w:r>
              <w:rPr>
                <w:rFonts w:hint="default" w:ascii="Times New Roman" w:hAnsi="Times New Roman" w:eastAsia="宋体" w:cs="Times New Roman"/>
                <w:color w:val="auto"/>
                <w:kern w:val="2"/>
                <w:sz w:val="24"/>
                <w:szCs w:val="24"/>
                <w:highlight w:val="none"/>
                <w:lang w:val="en-US" w:eastAsia="zh-CN" w:bidi="ar"/>
              </w:rPr>
              <w:t>0.</w:t>
            </w:r>
            <w:r>
              <w:rPr>
                <w:rFonts w:hint="eastAsia" w:cs="Times New Roman"/>
                <w:color w:val="auto"/>
                <w:kern w:val="2"/>
                <w:sz w:val="24"/>
                <w:szCs w:val="24"/>
                <w:highlight w:val="none"/>
                <w:lang w:val="en-US" w:eastAsia="zh-CN" w:bidi="ar"/>
              </w:rPr>
              <w:t>2</w:t>
            </w:r>
            <w:r>
              <w:rPr>
                <w:rFonts w:hint="eastAsia" w:ascii="Times New Roman" w:hAnsi="Times New Roman" w:eastAsia="宋体" w:cs="Times New Roman"/>
                <w:color w:val="auto"/>
                <w:kern w:val="2"/>
                <w:sz w:val="24"/>
                <w:szCs w:val="24"/>
                <w:highlight w:val="none"/>
                <w:lang w:val="en-US" w:eastAsia="zh-CN" w:bidi="ar"/>
              </w:rPr>
              <w:t>t</w:t>
            </w:r>
            <w:r>
              <w:rPr>
                <w:rFonts w:hint="default" w:ascii="Times New Roman" w:hAnsi="Times New Roman" w:eastAsia="宋体" w:cs="Times New Roman"/>
                <w:color w:val="auto"/>
                <w:kern w:val="2"/>
                <w:sz w:val="24"/>
                <w:szCs w:val="24"/>
                <w:highlight w:val="none"/>
                <w:lang w:val="en-US" w:eastAsia="zh-CN" w:bidi="ar"/>
              </w:rPr>
              <w:t>/a</w:t>
            </w:r>
            <w:r>
              <w:rPr>
                <w:rFonts w:hint="eastAsia" w:ascii="宋体" w:hAnsi="宋体" w:eastAsia="宋体" w:cs="宋体"/>
                <w:color w:val="auto"/>
                <w:kern w:val="2"/>
                <w:sz w:val="24"/>
                <w:szCs w:val="24"/>
                <w:highlight w:val="none"/>
                <w:lang w:val="en-US" w:eastAsia="zh-CN" w:bidi="ar"/>
              </w:rPr>
              <w:t>，根据《国家危险废物名录》，</w:t>
            </w:r>
            <w:r>
              <w:rPr>
                <w:rFonts w:hint="eastAsia" w:ascii="宋体" w:hAnsi="宋体" w:cs="宋体"/>
                <w:color w:val="auto"/>
                <w:kern w:val="2"/>
                <w:sz w:val="24"/>
                <w:szCs w:val="24"/>
                <w:highlight w:val="none"/>
                <w:lang w:val="en-US" w:eastAsia="zh-CN" w:bidi="ar"/>
              </w:rPr>
              <w:t>废润滑油属于</w:t>
            </w:r>
            <w:r>
              <w:rPr>
                <w:rFonts w:hint="default" w:ascii="Times New Roman" w:hAnsi="Times New Roman" w:eastAsia="宋体" w:cs="Times New Roman"/>
                <w:color w:val="auto"/>
                <w:kern w:val="2"/>
                <w:sz w:val="24"/>
                <w:szCs w:val="24"/>
                <w:highlight w:val="none"/>
                <w:lang w:val="en-US" w:eastAsia="zh-CN" w:bidi="ar"/>
              </w:rPr>
              <w:t>HW08</w:t>
            </w:r>
            <w:r>
              <w:rPr>
                <w:rFonts w:hint="eastAsia" w:ascii="Times New Roman" w:hAnsi="Times New Roman" w:eastAsia="宋体" w:cs="Times New Roman"/>
                <w:color w:val="auto"/>
                <w:kern w:val="2"/>
                <w:sz w:val="24"/>
                <w:szCs w:val="24"/>
                <w:highlight w:val="none"/>
                <w:lang w:val="en-US" w:eastAsia="zh-CN" w:bidi="ar"/>
              </w:rPr>
              <w:t>，危废代码为900-209-</w:t>
            </w:r>
          </w:p>
          <w:p w14:paraId="73F9DA7E">
            <w:pPr>
              <w:keepNext w:val="0"/>
              <w:keepLines w:val="0"/>
              <w:widowControl w:val="0"/>
              <w:suppressLineNumbers w:val="0"/>
              <w:shd w:val="clear" w:color="auto" w:fill="auto"/>
              <w:autoSpaceDE w:val="0"/>
              <w:autoSpaceDN w:val="0"/>
              <w:spacing w:before="0" w:beforeAutospacing="0" w:after="0" w:afterAutospacing="0" w:line="360" w:lineRule="auto"/>
              <w:ind w:right="0"/>
              <w:contextualSpacing/>
              <w:jc w:val="left"/>
              <w:rPr>
                <w:rFonts w:hint="default" w:ascii="Times New Roman" w:hAnsi="Times New Roman" w:eastAsia="宋体" w:cs="Times New Roman"/>
                <w:color w:val="auto"/>
                <w:kern w:val="2"/>
                <w:sz w:val="24"/>
                <w:szCs w:val="24"/>
                <w:highlight w:val="none"/>
                <w:lang w:val="en-US"/>
              </w:rPr>
            </w:pPr>
            <w:r>
              <w:rPr>
                <w:rFonts w:hint="eastAsia" w:ascii="Times New Roman" w:hAnsi="Times New Roman" w:eastAsia="宋体" w:cs="Times New Roman"/>
                <w:color w:val="auto"/>
                <w:kern w:val="2"/>
                <w:sz w:val="24"/>
                <w:szCs w:val="24"/>
                <w:highlight w:val="none"/>
                <w:lang w:val="en-US" w:eastAsia="zh-CN" w:bidi="ar"/>
              </w:rPr>
              <w:t>08；</w:t>
            </w:r>
            <w:r>
              <w:rPr>
                <w:rFonts w:hint="eastAsia" w:ascii="宋体" w:hAnsi="宋体" w:eastAsia="宋体" w:cs="宋体"/>
                <w:color w:val="auto"/>
                <w:kern w:val="2"/>
                <w:sz w:val="24"/>
                <w:szCs w:val="24"/>
                <w:highlight w:val="none"/>
                <w:lang w:val="en-US" w:eastAsia="zh-CN" w:bidi="ar"/>
              </w:rPr>
              <w:t>废润滑桶属于</w:t>
            </w:r>
            <w:r>
              <w:rPr>
                <w:rFonts w:hint="default" w:ascii="Times New Roman" w:hAnsi="Times New Roman" w:eastAsia="宋体" w:cs="Times New Roman"/>
                <w:color w:val="auto"/>
                <w:kern w:val="2"/>
                <w:sz w:val="24"/>
                <w:szCs w:val="24"/>
                <w:highlight w:val="none"/>
                <w:lang w:val="en-US" w:eastAsia="zh-CN" w:bidi="ar"/>
              </w:rPr>
              <w:t>HW08</w:t>
            </w:r>
            <w:r>
              <w:rPr>
                <w:rFonts w:hint="eastAsia" w:ascii="宋体" w:hAnsi="宋体" w:eastAsia="宋体" w:cs="宋体"/>
                <w:color w:val="auto"/>
                <w:kern w:val="2"/>
                <w:sz w:val="24"/>
                <w:szCs w:val="24"/>
                <w:highlight w:val="none"/>
                <w:lang w:val="en-US" w:eastAsia="zh-CN" w:bidi="ar"/>
              </w:rPr>
              <w:t>，危废代码为</w:t>
            </w:r>
            <w:r>
              <w:rPr>
                <w:rFonts w:hint="default" w:ascii="Times New Roman" w:hAnsi="Times New Roman" w:eastAsia="宋体" w:cs="Times New Roman"/>
                <w:color w:val="auto"/>
                <w:kern w:val="2"/>
                <w:sz w:val="24"/>
                <w:szCs w:val="24"/>
                <w:highlight w:val="none"/>
                <w:lang w:val="en-US" w:eastAsia="zh-CN" w:bidi="ar"/>
              </w:rPr>
              <w:t>900-</w:t>
            </w:r>
            <w:r>
              <w:rPr>
                <w:rFonts w:hint="eastAsia" w:ascii="Times New Roman" w:hAnsi="Times New Roman" w:eastAsia="宋体" w:cs="Times New Roman"/>
                <w:color w:val="auto"/>
                <w:kern w:val="2"/>
                <w:sz w:val="24"/>
                <w:szCs w:val="24"/>
                <w:highlight w:val="none"/>
                <w:lang w:val="en-US" w:eastAsia="zh-CN" w:bidi="ar"/>
              </w:rPr>
              <w:t>249</w:t>
            </w:r>
            <w:r>
              <w:rPr>
                <w:rFonts w:hint="default" w:ascii="Times New Roman" w:hAnsi="Times New Roman" w:eastAsia="宋体" w:cs="Times New Roman"/>
                <w:color w:val="auto"/>
                <w:kern w:val="2"/>
                <w:sz w:val="24"/>
                <w:szCs w:val="24"/>
                <w:highlight w:val="none"/>
                <w:lang w:val="en-US" w:eastAsia="zh-CN" w:bidi="ar"/>
              </w:rPr>
              <w:t>-</w:t>
            </w:r>
            <w:r>
              <w:rPr>
                <w:rFonts w:hint="eastAsia" w:ascii="Times New Roman" w:hAnsi="Times New Roman" w:eastAsia="宋体" w:cs="Times New Roman"/>
                <w:color w:val="auto"/>
                <w:kern w:val="2"/>
                <w:sz w:val="24"/>
                <w:szCs w:val="24"/>
                <w:highlight w:val="none"/>
                <w:lang w:val="en-US" w:eastAsia="zh-CN" w:bidi="ar"/>
              </w:rPr>
              <w:t>08；</w:t>
            </w:r>
            <w:r>
              <w:rPr>
                <w:rFonts w:hint="eastAsia" w:ascii="宋体" w:hAnsi="宋体" w:eastAsia="宋体" w:cs="宋体"/>
                <w:color w:val="auto"/>
                <w:kern w:val="2"/>
                <w:sz w:val="24"/>
                <w:szCs w:val="24"/>
                <w:highlight w:val="none"/>
                <w:lang w:val="en-US" w:eastAsia="zh-CN" w:bidi="ar"/>
              </w:rPr>
              <w:t>废含油抹布及手套</w:t>
            </w:r>
            <w:r>
              <w:rPr>
                <w:rFonts w:hint="eastAsia" w:ascii="Times New Roman" w:hAnsi="Times New Roman" w:eastAsia="宋体" w:cs="Times New Roman"/>
                <w:color w:val="auto"/>
                <w:kern w:val="2"/>
                <w:sz w:val="24"/>
                <w:szCs w:val="24"/>
                <w:highlight w:val="none"/>
                <w:lang w:val="en-US" w:eastAsia="zh-CN" w:bidi="ar"/>
              </w:rPr>
              <w:t>产生量为0.01t</w:t>
            </w:r>
            <w:r>
              <w:rPr>
                <w:rFonts w:hint="default" w:ascii="Times New Roman" w:hAnsi="Times New Roman" w:eastAsia="宋体" w:cs="Times New Roman"/>
                <w:color w:val="auto"/>
                <w:kern w:val="2"/>
                <w:sz w:val="24"/>
                <w:szCs w:val="24"/>
                <w:highlight w:val="none"/>
                <w:lang w:val="en-US" w:eastAsia="zh-CN" w:bidi="ar"/>
              </w:rPr>
              <w:t>/a</w:t>
            </w:r>
            <w:r>
              <w:rPr>
                <w:rFonts w:hint="eastAsia" w:ascii="宋体" w:hAnsi="宋体" w:eastAsia="宋体" w:cs="宋体"/>
                <w:color w:val="auto"/>
                <w:kern w:val="2"/>
                <w:sz w:val="24"/>
                <w:szCs w:val="24"/>
                <w:highlight w:val="none"/>
                <w:lang w:val="en-US" w:eastAsia="zh-CN" w:bidi="ar"/>
              </w:rPr>
              <w:t>，废含油抹布及手套属于</w:t>
            </w:r>
            <w:r>
              <w:rPr>
                <w:rFonts w:hint="default" w:ascii="Times New Roman" w:hAnsi="Times New Roman" w:eastAsia="宋体" w:cs="Times New Roman"/>
                <w:color w:val="auto"/>
                <w:kern w:val="2"/>
                <w:sz w:val="24"/>
                <w:szCs w:val="24"/>
                <w:highlight w:val="none"/>
                <w:lang w:val="en-US" w:eastAsia="zh-CN" w:bidi="ar"/>
              </w:rPr>
              <w:t>HW</w:t>
            </w:r>
            <w:r>
              <w:rPr>
                <w:rFonts w:hint="eastAsia" w:ascii="Times New Roman" w:hAnsi="Times New Roman" w:eastAsia="宋体" w:cs="Times New Roman"/>
                <w:color w:val="auto"/>
                <w:kern w:val="2"/>
                <w:sz w:val="24"/>
                <w:szCs w:val="24"/>
                <w:highlight w:val="none"/>
                <w:lang w:val="en-US" w:eastAsia="zh-CN" w:bidi="ar"/>
              </w:rPr>
              <w:t>49</w:t>
            </w:r>
            <w:r>
              <w:rPr>
                <w:rFonts w:hint="eastAsia" w:ascii="宋体" w:hAnsi="宋体" w:eastAsia="宋体" w:cs="宋体"/>
                <w:color w:val="auto"/>
                <w:kern w:val="2"/>
                <w:sz w:val="24"/>
                <w:szCs w:val="24"/>
                <w:highlight w:val="none"/>
                <w:lang w:val="en-US" w:eastAsia="zh-CN" w:bidi="ar"/>
              </w:rPr>
              <w:t>，危废代码为</w:t>
            </w:r>
            <w:r>
              <w:rPr>
                <w:rFonts w:hint="default" w:ascii="Times New Roman" w:hAnsi="Times New Roman" w:eastAsia="宋体" w:cs="Times New Roman"/>
                <w:color w:val="auto"/>
                <w:kern w:val="2"/>
                <w:sz w:val="24"/>
                <w:szCs w:val="24"/>
                <w:highlight w:val="none"/>
                <w:lang w:val="en-US" w:eastAsia="zh-CN" w:bidi="ar"/>
              </w:rPr>
              <w:t>900-</w:t>
            </w:r>
            <w:r>
              <w:rPr>
                <w:rFonts w:hint="eastAsia" w:ascii="Times New Roman" w:hAnsi="Times New Roman" w:eastAsia="宋体" w:cs="Times New Roman"/>
                <w:color w:val="auto"/>
                <w:kern w:val="2"/>
                <w:sz w:val="24"/>
                <w:szCs w:val="24"/>
                <w:highlight w:val="none"/>
                <w:lang w:val="en-US" w:eastAsia="zh-CN" w:bidi="ar"/>
              </w:rPr>
              <w:t>041</w:t>
            </w:r>
            <w:r>
              <w:rPr>
                <w:rFonts w:hint="default" w:ascii="Times New Roman" w:hAnsi="Times New Roman" w:eastAsia="宋体" w:cs="Times New Roman"/>
                <w:color w:val="auto"/>
                <w:kern w:val="2"/>
                <w:sz w:val="24"/>
                <w:szCs w:val="24"/>
                <w:highlight w:val="none"/>
                <w:lang w:val="en-US" w:eastAsia="zh-CN" w:bidi="ar"/>
              </w:rPr>
              <w:t>-</w:t>
            </w:r>
            <w:r>
              <w:rPr>
                <w:rFonts w:hint="eastAsia" w:ascii="Times New Roman" w:hAnsi="Times New Roman" w:eastAsia="宋体" w:cs="Times New Roman"/>
                <w:color w:val="auto"/>
                <w:kern w:val="2"/>
                <w:sz w:val="24"/>
                <w:szCs w:val="24"/>
                <w:highlight w:val="none"/>
                <w:lang w:val="en-US" w:eastAsia="zh-CN" w:bidi="ar"/>
              </w:rPr>
              <w:t>49</w:t>
            </w:r>
            <w:r>
              <w:rPr>
                <w:rFonts w:hint="eastAsia" w:ascii="宋体" w:hAnsi="宋体" w:eastAsia="宋体" w:cs="宋体"/>
                <w:color w:val="auto"/>
                <w:kern w:val="2"/>
                <w:sz w:val="24"/>
                <w:szCs w:val="24"/>
                <w:highlight w:val="none"/>
                <w:lang w:val="en-US" w:eastAsia="zh-CN" w:bidi="ar"/>
              </w:rPr>
              <w:t>。废润滑桶、废含油抹布及手套经收集后暂存于危险废物贮存库，定期交有资质单位处理。</w:t>
            </w:r>
          </w:p>
          <w:p w14:paraId="093933AC">
            <w:pPr>
              <w:keepNext w:val="0"/>
              <w:keepLines w:val="0"/>
              <w:widowControl w:val="0"/>
              <w:suppressLineNumbers w:val="0"/>
              <w:shd w:val="clear" w:color="auto" w:fill="auto"/>
              <w:autoSpaceDE w:val="0"/>
              <w:autoSpaceDN w:val="0"/>
              <w:spacing w:before="0" w:beforeAutospacing="0" w:after="0" w:afterAutospacing="0" w:line="360" w:lineRule="auto"/>
              <w:ind w:left="0" w:right="0" w:firstLine="480" w:firstLineChars="200"/>
              <w:contextualSpacing/>
              <w:jc w:val="left"/>
              <w:rPr>
                <w:rFonts w:hint="eastAsia" w:ascii="宋体" w:hAnsi="宋体" w:eastAsia="宋体" w:cs="宋体"/>
                <w:color w:val="auto"/>
                <w:kern w:val="2"/>
                <w:sz w:val="24"/>
                <w:szCs w:val="24"/>
                <w:lang w:val="en-US" w:eastAsia="zh-CN" w:bidi="ar"/>
              </w:rPr>
            </w:pPr>
            <w:r>
              <w:rPr>
                <w:rFonts w:hint="default" w:ascii="Times New Roman" w:hAnsi="Times New Roman" w:cs="Times New Roman"/>
                <w:color w:val="auto"/>
                <w:sz w:val="24"/>
                <w:szCs w:val="24"/>
                <w:highlight w:val="none"/>
                <w:lang w:val="en-US" w:eastAsia="zh-CN"/>
              </w:rPr>
              <w:t>④</w:t>
            </w:r>
            <w:r>
              <w:rPr>
                <w:rFonts w:hint="eastAsia" w:ascii="宋体" w:hAnsi="宋体" w:eastAsia="宋体" w:cs="宋体"/>
                <w:color w:val="auto"/>
                <w:kern w:val="2"/>
                <w:sz w:val="24"/>
                <w:szCs w:val="24"/>
                <w:lang w:val="en-US" w:eastAsia="zh-CN" w:bidi="ar"/>
              </w:rPr>
              <w:t>废活性炭</w:t>
            </w:r>
          </w:p>
          <w:p w14:paraId="4D5B024C">
            <w:pPr>
              <w:keepNext w:val="0"/>
              <w:keepLines w:val="0"/>
              <w:pageBreakBefore w:val="0"/>
              <w:wordWrap/>
              <w:overflowPunct/>
              <w:topLinePunct w:val="0"/>
              <w:bidi w:val="0"/>
              <w:adjustRightInd w:val="0"/>
              <w:snapToGrid w:val="0"/>
              <w:spacing w:line="360" w:lineRule="auto"/>
              <w:ind w:firstLine="480" w:firstLineChars="200"/>
              <w:jc w:val="both"/>
              <w:textAlignment w:val="baseline"/>
              <w:rPr>
                <w:rFonts w:hint="default" w:ascii="Times New Roman" w:hAnsi="Times New Roman" w:cs="Times New Roman"/>
                <w:snapToGrid w:val="0"/>
                <w:color w:val="auto"/>
                <w:sz w:val="24"/>
                <w:lang w:val="en-US" w:eastAsia="zh-CN"/>
              </w:rPr>
            </w:pPr>
            <w:r>
              <w:rPr>
                <w:rFonts w:hint="eastAsia" w:ascii="Times New Roman" w:hAnsi="Times New Roman" w:eastAsia="宋体" w:cs="Times New Roman"/>
                <w:color w:val="auto"/>
                <w:sz w:val="24"/>
                <w:szCs w:val="24"/>
                <w:highlight w:val="none"/>
                <w:lang w:val="en-US" w:eastAsia="zh-CN"/>
              </w:rPr>
              <w:t>项目有机废气采用二级活性炭处理设施处理，</w:t>
            </w:r>
            <w:r>
              <w:rPr>
                <w:rFonts w:hint="eastAsia" w:ascii="Times New Roman" w:hAnsi="Times New Roman" w:cs="Times New Roman"/>
                <w:color w:val="auto"/>
                <w:sz w:val="24"/>
                <w:lang w:val="en-US" w:eastAsia="zh-CN"/>
              </w:rPr>
              <w:t>设计风量为10000m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/h。根据《吸附法工业有机废气治理工程技术规范》（HJ2026-2013）中采用蜂窝状吸附剂，气体流速应低于1.2m/s，从而计算过滤面积为2.315m</w:t>
            </w:r>
            <w:r>
              <w:rPr>
                <w:rFonts w:hint="eastAsia" w:ascii="Times New Roman" w:hAnsi="Times New Roman" w:cs="Times New Roman"/>
                <w:color w:val="auto"/>
                <w:sz w:val="24"/>
                <w:vertAlign w:val="superscript"/>
                <w:lang w:val="en-US" w:eastAsia="zh-CN"/>
              </w:rPr>
              <w:t>2</w:t>
            </w:r>
            <w:r>
              <w:rPr>
                <w:rFonts w:hint="eastAsia" w:ascii="Times New Roman" w:hAnsi="Times New Roman" w:cs="Times New Roman"/>
                <w:color w:val="auto"/>
                <w:sz w:val="24"/>
                <w:vertAlign w:val="baseline"/>
                <w:lang w:val="en-US" w:eastAsia="zh-CN"/>
              </w:rPr>
              <w:t>。活性炭填充厚度按照550mm计算，则活性炭的填充量约为2.5</w:t>
            </w:r>
            <w:r>
              <w:rPr>
                <w:rFonts w:hint="eastAsia" w:ascii="Times New Roman" w:hAnsi="Times New Roman" w:cs="Times New Roman"/>
                <w:color w:val="auto"/>
                <w:sz w:val="24"/>
                <w:lang w:val="en-US" w:eastAsia="zh-CN"/>
              </w:rPr>
              <w:t>m</w:t>
            </w:r>
            <w:r>
              <w:rPr>
                <w:rFonts w:hint="default" w:ascii="Times New Roman" w:hAnsi="Times New Roman" w:cs="Times New Roman"/>
                <w:color w:val="auto"/>
                <w:sz w:val="24"/>
                <w:vertAlign w:val="superscript"/>
              </w:rPr>
              <w:t>3</w:t>
            </w:r>
            <w:r>
              <w:rPr>
                <w:rFonts w:hint="eastAsia" w:ascii="Times New Roman" w:hAnsi="Times New Roman" w:cs="Times New Roman"/>
                <w:color w:val="auto"/>
                <w:sz w:val="24"/>
                <w:vertAlign w:val="baseline"/>
                <w:lang w:eastAsia="zh-CN"/>
              </w:rPr>
              <w:t>。</w:t>
            </w:r>
            <w:r>
              <w:rPr>
                <w:rFonts w:hint="default" w:ascii="Times New Roman" w:hAnsi="Times New Roman" w:cs="Times New Roman"/>
                <w:snapToGrid w:val="0"/>
                <w:color w:val="auto"/>
                <w:sz w:val="24"/>
              </w:rPr>
              <w:t>活性炭的密度约为500kg/m</w:t>
            </w:r>
            <w:r>
              <w:rPr>
                <w:rFonts w:hint="default" w:ascii="Times New Roman" w:hAnsi="Times New Roman" w:cs="Times New Roman"/>
                <w:snapToGrid w:val="0"/>
                <w:color w:val="auto"/>
                <w:sz w:val="24"/>
                <w:vertAlign w:val="superscript"/>
              </w:rPr>
              <w:t>3</w:t>
            </w:r>
            <w:r>
              <w:rPr>
                <w:rFonts w:hint="default" w:ascii="Times New Roman" w:hAnsi="Times New Roman" w:cs="Times New Roman"/>
                <w:snapToGrid w:val="0"/>
                <w:color w:val="auto"/>
                <w:sz w:val="24"/>
              </w:rPr>
              <w:t>，则活性炭装填量为</w:t>
            </w:r>
            <w:r>
              <w:rPr>
                <w:rFonts w:hint="eastAsia" w:ascii="Times New Roman" w:hAnsi="Times New Roman" w:cs="Times New Roman"/>
                <w:snapToGrid w:val="0"/>
                <w:color w:val="auto"/>
                <w:sz w:val="24"/>
                <w:lang w:val="en-US" w:eastAsia="zh-CN"/>
              </w:rPr>
              <w:t>1.25</w:t>
            </w:r>
            <w:r>
              <w:rPr>
                <w:rFonts w:hint="default" w:ascii="Times New Roman" w:hAnsi="Times New Roman" w:cs="Times New Roman"/>
                <w:snapToGrid w:val="0"/>
                <w:color w:val="auto"/>
                <w:sz w:val="24"/>
              </w:rPr>
              <w:t>t</w:t>
            </w:r>
            <w:r>
              <w:rPr>
                <w:rFonts w:hint="eastAsia" w:ascii="Times New Roman" w:hAnsi="Times New Roman" w:cs="Times New Roman"/>
                <w:snapToGrid w:val="0"/>
                <w:color w:val="auto"/>
                <w:sz w:val="24"/>
                <w:lang w:eastAsia="zh-CN"/>
              </w:rPr>
              <w:t>。</w:t>
            </w:r>
          </w:p>
          <w:p w14:paraId="1D816852">
            <w:pPr>
              <w:keepNext w:val="0"/>
              <w:keepLines w:val="0"/>
              <w:pageBreakBefore w:val="0"/>
              <w:wordWrap/>
              <w:overflowPunct/>
              <w:topLinePunct w:val="0"/>
              <w:bidi w:val="0"/>
              <w:adjustRightInd w:val="0"/>
              <w:snapToGrid w:val="0"/>
              <w:spacing w:line="360" w:lineRule="auto"/>
              <w:ind w:firstLine="480" w:firstLineChars="200"/>
              <w:jc w:val="both"/>
              <w:textAlignment w:val="baseline"/>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vertAlign w:val="baseline"/>
                <w:lang w:val="en-US" w:eastAsia="zh-CN"/>
              </w:rPr>
              <w:t>根据</w:t>
            </w:r>
            <w:r>
              <w:rPr>
                <w:rFonts w:hint="default" w:ascii="Times New Roman" w:hAnsi="Times New Roman" w:eastAsia="宋体" w:cs="Times New Roman"/>
                <w:b w:val="0"/>
                <w:bCs w:val="0"/>
                <w:snapToGrid w:val="0"/>
                <w:color w:val="auto"/>
                <w:kern w:val="2"/>
                <w:sz w:val="24"/>
                <w:szCs w:val="24"/>
                <w:lang w:val="en-US" w:eastAsia="zh-CN"/>
              </w:rPr>
              <w:t>《废气处理设备技术方案》</w:t>
            </w:r>
            <w:r>
              <w:rPr>
                <w:rFonts w:hint="default" w:ascii="Times New Roman" w:hAnsi="Times New Roman" w:cs="Times New Roman"/>
                <w:color w:val="auto"/>
                <w:sz w:val="24"/>
                <w:szCs w:val="24"/>
              </w:rPr>
              <w:t>每</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年更换一次活性炭，</w:t>
            </w:r>
            <w:r>
              <w:rPr>
                <w:rFonts w:hint="eastAsia" w:ascii="Times New Roman" w:hAnsi="Times New Roman" w:cs="Times New Roman"/>
                <w:snapToGrid w:val="0"/>
                <w:color w:val="auto"/>
                <w:sz w:val="24"/>
                <w:szCs w:val="24"/>
                <w:lang w:val="en-US" w:eastAsia="zh-CN"/>
              </w:rPr>
              <w:t>则废</w:t>
            </w:r>
            <w:r>
              <w:rPr>
                <w:rFonts w:hint="default" w:ascii="Times New Roman" w:hAnsi="Times New Roman" w:cs="Times New Roman"/>
                <w:snapToGrid w:val="0"/>
                <w:color w:val="auto"/>
                <w:sz w:val="24"/>
                <w:szCs w:val="24"/>
              </w:rPr>
              <w:t>活性炭产生量约为</w:t>
            </w:r>
            <w:r>
              <w:rPr>
                <w:rFonts w:hint="eastAsia" w:ascii="Times New Roman" w:hAnsi="Times New Roman" w:cs="Times New Roman"/>
                <w:snapToGrid w:val="0"/>
                <w:color w:val="auto"/>
                <w:sz w:val="24"/>
                <w:szCs w:val="24"/>
                <w:lang w:val="en-US" w:eastAsia="zh-CN"/>
              </w:rPr>
              <w:t>1.25</w:t>
            </w:r>
            <w:r>
              <w:rPr>
                <w:rFonts w:hint="default" w:ascii="Times New Roman" w:hAnsi="Times New Roman" w:cs="Times New Roman"/>
                <w:snapToGrid w:val="0"/>
                <w:color w:val="auto"/>
                <w:sz w:val="24"/>
                <w:szCs w:val="24"/>
              </w:rPr>
              <w:t>t/a</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highlight w:val="none"/>
                <w:lang w:eastAsia="zh-CN"/>
              </w:rPr>
              <w:t>根</w:t>
            </w:r>
            <w:r>
              <w:rPr>
                <w:rFonts w:hint="default" w:ascii="Times New Roman" w:hAnsi="Times New Roman" w:cs="Times New Roman"/>
                <w:color w:val="auto"/>
                <w:sz w:val="24"/>
                <w:szCs w:val="24"/>
                <w:lang w:eastAsia="zh-CN"/>
              </w:rPr>
              <w:t>据《国家危险废物名录》（202</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年），属于</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HW49非指定行业900-039-49</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，收集暂存</w:t>
            </w:r>
            <w:r>
              <w:rPr>
                <w:rFonts w:hint="default" w:ascii="Times New Roman" w:hAnsi="Times New Roman" w:cs="Times New Roman"/>
                <w:color w:val="auto"/>
                <w:sz w:val="24"/>
                <w:szCs w:val="24"/>
                <w:lang w:val="en-US" w:eastAsia="zh-CN"/>
              </w:rPr>
              <w:t>于</w:t>
            </w:r>
            <w:r>
              <w:rPr>
                <w:rFonts w:hint="default" w:ascii="Times New Roman" w:hAnsi="Times New Roman" w:cs="Times New Roman"/>
                <w:color w:val="auto"/>
                <w:sz w:val="24"/>
                <w:szCs w:val="24"/>
                <w:lang w:eastAsia="zh-CN"/>
              </w:rPr>
              <w:t>危废贮存库后委托有资质单位</w:t>
            </w:r>
            <w:r>
              <w:rPr>
                <w:rFonts w:hint="default" w:ascii="Times New Roman" w:hAnsi="Times New Roman" w:eastAsia="宋体" w:cs="Times New Roman"/>
                <w:color w:val="auto"/>
                <w:sz w:val="24"/>
                <w:szCs w:val="24"/>
                <w:lang w:eastAsia="zh-CN"/>
              </w:rPr>
              <w:t>处置。</w:t>
            </w:r>
          </w:p>
          <w:p w14:paraId="25C885F7">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生活垃圾</w:t>
            </w:r>
          </w:p>
          <w:p w14:paraId="1E97F1AE">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highlight w:val="none"/>
              </w:rPr>
            </w:pPr>
            <w:r>
              <w:rPr>
                <w:rFonts w:hint="eastAsia" w:ascii="宋体" w:hAnsi="宋体" w:eastAsia="宋体" w:cs="宋体"/>
                <w:color w:val="auto"/>
                <w:kern w:val="0"/>
                <w:sz w:val="24"/>
                <w:szCs w:val="24"/>
                <w:highlight w:val="none"/>
                <w:lang w:val="en-US" w:eastAsia="zh-CN" w:bidi="ar"/>
              </w:rPr>
              <w:t>项目劳动定员</w:t>
            </w:r>
            <w:r>
              <w:rPr>
                <w:rFonts w:hint="default" w:ascii="Times New Roman" w:hAnsi="Times New Roman" w:eastAsia="宋体" w:cs="Times New Roman"/>
                <w:color w:val="auto"/>
                <w:kern w:val="0"/>
                <w:sz w:val="24"/>
                <w:szCs w:val="24"/>
                <w:highlight w:val="none"/>
                <w:lang w:val="en-US" w:eastAsia="zh-CN" w:bidi="ar"/>
              </w:rPr>
              <w:t>8人，按每人每天产生生活垃圾0.5kg计，则生活垃圾产生量为4kg/d，0.6t/a。统一分类收集后，由环卫部门定期清运。</w:t>
            </w:r>
          </w:p>
          <w:p w14:paraId="7A792717">
            <w:pPr>
              <w:keepNext w:val="0"/>
              <w:keepLines w:val="0"/>
              <w:widowControl w:val="0"/>
              <w:suppressLineNumbers w:val="0"/>
              <w:shd w:val="clear" w:color="auto" w:fill="auto"/>
              <w:spacing w:before="0" w:beforeAutospacing="0" w:after="0" w:afterAutospacing="0" w:line="360" w:lineRule="auto"/>
              <w:ind w:left="0" w:right="0" w:firstLine="480" w:firstLineChars="200"/>
              <w:jc w:val="left"/>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项目固废统计结果汇总见表4-11。</w:t>
            </w:r>
          </w:p>
          <w:p w14:paraId="57BF0FD2">
            <w:pPr>
              <w:keepNext w:val="0"/>
              <w:keepLines w:val="0"/>
              <w:widowControl w:val="0"/>
              <w:suppressLineNumbers w:val="0"/>
              <w:shd w:val="clear" w:color="auto" w:fill="auto"/>
              <w:spacing w:before="0" w:beforeAutospacing="0" w:after="0" w:afterAutospacing="0" w:line="360" w:lineRule="auto"/>
              <w:ind w:left="0" w:right="0"/>
              <w:jc w:val="center"/>
              <w:rPr>
                <w:rFonts w:hint="default" w:ascii="Times New Roman" w:hAnsi="Times New Roman" w:eastAsia="宋体" w:cs="Times New Roman"/>
                <w:b/>
                <w:bCs/>
                <w:color w:val="auto"/>
                <w:sz w:val="21"/>
                <w:szCs w:val="21"/>
                <w:highlight w:val="none"/>
              </w:rPr>
            </w:pPr>
            <w:r>
              <w:rPr>
                <w:rFonts w:hint="eastAsia" w:ascii="宋体" w:hAnsi="宋体" w:eastAsia="宋体" w:cs="宋体"/>
                <w:b/>
                <w:bCs/>
                <w:color w:val="auto"/>
                <w:kern w:val="0"/>
                <w:sz w:val="21"/>
                <w:szCs w:val="21"/>
                <w:highlight w:val="none"/>
                <w:lang w:val="en-US" w:eastAsia="zh-CN" w:bidi="ar"/>
              </w:rPr>
              <w:t>表</w:t>
            </w:r>
            <w:r>
              <w:rPr>
                <w:rFonts w:hint="eastAsia" w:ascii="Times New Roman" w:hAnsi="Times New Roman" w:eastAsia="宋体" w:cs="Times New Roman"/>
                <w:b/>
                <w:bCs/>
                <w:color w:val="auto"/>
                <w:kern w:val="0"/>
                <w:sz w:val="21"/>
                <w:szCs w:val="21"/>
                <w:highlight w:val="none"/>
                <w:lang w:val="en-US" w:eastAsia="zh-CN" w:bidi="ar"/>
              </w:rPr>
              <w:t xml:space="preserve">4-11  </w:t>
            </w:r>
            <w:r>
              <w:rPr>
                <w:rFonts w:hint="eastAsia" w:ascii="宋体" w:hAnsi="宋体" w:eastAsia="宋体" w:cs="宋体"/>
                <w:b/>
                <w:bCs/>
                <w:color w:val="auto"/>
                <w:kern w:val="0"/>
                <w:sz w:val="21"/>
                <w:szCs w:val="21"/>
                <w:highlight w:val="none"/>
                <w:lang w:val="en-US" w:eastAsia="zh-CN" w:bidi="ar"/>
              </w:rPr>
              <w:t>项目固体废物统计结果汇总表</w:t>
            </w:r>
          </w:p>
          <w:tbl>
            <w:tblPr>
              <w:tblStyle w:val="2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60"/>
              <w:gridCol w:w="967"/>
              <w:gridCol w:w="629"/>
              <w:gridCol w:w="679"/>
              <w:gridCol w:w="978"/>
              <w:gridCol w:w="1466"/>
              <w:gridCol w:w="749"/>
              <w:gridCol w:w="1352"/>
              <w:gridCol w:w="727"/>
            </w:tblGrid>
            <w:tr w14:paraId="7E6DA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160797E8">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序号</w:t>
                  </w:r>
                </w:p>
              </w:tc>
              <w:tc>
                <w:tcPr>
                  <w:tcW w:w="611" w:type="pct"/>
                  <w:tcBorders>
                    <w:tl2br w:val="nil"/>
                    <w:tr2bl w:val="nil"/>
                  </w:tcBorders>
                  <w:noWrap w:val="0"/>
                  <w:vAlign w:val="center"/>
                </w:tcPr>
                <w:p w14:paraId="09CDB184">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固废名称</w:t>
                  </w:r>
                </w:p>
              </w:tc>
              <w:tc>
                <w:tcPr>
                  <w:tcW w:w="397" w:type="pct"/>
                  <w:tcBorders>
                    <w:tl2br w:val="nil"/>
                    <w:tr2bl w:val="nil"/>
                  </w:tcBorders>
                  <w:noWrap w:val="0"/>
                  <w:vAlign w:val="center"/>
                </w:tcPr>
                <w:p w14:paraId="681957ED">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产生</w:t>
                  </w:r>
                </w:p>
                <w:p w14:paraId="605E8268">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工序</w:t>
                  </w:r>
                </w:p>
              </w:tc>
              <w:tc>
                <w:tcPr>
                  <w:tcW w:w="429" w:type="pct"/>
                  <w:tcBorders>
                    <w:tl2br w:val="nil"/>
                    <w:tr2bl w:val="nil"/>
                  </w:tcBorders>
                  <w:noWrap w:val="0"/>
                  <w:vAlign w:val="center"/>
                </w:tcPr>
                <w:p w14:paraId="59AEEACB">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形态</w:t>
                  </w:r>
                </w:p>
              </w:tc>
              <w:tc>
                <w:tcPr>
                  <w:tcW w:w="618" w:type="pct"/>
                  <w:tcBorders>
                    <w:tl2br w:val="nil"/>
                    <w:tr2bl w:val="nil"/>
                  </w:tcBorders>
                  <w:noWrap w:val="0"/>
                  <w:vAlign w:val="center"/>
                </w:tcPr>
                <w:p w14:paraId="08F1A086">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主要成分</w:t>
                  </w:r>
                </w:p>
              </w:tc>
              <w:tc>
                <w:tcPr>
                  <w:tcW w:w="927" w:type="pct"/>
                  <w:tcBorders>
                    <w:tl2br w:val="nil"/>
                    <w:tr2bl w:val="nil"/>
                  </w:tcBorders>
                  <w:noWrap w:val="0"/>
                  <w:vAlign w:val="center"/>
                </w:tcPr>
                <w:p w14:paraId="282C40A8">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属性</w:t>
                  </w:r>
                </w:p>
              </w:tc>
              <w:tc>
                <w:tcPr>
                  <w:tcW w:w="473" w:type="pct"/>
                  <w:tcBorders>
                    <w:tl2br w:val="nil"/>
                    <w:tr2bl w:val="nil"/>
                  </w:tcBorders>
                  <w:noWrap w:val="0"/>
                  <w:vAlign w:val="center"/>
                </w:tcPr>
                <w:p w14:paraId="11025041">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lang w:val="en-US" w:eastAsia="zh-CN" w:bidi="ar"/>
                    </w:rPr>
                  </w:pPr>
                  <w:r>
                    <w:rPr>
                      <w:rFonts w:hint="eastAsia" w:ascii="Times New Roman" w:hAnsi="Times New Roman" w:eastAsia="宋体" w:cs="Times New Roman"/>
                      <w:b/>
                      <w:bCs/>
                      <w:color w:val="auto"/>
                      <w:kern w:val="2"/>
                      <w:sz w:val="21"/>
                      <w:szCs w:val="21"/>
                      <w:highlight w:val="none"/>
                      <w:lang w:val="en-US" w:eastAsia="zh-CN" w:bidi="ar"/>
                    </w:rPr>
                    <w:t>特性</w:t>
                  </w:r>
                </w:p>
              </w:tc>
              <w:tc>
                <w:tcPr>
                  <w:tcW w:w="854" w:type="pct"/>
                  <w:tcBorders>
                    <w:tl2br w:val="nil"/>
                    <w:tr2bl w:val="nil"/>
                  </w:tcBorders>
                  <w:noWrap w:val="0"/>
                  <w:vAlign w:val="center"/>
                </w:tcPr>
                <w:p w14:paraId="0BF136BE">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排放/</w:t>
                  </w:r>
                  <w:r>
                    <w:rPr>
                      <w:rFonts w:hint="eastAsia" w:ascii="宋体" w:hAnsi="宋体" w:eastAsia="宋体" w:cs="宋体"/>
                      <w:b/>
                      <w:bCs/>
                      <w:color w:val="auto"/>
                      <w:kern w:val="2"/>
                      <w:sz w:val="21"/>
                      <w:szCs w:val="21"/>
                      <w:highlight w:val="none"/>
                      <w:lang w:val="en-US" w:eastAsia="zh-CN" w:bidi="ar"/>
                    </w:rPr>
                    <w:t>处理方式</w:t>
                  </w:r>
                </w:p>
              </w:tc>
              <w:tc>
                <w:tcPr>
                  <w:tcW w:w="459" w:type="pct"/>
                  <w:tcBorders>
                    <w:tl2br w:val="nil"/>
                    <w:tr2bl w:val="nil"/>
                  </w:tcBorders>
                  <w:noWrap w:val="0"/>
                  <w:vAlign w:val="center"/>
                </w:tcPr>
                <w:p w14:paraId="550007F4">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产生量t/a</w:t>
                  </w:r>
                </w:p>
              </w:tc>
            </w:tr>
            <w:tr w14:paraId="08354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1DEC387E">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w:t>
                  </w:r>
                </w:p>
              </w:tc>
              <w:tc>
                <w:tcPr>
                  <w:tcW w:w="611" w:type="pct"/>
                  <w:tcBorders>
                    <w:tl2br w:val="nil"/>
                    <w:tr2bl w:val="nil"/>
                  </w:tcBorders>
                  <w:noWrap w:val="0"/>
                  <w:vAlign w:val="center"/>
                </w:tcPr>
                <w:p w14:paraId="563A06DD">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废包装材料</w:t>
                  </w:r>
                </w:p>
              </w:tc>
              <w:tc>
                <w:tcPr>
                  <w:tcW w:w="397" w:type="pct"/>
                  <w:tcBorders>
                    <w:tl2br w:val="nil"/>
                    <w:tr2bl w:val="nil"/>
                  </w:tcBorders>
                  <w:noWrap w:val="0"/>
                  <w:vAlign w:val="center"/>
                </w:tcPr>
                <w:p w14:paraId="4F9546BF">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产品包装</w:t>
                  </w:r>
                </w:p>
              </w:tc>
              <w:tc>
                <w:tcPr>
                  <w:tcW w:w="429" w:type="pct"/>
                  <w:tcBorders>
                    <w:tl2br w:val="nil"/>
                    <w:tr2bl w:val="nil"/>
                  </w:tcBorders>
                  <w:noWrap w:val="0"/>
                  <w:vAlign w:val="center"/>
                </w:tcPr>
                <w:p w14:paraId="481DE0E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1E321FEC">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金属、纸板等</w:t>
                  </w:r>
                </w:p>
              </w:tc>
              <w:tc>
                <w:tcPr>
                  <w:tcW w:w="927" w:type="pct"/>
                  <w:tcBorders>
                    <w:tl2br w:val="nil"/>
                    <w:tr2bl w:val="nil"/>
                  </w:tcBorders>
                  <w:noWrap w:val="0"/>
                  <w:vAlign w:val="center"/>
                </w:tcPr>
                <w:p w14:paraId="0B731841">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rPr>
                  </w:pPr>
                  <w:r>
                    <w:rPr>
                      <w:rFonts w:hint="default"/>
                      <w:color w:val="auto"/>
                      <w:highlight w:val="none"/>
                      <w:lang w:val="en-US" w:eastAsia="zh-CN"/>
                    </w:rPr>
                    <w:t>一般固废</w:t>
                  </w:r>
                  <w:r>
                    <w:rPr>
                      <w:rFonts w:hint="default" w:ascii="Times New Roman" w:hAnsi="Times New Roman" w:eastAsia="宋体" w:cs="Times New Roman"/>
                      <w:color w:val="auto"/>
                      <w:sz w:val="21"/>
                      <w:szCs w:val="21"/>
                      <w:highlight w:val="none"/>
                      <w:lang w:val="en-US" w:eastAsia="zh-CN"/>
                    </w:rPr>
                    <w:t>900-</w:t>
                  </w:r>
                  <w:r>
                    <w:rPr>
                      <w:rFonts w:hint="eastAsia" w:ascii="Times New Roman" w:hAnsi="Times New Roman" w:eastAsia="宋体" w:cs="Times New Roman"/>
                      <w:color w:val="auto"/>
                      <w:sz w:val="21"/>
                      <w:szCs w:val="21"/>
                      <w:highlight w:val="none"/>
                      <w:lang w:val="en-US" w:eastAsia="zh-CN"/>
                    </w:rPr>
                    <w:t>005-</w:t>
                  </w:r>
                  <w:r>
                    <w:rPr>
                      <w:rFonts w:hint="eastAsia"/>
                      <w:color w:val="auto"/>
                      <w:highlight w:val="none"/>
                      <w:lang w:val="en-US" w:eastAsia="zh-CN"/>
                    </w:rPr>
                    <w:t>S17</w:t>
                  </w:r>
                </w:p>
              </w:tc>
              <w:tc>
                <w:tcPr>
                  <w:tcW w:w="473" w:type="pct"/>
                  <w:tcBorders>
                    <w:tl2br w:val="nil"/>
                    <w:tr2bl w:val="nil"/>
                  </w:tcBorders>
                  <w:noWrap w:val="0"/>
                  <w:vAlign w:val="center"/>
                </w:tcPr>
                <w:p w14:paraId="11F0906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p>
              </w:tc>
              <w:tc>
                <w:tcPr>
                  <w:tcW w:w="854" w:type="pct"/>
                  <w:tcBorders>
                    <w:tl2br w:val="nil"/>
                    <w:tr2bl w:val="nil"/>
                  </w:tcBorders>
                  <w:noWrap w:val="0"/>
                  <w:vAlign w:val="center"/>
                </w:tcPr>
                <w:p w14:paraId="7166D5F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rPr>
                  </w:pPr>
                  <w:r>
                    <w:rPr>
                      <w:rFonts w:hint="default" w:ascii="Times New Roman" w:hAnsi="Times New Roman" w:eastAsia="宋体" w:cs="Times New Roman"/>
                      <w:color w:val="auto"/>
                      <w:kern w:val="2"/>
                      <w:sz w:val="21"/>
                      <w:szCs w:val="21"/>
                      <w:highlight w:val="none"/>
                      <w:lang w:val="en-US" w:eastAsia="zh-CN" w:bidi="ar"/>
                    </w:rPr>
                    <w:t>统一收集后外售</w:t>
                  </w:r>
                  <w:r>
                    <w:rPr>
                      <w:rFonts w:hint="eastAsia" w:ascii="Times New Roman" w:hAnsi="Times New Roman" w:eastAsia="宋体" w:cs="Times New Roman"/>
                      <w:color w:val="auto"/>
                      <w:kern w:val="2"/>
                      <w:sz w:val="21"/>
                      <w:szCs w:val="21"/>
                      <w:highlight w:val="none"/>
                      <w:lang w:val="en-US" w:eastAsia="zh-CN" w:bidi="ar"/>
                    </w:rPr>
                    <w:t>至废品回收站</w:t>
                  </w:r>
                </w:p>
              </w:tc>
              <w:tc>
                <w:tcPr>
                  <w:tcW w:w="459" w:type="pct"/>
                  <w:tcBorders>
                    <w:tl2br w:val="nil"/>
                    <w:tr2bl w:val="nil"/>
                  </w:tcBorders>
                  <w:noWrap w:val="0"/>
                  <w:vAlign w:val="center"/>
                </w:tcPr>
                <w:p w14:paraId="49D3642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0.5</w:t>
                  </w:r>
                </w:p>
              </w:tc>
            </w:tr>
            <w:tr w14:paraId="5D8CB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2483F1CF">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2</w:t>
                  </w:r>
                </w:p>
              </w:tc>
              <w:tc>
                <w:tcPr>
                  <w:tcW w:w="611" w:type="pct"/>
                  <w:tcBorders>
                    <w:tl2br w:val="nil"/>
                    <w:tr2bl w:val="nil"/>
                  </w:tcBorders>
                  <w:noWrap w:val="0"/>
                  <w:vAlign w:val="center"/>
                </w:tcPr>
                <w:p w14:paraId="18FA9150">
                  <w:pPr>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outlineLvl w:val="9"/>
                    <w:rPr>
                      <w:rFonts w:hint="eastAsia" w:ascii="宋体" w:hAnsi="宋体" w:eastAsia="宋体" w:cs="宋体"/>
                      <w:color w:val="auto"/>
                      <w:kern w:val="0"/>
                      <w:sz w:val="24"/>
                      <w:szCs w:val="24"/>
                      <w:highlight w:val="none"/>
                      <w:lang w:val="en-US" w:eastAsia="zh-CN" w:bidi="ar"/>
                    </w:rPr>
                  </w:pPr>
                  <w:r>
                    <w:rPr>
                      <w:rFonts w:hint="default" w:ascii="Times New Roman" w:hAnsi="Times New Roman" w:eastAsia="宋体" w:cs="Times New Roman"/>
                      <w:color w:val="auto"/>
                      <w:kern w:val="2"/>
                      <w:sz w:val="21"/>
                      <w:szCs w:val="21"/>
                      <w:highlight w:val="none"/>
                      <w:lang w:val="en-US" w:eastAsia="zh-CN"/>
                    </w:rPr>
                    <w:t>边角料</w:t>
                  </w:r>
                  <w:r>
                    <w:rPr>
                      <w:rFonts w:hint="eastAsia" w:ascii="Times New Roman" w:hAnsi="Times New Roman" w:eastAsia="宋体" w:cs="Times New Roman"/>
                      <w:color w:val="auto"/>
                      <w:kern w:val="2"/>
                      <w:sz w:val="21"/>
                      <w:szCs w:val="21"/>
                      <w:highlight w:val="none"/>
                      <w:lang w:val="en-US" w:eastAsia="zh-CN"/>
                    </w:rPr>
                    <w:t>及不合格产品</w:t>
                  </w:r>
                </w:p>
              </w:tc>
              <w:tc>
                <w:tcPr>
                  <w:tcW w:w="397" w:type="pct"/>
                  <w:tcBorders>
                    <w:tl2br w:val="nil"/>
                    <w:tr2bl w:val="nil"/>
                  </w:tcBorders>
                  <w:noWrap w:val="0"/>
                  <w:vAlign w:val="center"/>
                </w:tcPr>
                <w:p w14:paraId="0957730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生产过程</w:t>
                  </w:r>
                </w:p>
              </w:tc>
              <w:tc>
                <w:tcPr>
                  <w:tcW w:w="429" w:type="pct"/>
                  <w:tcBorders>
                    <w:tl2br w:val="nil"/>
                    <w:tr2bl w:val="nil"/>
                  </w:tcBorders>
                  <w:noWrap w:val="0"/>
                  <w:vAlign w:val="center"/>
                </w:tcPr>
                <w:p w14:paraId="2C9FC98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3B060093">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塑料</w:t>
                  </w:r>
                </w:p>
              </w:tc>
              <w:tc>
                <w:tcPr>
                  <w:tcW w:w="927" w:type="pct"/>
                  <w:tcBorders>
                    <w:tl2br w:val="nil"/>
                    <w:tr2bl w:val="nil"/>
                  </w:tcBorders>
                  <w:noWrap w:val="0"/>
                  <w:vAlign w:val="center"/>
                </w:tcPr>
                <w:p w14:paraId="369F35F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一般固废</w:t>
                  </w:r>
                  <w:r>
                    <w:rPr>
                      <w:rFonts w:hint="default" w:ascii="Times New Roman" w:hAnsi="Times New Roman" w:eastAsia="宋体" w:cs="Times New Roman"/>
                      <w:color w:val="auto"/>
                      <w:sz w:val="21"/>
                      <w:szCs w:val="21"/>
                      <w:highlight w:val="none"/>
                      <w:lang w:val="en-US" w:eastAsia="zh-CN"/>
                    </w:rPr>
                    <w:t>900-</w:t>
                  </w:r>
                  <w:r>
                    <w:rPr>
                      <w:rFonts w:hint="eastAsia" w:ascii="Times New Roman" w:hAnsi="Times New Roman" w:eastAsia="宋体" w:cs="Times New Roman"/>
                      <w:color w:val="auto"/>
                      <w:sz w:val="21"/>
                      <w:szCs w:val="21"/>
                      <w:highlight w:val="none"/>
                      <w:lang w:val="en-US" w:eastAsia="zh-CN"/>
                    </w:rPr>
                    <w:t>003-</w:t>
                  </w:r>
                  <w:r>
                    <w:rPr>
                      <w:rFonts w:hint="eastAsia"/>
                      <w:color w:val="auto"/>
                      <w:highlight w:val="none"/>
                      <w:lang w:val="en-US" w:eastAsia="zh-CN"/>
                    </w:rPr>
                    <w:t>S17</w:t>
                  </w:r>
                </w:p>
              </w:tc>
              <w:tc>
                <w:tcPr>
                  <w:tcW w:w="473" w:type="pct"/>
                  <w:tcBorders>
                    <w:tl2br w:val="nil"/>
                    <w:tr2bl w:val="nil"/>
                  </w:tcBorders>
                  <w:noWrap w:val="0"/>
                  <w:vAlign w:val="center"/>
                </w:tcPr>
                <w:p w14:paraId="4E75525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p>
              </w:tc>
              <w:tc>
                <w:tcPr>
                  <w:tcW w:w="854" w:type="pct"/>
                  <w:tcBorders>
                    <w:tl2br w:val="nil"/>
                    <w:tr2bl w:val="nil"/>
                  </w:tcBorders>
                  <w:noWrap w:val="0"/>
                  <w:vAlign w:val="center"/>
                </w:tcPr>
                <w:p w14:paraId="3D6D70F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集中收集后以废品形式外售</w:t>
                  </w:r>
                </w:p>
              </w:tc>
              <w:tc>
                <w:tcPr>
                  <w:tcW w:w="459" w:type="pct"/>
                  <w:tcBorders>
                    <w:tl2br w:val="nil"/>
                    <w:tr2bl w:val="nil"/>
                  </w:tcBorders>
                  <w:noWrap w:val="0"/>
                  <w:vAlign w:val="center"/>
                </w:tcPr>
                <w:p w14:paraId="6A5204B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r>
                    <w:rPr>
                      <w:rFonts w:hint="eastAsia" w:ascii="Times New Roman" w:hAnsi="Times New Roman" w:eastAsia="宋体" w:cs="Times New Roman"/>
                      <w:color w:val="auto"/>
                      <w:kern w:val="2"/>
                      <w:sz w:val="21"/>
                      <w:szCs w:val="21"/>
                      <w:highlight w:val="none"/>
                      <w:lang w:val="en-US" w:eastAsia="zh-CN" w:bidi="ar-SA"/>
                    </w:rPr>
                    <w:t>0.0</w:t>
                  </w:r>
                </w:p>
              </w:tc>
            </w:tr>
            <w:tr w14:paraId="4336F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2" w:hRule="atLeast"/>
                <w:jc w:val="center"/>
              </w:trPr>
              <w:tc>
                <w:tcPr>
                  <w:tcW w:w="227" w:type="pct"/>
                  <w:tcBorders>
                    <w:tl2br w:val="nil"/>
                    <w:tr2bl w:val="nil"/>
                  </w:tcBorders>
                  <w:noWrap w:val="0"/>
                  <w:vAlign w:val="center"/>
                </w:tcPr>
                <w:p w14:paraId="2120BD5F">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w:t>
                  </w:r>
                </w:p>
              </w:tc>
              <w:tc>
                <w:tcPr>
                  <w:tcW w:w="611" w:type="pct"/>
                  <w:tcBorders>
                    <w:tl2br w:val="nil"/>
                    <w:tr2bl w:val="nil"/>
                  </w:tcBorders>
                  <w:noWrap w:val="0"/>
                  <w:vAlign w:val="center"/>
                </w:tcPr>
                <w:p w14:paraId="60510C52">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废润滑油</w:t>
                  </w:r>
                </w:p>
              </w:tc>
              <w:tc>
                <w:tcPr>
                  <w:tcW w:w="397" w:type="pct"/>
                  <w:tcBorders>
                    <w:tl2br w:val="nil"/>
                    <w:tr2bl w:val="nil"/>
                  </w:tcBorders>
                  <w:noWrap w:val="0"/>
                  <w:vAlign w:val="center"/>
                </w:tcPr>
                <w:p w14:paraId="29E038A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设备维护</w:t>
                  </w:r>
                </w:p>
              </w:tc>
              <w:tc>
                <w:tcPr>
                  <w:tcW w:w="429" w:type="pct"/>
                  <w:tcBorders>
                    <w:tl2br w:val="nil"/>
                    <w:tr2bl w:val="nil"/>
                  </w:tcBorders>
                  <w:noWrap w:val="0"/>
                  <w:vAlign w:val="center"/>
                </w:tcPr>
                <w:p w14:paraId="57894DD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液态</w:t>
                  </w:r>
                </w:p>
              </w:tc>
              <w:tc>
                <w:tcPr>
                  <w:tcW w:w="618" w:type="pct"/>
                  <w:tcBorders>
                    <w:tl2br w:val="nil"/>
                    <w:tr2bl w:val="nil"/>
                  </w:tcBorders>
                  <w:noWrap w:val="0"/>
                  <w:vAlign w:val="center"/>
                </w:tcPr>
                <w:p w14:paraId="2891BB83">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矿物油</w:t>
                  </w:r>
                </w:p>
              </w:tc>
              <w:tc>
                <w:tcPr>
                  <w:tcW w:w="927" w:type="pct"/>
                  <w:tcBorders>
                    <w:tl2br w:val="nil"/>
                    <w:tr2bl w:val="nil"/>
                  </w:tcBorders>
                  <w:noWrap w:val="0"/>
                  <w:vAlign w:val="center"/>
                </w:tcPr>
                <w:p w14:paraId="6B3384B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危险废物</w:t>
                  </w:r>
                  <w:r>
                    <w:rPr>
                      <w:rFonts w:hint="default" w:ascii="Times New Roman" w:hAnsi="Times New Roman" w:eastAsia="宋体" w:cs="Times New Roman"/>
                      <w:color w:val="auto"/>
                      <w:kern w:val="2"/>
                      <w:sz w:val="21"/>
                      <w:szCs w:val="21"/>
                      <w:highlight w:val="none"/>
                      <w:lang w:val="en-US" w:eastAsia="zh-CN" w:bidi="ar"/>
                    </w:rPr>
                    <w:t>HW08</w:t>
                  </w:r>
                </w:p>
                <w:p w14:paraId="25EDF6B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900-</w:t>
                  </w:r>
                  <w:r>
                    <w:rPr>
                      <w:rFonts w:hint="eastAsia" w:ascii="Times New Roman" w:hAnsi="Times New Roman" w:eastAsia="宋体" w:cs="Times New Roman"/>
                      <w:color w:val="auto"/>
                      <w:kern w:val="2"/>
                      <w:sz w:val="21"/>
                      <w:szCs w:val="21"/>
                      <w:highlight w:val="none"/>
                      <w:lang w:val="en-US" w:eastAsia="zh-CN" w:bidi="ar"/>
                    </w:rPr>
                    <w:t>209</w:t>
                  </w: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08</w:t>
                  </w:r>
                </w:p>
              </w:tc>
              <w:tc>
                <w:tcPr>
                  <w:tcW w:w="473" w:type="pct"/>
                  <w:tcBorders>
                    <w:tl2br w:val="nil"/>
                    <w:tr2bl w:val="nil"/>
                  </w:tcBorders>
                  <w:noWrap w:val="0"/>
                  <w:vAlign w:val="center"/>
                </w:tcPr>
                <w:p w14:paraId="734C5C2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有毒、有害</w:t>
                  </w:r>
                </w:p>
              </w:tc>
              <w:tc>
                <w:tcPr>
                  <w:tcW w:w="854" w:type="pct"/>
                  <w:vMerge w:val="restart"/>
                  <w:tcBorders>
                    <w:tl2br w:val="nil"/>
                    <w:tr2bl w:val="nil"/>
                  </w:tcBorders>
                  <w:noWrap w:val="0"/>
                  <w:vAlign w:val="center"/>
                </w:tcPr>
                <w:p w14:paraId="463BBB7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暂存于危险废物贮存库，</w:t>
                  </w:r>
                  <w:r>
                    <w:rPr>
                      <w:rFonts w:hint="default" w:ascii="Times New Roman" w:hAnsi="Times New Roman" w:eastAsia="宋体" w:cs="Times New Roman"/>
                      <w:color w:val="auto"/>
                      <w:kern w:val="2"/>
                      <w:sz w:val="21"/>
                      <w:szCs w:val="21"/>
                      <w:highlight w:val="none"/>
                      <w:lang w:val="en-US" w:eastAsia="zh-CN" w:bidi="ar"/>
                    </w:rPr>
                    <w:t>交由有资质单位</w:t>
                  </w:r>
                  <w:r>
                    <w:rPr>
                      <w:rFonts w:hint="eastAsia" w:ascii="Times New Roman" w:hAnsi="Times New Roman" w:eastAsia="宋体" w:cs="Times New Roman"/>
                      <w:color w:val="auto"/>
                      <w:kern w:val="2"/>
                      <w:sz w:val="21"/>
                      <w:szCs w:val="21"/>
                      <w:highlight w:val="none"/>
                      <w:lang w:val="en-US" w:eastAsia="zh-CN" w:bidi="ar"/>
                    </w:rPr>
                    <w:t>处置</w:t>
                  </w:r>
                </w:p>
              </w:tc>
              <w:tc>
                <w:tcPr>
                  <w:tcW w:w="459" w:type="pct"/>
                  <w:vMerge w:val="restart"/>
                  <w:tcBorders>
                    <w:tl2br w:val="nil"/>
                    <w:tr2bl w:val="nil"/>
                  </w:tcBorders>
                  <w:noWrap w:val="0"/>
                  <w:vAlign w:val="center"/>
                </w:tcPr>
                <w:p w14:paraId="45E35940">
                  <w:pPr>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0.</w:t>
                  </w:r>
                  <w:r>
                    <w:rPr>
                      <w:rFonts w:hint="eastAsia" w:cs="Times New Roman"/>
                      <w:color w:val="auto"/>
                      <w:kern w:val="2"/>
                      <w:sz w:val="21"/>
                      <w:szCs w:val="21"/>
                      <w:highlight w:val="none"/>
                      <w:lang w:val="en-US" w:eastAsia="zh-CN" w:bidi="ar"/>
                    </w:rPr>
                    <w:t>2</w:t>
                  </w:r>
                </w:p>
              </w:tc>
            </w:tr>
            <w:tr w14:paraId="74633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5E448AB8">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611" w:type="pct"/>
                  <w:tcBorders>
                    <w:tl2br w:val="nil"/>
                    <w:tr2bl w:val="nil"/>
                  </w:tcBorders>
                  <w:noWrap w:val="0"/>
                  <w:vAlign w:val="center"/>
                </w:tcPr>
                <w:p w14:paraId="40CD160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废润滑油桶</w:t>
                  </w:r>
                </w:p>
              </w:tc>
              <w:tc>
                <w:tcPr>
                  <w:tcW w:w="397" w:type="pct"/>
                  <w:tcBorders>
                    <w:tl2br w:val="nil"/>
                    <w:tr2bl w:val="nil"/>
                  </w:tcBorders>
                  <w:noWrap w:val="0"/>
                  <w:vAlign w:val="center"/>
                </w:tcPr>
                <w:p w14:paraId="2509C23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设备维护</w:t>
                  </w:r>
                </w:p>
              </w:tc>
              <w:tc>
                <w:tcPr>
                  <w:tcW w:w="429" w:type="pct"/>
                  <w:tcBorders>
                    <w:tl2br w:val="nil"/>
                    <w:tr2bl w:val="nil"/>
                  </w:tcBorders>
                  <w:noWrap w:val="0"/>
                  <w:vAlign w:val="center"/>
                </w:tcPr>
                <w:p w14:paraId="1E6209E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56C6DF2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
                    </w:rPr>
                    <w:t>润滑</w:t>
                  </w:r>
                  <w:r>
                    <w:rPr>
                      <w:rFonts w:hint="eastAsia" w:ascii="Times New Roman" w:hAnsi="Times New Roman" w:eastAsia="宋体" w:cs="Times New Roman"/>
                      <w:color w:val="auto"/>
                      <w:kern w:val="2"/>
                      <w:sz w:val="21"/>
                      <w:szCs w:val="21"/>
                      <w:highlight w:val="none"/>
                      <w:lang w:val="en-US" w:eastAsia="zh-CN" w:bidi="ar"/>
                    </w:rPr>
                    <w:t>油、塑料等</w:t>
                  </w:r>
                </w:p>
              </w:tc>
              <w:tc>
                <w:tcPr>
                  <w:tcW w:w="927" w:type="pct"/>
                  <w:tcBorders>
                    <w:tl2br w:val="nil"/>
                    <w:tr2bl w:val="nil"/>
                  </w:tcBorders>
                  <w:noWrap w:val="0"/>
                  <w:vAlign w:val="center"/>
                </w:tcPr>
                <w:p w14:paraId="56A2F769">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危险废物</w:t>
                  </w:r>
                  <w:r>
                    <w:rPr>
                      <w:rFonts w:hint="default" w:ascii="Times New Roman" w:hAnsi="Times New Roman" w:eastAsia="宋体" w:cs="Times New Roman"/>
                      <w:color w:val="auto"/>
                      <w:kern w:val="2"/>
                      <w:sz w:val="21"/>
                      <w:szCs w:val="21"/>
                      <w:highlight w:val="none"/>
                      <w:lang w:val="en-US" w:eastAsia="zh-CN" w:bidi="ar"/>
                    </w:rPr>
                    <w:t>HW08</w:t>
                  </w:r>
                </w:p>
                <w:p w14:paraId="382D42DD">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900-</w:t>
                  </w:r>
                  <w:r>
                    <w:rPr>
                      <w:rFonts w:hint="eastAsia" w:ascii="Times New Roman" w:hAnsi="Times New Roman" w:eastAsia="宋体" w:cs="Times New Roman"/>
                      <w:color w:val="auto"/>
                      <w:kern w:val="2"/>
                      <w:sz w:val="21"/>
                      <w:szCs w:val="21"/>
                      <w:highlight w:val="none"/>
                      <w:lang w:val="en-US" w:eastAsia="zh-CN" w:bidi="ar"/>
                    </w:rPr>
                    <w:t>249</w:t>
                  </w: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08</w:t>
                  </w:r>
                </w:p>
              </w:tc>
              <w:tc>
                <w:tcPr>
                  <w:tcW w:w="473" w:type="pct"/>
                  <w:tcBorders>
                    <w:tl2br w:val="nil"/>
                    <w:tr2bl w:val="nil"/>
                  </w:tcBorders>
                  <w:noWrap w:val="0"/>
                  <w:vAlign w:val="center"/>
                </w:tcPr>
                <w:p w14:paraId="7EEC001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有毒、有害</w:t>
                  </w:r>
                </w:p>
              </w:tc>
              <w:tc>
                <w:tcPr>
                  <w:tcW w:w="854" w:type="pct"/>
                  <w:vMerge w:val="continue"/>
                  <w:tcBorders>
                    <w:tl2br w:val="nil"/>
                    <w:tr2bl w:val="nil"/>
                  </w:tcBorders>
                  <w:noWrap w:val="0"/>
                  <w:vAlign w:val="center"/>
                </w:tcPr>
                <w:p w14:paraId="010BF522">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459" w:type="pct"/>
                  <w:vMerge w:val="continue"/>
                  <w:tcBorders>
                    <w:tl2br w:val="nil"/>
                    <w:tr2bl w:val="nil"/>
                  </w:tcBorders>
                  <w:noWrap w:val="0"/>
                  <w:vAlign w:val="center"/>
                </w:tcPr>
                <w:p w14:paraId="7CCA38B0">
                  <w:pPr>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28D7A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0FC6193D">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w:t>
                  </w:r>
                </w:p>
              </w:tc>
              <w:tc>
                <w:tcPr>
                  <w:tcW w:w="611" w:type="pct"/>
                  <w:tcBorders>
                    <w:tl2br w:val="nil"/>
                    <w:tr2bl w:val="nil"/>
                  </w:tcBorders>
                  <w:noWrap w:val="0"/>
                  <w:vAlign w:val="center"/>
                </w:tcPr>
                <w:p w14:paraId="403466A3">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废油抹布及手套</w:t>
                  </w:r>
                </w:p>
              </w:tc>
              <w:tc>
                <w:tcPr>
                  <w:tcW w:w="397" w:type="pct"/>
                  <w:tcBorders>
                    <w:tl2br w:val="nil"/>
                    <w:tr2bl w:val="nil"/>
                  </w:tcBorders>
                  <w:noWrap w:val="0"/>
                  <w:vAlign w:val="center"/>
                </w:tcPr>
                <w:p w14:paraId="15C440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lang w:val="en-US" w:eastAsia="zh-CN" w:bidi="ar"/>
                    </w:rPr>
                    <w:t>设备维护</w:t>
                  </w:r>
                </w:p>
              </w:tc>
              <w:tc>
                <w:tcPr>
                  <w:tcW w:w="429" w:type="pct"/>
                  <w:tcBorders>
                    <w:tl2br w:val="nil"/>
                    <w:tr2bl w:val="nil"/>
                  </w:tcBorders>
                  <w:noWrap w:val="0"/>
                  <w:vAlign w:val="center"/>
                </w:tcPr>
                <w:p w14:paraId="5A2FC0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lang w:val="en-US" w:eastAsia="zh-CN" w:bidi="ar"/>
                    </w:rPr>
                    <w:t>固态</w:t>
                  </w:r>
                </w:p>
              </w:tc>
              <w:tc>
                <w:tcPr>
                  <w:tcW w:w="618" w:type="pct"/>
                  <w:tcBorders>
                    <w:tl2br w:val="nil"/>
                    <w:tr2bl w:val="nil"/>
                  </w:tcBorders>
                  <w:noWrap w:val="0"/>
                  <w:vAlign w:val="center"/>
                </w:tcPr>
                <w:p w14:paraId="105EE8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rPr>
                  </w:pPr>
                  <w:r>
                    <w:rPr>
                      <w:rFonts w:hint="default" w:ascii="Times New Roman" w:hAnsi="Times New Roman" w:eastAsia="宋体" w:cs="Times New Roman"/>
                      <w:color w:val="auto"/>
                      <w:kern w:val="2"/>
                      <w:sz w:val="21"/>
                      <w:szCs w:val="21"/>
                      <w:lang w:val="en-US" w:eastAsia="zh-CN" w:bidi="ar"/>
                    </w:rPr>
                    <w:t>废油</w:t>
                  </w:r>
                  <w:r>
                    <w:rPr>
                      <w:rFonts w:hint="eastAsia" w:ascii="Times New Roman" w:hAnsi="Times New Roman" w:eastAsia="宋体" w:cs="Times New Roman"/>
                      <w:color w:val="auto"/>
                      <w:kern w:val="2"/>
                      <w:sz w:val="21"/>
                      <w:szCs w:val="21"/>
                      <w:lang w:val="en-US" w:eastAsia="zh-CN" w:bidi="ar"/>
                    </w:rPr>
                    <w:t>等</w:t>
                  </w:r>
                </w:p>
              </w:tc>
              <w:tc>
                <w:tcPr>
                  <w:tcW w:w="927" w:type="pct"/>
                  <w:tcBorders>
                    <w:tl2br w:val="nil"/>
                    <w:tr2bl w:val="nil"/>
                  </w:tcBorders>
                  <w:noWrap w:val="0"/>
                  <w:vAlign w:val="center"/>
                </w:tcPr>
                <w:p w14:paraId="21DF74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color w:val="auto"/>
                      <w:kern w:val="2"/>
                      <w:sz w:val="21"/>
                      <w:szCs w:val="21"/>
                      <w:lang w:val="en-US" w:eastAsia="zh-CN" w:bidi="ar"/>
                    </w:rPr>
                    <w:t>危险废物HW49</w:t>
                  </w:r>
                </w:p>
                <w:p w14:paraId="51AB5E0D">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lang w:val="en-US" w:eastAsia="zh-CN" w:bidi="ar"/>
                    </w:rPr>
                    <w:t>900-041-49</w:t>
                  </w:r>
                </w:p>
              </w:tc>
              <w:tc>
                <w:tcPr>
                  <w:tcW w:w="473" w:type="pct"/>
                  <w:tcBorders>
                    <w:tl2br w:val="nil"/>
                    <w:tr2bl w:val="nil"/>
                  </w:tcBorders>
                  <w:noWrap w:val="0"/>
                  <w:vAlign w:val="center"/>
                </w:tcPr>
                <w:p w14:paraId="0395F638">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有毒、有害</w:t>
                  </w:r>
                </w:p>
              </w:tc>
              <w:tc>
                <w:tcPr>
                  <w:tcW w:w="854" w:type="pct"/>
                  <w:vMerge w:val="continue"/>
                  <w:tcBorders>
                    <w:tl2br w:val="nil"/>
                    <w:tr2bl w:val="nil"/>
                  </w:tcBorders>
                  <w:noWrap w:val="0"/>
                  <w:vAlign w:val="center"/>
                </w:tcPr>
                <w:p w14:paraId="521C74B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p>
              </w:tc>
              <w:tc>
                <w:tcPr>
                  <w:tcW w:w="459" w:type="pct"/>
                  <w:tcBorders>
                    <w:tl2br w:val="nil"/>
                    <w:tr2bl w:val="nil"/>
                  </w:tcBorders>
                  <w:noWrap w:val="0"/>
                  <w:vAlign w:val="center"/>
                </w:tcPr>
                <w:p w14:paraId="45CCF46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0.01</w:t>
                  </w:r>
                </w:p>
              </w:tc>
            </w:tr>
            <w:tr w14:paraId="39D0D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4BBA5B53">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p>
              </w:tc>
              <w:tc>
                <w:tcPr>
                  <w:tcW w:w="611" w:type="pct"/>
                  <w:tcBorders>
                    <w:tl2br w:val="nil"/>
                    <w:tr2bl w:val="nil"/>
                  </w:tcBorders>
                  <w:noWrap w:val="0"/>
                  <w:vAlign w:val="center"/>
                </w:tcPr>
                <w:p w14:paraId="1F4AD26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废活性炭</w:t>
                  </w:r>
                </w:p>
              </w:tc>
              <w:tc>
                <w:tcPr>
                  <w:tcW w:w="397" w:type="pct"/>
                  <w:tcBorders>
                    <w:tl2br w:val="nil"/>
                    <w:tr2bl w:val="nil"/>
                  </w:tcBorders>
                  <w:noWrap w:val="0"/>
                  <w:vAlign w:val="center"/>
                </w:tcPr>
                <w:p w14:paraId="10BD2549">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废气处理</w:t>
                  </w:r>
                </w:p>
              </w:tc>
              <w:tc>
                <w:tcPr>
                  <w:tcW w:w="429" w:type="pct"/>
                  <w:tcBorders>
                    <w:tl2br w:val="nil"/>
                    <w:tr2bl w:val="nil"/>
                  </w:tcBorders>
                  <w:noWrap w:val="0"/>
                  <w:vAlign w:val="center"/>
                </w:tcPr>
                <w:p w14:paraId="26CF5DD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7B35932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活性炭</w:t>
                  </w:r>
                  <w:r>
                    <w:rPr>
                      <w:rFonts w:hint="eastAsia" w:ascii="Times New Roman" w:hAnsi="Times New Roman" w:eastAsia="宋体" w:cs="Times New Roman"/>
                      <w:color w:val="auto"/>
                      <w:kern w:val="2"/>
                      <w:sz w:val="21"/>
                      <w:szCs w:val="21"/>
                      <w:highlight w:val="none"/>
                      <w:lang w:val="en-US" w:eastAsia="zh-CN" w:bidi="ar"/>
                    </w:rPr>
                    <w:t>和烃类</w:t>
                  </w:r>
                </w:p>
              </w:tc>
              <w:tc>
                <w:tcPr>
                  <w:tcW w:w="927" w:type="pct"/>
                  <w:tcBorders>
                    <w:tl2br w:val="nil"/>
                    <w:tr2bl w:val="nil"/>
                  </w:tcBorders>
                  <w:noWrap w:val="0"/>
                  <w:vAlign w:val="center"/>
                </w:tcPr>
                <w:p w14:paraId="20ABDBA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危险废物HW</w:t>
                  </w:r>
                  <w:r>
                    <w:rPr>
                      <w:rFonts w:hint="eastAsia" w:ascii="Times New Roman" w:hAnsi="Times New Roman" w:eastAsia="宋体" w:cs="Times New Roman"/>
                      <w:color w:val="auto"/>
                      <w:kern w:val="2"/>
                      <w:sz w:val="21"/>
                      <w:szCs w:val="21"/>
                      <w:highlight w:val="none"/>
                      <w:lang w:val="en-US" w:eastAsia="zh-CN" w:bidi="ar"/>
                    </w:rPr>
                    <w:t>49</w:t>
                  </w:r>
                </w:p>
                <w:p w14:paraId="5635EAC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900-</w:t>
                  </w:r>
                  <w:r>
                    <w:rPr>
                      <w:rFonts w:hint="eastAsia" w:ascii="Times New Roman" w:hAnsi="Times New Roman" w:eastAsia="宋体" w:cs="Times New Roman"/>
                      <w:color w:val="auto"/>
                      <w:kern w:val="2"/>
                      <w:sz w:val="21"/>
                      <w:szCs w:val="21"/>
                      <w:highlight w:val="none"/>
                      <w:lang w:val="en-US" w:eastAsia="zh-CN" w:bidi="ar"/>
                    </w:rPr>
                    <w:t>039</w:t>
                  </w: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49</w:t>
                  </w:r>
                </w:p>
              </w:tc>
              <w:tc>
                <w:tcPr>
                  <w:tcW w:w="473" w:type="pct"/>
                  <w:tcBorders>
                    <w:tl2br w:val="nil"/>
                    <w:tr2bl w:val="nil"/>
                  </w:tcBorders>
                  <w:noWrap w:val="0"/>
                  <w:vAlign w:val="center"/>
                </w:tcPr>
                <w:p w14:paraId="56ABC4B6">
                  <w:pPr>
                    <w:keepNext w:val="0"/>
                    <w:keepLines w:val="0"/>
                    <w:pageBreakBefore w:val="0"/>
                    <w:widowControl w:val="0"/>
                    <w:shd w:val="clear" w:color="auto" w:fill="auto"/>
                    <w:kinsoku/>
                    <w:wordWrap/>
                    <w:overflowPunct/>
                    <w:topLinePunct w:val="0"/>
                    <w:autoSpaceDE/>
                    <w:autoSpaceDN/>
                    <w:bidi w:val="0"/>
                    <w:adjustRightInd/>
                    <w:snapToGrid/>
                    <w:spacing w:line="264" w:lineRule="auto"/>
                    <w:jc w:val="center"/>
                    <w:textAlignment w:val="auto"/>
                    <w:rPr>
                      <w:rFonts w:hint="eastAsia"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有毒</w:t>
                  </w:r>
                </w:p>
              </w:tc>
              <w:tc>
                <w:tcPr>
                  <w:tcW w:w="854" w:type="pct"/>
                  <w:vMerge w:val="continue"/>
                  <w:tcBorders>
                    <w:tl2br w:val="nil"/>
                    <w:tr2bl w:val="nil"/>
                  </w:tcBorders>
                  <w:noWrap w:val="0"/>
                  <w:vAlign w:val="center"/>
                </w:tcPr>
                <w:p w14:paraId="7B90054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
                    </w:rPr>
                  </w:pPr>
                </w:p>
              </w:tc>
              <w:tc>
                <w:tcPr>
                  <w:tcW w:w="459" w:type="pct"/>
                  <w:tcBorders>
                    <w:tl2br w:val="nil"/>
                    <w:tr2bl w:val="nil"/>
                  </w:tcBorders>
                  <w:noWrap w:val="0"/>
                  <w:vAlign w:val="center"/>
                </w:tcPr>
                <w:p w14:paraId="78B25C7E">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1.25</w:t>
                  </w:r>
                </w:p>
              </w:tc>
            </w:tr>
            <w:tr w14:paraId="1D2EE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4459795B">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7</w:t>
                  </w:r>
                </w:p>
              </w:tc>
              <w:tc>
                <w:tcPr>
                  <w:tcW w:w="611" w:type="pct"/>
                  <w:tcBorders>
                    <w:tl2br w:val="nil"/>
                    <w:tr2bl w:val="nil"/>
                  </w:tcBorders>
                  <w:noWrap w:val="0"/>
                  <w:vAlign w:val="center"/>
                </w:tcPr>
                <w:p w14:paraId="2581A841">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生活垃圾</w:t>
                  </w:r>
                </w:p>
              </w:tc>
              <w:tc>
                <w:tcPr>
                  <w:tcW w:w="397" w:type="pct"/>
                  <w:tcBorders>
                    <w:tl2br w:val="nil"/>
                    <w:tr2bl w:val="nil"/>
                  </w:tcBorders>
                  <w:noWrap w:val="0"/>
                  <w:vAlign w:val="center"/>
                </w:tcPr>
                <w:p w14:paraId="116F96CF">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办公</w:t>
                  </w:r>
                </w:p>
              </w:tc>
              <w:tc>
                <w:tcPr>
                  <w:tcW w:w="429" w:type="pct"/>
                  <w:tcBorders>
                    <w:tl2br w:val="nil"/>
                    <w:tr2bl w:val="nil"/>
                  </w:tcBorders>
                  <w:noWrap w:val="0"/>
                  <w:vAlign w:val="center"/>
                </w:tcPr>
                <w:p w14:paraId="1AFD09B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66490F6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废纸、果皮等</w:t>
                  </w:r>
                </w:p>
              </w:tc>
              <w:tc>
                <w:tcPr>
                  <w:tcW w:w="927" w:type="pct"/>
                  <w:tcBorders>
                    <w:tl2br w:val="nil"/>
                    <w:tr2bl w:val="nil"/>
                  </w:tcBorders>
                  <w:noWrap w:val="0"/>
                  <w:vAlign w:val="center"/>
                </w:tcPr>
                <w:p w14:paraId="66DB32C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生活垃圾</w:t>
                  </w:r>
                </w:p>
              </w:tc>
              <w:tc>
                <w:tcPr>
                  <w:tcW w:w="473" w:type="pct"/>
                  <w:tcBorders>
                    <w:tl2br w:val="nil"/>
                    <w:tr2bl w:val="nil"/>
                  </w:tcBorders>
                  <w:noWrap w:val="0"/>
                  <w:vAlign w:val="center"/>
                </w:tcPr>
                <w:p w14:paraId="1391D0D8">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p>
              </w:tc>
              <w:tc>
                <w:tcPr>
                  <w:tcW w:w="854" w:type="pct"/>
                  <w:tcBorders>
                    <w:tl2br w:val="nil"/>
                    <w:tr2bl w:val="nil"/>
                  </w:tcBorders>
                  <w:noWrap w:val="0"/>
                  <w:vAlign w:val="center"/>
                </w:tcPr>
                <w:p w14:paraId="561123B2">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交由环卫部门统一清运处理</w:t>
                  </w:r>
                </w:p>
              </w:tc>
              <w:tc>
                <w:tcPr>
                  <w:tcW w:w="459" w:type="pct"/>
                  <w:tcBorders>
                    <w:tl2br w:val="nil"/>
                    <w:tr2bl w:val="nil"/>
                  </w:tcBorders>
                  <w:noWrap w:val="0"/>
                  <w:vAlign w:val="center"/>
                </w:tcPr>
                <w:p w14:paraId="24C6B088">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0.6</w:t>
                  </w:r>
                </w:p>
              </w:tc>
            </w:tr>
          </w:tbl>
          <w:p w14:paraId="2B287281">
            <w:pPr>
              <w:keepNext w:val="0"/>
              <w:keepLines w:val="0"/>
              <w:pageBreakBefore w:val="0"/>
              <w:widowControl w:val="0"/>
              <w:kinsoku/>
              <w:wordWrap/>
              <w:overflowPunct/>
              <w:topLinePunct w:val="0"/>
              <w:autoSpaceDE/>
              <w:autoSpaceDN/>
              <w:bidi w:val="0"/>
              <w:adjustRightInd w:val="0"/>
              <w:snapToGrid w:val="0"/>
              <w:spacing w:line="520" w:lineRule="exact"/>
              <w:ind w:right="0" w:rightChars="0"/>
              <w:jc w:val="both"/>
              <w:textAlignment w:val="auto"/>
              <w:rPr>
                <w:rFonts w:hint="default" w:ascii="Times New Roman" w:hAnsi="Times New Roman" w:cs="Times New Roman"/>
                <w:b/>
                <w:color w:val="auto"/>
                <w:sz w:val="24"/>
              </w:rPr>
            </w:pPr>
            <w:r>
              <w:rPr>
                <w:rFonts w:hint="eastAsia" w:ascii="Times New Roman" w:hAnsi="Times New Roman" w:cs="Times New Roman"/>
                <w:b/>
                <w:color w:val="auto"/>
                <w:sz w:val="24"/>
                <w:lang w:val="en-US" w:eastAsia="zh-CN"/>
              </w:rPr>
              <w:t>4.2</w:t>
            </w:r>
            <w:r>
              <w:rPr>
                <w:rFonts w:hint="default" w:ascii="Times New Roman" w:hAnsi="Times New Roman" w:cs="Times New Roman"/>
                <w:b/>
                <w:color w:val="auto"/>
                <w:sz w:val="24"/>
              </w:rPr>
              <w:t>环境保护措施</w:t>
            </w:r>
          </w:p>
          <w:p w14:paraId="59AC95C6">
            <w:pPr>
              <w:pStyle w:val="51"/>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环评要求：对固体废物的处置应满足“减量化、资源化和无害化”的基本原则，处置率达100%，最大限度降低对周边环境造成影响。</w:t>
            </w:r>
          </w:p>
          <w:p w14:paraId="3E4B809F">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（1）生活垃圾：生活垃圾应按照《</w:t>
            </w:r>
            <w:r>
              <w:rPr>
                <w:rFonts w:hint="eastAsia" w:cs="Times New Roman"/>
                <w:bCs/>
                <w:color w:val="auto"/>
                <w:sz w:val="24"/>
                <w:lang w:eastAsia="zh-CN"/>
              </w:rPr>
              <w:t>西安</w:t>
            </w:r>
            <w:r>
              <w:rPr>
                <w:rFonts w:hint="default" w:ascii="Times New Roman" w:hAnsi="Times New Roman" w:cs="Times New Roman"/>
                <w:bCs/>
                <w:color w:val="auto"/>
                <w:sz w:val="24"/>
              </w:rPr>
              <w:t>市生活垃圾分类管理条例》中的相关规定，对生活垃圾进行分类收集，分类收集后由环卫部门定期清运。</w:t>
            </w:r>
          </w:p>
          <w:p w14:paraId="21C1CC5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cs="Times New Roman"/>
                <w:color w:val="auto"/>
                <w:spacing w:val="0"/>
                <w:sz w:val="24"/>
                <w:szCs w:val="24"/>
                <w:lang w:eastAsia="zh-CN"/>
              </w:rPr>
            </w:pPr>
            <w:r>
              <w:rPr>
                <w:rFonts w:hint="default" w:ascii="Times New Roman" w:hAnsi="Times New Roman" w:cs="Times New Roman"/>
                <w:bCs/>
                <w:color w:val="auto"/>
                <w:sz w:val="24"/>
              </w:rPr>
              <w:t>（2）一般固体废物：本项目一般固体废物的处置执行《一般工业固体废物贮存和填埋污染控制标准》（GB18599-2020）中相关规定。</w:t>
            </w:r>
            <w:r>
              <w:rPr>
                <w:rFonts w:hint="default" w:ascii="Times New Roman" w:hAnsi="Times New Roman" w:cs="Times New Roman"/>
                <w:bCs/>
                <w:color w:val="auto"/>
                <w:sz w:val="24"/>
                <w:lang w:eastAsia="zh-CN"/>
              </w:rPr>
              <w:t>新建一般固废间位于</w:t>
            </w:r>
            <w:r>
              <w:rPr>
                <w:rFonts w:hint="eastAsia" w:cs="Times New Roman"/>
                <w:color w:val="auto"/>
                <w:spacing w:val="0"/>
                <w:sz w:val="24"/>
                <w:szCs w:val="24"/>
                <w:lang w:val="en-US" w:eastAsia="zh-CN"/>
              </w:rPr>
              <w:t>厂区东北角</w:t>
            </w:r>
            <w:r>
              <w:rPr>
                <w:rFonts w:hint="default" w:ascii="Times New Roman" w:hAnsi="Times New Roman" w:cs="Times New Roman"/>
                <w:color w:val="auto"/>
                <w:spacing w:val="0"/>
                <w:sz w:val="24"/>
                <w:szCs w:val="24"/>
              </w:rPr>
              <w:t>，占地面积</w:t>
            </w:r>
            <w:r>
              <w:rPr>
                <w:rFonts w:hint="eastAsia" w:ascii="Times New Roman" w:hAnsi="Times New Roman" w:cs="Times New Roman"/>
                <w:color w:val="auto"/>
                <w:spacing w:val="0"/>
                <w:sz w:val="24"/>
                <w:szCs w:val="24"/>
                <w:lang w:val="en-US" w:eastAsia="zh-CN"/>
              </w:rPr>
              <w:t>5</w:t>
            </w:r>
            <w:r>
              <w:rPr>
                <w:rFonts w:hint="default" w:ascii="Times New Roman" w:hAnsi="Times New Roman" w:cs="Times New Roman"/>
                <w:color w:val="auto"/>
                <w:spacing w:val="0"/>
                <w:sz w:val="24"/>
                <w:szCs w:val="24"/>
                <w:lang w:val="en-US" w:eastAsia="zh-CN"/>
              </w:rPr>
              <w:t>0</w:t>
            </w:r>
            <w:r>
              <w:rPr>
                <w:rFonts w:hint="default" w:ascii="Times New Roman" w:hAnsi="Times New Roman" w:cs="Times New Roman"/>
                <w:color w:val="auto"/>
                <w:spacing w:val="0"/>
                <w:sz w:val="24"/>
                <w:szCs w:val="24"/>
              </w:rPr>
              <w:t>m</w:t>
            </w:r>
            <w:r>
              <w:rPr>
                <w:rFonts w:hint="default" w:ascii="Times New Roman" w:hAnsi="Times New Roman" w:cs="Times New Roman"/>
                <w:color w:val="auto"/>
                <w:spacing w:val="0"/>
                <w:sz w:val="24"/>
                <w:szCs w:val="24"/>
                <w:vertAlign w:val="superscript"/>
              </w:rPr>
              <w:t>2</w:t>
            </w:r>
            <w:r>
              <w:rPr>
                <w:rFonts w:hint="default" w:ascii="Times New Roman" w:hAnsi="Times New Roman" w:cs="Times New Roman"/>
                <w:color w:val="auto"/>
                <w:spacing w:val="0"/>
                <w:sz w:val="24"/>
                <w:szCs w:val="24"/>
              </w:rPr>
              <w:t>，</w:t>
            </w:r>
            <w:r>
              <w:rPr>
                <w:rFonts w:hint="eastAsia" w:cs="Times New Roman"/>
                <w:color w:val="auto"/>
                <w:spacing w:val="0"/>
                <w:sz w:val="24"/>
                <w:szCs w:val="24"/>
                <w:lang w:eastAsia="zh-CN"/>
              </w:rPr>
              <w:t>一般固体废物分区存放，处理周期为每季度一次。</w:t>
            </w:r>
          </w:p>
          <w:p w14:paraId="7322BF61">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
                <w:bCs/>
                <w:color w:val="auto"/>
                <w:spacing w:val="0"/>
                <w:sz w:val="24"/>
                <w:szCs w:val="24"/>
                <w:lang w:val="en-US" w:eastAsia="zh-CN"/>
              </w:rPr>
            </w:pPr>
            <w:r>
              <w:rPr>
                <w:rFonts w:hint="default" w:ascii="Times New Roman" w:hAnsi="Times New Roman" w:cs="Times New Roman"/>
                <w:b w:val="0"/>
                <w:bCs w:val="0"/>
                <w:color w:val="auto"/>
                <w:spacing w:val="0"/>
                <w:sz w:val="24"/>
                <w:szCs w:val="24"/>
                <w:lang w:val="en-US" w:eastAsia="zh-CN"/>
              </w:rPr>
              <w:t>管理要求：</w:t>
            </w:r>
          </w:p>
          <w:p w14:paraId="0B2AB2E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①</w:t>
            </w:r>
            <w:r>
              <w:rPr>
                <w:rFonts w:hint="default" w:ascii="Times New Roman" w:hAnsi="Times New Roman" w:cs="Times New Roman"/>
                <w:color w:val="auto"/>
                <w:spacing w:val="0"/>
                <w:sz w:val="24"/>
                <w:szCs w:val="24"/>
              </w:rPr>
              <w:t>一般固体废物贮存、处置场，禁止危险废物和生活垃圾混入。</w:t>
            </w:r>
          </w:p>
          <w:p w14:paraId="67A3BB9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②</w:t>
            </w:r>
            <w:r>
              <w:rPr>
                <w:rFonts w:hint="default" w:ascii="Times New Roman" w:hAnsi="Times New Roman" w:cs="Times New Roman"/>
                <w:color w:val="auto"/>
                <w:spacing w:val="0"/>
                <w:sz w:val="24"/>
                <w:szCs w:val="24"/>
              </w:rPr>
              <w:t>贮存、处置场单位，应建立维修制度。</w:t>
            </w:r>
          </w:p>
          <w:p w14:paraId="62EFE81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③</w:t>
            </w:r>
            <w:r>
              <w:rPr>
                <w:rFonts w:hint="default" w:ascii="Times New Roman" w:hAnsi="Times New Roman" w:cs="Times New Roman"/>
                <w:color w:val="auto"/>
                <w:spacing w:val="0"/>
                <w:sz w:val="24"/>
                <w:szCs w:val="24"/>
              </w:rPr>
              <w:t>贮存、处置场单位，应建立档案制度，应将入场的一般工业固体废物的种类和数量以及转移记录等详细记录在案，长期保存，供随时查阅。</w:t>
            </w:r>
          </w:p>
          <w:p w14:paraId="197FE25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④</w:t>
            </w:r>
            <w:r>
              <w:rPr>
                <w:rFonts w:hint="default" w:ascii="Times New Roman" w:hAnsi="Times New Roman" w:cs="Times New Roman"/>
                <w:color w:val="auto"/>
                <w:spacing w:val="0"/>
                <w:sz w:val="24"/>
                <w:szCs w:val="24"/>
              </w:rPr>
              <w:t>贮存、处置场的环境保护图形标志，应按规定进行GB15562.2检查和维修。</w:t>
            </w:r>
          </w:p>
          <w:p w14:paraId="76B68FA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⑤</w:t>
            </w:r>
            <w:r>
              <w:rPr>
                <w:rFonts w:hint="default" w:ascii="Times New Roman" w:hAnsi="Times New Roman" w:cs="Times New Roman"/>
                <w:color w:val="auto"/>
                <w:spacing w:val="0"/>
                <w:sz w:val="24"/>
                <w:szCs w:val="24"/>
              </w:rPr>
              <w:t>一般固废及时清运，避免对环境造成二次污染。</w:t>
            </w:r>
          </w:p>
          <w:p w14:paraId="363E5AF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⑥</w:t>
            </w:r>
            <w:r>
              <w:rPr>
                <w:rFonts w:hint="default" w:ascii="Times New Roman" w:hAnsi="Times New Roman" w:cs="Times New Roman"/>
                <w:color w:val="auto"/>
                <w:spacing w:val="0"/>
                <w:sz w:val="24"/>
                <w:szCs w:val="24"/>
              </w:rPr>
              <w:t>一般固废暂存间建设应做到</w:t>
            </w:r>
            <w:r>
              <w:rPr>
                <w:rFonts w:hint="eastAsia" w:ascii="Times New Roman" w:hAnsi="Times New Roman" w:cs="Times New Roman"/>
                <w:color w:val="auto"/>
                <w:spacing w:val="0"/>
                <w:sz w:val="24"/>
                <w:szCs w:val="24"/>
                <w:lang w:eastAsia="zh-CN"/>
              </w:rPr>
              <w:t>“</w:t>
            </w:r>
            <w:r>
              <w:rPr>
                <w:rFonts w:hint="default" w:ascii="Times New Roman" w:hAnsi="Times New Roman" w:cs="Times New Roman"/>
                <w:color w:val="auto"/>
                <w:spacing w:val="0"/>
                <w:sz w:val="24"/>
                <w:szCs w:val="24"/>
              </w:rPr>
              <w:t>防雨、防渗、防漏、防风</w:t>
            </w:r>
            <w:r>
              <w:rPr>
                <w:rFonts w:hint="eastAsia" w:ascii="Times New Roman" w:hAnsi="Times New Roman" w:cs="Times New Roman"/>
                <w:color w:val="auto"/>
                <w:spacing w:val="0"/>
                <w:sz w:val="24"/>
                <w:szCs w:val="24"/>
                <w:lang w:eastAsia="zh-CN"/>
              </w:rPr>
              <w:t>”</w:t>
            </w:r>
            <w:r>
              <w:rPr>
                <w:rFonts w:hint="default" w:ascii="Times New Roman" w:hAnsi="Times New Roman" w:cs="Times New Roman"/>
                <w:color w:val="auto"/>
                <w:spacing w:val="0"/>
                <w:sz w:val="24"/>
                <w:szCs w:val="24"/>
              </w:rPr>
              <w:t>，满足《一般工业固体废物贮存和填埋污染控制标准》（GB18599-20</w:t>
            </w:r>
            <w:r>
              <w:rPr>
                <w:rFonts w:hint="default" w:ascii="Times New Roman" w:hAnsi="Times New Roman" w:cs="Times New Roman"/>
                <w:color w:val="auto"/>
                <w:spacing w:val="0"/>
                <w:sz w:val="24"/>
                <w:szCs w:val="24"/>
                <w:lang w:val="en-US" w:eastAsia="zh-CN"/>
              </w:rPr>
              <w:t>20</w:t>
            </w:r>
            <w:r>
              <w:rPr>
                <w:rFonts w:hint="default" w:ascii="Times New Roman" w:hAnsi="Times New Roman" w:cs="Times New Roman"/>
                <w:color w:val="auto"/>
                <w:spacing w:val="0"/>
                <w:sz w:val="24"/>
                <w:szCs w:val="24"/>
              </w:rPr>
              <w:t>）中规定。</w:t>
            </w:r>
          </w:p>
          <w:p w14:paraId="2FEF784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rPr>
              <w:t>综上，该项目产生的固体废物在严格按照相关要求处置，在加强管理的情况下固废对环境的影响较小，在环境可接受范围内。</w:t>
            </w:r>
          </w:p>
          <w:p w14:paraId="0253CAB2">
            <w:pPr>
              <w:keepNext w:val="0"/>
              <w:keepLines w:val="0"/>
              <w:pageBreakBefore w:val="0"/>
              <w:widowControl w:val="0"/>
              <w:numPr>
                <w:ilvl w:val="0"/>
                <w:numId w:val="10"/>
              </w:numPr>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lang w:val="en-US" w:eastAsia="zh-CN"/>
              </w:rPr>
            </w:pPr>
            <w:r>
              <w:rPr>
                <w:rFonts w:hint="default" w:ascii="Times New Roman" w:hAnsi="Times New Roman" w:cs="Times New Roman"/>
                <w:bCs/>
                <w:color w:val="auto"/>
                <w:sz w:val="24"/>
              </w:rPr>
              <w:t>危险废物：</w:t>
            </w:r>
            <w:r>
              <w:rPr>
                <w:rFonts w:hint="default" w:ascii="Times New Roman" w:hAnsi="Times New Roman" w:cs="Times New Roman"/>
                <w:color w:val="auto"/>
                <w:sz w:val="24"/>
              </w:rPr>
              <w:t>项目</w:t>
            </w:r>
            <w:r>
              <w:rPr>
                <w:rFonts w:hint="eastAsia" w:cs="Times New Roman"/>
                <w:color w:val="auto"/>
                <w:sz w:val="24"/>
                <w:lang w:eastAsia="zh-CN"/>
              </w:rPr>
              <w:t>危险废物贮存库</w:t>
            </w:r>
            <w:r>
              <w:rPr>
                <w:rFonts w:hint="default" w:ascii="Times New Roman" w:hAnsi="Times New Roman" w:cs="Times New Roman"/>
                <w:color w:val="auto"/>
                <w:sz w:val="24"/>
              </w:rPr>
              <w:t>应按照《危险废物贮存污染控制标准》（GB 18597-2023）中的要求进行建设</w:t>
            </w:r>
            <w:r>
              <w:rPr>
                <w:rFonts w:hint="default" w:ascii="Times New Roman" w:hAnsi="Times New Roman" w:cs="Times New Roman"/>
                <w:color w:val="auto"/>
                <w:sz w:val="24"/>
                <w:highlight w:val="none"/>
              </w:rPr>
              <w:t>，</w:t>
            </w:r>
            <w:r>
              <w:rPr>
                <w:rFonts w:hint="default" w:ascii="Times New Roman" w:hAnsi="Times New Roman" w:cs="Times New Roman"/>
                <w:bCs/>
                <w:color w:val="auto"/>
                <w:sz w:val="24"/>
                <w:highlight w:val="none"/>
                <w:lang w:eastAsia="zh-CN"/>
              </w:rPr>
              <w:t>新建</w:t>
            </w:r>
            <w:r>
              <w:rPr>
                <w:rFonts w:hint="eastAsia" w:cs="Times New Roman"/>
                <w:bCs/>
                <w:color w:val="auto"/>
                <w:sz w:val="24"/>
                <w:highlight w:val="none"/>
                <w:lang w:eastAsia="zh-CN"/>
              </w:rPr>
              <w:t>危险废物贮存库</w:t>
            </w:r>
            <w:r>
              <w:rPr>
                <w:rFonts w:hint="default" w:ascii="Times New Roman" w:hAnsi="Times New Roman" w:cs="Times New Roman"/>
                <w:bCs/>
                <w:color w:val="auto"/>
                <w:sz w:val="24"/>
                <w:highlight w:val="none"/>
                <w:lang w:eastAsia="zh-CN"/>
              </w:rPr>
              <w:t>位</w:t>
            </w:r>
            <w:r>
              <w:rPr>
                <w:rFonts w:hint="eastAsia" w:cs="Times New Roman"/>
                <w:bCs/>
                <w:color w:val="auto"/>
                <w:sz w:val="24"/>
                <w:highlight w:val="none"/>
                <w:lang w:eastAsia="zh-CN"/>
              </w:rPr>
              <w:t>于车间</w:t>
            </w:r>
            <w:r>
              <w:rPr>
                <w:rFonts w:hint="eastAsia" w:cs="Times New Roman"/>
                <w:bCs/>
                <w:color w:val="auto"/>
                <w:sz w:val="24"/>
                <w:highlight w:val="none"/>
                <w:lang w:val="en-US" w:eastAsia="zh-CN"/>
              </w:rPr>
              <w:t>西侧位置</w:t>
            </w:r>
            <w:r>
              <w:rPr>
                <w:rFonts w:hint="default" w:ascii="Times New Roman" w:hAnsi="Times New Roman" w:cs="Times New Roman"/>
                <w:color w:val="auto"/>
                <w:spacing w:val="0"/>
                <w:sz w:val="24"/>
                <w:szCs w:val="24"/>
                <w:highlight w:val="none"/>
              </w:rPr>
              <w:t>，占地面积</w:t>
            </w:r>
            <w:r>
              <w:rPr>
                <w:rFonts w:hint="eastAsia" w:cs="Times New Roman"/>
                <w:color w:val="auto"/>
                <w:spacing w:val="0"/>
                <w:sz w:val="24"/>
                <w:szCs w:val="24"/>
                <w:highlight w:val="none"/>
                <w:lang w:val="en-US" w:eastAsia="zh-CN"/>
              </w:rPr>
              <w:t>10</w:t>
            </w:r>
            <w:r>
              <w:rPr>
                <w:rFonts w:hint="default" w:ascii="Times New Roman" w:hAnsi="Times New Roman" w:cs="Times New Roman"/>
                <w:color w:val="auto"/>
                <w:spacing w:val="0"/>
                <w:sz w:val="24"/>
                <w:szCs w:val="24"/>
                <w:highlight w:val="none"/>
              </w:rPr>
              <w:t>m</w:t>
            </w:r>
            <w:r>
              <w:rPr>
                <w:rFonts w:hint="default" w:ascii="Times New Roman" w:hAnsi="Times New Roman" w:cs="Times New Roman"/>
                <w:color w:val="auto"/>
                <w:spacing w:val="0"/>
                <w:sz w:val="24"/>
                <w:szCs w:val="24"/>
                <w:highlight w:val="none"/>
                <w:vertAlign w:val="superscript"/>
              </w:rPr>
              <w:t>2</w:t>
            </w:r>
            <w:r>
              <w:rPr>
                <w:rFonts w:hint="default" w:ascii="Times New Roman" w:hAnsi="Times New Roman" w:cs="Times New Roman"/>
                <w:color w:val="auto"/>
                <w:spacing w:val="0"/>
                <w:sz w:val="24"/>
                <w:szCs w:val="24"/>
                <w:highlight w:val="none"/>
              </w:rPr>
              <w:t>，</w:t>
            </w:r>
            <w:r>
              <w:rPr>
                <w:rFonts w:hint="default" w:ascii="Times New Roman" w:hAnsi="Times New Roman" w:cs="Times New Roman"/>
                <w:color w:val="auto"/>
                <w:spacing w:val="0"/>
                <w:sz w:val="24"/>
                <w:szCs w:val="24"/>
                <w:highlight w:val="none"/>
                <w:lang w:eastAsia="zh-CN"/>
              </w:rPr>
              <w:t>高度</w:t>
            </w:r>
            <w:r>
              <w:rPr>
                <w:rFonts w:hint="default" w:ascii="Times New Roman" w:hAnsi="Times New Roman" w:cs="Times New Roman"/>
                <w:color w:val="auto"/>
                <w:spacing w:val="0"/>
                <w:sz w:val="24"/>
                <w:szCs w:val="24"/>
                <w:highlight w:val="none"/>
                <w:lang w:val="en-US" w:eastAsia="zh-CN"/>
              </w:rPr>
              <w:t>3m，总容积</w:t>
            </w:r>
            <w:r>
              <w:rPr>
                <w:rFonts w:hint="eastAsia" w:cs="Times New Roman"/>
                <w:color w:val="auto"/>
                <w:spacing w:val="0"/>
                <w:sz w:val="24"/>
                <w:szCs w:val="24"/>
                <w:highlight w:val="none"/>
                <w:lang w:val="en-US" w:eastAsia="zh-CN"/>
              </w:rPr>
              <w:t>30</w:t>
            </w:r>
            <w:r>
              <w:rPr>
                <w:rFonts w:hint="default" w:ascii="Times New Roman" w:hAnsi="Times New Roman" w:cs="Times New Roman"/>
                <w:color w:val="auto"/>
                <w:spacing w:val="0"/>
                <w:sz w:val="24"/>
                <w:szCs w:val="24"/>
                <w:highlight w:val="none"/>
                <w:lang w:val="en-US" w:eastAsia="zh-CN"/>
              </w:rPr>
              <w:t>m</w:t>
            </w:r>
            <w:r>
              <w:rPr>
                <w:rFonts w:hint="default" w:ascii="Times New Roman" w:hAnsi="Times New Roman" w:cs="Times New Roman"/>
                <w:color w:val="auto"/>
                <w:spacing w:val="0"/>
                <w:sz w:val="24"/>
                <w:szCs w:val="24"/>
                <w:highlight w:val="none"/>
                <w:vertAlign w:val="superscript"/>
                <w:lang w:val="en-US" w:eastAsia="zh-CN"/>
              </w:rPr>
              <w:t>3</w:t>
            </w:r>
            <w:r>
              <w:rPr>
                <w:rFonts w:hint="default" w:ascii="Times New Roman" w:hAnsi="Times New Roman" w:cs="Times New Roman"/>
                <w:color w:val="auto"/>
                <w:spacing w:val="0"/>
                <w:sz w:val="24"/>
                <w:szCs w:val="24"/>
                <w:highlight w:val="none"/>
                <w:lang w:val="en-US" w:eastAsia="zh-CN"/>
              </w:rPr>
              <w:t>，有效容积以60%计，为</w:t>
            </w:r>
            <w:r>
              <w:rPr>
                <w:rFonts w:hint="eastAsia" w:cs="Times New Roman"/>
                <w:color w:val="auto"/>
                <w:spacing w:val="0"/>
                <w:sz w:val="24"/>
                <w:szCs w:val="24"/>
                <w:highlight w:val="none"/>
                <w:lang w:val="en-US" w:eastAsia="zh-CN"/>
              </w:rPr>
              <w:t>18</w:t>
            </w:r>
            <w:r>
              <w:rPr>
                <w:rFonts w:hint="default" w:ascii="Times New Roman" w:hAnsi="Times New Roman" w:cs="Times New Roman"/>
                <w:color w:val="auto"/>
                <w:spacing w:val="0"/>
                <w:sz w:val="24"/>
                <w:szCs w:val="24"/>
                <w:highlight w:val="none"/>
                <w:lang w:val="en-US" w:eastAsia="zh-CN"/>
              </w:rPr>
              <w:t>m</w:t>
            </w:r>
            <w:r>
              <w:rPr>
                <w:rFonts w:hint="default" w:ascii="Times New Roman" w:hAnsi="Times New Roman" w:cs="Times New Roman"/>
                <w:color w:val="auto"/>
                <w:spacing w:val="0"/>
                <w:sz w:val="24"/>
                <w:szCs w:val="24"/>
                <w:highlight w:val="none"/>
                <w:vertAlign w:val="superscript"/>
                <w:lang w:val="en-US" w:eastAsia="zh-CN"/>
              </w:rPr>
              <w:t>3</w:t>
            </w:r>
            <w:r>
              <w:rPr>
                <w:rFonts w:hint="default" w:ascii="Times New Roman" w:hAnsi="Times New Roman" w:cs="Times New Roman"/>
                <w:color w:val="auto"/>
                <w:spacing w:val="0"/>
                <w:sz w:val="24"/>
                <w:szCs w:val="24"/>
                <w:highlight w:val="none"/>
                <w:lang w:val="en-US" w:eastAsia="zh-CN"/>
              </w:rPr>
              <w:t>。</w:t>
            </w:r>
            <w:r>
              <w:rPr>
                <w:rFonts w:hint="eastAsia" w:cs="Times New Roman"/>
                <w:color w:val="auto"/>
                <w:spacing w:val="0"/>
                <w:sz w:val="24"/>
                <w:szCs w:val="24"/>
                <w:highlight w:val="none"/>
                <w:lang w:val="en-US" w:eastAsia="zh-CN"/>
              </w:rPr>
              <w:t>项目危险废物分区存放，危险废物处</w:t>
            </w:r>
            <w:r>
              <w:rPr>
                <w:rFonts w:hint="eastAsia" w:cs="Times New Roman"/>
                <w:color w:val="auto"/>
                <w:spacing w:val="0"/>
                <w:sz w:val="24"/>
                <w:szCs w:val="24"/>
                <w:lang w:val="en-US" w:eastAsia="zh-CN"/>
              </w:rPr>
              <w:t>理周期为每季度处理一次，故危险废物贮存库容积可满足贮存要求。</w:t>
            </w:r>
          </w:p>
          <w:p w14:paraId="4DA22DEE">
            <w:pPr>
              <w:keepNext w:val="0"/>
              <w:keepLines w:val="0"/>
              <w:pageBreakBefore w:val="0"/>
              <w:widowControl w:val="0"/>
              <w:numPr>
                <w:ilvl w:val="0"/>
                <w:numId w:val="0"/>
              </w:numPr>
              <w:kinsoku/>
              <w:wordWrap/>
              <w:overflowPunct/>
              <w:topLinePunct w:val="0"/>
              <w:autoSpaceDE/>
              <w:autoSpaceDN/>
              <w:bidi w:val="0"/>
              <w:spacing w:line="360" w:lineRule="auto"/>
              <w:ind w:left="0" w:leftChars="0" w:right="0" w:rightChars="0" w:firstLine="482" w:firstLineChars="200"/>
              <w:jc w:val="both"/>
              <w:textAlignment w:val="auto"/>
              <w:rPr>
                <w:rFonts w:hint="default" w:ascii="Times New Roman" w:hAnsi="Times New Roman" w:cs="Times New Roman"/>
                <w:b/>
                <w:bCs/>
                <w:color w:val="auto"/>
                <w:sz w:val="24"/>
              </w:rPr>
            </w:pPr>
            <w:r>
              <w:rPr>
                <w:rFonts w:hint="eastAsia" w:cs="Times New Roman"/>
                <w:b/>
                <w:bCs/>
                <w:color w:val="auto"/>
                <w:spacing w:val="0"/>
                <w:sz w:val="24"/>
                <w:szCs w:val="24"/>
                <w:lang w:val="en-US" w:eastAsia="zh-CN"/>
              </w:rPr>
              <w:t>危险废物贮存库</w:t>
            </w:r>
            <w:r>
              <w:rPr>
                <w:rFonts w:hint="default" w:ascii="Times New Roman" w:hAnsi="Times New Roman" w:cs="Times New Roman"/>
                <w:b/>
                <w:bCs/>
                <w:color w:val="auto"/>
                <w:spacing w:val="0"/>
                <w:sz w:val="24"/>
                <w:szCs w:val="24"/>
                <w:lang w:val="en-US" w:eastAsia="zh-CN"/>
              </w:rPr>
              <w:t>的建设要求如下</w:t>
            </w:r>
            <w:r>
              <w:rPr>
                <w:rFonts w:hint="default" w:ascii="Times New Roman" w:hAnsi="Times New Roman" w:cs="Times New Roman"/>
                <w:b/>
                <w:bCs/>
                <w:color w:val="auto"/>
                <w:sz w:val="24"/>
              </w:rPr>
              <w:t>：</w:t>
            </w:r>
          </w:p>
          <w:p w14:paraId="5E6AE87D">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贮存设施污染控制要求：</w:t>
            </w:r>
          </w:p>
          <w:p w14:paraId="04609638">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①贮存设施或贮存分区内地面、墙面裙脚、堵截泄漏的围堰、接触危险废物的隔板和墙体等应采用坚固的材料建造，表面无裂缝；</w:t>
            </w:r>
          </w:p>
          <w:p w14:paraId="75870177">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②贮存设施地面与裙脚应采取表面防渗措施；表面防渗材料应与所接触的物料或污染物相容，可采用抗渗混凝土、高密度聚乙烯膜、钠基膨润土防水毯或其他防渗性能等效的材料。</w:t>
            </w:r>
          </w:p>
          <w:p w14:paraId="1B707B10">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③贮存的危险废物直接接触地面的，还应进行基础防渗，防渗层为至少1 m 厚黏土层（渗透系数不大于10</w:t>
            </w:r>
            <w:r>
              <w:rPr>
                <w:rFonts w:hint="default" w:ascii="Times New Roman" w:hAnsi="Times New Roman" w:cs="Times New Roman"/>
                <w:color w:val="auto"/>
                <w:sz w:val="24"/>
                <w:szCs w:val="32"/>
                <w:vertAlign w:val="superscript"/>
              </w:rPr>
              <w:t>-7</w:t>
            </w:r>
            <w:r>
              <w:rPr>
                <w:rFonts w:hint="default" w:ascii="Times New Roman" w:hAnsi="Times New Roman" w:cs="Times New Roman"/>
                <w:color w:val="auto"/>
                <w:sz w:val="24"/>
                <w:szCs w:val="32"/>
              </w:rPr>
              <w:t>cm/s），或至少2mm厚高密度聚乙烯膜等人工防渗材料（渗透系数不大于10</w:t>
            </w:r>
            <w:r>
              <w:rPr>
                <w:rFonts w:hint="default" w:ascii="Times New Roman" w:hAnsi="Times New Roman" w:cs="Times New Roman"/>
                <w:color w:val="auto"/>
                <w:sz w:val="24"/>
                <w:szCs w:val="32"/>
                <w:vertAlign w:val="superscript"/>
              </w:rPr>
              <w:t>-10</w:t>
            </w:r>
            <w:r>
              <w:rPr>
                <w:rFonts w:hint="default" w:ascii="Times New Roman" w:hAnsi="Times New Roman" w:cs="Times New Roman"/>
                <w:color w:val="auto"/>
                <w:sz w:val="24"/>
                <w:szCs w:val="32"/>
              </w:rPr>
              <w:t>cm/s），或其他防渗性能等效的材料。</w:t>
            </w:r>
          </w:p>
          <w:p w14:paraId="1B849AE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④同一贮存设施宜采用相同的防渗、防腐工艺（包括防渗、防腐结构或材料），防渗、防腐材料应覆盖所有可能与废物及其渗滤液、渗漏液等接触的构筑物表面；采用不同防渗、防腐工艺应分别建设贮存分区。</w:t>
            </w:r>
          </w:p>
          <w:p w14:paraId="6982B14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⑤贮存设施应采取技术和管理措施防止无关人员进入。</w:t>
            </w:r>
          </w:p>
          <w:p w14:paraId="51AAE4D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⑥贮存库内不同贮存分区之间应采取隔离措施。隔离措施可根据危险废物特性采用过道、隔板或隔墙等方式；</w:t>
            </w:r>
          </w:p>
          <w:p w14:paraId="6D43DFA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⑦在贮存库内或通过贮存分区方式贮存液态危险废物的，应具有液体泄漏堵截设施，堵截设施最小容积不应低于对应贮存区域最大液态废物容器容积或液态废物总储量1/10（二者取较大者）。</w:t>
            </w:r>
          </w:p>
          <w:p w14:paraId="006443E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容器和包装物的污染控制要求：</w:t>
            </w:r>
          </w:p>
          <w:p w14:paraId="1306F40D">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①容器和包装物材质、内衬应与盛装的危险废物相容。</w:t>
            </w:r>
          </w:p>
          <w:p w14:paraId="6AE061F8">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②针对不同类别、形态、物理化学性质的危险废物，其容器和包装物应满足相应的防渗、防漏、防腐和强度等要求。</w:t>
            </w:r>
          </w:p>
          <w:p w14:paraId="22D598E1">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③硬质容器和包装物及其支护结构堆叠码放时不应有明显变形，无破损泄漏。</w:t>
            </w:r>
          </w:p>
          <w:p w14:paraId="6743320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④柔性容器和包装物堆叠码放时应封口严密，无破损泄漏。</w:t>
            </w:r>
          </w:p>
          <w:p w14:paraId="67817BC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⑤使用容器盛装液态、半固态危险废物时，容器内部应留有适当的空间，以适应因温度变化等可能引发的收缩和膨胀，防止其导致容器渗漏或永久变形。</w:t>
            </w:r>
          </w:p>
          <w:p w14:paraId="695CCAF0">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⑥容器和包装物外表面应保持清洁。</w:t>
            </w:r>
          </w:p>
          <w:p w14:paraId="0A7107ED">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贮存设施运行环境管理要求：</w:t>
            </w:r>
          </w:p>
          <w:p w14:paraId="3BD61F4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①危险废物存入贮存设施前应对危险废物类别和特性与危险废物标签等危险废物识别标志的一致性进行核验，不一致的或类别、特性不明的不应存入。</w:t>
            </w:r>
          </w:p>
          <w:p w14:paraId="0B9B0A1F">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②应定期检查危险废物的贮存状况，及时清理贮存设施地面，更换破损泄漏的危险废物贮存容器和包装物，保证堆存危险废物的防雨、防风、防扬尘等设施功能完好。</w:t>
            </w:r>
          </w:p>
          <w:p w14:paraId="19589382">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③作业设备及车辆等结束作业离开贮存设施时，应对其残留的危险废物进行清理，清理的废物或清洗废水应收集处理。</w:t>
            </w:r>
          </w:p>
          <w:p w14:paraId="431C0F0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④贮存设施运行期间，应按国家有关标准和规定建立危险废物管理台账并保存。</w:t>
            </w:r>
          </w:p>
          <w:p w14:paraId="5EDB129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⑤贮存设施所有者或运营者应建立贮存设施环境管理制度、管理人员岗位职责制度、设施运行操作制度、人员岗位培训制度等。</w:t>
            </w:r>
          </w:p>
          <w:p w14:paraId="612784D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⑥贮存设施所有者或运营者应依据国家土壤和地下水污染防治的有关规定，结合贮存设施特点建立土壤和地下水污染隐患排查制度，并定期开展隐患排查；发现隐患应及时采取措施消除隐患，并建立档案。</w:t>
            </w:r>
          </w:p>
          <w:p w14:paraId="624F82A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⑦贮存设施所有者或运营者应建立贮存设施全部档案，包括设计、施工、验收、运行、监测和环境应急等，应按国家有关档案管理的法律法规进行整理和归档</w:t>
            </w:r>
          </w:p>
          <w:p w14:paraId="7DC16A7A">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危险废物标识管理：</w:t>
            </w:r>
          </w:p>
          <w:p w14:paraId="74717213">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危险废物贮存设施必须按《环境保护图形标志-固体废物贮存（处置）场》（GB 15562.2-1995）、《危险废物识别标志设置技术规范》（HJ 1276-2022）中的规定，规范立标设置环保标识牌。</w:t>
            </w:r>
          </w:p>
          <w:p w14:paraId="75B7C332">
            <w:pPr>
              <w:shd w:val="clear" w:color="auto" w:fill="auto"/>
              <w:adjustRightInd w:val="0"/>
              <w:snapToGrid w:val="0"/>
              <w:spacing w:line="360" w:lineRule="auto"/>
              <w:ind w:firstLine="480" w:firstLineChars="200"/>
              <w:rPr>
                <w:rFonts w:hint="default"/>
                <w:color w:val="auto"/>
                <w:highlight w:val="none"/>
              </w:rPr>
            </w:pPr>
            <w:r>
              <w:rPr>
                <w:rFonts w:hint="default" w:ascii="Times New Roman" w:hAnsi="Times New Roman" w:cs="Times New Roman"/>
                <w:bCs/>
                <w:color w:val="auto"/>
                <w:sz w:val="24"/>
              </w:rPr>
              <w:t>综上所述，项目产生的固体废弃物经上述处理处置后，处理处置率达100</w:t>
            </w:r>
            <w:r>
              <w:rPr>
                <w:rFonts w:hint="default" w:ascii="Times New Roman" w:hAnsi="Times New Roman" w:cs="Times New Roman"/>
                <w:bCs/>
                <w:color w:val="auto"/>
                <w:sz w:val="24"/>
                <w:lang w:val="en-US" w:eastAsia="zh-CN"/>
              </w:rPr>
              <w:t>%</w:t>
            </w:r>
            <w:r>
              <w:rPr>
                <w:rFonts w:hint="default" w:ascii="Times New Roman" w:hAnsi="Times New Roman" w:cs="Times New Roman"/>
                <w:bCs/>
                <w:color w:val="auto"/>
                <w:sz w:val="24"/>
              </w:rPr>
              <w:t>，符合国家固体废弃物处理处置政策，对环境产生影响较小，处理处置措施可行</w:t>
            </w:r>
            <w:r>
              <w:rPr>
                <w:rFonts w:hint="eastAsia"/>
                <w:color w:val="auto"/>
                <w:lang w:eastAsia="zh-CN"/>
              </w:rPr>
              <w:t>。</w:t>
            </w:r>
          </w:p>
          <w:p w14:paraId="6D584BF3">
            <w:pPr>
              <w:numPr>
                <w:ilvl w:val="0"/>
                <w:numId w:val="0"/>
              </w:numPr>
              <w:adjustRightInd w:val="0"/>
              <w:snapToGrid w:val="0"/>
              <w:spacing w:line="360" w:lineRule="auto"/>
              <w:rPr>
                <w:rFonts w:hint="default" w:ascii="Times New Roman" w:hAnsi="Times New Roman" w:eastAsia="宋体" w:cs="Times New Roman"/>
                <w:b/>
                <w:bCs/>
                <w:color w:val="auto"/>
                <w:spacing w:val="-10"/>
                <w:kern w:val="2"/>
                <w:sz w:val="24"/>
                <w:szCs w:val="24"/>
                <w:highlight w:val="none"/>
                <w:lang w:val="en-US" w:eastAsia="zh-CN" w:bidi="ar-SA"/>
              </w:rPr>
            </w:pPr>
            <w:r>
              <w:rPr>
                <w:rFonts w:hint="eastAsia" w:cs="Times New Roman"/>
                <w:b/>
                <w:bCs/>
                <w:color w:val="auto"/>
                <w:spacing w:val="-10"/>
                <w:kern w:val="2"/>
                <w:sz w:val="24"/>
                <w:szCs w:val="24"/>
                <w:highlight w:val="none"/>
                <w:lang w:val="en-US" w:eastAsia="zh-CN" w:bidi="ar-SA"/>
              </w:rPr>
              <w:t>5、</w:t>
            </w:r>
            <w:r>
              <w:rPr>
                <w:rFonts w:hint="default" w:ascii="Times New Roman" w:hAnsi="Times New Roman" w:eastAsia="宋体" w:cs="Times New Roman"/>
                <w:b/>
                <w:bCs/>
                <w:color w:val="auto"/>
                <w:spacing w:val="-10"/>
                <w:kern w:val="2"/>
                <w:sz w:val="24"/>
                <w:szCs w:val="24"/>
                <w:highlight w:val="none"/>
                <w:lang w:val="en-US" w:eastAsia="zh-CN" w:bidi="ar-SA"/>
              </w:rPr>
              <w:t>地下水</w:t>
            </w:r>
            <w:r>
              <w:rPr>
                <w:rFonts w:hint="eastAsia" w:cs="Times New Roman"/>
                <w:b/>
                <w:bCs/>
                <w:color w:val="auto"/>
                <w:spacing w:val="-10"/>
                <w:kern w:val="2"/>
                <w:sz w:val="24"/>
                <w:szCs w:val="24"/>
                <w:highlight w:val="none"/>
                <w:lang w:val="en-US" w:eastAsia="zh-CN" w:bidi="ar-SA"/>
              </w:rPr>
              <w:t>、土壤</w:t>
            </w:r>
          </w:p>
          <w:p w14:paraId="3746438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jc w:val="both"/>
              <w:textAlignment w:val="auto"/>
              <w:rPr>
                <w:rFonts w:hint="default" w:ascii="Times New Roman" w:hAnsi="Times New Roman" w:cs="Times New Roman"/>
                <w:b/>
                <w:color w:val="auto"/>
                <w:sz w:val="24"/>
              </w:rPr>
            </w:pPr>
            <w:r>
              <w:rPr>
                <w:rFonts w:hint="eastAsia" w:ascii="Times New Roman" w:hAnsi="Times New Roman" w:cs="Times New Roman"/>
                <w:b/>
                <w:color w:val="auto"/>
                <w:sz w:val="24"/>
                <w:lang w:val="en-US" w:eastAsia="zh-CN"/>
              </w:rPr>
              <w:t>5.</w:t>
            </w:r>
            <w:r>
              <w:rPr>
                <w:rFonts w:hint="default" w:ascii="Times New Roman" w:hAnsi="Times New Roman" w:cs="Times New Roman"/>
                <w:b/>
                <w:color w:val="auto"/>
                <w:sz w:val="24"/>
              </w:rPr>
              <w:t>1场地利用现状及污染途径</w:t>
            </w:r>
          </w:p>
          <w:p w14:paraId="5B8CA82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经过现场踏勘，项目工</w:t>
            </w:r>
            <w:r>
              <w:rPr>
                <w:rFonts w:hint="default" w:ascii="Times New Roman" w:hAnsi="Times New Roman" w:eastAsia="宋体" w:cs="Times New Roman"/>
                <w:color w:val="auto"/>
                <w:sz w:val="24"/>
                <w:szCs w:val="24"/>
                <w:highlight w:val="none"/>
                <w:lang w:val="en-US" w:eastAsia="zh-CN"/>
              </w:rPr>
              <w:t>业厂房已经建成，车间内地面均已经水泥硬化。</w:t>
            </w:r>
            <w:r>
              <w:rPr>
                <w:rFonts w:hint="eastAsia" w:ascii="Times New Roman" w:hAnsi="Times New Roman" w:eastAsia="宋体" w:cs="Times New Roman"/>
                <w:color w:val="auto"/>
                <w:sz w:val="24"/>
                <w:szCs w:val="24"/>
                <w:highlight w:val="none"/>
                <w:lang w:val="en-US" w:eastAsia="zh-CN"/>
              </w:rPr>
              <w:t>环评要求</w:t>
            </w:r>
            <w:r>
              <w:rPr>
                <w:rFonts w:hint="default" w:ascii="Times New Roman" w:hAnsi="Times New Roman" w:eastAsia="宋体" w:cs="Times New Roman"/>
                <w:color w:val="auto"/>
                <w:sz w:val="24"/>
                <w:szCs w:val="24"/>
                <w:highlight w:val="none"/>
                <w:lang w:val="en-US" w:eastAsia="zh-CN"/>
              </w:rPr>
              <w:t>项目危废</w:t>
            </w:r>
            <w:r>
              <w:rPr>
                <w:rFonts w:hint="eastAsia" w:ascii="Times New Roman" w:hAnsi="Times New Roman" w:eastAsia="宋体" w:cs="Times New Roman"/>
                <w:color w:val="auto"/>
                <w:sz w:val="24"/>
                <w:szCs w:val="24"/>
                <w:highlight w:val="none"/>
                <w:lang w:val="en-US" w:eastAsia="zh-CN"/>
              </w:rPr>
              <w:t>贮存库</w:t>
            </w:r>
            <w:r>
              <w:rPr>
                <w:rFonts w:hint="default" w:ascii="Times New Roman" w:hAnsi="Times New Roman" w:eastAsia="宋体" w:cs="Times New Roman"/>
                <w:color w:val="auto"/>
                <w:sz w:val="24"/>
                <w:szCs w:val="24"/>
                <w:highlight w:val="none"/>
                <w:lang w:val="en-US" w:eastAsia="zh-CN"/>
              </w:rPr>
              <w:t>等按照相关要求采</w:t>
            </w:r>
            <w:r>
              <w:rPr>
                <w:rFonts w:hint="default" w:ascii="Times New Roman" w:hAnsi="Times New Roman" w:cs="Times New Roman"/>
                <w:bCs/>
                <w:color w:val="auto"/>
                <w:sz w:val="24"/>
              </w:rPr>
              <w:t>取相应防渗措施。项目废气污染物排放量很小，有机废气通过大气沉降进入土壤、地下水的可能性很小。</w:t>
            </w:r>
          </w:p>
          <w:p w14:paraId="671AE349">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default" w:ascii="Times New Roman" w:hAnsi="Times New Roman" w:cs="Times New Roman"/>
                <w:b/>
                <w:color w:val="auto"/>
                <w:sz w:val="24"/>
              </w:rPr>
            </w:pPr>
            <w:r>
              <w:rPr>
                <w:rFonts w:hint="eastAsia" w:ascii="Times New Roman" w:hAnsi="Times New Roman" w:cs="Times New Roman"/>
                <w:b/>
                <w:color w:val="auto"/>
                <w:sz w:val="24"/>
                <w:lang w:val="en-US" w:eastAsia="zh-CN"/>
              </w:rPr>
              <w:t>5.2</w:t>
            </w:r>
            <w:r>
              <w:rPr>
                <w:rFonts w:hint="default" w:ascii="Times New Roman" w:hAnsi="Times New Roman" w:cs="Times New Roman"/>
                <w:b/>
                <w:color w:val="auto"/>
                <w:sz w:val="24"/>
              </w:rPr>
              <w:t>环境保护措施</w:t>
            </w:r>
          </w:p>
          <w:p w14:paraId="44979746">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为防止项目对土壤</w:t>
            </w:r>
            <w:r>
              <w:rPr>
                <w:rFonts w:hint="eastAsia" w:ascii="Times New Roman" w:hAnsi="Times New Roman" w:eastAsia="宋体" w:cs="Times New Roman"/>
                <w:bCs/>
                <w:color w:val="auto"/>
                <w:sz w:val="24"/>
                <w:lang w:eastAsia="zh-CN"/>
              </w:rPr>
              <w:t>、地下水</w:t>
            </w:r>
            <w:r>
              <w:rPr>
                <w:rFonts w:hint="default" w:ascii="Times New Roman" w:hAnsi="Times New Roman" w:eastAsia="宋体" w:cs="Times New Roman"/>
                <w:bCs/>
                <w:color w:val="auto"/>
                <w:sz w:val="24"/>
              </w:rPr>
              <w:t>环境</w:t>
            </w:r>
            <w:r>
              <w:rPr>
                <w:rFonts w:hint="default" w:ascii="Times New Roman" w:hAnsi="Times New Roman" w:cs="Times New Roman"/>
                <w:bCs/>
                <w:color w:val="auto"/>
                <w:sz w:val="24"/>
              </w:rPr>
              <w:t>的影响，提出以下污染控制建议：</w:t>
            </w:r>
          </w:p>
          <w:p w14:paraId="0192436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①做好危废储存管理，</w:t>
            </w:r>
            <w:r>
              <w:rPr>
                <w:rFonts w:hint="eastAsia" w:cs="Times New Roman"/>
                <w:bCs/>
                <w:color w:val="auto"/>
                <w:sz w:val="24"/>
                <w:lang w:eastAsia="zh-CN"/>
              </w:rPr>
              <w:t>危险废物贮存库</w:t>
            </w:r>
            <w:r>
              <w:rPr>
                <w:rFonts w:hint="default" w:ascii="Times New Roman" w:hAnsi="Times New Roman" w:cs="Times New Roman"/>
                <w:bCs/>
                <w:color w:val="auto"/>
                <w:sz w:val="24"/>
              </w:rPr>
              <w:t>的地面必须做好防渗处理，保持地面硬化完整性，防止危废渗漏到土壤，造成污染。</w:t>
            </w:r>
          </w:p>
          <w:p w14:paraId="1E846FA2">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②污染物严格按照环评要求处理处置，禁止未经处理的污染物直接排放到环境中，导致土壤环境被污染。</w:t>
            </w:r>
          </w:p>
          <w:p w14:paraId="5CCE3D7A">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③严格落实本报告提出的污染防治措施，项目运营时应确保环保措施稳定正常的运行，废气达标排放，防止直接排放从而沉降后对地表土壤环境造成污染。</w:t>
            </w:r>
          </w:p>
          <w:p w14:paraId="5FC182E9">
            <w:pPr>
              <w:pStyle w:val="19"/>
              <w:numPr>
                <w:ilvl w:val="0"/>
                <w:numId w:val="0"/>
              </w:numPr>
              <w:shd w:val="clear" w:color="auto" w:fill="auto"/>
              <w:spacing w:beforeLines="0" w:afterLines="0" w:line="360" w:lineRule="auto"/>
              <w:ind w:leftChars="0" w:firstLine="480" w:firstLineChars="200"/>
              <w:rPr>
                <w:rFonts w:hint="eastAsia" w:ascii="Times New Roman" w:hAnsi="Times New Roman" w:cs="Times New Roman"/>
                <w:bCs/>
                <w:color w:val="auto"/>
                <w:sz w:val="24"/>
                <w:lang w:eastAsia="zh-CN"/>
              </w:rPr>
            </w:pPr>
            <w:r>
              <w:rPr>
                <w:rFonts w:hint="default" w:ascii="Times New Roman" w:hAnsi="Times New Roman" w:cs="Times New Roman"/>
                <w:bCs/>
                <w:color w:val="auto"/>
                <w:sz w:val="24"/>
              </w:rPr>
              <w:t>综上所述，建设单位需加强日常管理，做好防腐、防渗措施，确保各污染物达标排放，减轻项目运营期对土壤环境产生的影响。因此，拟建项目在采取有效的防护措施后，不会对项目所在区域土壤产生明显影响</w:t>
            </w:r>
            <w:r>
              <w:rPr>
                <w:rFonts w:hint="eastAsia" w:ascii="Times New Roman" w:hAnsi="Times New Roman" w:cs="Times New Roman"/>
                <w:bCs/>
                <w:color w:val="auto"/>
                <w:sz w:val="24"/>
                <w:lang w:eastAsia="zh-CN"/>
              </w:rPr>
              <w:t>。</w:t>
            </w:r>
          </w:p>
          <w:p w14:paraId="1F272E81">
            <w:pPr>
              <w:pStyle w:val="19"/>
              <w:numPr>
                <w:ilvl w:val="0"/>
                <w:numId w:val="0"/>
              </w:numPr>
              <w:shd w:val="clear" w:color="auto" w:fill="auto"/>
              <w:spacing w:beforeLines="0" w:afterLines="0"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lang w:val="en-US" w:eastAsia="zh-CN"/>
              </w:rPr>
              <w:t>6、</w:t>
            </w:r>
            <w:r>
              <w:rPr>
                <w:rFonts w:ascii="Times New Roman" w:hAnsi="Times New Roman"/>
                <w:b/>
                <w:bCs/>
                <w:color w:val="auto"/>
                <w:sz w:val="24"/>
                <w:szCs w:val="24"/>
                <w:highlight w:val="none"/>
              </w:rPr>
              <w:t>环境风险分析</w:t>
            </w:r>
          </w:p>
          <w:p w14:paraId="4BB0AF9F">
            <w:pPr>
              <w:keepNext w:val="0"/>
              <w:keepLines w:val="0"/>
              <w:widowControl w:val="0"/>
              <w:suppressLineNumbers w:val="0"/>
              <w:shd w:val="clear" w:color="auto" w:fill="auto"/>
              <w:spacing w:before="0" w:beforeLines="0" w:beforeAutospacing="0" w:after="0" w:afterLines="0" w:afterAutospacing="0" w:line="360" w:lineRule="auto"/>
              <w:ind w:left="0" w:right="0" w:firstLine="555"/>
              <w:jc w:val="both"/>
              <w:rPr>
                <w:rFonts w:hint="default" w:ascii="Times New Roman" w:hAnsi="Times New Roman" w:eastAsia="宋体" w:cs="Times New Roman"/>
                <w:color w:val="auto"/>
                <w:sz w:val="24"/>
                <w:szCs w:val="24"/>
                <w:highlight w:val="none"/>
              </w:rPr>
            </w:pPr>
            <w:r>
              <w:rPr>
                <w:rFonts w:hint="default" w:ascii="Times New Roman" w:hAnsi="Times New Roman" w:cs="Times New Roman"/>
                <w:bCs/>
                <w:color w:val="auto"/>
                <w:sz w:val="24"/>
              </w:rPr>
              <w:t>根据建设项目危险物质数量和分布情况、生产工艺特点，以及</w:t>
            </w:r>
            <w:r>
              <w:rPr>
                <w:rFonts w:hint="default" w:ascii="Times New Roman" w:hAnsi="Times New Roman" w:cs="Times New Roman"/>
                <w:color w:val="auto"/>
                <w:sz w:val="24"/>
              </w:rPr>
              <w:t>参考《建设项目环境风险评价技术导则》（HJ69-2018）</w:t>
            </w:r>
            <w:r>
              <w:rPr>
                <w:rFonts w:hint="default" w:ascii="Times New Roman" w:hAnsi="Times New Roman" w:cs="Times New Roman"/>
                <w:bCs/>
                <w:color w:val="auto"/>
                <w:sz w:val="24"/>
              </w:rPr>
              <w:t>、《危险化学品名录（20</w:t>
            </w:r>
            <w:r>
              <w:rPr>
                <w:rFonts w:hint="eastAsia" w:ascii="Times New Roman" w:hAnsi="Times New Roman" w:cs="Times New Roman"/>
                <w:bCs/>
                <w:color w:val="auto"/>
                <w:sz w:val="24"/>
                <w:lang w:val="en-US" w:eastAsia="zh-CN"/>
              </w:rPr>
              <w:t>22</w:t>
            </w:r>
            <w:r>
              <w:rPr>
                <w:rFonts w:hint="default" w:ascii="Times New Roman" w:hAnsi="Times New Roman" w:cs="Times New Roman"/>
                <w:bCs/>
                <w:color w:val="auto"/>
                <w:sz w:val="24"/>
              </w:rPr>
              <w:t>版）》可知本项目本项目运营过程中投入和产出中涉及的危险物质为：废</w:t>
            </w:r>
            <w:r>
              <w:rPr>
                <w:rFonts w:hint="eastAsia" w:ascii="Times New Roman" w:hAnsi="Times New Roman" w:cs="Times New Roman"/>
                <w:bCs/>
                <w:color w:val="auto"/>
                <w:sz w:val="24"/>
                <w:lang w:eastAsia="zh-CN"/>
              </w:rPr>
              <w:t>润滑</w:t>
            </w:r>
            <w:r>
              <w:rPr>
                <w:rFonts w:hint="default" w:ascii="Times New Roman" w:hAnsi="Times New Roman" w:cs="Times New Roman"/>
                <w:bCs/>
                <w:color w:val="auto"/>
                <w:sz w:val="24"/>
                <w:lang w:eastAsia="zh-CN"/>
              </w:rPr>
              <w:t>油，</w:t>
            </w:r>
            <w:r>
              <w:rPr>
                <w:rFonts w:hint="eastAsia" w:ascii="Times New Roman" w:hAnsi="Times New Roman" w:cs="Times New Roman"/>
                <w:bCs/>
                <w:color w:val="auto"/>
                <w:sz w:val="24"/>
                <w:lang w:eastAsia="zh-CN"/>
              </w:rPr>
              <w:t>润滑</w:t>
            </w:r>
            <w:r>
              <w:rPr>
                <w:rFonts w:hint="default" w:ascii="Times New Roman" w:hAnsi="Times New Roman" w:cs="Times New Roman"/>
                <w:bCs/>
                <w:color w:val="auto"/>
                <w:sz w:val="24"/>
                <w:lang w:eastAsia="zh-CN"/>
              </w:rPr>
              <w:t>油原料最大存储量为</w:t>
            </w:r>
            <w:r>
              <w:rPr>
                <w:rFonts w:hint="default" w:ascii="Times New Roman" w:hAnsi="Times New Roman" w:cs="Times New Roman"/>
                <w:bCs/>
                <w:color w:val="auto"/>
                <w:sz w:val="24"/>
                <w:lang w:val="en-US" w:eastAsia="zh-CN"/>
              </w:rPr>
              <w:t>0.</w:t>
            </w:r>
            <w:r>
              <w:rPr>
                <w:rFonts w:hint="eastAsia" w:cs="Times New Roman"/>
                <w:bCs/>
                <w:color w:val="auto"/>
                <w:sz w:val="24"/>
                <w:lang w:val="en-US" w:eastAsia="zh-CN"/>
              </w:rPr>
              <w:t>2</w:t>
            </w:r>
            <w:r>
              <w:rPr>
                <w:rFonts w:hint="default" w:ascii="Times New Roman" w:hAnsi="Times New Roman" w:cs="Times New Roman"/>
                <w:bCs/>
                <w:color w:val="auto"/>
                <w:sz w:val="24"/>
                <w:lang w:val="en-US" w:eastAsia="zh-CN"/>
              </w:rPr>
              <w:t>t</w:t>
            </w:r>
            <w:r>
              <w:rPr>
                <w:rFonts w:hint="eastAsia" w:ascii="Times New Roman" w:hAnsi="Times New Roman"/>
                <w:color w:val="auto"/>
                <w:sz w:val="24"/>
                <w:szCs w:val="24"/>
                <w:highlight w:val="none"/>
                <w:lang w:val="en-US" w:eastAsia="zh-CN"/>
              </w:rPr>
              <w:t>。</w:t>
            </w:r>
            <w:r>
              <w:rPr>
                <w:rFonts w:hint="default" w:ascii="Times New Roman" w:hAnsi="Times New Roman" w:cs="Times New Roman"/>
                <w:color w:val="auto"/>
                <w:sz w:val="24"/>
              </w:rPr>
              <w:t>参考《建设项目环境风险评价技术导则》（HJ69-2018）附录B，本项目</w:t>
            </w:r>
            <w:r>
              <w:rPr>
                <w:rFonts w:hint="default" w:ascii="Times New Roman" w:hAnsi="Times New Roman" w:cs="Times New Roman"/>
                <w:bCs/>
                <w:color w:val="auto"/>
                <w:spacing w:val="-10"/>
                <w:sz w:val="24"/>
              </w:rPr>
              <w:t>危险物质数量与临界量比值（Q）计算见表4-</w:t>
            </w:r>
            <w:r>
              <w:rPr>
                <w:rFonts w:hint="default" w:ascii="Times New Roman" w:hAnsi="Times New Roman" w:cs="Times New Roman"/>
                <w:bCs/>
                <w:color w:val="auto"/>
                <w:spacing w:val="-10"/>
                <w:sz w:val="24"/>
                <w:lang w:val="en-US" w:eastAsia="zh-CN"/>
              </w:rPr>
              <w:t>1</w:t>
            </w:r>
            <w:r>
              <w:rPr>
                <w:rFonts w:hint="eastAsia" w:cs="Times New Roman"/>
                <w:bCs/>
                <w:color w:val="auto"/>
                <w:spacing w:val="-10"/>
                <w:sz w:val="24"/>
                <w:lang w:val="en-US" w:eastAsia="zh-CN"/>
              </w:rPr>
              <w:t>2</w:t>
            </w:r>
            <w:r>
              <w:rPr>
                <w:rFonts w:hint="default" w:ascii="Times New Roman" w:hAnsi="Times New Roman" w:eastAsia="宋体" w:cs="Times New Roman"/>
                <w:color w:val="auto"/>
                <w:sz w:val="24"/>
                <w:szCs w:val="24"/>
                <w:highlight w:val="none"/>
              </w:rPr>
              <w:t>。</w:t>
            </w:r>
          </w:p>
          <w:p w14:paraId="566C8185">
            <w:pPr>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556"/>
              <w:textAlignment w:val="auto"/>
              <w:rPr>
                <w:rFonts w:hint="default" w:ascii="Times New Roman" w:hAnsi="Times New Roman" w:cs="Times New Roman"/>
                <w:color w:val="auto"/>
                <w:sz w:val="24"/>
                <w:szCs w:val="20"/>
                <w:highlight w:val="none"/>
                <w:lang w:val="en-US" w:eastAsia="zh-CN"/>
              </w:rPr>
            </w:pPr>
            <w:r>
              <w:rPr>
                <w:rFonts w:hint="default" w:ascii="Times New Roman" w:hAnsi="Times New Roman" w:cs="Times New Roman"/>
                <w:color w:val="auto"/>
                <w:sz w:val="24"/>
                <w:szCs w:val="20"/>
                <w:highlight w:val="none"/>
                <w:lang w:val="en-US" w:eastAsia="zh-CN"/>
              </w:rPr>
              <w:t>风险源调查</w:t>
            </w:r>
          </w:p>
          <w:p w14:paraId="63ECC9C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556" w:leftChars="0" w:right="0" w:rightChars="0"/>
              <w:jc w:val="center"/>
              <w:textAlignment w:val="auto"/>
              <w:rPr>
                <w:rFonts w:hint="default" w:ascii="Times New Roman" w:hAnsi="Times New Roman" w:eastAsia="宋体" w:cs="Times New Roman"/>
                <w:b/>
                <w:bCs w:val="0"/>
                <w:color w:val="auto"/>
                <w:kern w:val="0"/>
                <w:sz w:val="21"/>
                <w:szCs w:val="21"/>
                <w:lang w:val="en-US" w:eastAsia="zh-CN" w:bidi="ar"/>
              </w:rPr>
            </w:pPr>
            <w:r>
              <w:rPr>
                <w:rFonts w:hint="default" w:ascii="Times New Roman" w:hAnsi="Times New Roman" w:eastAsia="宋体" w:cs="Times New Roman"/>
                <w:b/>
                <w:bCs w:val="0"/>
                <w:color w:val="auto"/>
                <w:kern w:val="0"/>
                <w:sz w:val="21"/>
                <w:szCs w:val="21"/>
                <w:lang w:val="en-US" w:eastAsia="zh-CN" w:bidi="ar"/>
              </w:rPr>
              <w:t>表4-12  项目Q值的确定</w:t>
            </w:r>
          </w:p>
          <w:tbl>
            <w:tblPr>
              <w:tblStyle w:val="2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9"/>
              <w:gridCol w:w="1133"/>
              <w:gridCol w:w="971"/>
              <w:gridCol w:w="1902"/>
              <w:gridCol w:w="1704"/>
              <w:gridCol w:w="1522"/>
            </w:tblGrid>
            <w:tr w14:paraId="703411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22" w:type="pct"/>
                  <w:noWrap w:val="0"/>
                  <w:vAlign w:val="center"/>
                </w:tcPr>
                <w:p w14:paraId="6F3FF72A">
                  <w:pPr>
                    <w:pStyle w:val="51"/>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717" w:type="pct"/>
                  <w:noWrap w:val="0"/>
                  <w:vAlign w:val="center"/>
                </w:tcPr>
                <w:p w14:paraId="0FB886D4">
                  <w:pPr>
                    <w:pStyle w:val="51"/>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风险物质</w:t>
                  </w:r>
                </w:p>
              </w:tc>
              <w:tc>
                <w:tcPr>
                  <w:tcW w:w="615" w:type="pct"/>
                  <w:noWrap w:val="0"/>
                  <w:vAlign w:val="center"/>
                </w:tcPr>
                <w:p w14:paraId="51AAF450">
                  <w:pPr>
                    <w:pStyle w:val="51"/>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CAS号</w:t>
                  </w:r>
                </w:p>
              </w:tc>
              <w:tc>
                <w:tcPr>
                  <w:tcW w:w="1203" w:type="pct"/>
                  <w:noWrap w:val="0"/>
                  <w:vAlign w:val="center"/>
                </w:tcPr>
                <w:p w14:paraId="08FC16BE">
                  <w:pPr>
                    <w:pStyle w:val="51"/>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最大储存量/t</w:t>
                  </w:r>
                </w:p>
              </w:tc>
              <w:tc>
                <w:tcPr>
                  <w:tcW w:w="1078" w:type="pct"/>
                  <w:noWrap w:val="0"/>
                  <w:vAlign w:val="center"/>
                </w:tcPr>
                <w:p w14:paraId="6FEBB048">
                  <w:pPr>
                    <w:pStyle w:val="51"/>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临界量/t</w:t>
                  </w:r>
                </w:p>
              </w:tc>
              <w:tc>
                <w:tcPr>
                  <w:tcW w:w="962" w:type="pct"/>
                  <w:noWrap w:val="0"/>
                  <w:vAlign w:val="center"/>
                </w:tcPr>
                <w:p w14:paraId="6AF04A8F">
                  <w:pPr>
                    <w:pStyle w:val="51"/>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Q值</w:t>
                  </w:r>
                </w:p>
              </w:tc>
            </w:tr>
            <w:tr w14:paraId="3F574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7" w:hRule="atLeast"/>
                <w:jc w:val="center"/>
              </w:trPr>
              <w:tc>
                <w:tcPr>
                  <w:tcW w:w="422" w:type="pct"/>
                  <w:noWrap w:val="0"/>
                  <w:vAlign w:val="center"/>
                </w:tcPr>
                <w:p w14:paraId="2EC238C6">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717" w:type="pct"/>
                  <w:noWrap w:val="0"/>
                  <w:vAlign w:val="center"/>
                </w:tcPr>
                <w:p w14:paraId="1C75D6BD">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eastAsia" w:ascii="Times New Roman" w:hAnsi="Times New Roman" w:cs="Times New Roman"/>
                      <w:color w:val="auto"/>
                      <w:szCs w:val="21"/>
                      <w:lang w:eastAsia="zh-CN"/>
                    </w:rPr>
                    <w:t>润滑</w:t>
                  </w:r>
                  <w:r>
                    <w:rPr>
                      <w:rFonts w:hint="default" w:ascii="Times New Roman" w:hAnsi="Times New Roman" w:cs="Times New Roman"/>
                      <w:color w:val="auto"/>
                      <w:szCs w:val="21"/>
                      <w:lang w:eastAsia="zh-CN"/>
                    </w:rPr>
                    <w:t>油</w:t>
                  </w:r>
                </w:p>
              </w:tc>
              <w:tc>
                <w:tcPr>
                  <w:tcW w:w="615" w:type="pct"/>
                  <w:noWrap w:val="0"/>
                  <w:vAlign w:val="center"/>
                </w:tcPr>
                <w:p w14:paraId="1B6757E7">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203" w:type="pct"/>
                  <w:noWrap w:val="0"/>
                  <w:vAlign w:val="center"/>
                </w:tcPr>
                <w:p w14:paraId="229B131E">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2</w:t>
                  </w:r>
                </w:p>
              </w:tc>
              <w:tc>
                <w:tcPr>
                  <w:tcW w:w="1078" w:type="pct"/>
                  <w:noWrap w:val="0"/>
                  <w:vAlign w:val="center"/>
                </w:tcPr>
                <w:p w14:paraId="66A46E14">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2500</w:t>
                  </w:r>
                </w:p>
              </w:tc>
              <w:tc>
                <w:tcPr>
                  <w:tcW w:w="962" w:type="pct"/>
                  <w:noWrap w:val="0"/>
                  <w:vAlign w:val="center"/>
                </w:tcPr>
                <w:p w14:paraId="2E924A1B">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1.</w:t>
                  </w:r>
                  <w:r>
                    <w:rPr>
                      <w:rFonts w:hint="eastAsia" w:ascii="Times New Roman" w:hAnsi="Times New Roman" w:cs="Times New Roman"/>
                      <w:color w:val="auto"/>
                      <w:szCs w:val="21"/>
                      <w:lang w:val="en-US" w:eastAsia="zh-CN"/>
                    </w:rPr>
                    <w:t>2</w:t>
                  </w:r>
                  <w:r>
                    <w:rPr>
                      <w:rFonts w:hint="default" w:ascii="Times New Roman" w:hAnsi="Times New Roman" w:cs="Times New Roman"/>
                      <w:color w:val="auto"/>
                      <w:szCs w:val="21"/>
                    </w:rPr>
                    <w:t>×10</w:t>
                  </w:r>
                  <w:r>
                    <w:rPr>
                      <w:rFonts w:hint="default" w:ascii="Times New Roman" w:hAnsi="Times New Roman" w:cs="Times New Roman"/>
                      <w:color w:val="auto"/>
                      <w:szCs w:val="21"/>
                      <w:vertAlign w:val="superscript"/>
                    </w:rPr>
                    <w:t>-</w:t>
                  </w:r>
                  <w:r>
                    <w:rPr>
                      <w:rFonts w:hint="default" w:ascii="Times New Roman" w:hAnsi="Times New Roman" w:cs="Times New Roman"/>
                      <w:color w:val="auto"/>
                      <w:szCs w:val="21"/>
                      <w:vertAlign w:val="superscript"/>
                      <w:lang w:val="en-US" w:eastAsia="zh-CN"/>
                    </w:rPr>
                    <w:t>4</w:t>
                  </w:r>
                </w:p>
              </w:tc>
            </w:tr>
            <w:tr w14:paraId="30608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422" w:type="pct"/>
                  <w:noWrap w:val="0"/>
                  <w:vAlign w:val="center"/>
                </w:tcPr>
                <w:p w14:paraId="4F77BE1B">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17" w:type="pct"/>
                  <w:noWrap w:val="0"/>
                  <w:vAlign w:val="center"/>
                </w:tcPr>
                <w:p w14:paraId="4FD5B6F5">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废</w:t>
                  </w:r>
                  <w:r>
                    <w:rPr>
                      <w:rFonts w:hint="eastAsia" w:ascii="Times New Roman" w:hAnsi="Times New Roman" w:cs="Times New Roman"/>
                      <w:color w:val="auto"/>
                      <w:szCs w:val="21"/>
                      <w:lang w:eastAsia="zh-CN"/>
                    </w:rPr>
                    <w:t>润滑</w:t>
                  </w:r>
                  <w:r>
                    <w:rPr>
                      <w:rFonts w:hint="default" w:ascii="Times New Roman" w:hAnsi="Times New Roman" w:cs="Times New Roman"/>
                      <w:color w:val="auto"/>
                      <w:szCs w:val="21"/>
                      <w:lang w:eastAsia="zh-CN"/>
                    </w:rPr>
                    <w:t>油</w:t>
                  </w:r>
                </w:p>
              </w:tc>
              <w:tc>
                <w:tcPr>
                  <w:tcW w:w="615" w:type="pct"/>
                  <w:noWrap w:val="0"/>
                  <w:vAlign w:val="center"/>
                </w:tcPr>
                <w:p w14:paraId="1B0F946A">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203" w:type="pct"/>
                  <w:noWrap w:val="0"/>
                  <w:vAlign w:val="center"/>
                </w:tcPr>
                <w:p w14:paraId="029682C8">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0.</w:t>
                  </w:r>
                  <w:r>
                    <w:rPr>
                      <w:rFonts w:hint="default" w:ascii="Times New Roman" w:hAnsi="Times New Roman" w:cs="Times New Roman"/>
                      <w:color w:val="auto"/>
                      <w:szCs w:val="21"/>
                      <w:highlight w:val="none"/>
                      <w:lang w:val="en-US" w:eastAsia="zh-CN"/>
                    </w:rPr>
                    <w:t>2</w:t>
                  </w:r>
                </w:p>
              </w:tc>
              <w:tc>
                <w:tcPr>
                  <w:tcW w:w="1078" w:type="pct"/>
                  <w:noWrap w:val="0"/>
                  <w:vAlign w:val="center"/>
                </w:tcPr>
                <w:p w14:paraId="182C34FA">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5</w:t>
                  </w:r>
                  <w:r>
                    <w:rPr>
                      <w:rFonts w:hint="default" w:ascii="Times New Roman" w:hAnsi="Times New Roman" w:cs="Times New Roman"/>
                      <w:color w:val="auto"/>
                      <w:szCs w:val="21"/>
                      <w:lang w:val="en-US" w:eastAsia="zh-CN"/>
                    </w:rPr>
                    <w:t>0</w:t>
                  </w:r>
                </w:p>
              </w:tc>
              <w:tc>
                <w:tcPr>
                  <w:tcW w:w="962" w:type="pct"/>
                  <w:noWrap w:val="0"/>
                  <w:vAlign w:val="center"/>
                </w:tcPr>
                <w:p w14:paraId="79EA46EA">
                  <w:pPr>
                    <w:pStyle w:val="51"/>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4.0</w:t>
                  </w:r>
                  <w:r>
                    <w:rPr>
                      <w:rFonts w:hint="default" w:ascii="Times New Roman" w:hAnsi="Times New Roman" w:cs="Times New Roman"/>
                      <w:color w:val="auto"/>
                      <w:szCs w:val="21"/>
                    </w:rPr>
                    <w:t>×10</w:t>
                  </w:r>
                  <w:r>
                    <w:rPr>
                      <w:rFonts w:hint="default" w:ascii="Times New Roman" w:hAnsi="Times New Roman" w:cs="Times New Roman"/>
                      <w:color w:val="auto"/>
                      <w:szCs w:val="21"/>
                      <w:vertAlign w:val="superscript"/>
                    </w:rPr>
                    <w:t>-</w:t>
                  </w:r>
                  <w:r>
                    <w:rPr>
                      <w:rFonts w:hint="eastAsia" w:cs="Times New Roman"/>
                      <w:color w:val="auto"/>
                      <w:szCs w:val="21"/>
                      <w:vertAlign w:val="superscript"/>
                      <w:lang w:val="en-US" w:eastAsia="zh-CN"/>
                    </w:rPr>
                    <w:t>3</w:t>
                  </w:r>
                </w:p>
              </w:tc>
            </w:tr>
          </w:tbl>
          <w:p w14:paraId="654D127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556"/>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4"/>
                <w:szCs w:val="20"/>
                <w:highlight w:val="none"/>
              </w:rPr>
              <w:t>根据《建设项目环境风险评价技术导则》HJ</w:t>
            </w:r>
            <w:r>
              <w:rPr>
                <w:rFonts w:hint="default" w:ascii="Times New Roman" w:hAnsi="Times New Roman" w:cs="Times New Roman"/>
                <w:color w:val="auto"/>
                <w:sz w:val="24"/>
                <w:szCs w:val="20"/>
                <w:highlight w:val="none"/>
                <w:lang w:val="en-US" w:eastAsia="zh-CN"/>
              </w:rPr>
              <w:t xml:space="preserve"> </w:t>
            </w:r>
            <w:r>
              <w:rPr>
                <w:rFonts w:hint="default" w:ascii="Times New Roman" w:hAnsi="Times New Roman" w:cs="Times New Roman"/>
                <w:color w:val="auto"/>
                <w:sz w:val="24"/>
                <w:szCs w:val="20"/>
                <w:highlight w:val="none"/>
              </w:rPr>
              <w:t>169-2018中表B突发环境事件风险物质及临界量的规定，则本项目Q＜1，故本项目环境风险潜势为Ⅰ。</w:t>
            </w:r>
          </w:p>
          <w:p w14:paraId="65735E29">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Lines="0" w:beforeAutospacing="0" w:after="0" w:afterLines="0" w:afterAutospacing="0" w:line="360" w:lineRule="auto"/>
              <w:ind w:left="0" w:right="0" w:firstLine="556"/>
              <w:jc w:val="both"/>
              <w:textAlignment w:val="auto"/>
              <w:rPr>
                <w:rFonts w:hint="default" w:ascii="Times New Roman" w:hAnsi="Times New Roman" w:eastAsia="宋体" w:cs="Times New Roman"/>
                <w:color w:val="auto"/>
                <w:kern w:val="2"/>
                <w:sz w:val="24"/>
                <w:szCs w:val="24"/>
                <w:highlight w:val="none"/>
                <w:lang w:val="en-US"/>
              </w:rPr>
            </w:pPr>
            <w:r>
              <w:rPr>
                <w:rFonts w:hint="default" w:ascii="Times New Roman" w:hAnsi="Times New Roman" w:eastAsia="宋体" w:cs="Times New Roman"/>
                <w:color w:val="auto"/>
                <w:kern w:val="0"/>
                <w:sz w:val="24"/>
                <w:szCs w:val="24"/>
                <w:highlight w:val="none"/>
                <w:lang w:val="en-US" w:eastAsia="zh-CN" w:bidi="ar"/>
              </w:rPr>
              <w:t>（2）影响途径</w:t>
            </w:r>
          </w:p>
          <w:p w14:paraId="423A4BF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Lines="0" w:beforeAutospacing="0" w:after="0" w:afterLines="0" w:afterAutospacing="0" w:line="360" w:lineRule="auto"/>
              <w:ind w:left="0" w:right="0" w:firstLine="556"/>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遇明火、高热可燃，燃烧产生一氧化</w:t>
            </w:r>
            <w:r>
              <w:rPr>
                <w:rFonts w:hint="eastAsia" w:ascii="Times New Roman" w:hAnsi="Times New Roman" w:eastAsia="宋体" w:cs="Times New Roman"/>
                <w:color w:val="auto"/>
                <w:kern w:val="0"/>
                <w:sz w:val="24"/>
                <w:szCs w:val="24"/>
                <w:highlight w:val="none"/>
                <w:lang w:val="en-US" w:eastAsia="zh-CN" w:bidi="ar"/>
              </w:rPr>
              <w:t>炭</w:t>
            </w:r>
            <w:r>
              <w:rPr>
                <w:rFonts w:hint="default" w:ascii="Times New Roman" w:hAnsi="Times New Roman" w:eastAsia="宋体" w:cs="Times New Roman"/>
                <w:color w:val="auto"/>
                <w:kern w:val="0"/>
                <w:sz w:val="24"/>
                <w:szCs w:val="24"/>
                <w:highlight w:val="none"/>
                <w:lang w:val="en-US" w:eastAsia="zh-CN" w:bidi="ar"/>
              </w:rPr>
              <w:t>、二氧化</w:t>
            </w:r>
            <w:r>
              <w:rPr>
                <w:rFonts w:hint="eastAsia" w:ascii="Times New Roman" w:hAnsi="Times New Roman" w:eastAsia="宋体" w:cs="Times New Roman"/>
                <w:color w:val="auto"/>
                <w:kern w:val="0"/>
                <w:sz w:val="24"/>
                <w:szCs w:val="24"/>
                <w:highlight w:val="none"/>
                <w:lang w:val="en-US" w:eastAsia="zh-CN" w:bidi="ar"/>
              </w:rPr>
              <w:t>炭</w:t>
            </w:r>
            <w:r>
              <w:rPr>
                <w:rFonts w:hint="default" w:ascii="Times New Roman" w:hAnsi="Times New Roman" w:eastAsia="宋体" w:cs="Times New Roman"/>
                <w:color w:val="auto"/>
                <w:kern w:val="0"/>
                <w:sz w:val="24"/>
                <w:szCs w:val="24"/>
                <w:highlight w:val="none"/>
                <w:lang w:val="en-US" w:eastAsia="zh-CN" w:bidi="ar"/>
              </w:rPr>
              <w:t>，进入大气污染大气环境；泄露可进入土壤、地下水，污染土壤、地下水环境。</w:t>
            </w:r>
          </w:p>
          <w:p w14:paraId="56C08251">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Lines="0" w:beforeAutospacing="0" w:after="0" w:afterLines="0" w:afterAutospacing="0" w:line="360" w:lineRule="auto"/>
              <w:ind w:left="0" w:right="0" w:firstLine="555"/>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（3）风险防范措施要求</w:t>
            </w:r>
          </w:p>
          <w:p w14:paraId="39ADD836">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项目风险物质存在一定的火灾及泄露风险，需采取相应程度的防范措施，以降</w:t>
            </w:r>
            <w:r>
              <w:rPr>
                <w:rFonts w:hint="eastAsia" w:ascii="Times New Roman" w:hAnsi="Times New Roman" w:eastAsia="宋体" w:cs="Times New Roman"/>
                <w:color w:val="auto"/>
                <w:kern w:val="0"/>
                <w:sz w:val="24"/>
                <w:szCs w:val="24"/>
                <w:highlight w:val="none"/>
                <w:lang w:val="en-US" w:eastAsia="zh-CN" w:bidi="ar"/>
              </w:rPr>
              <w:t>低</w:t>
            </w:r>
            <w:r>
              <w:rPr>
                <w:rFonts w:hint="default" w:ascii="Times New Roman" w:hAnsi="Times New Roman" w:eastAsia="宋体" w:cs="Times New Roman"/>
                <w:color w:val="auto"/>
                <w:kern w:val="0"/>
                <w:sz w:val="24"/>
                <w:szCs w:val="24"/>
                <w:highlight w:val="none"/>
                <w:lang w:val="en-US" w:eastAsia="zh-CN" w:bidi="ar"/>
              </w:rPr>
              <w:t>各类风险事故发生概率，①加强日常管理，定期检查、维修、保养设备及构件确保各种工艺、电气设备的正常运行。②在生产过程中，应严格按照安全生产的方式，杜绝在厂内使用明火同时厂区内应设置“禁止吸烟”字样的牌子。③应加强安全检查和安全知识教育，增强防范意识，防止事故发生；应当加强现场管理，定期巡查、检修，加强安全技能培训，实现安全生产；④严格管理</w:t>
            </w:r>
            <w:r>
              <w:rPr>
                <w:rFonts w:hint="eastAsia" w:ascii="Times New Roman" w:hAnsi="Times New Roman" w:eastAsia="宋体" w:cs="Times New Roman"/>
                <w:color w:val="auto"/>
                <w:kern w:val="0"/>
                <w:sz w:val="24"/>
                <w:szCs w:val="24"/>
                <w:highlight w:val="none"/>
                <w:lang w:val="en-US" w:eastAsia="zh-CN" w:bidi="ar"/>
              </w:rPr>
              <w:t>危险废物贮存库</w:t>
            </w:r>
            <w:r>
              <w:rPr>
                <w:rFonts w:hint="default" w:ascii="Times New Roman" w:hAnsi="Times New Roman" w:eastAsia="宋体" w:cs="Times New Roman"/>
                <w:color w:val="auto"/>
                <w:kern w:val="0"/>
                <w:sz w:val="24"/>
                <w:szCs w:val="24"/>
                <w:highlight w:val="none"/>
                <w:lang w:val="en-US" w:eastAsia="zh-CN" w:bidi="ar"/>
              </w:rPr>
              <w:t>，按要求建设及运行。</w:t>
            </w:r>
          </w:p>
          <w:p w14:paraId="11106215">
            <w:pPr>
              <w:shd w:val="clear" w:color="auto" w:fill="auto"/>
              <w:spacing w:line="360" w:lineRule="auto"/>
              <w:rPr>
                <w:rFonts w:hint="eastAsia" w:ascii="Times New Roman" w:hAnsi="Times New Roman" w:eastAsia="宋体" w:cs="宋体"/>
                <w:b/>
                <w:bCs/>
                <w:color w:val="auto"/>
                <w:sz w:val="24"/>
                <w:szCs w:val="22"/>
                <w:highlight w:val="none"/>
              </w:rPr>
            </w:pPr>
            <w:r>
              <w:rPr>
                <w:rFonts w:hint="eastAsia" w:ascii="Times New Roman" w:hAnsi="Times New Roman" w:eastAsia="宋体" w:cs="宋体"/>
                <w:b/>
                <w:bCs/>
                <w:color w:val="auto"/>
                <w:sz w:val="24"/>
                <w:szCs w:val="22"/>
                <w:highlight w:val="none"/>
                <w:lang w:val="en-US" w:eastAsia="zh-CN"/>
              </w:rPr>
              <w:t>7、</w:t>
            </w:r>
            <w:r>
              <w:rPr>
                <w:rFonts w:hint="eastAsia" w:ascii="Times New Roman" w:hAnsi="Times New Roman" w:eastAsia="宋体" w:cs="宋体"/>
                <w:b/>
                <w:bCs/>
                <w:color w:val="auto"/>
                <w:sz w:val="24"/>
                <w:szCs w:val="22"/>
                <w:highlight w:val="none"/>
              </w:rPr>
              <w:t>环保投资</w:t>
            </w:r>
          </w:p>
          <w:p w14:paraId="7DBF1E13">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r>
              <w:rPr>
                <w:rFonts w:hint="eastAsia" w:ascii="Times New Roman" w:hAnsi="Times New Roman" w:eastAsia="宋体" w:cs="宋体"/>
                <w:color w:val="auto"/>
                <w:kern w:val="0"/>
                <w:sz w:val="24"/>
                <w:szCs w:val="20"/>
                <w:highlight w:val="none"/>
              </w:rPr>
              <w:t>本项目对运行期间产生的废气、噪声、固废影响采取防治措施，项目总投资</w:t>
            </w:r>
            <w:r>
              <w:rPr>
                <w:rFonts w:hint="eastAsia" w:ascii="Times New Roman" w:hAnsi="Times New Roman" w:eastAsia="宋体" w:cs="宋体"/>
                <w:color w:val="auto"/>
                <w:kern w:val="0"/>
                <w:sz w:val="24"/>
                <w:szCs w:val="20"/>
                <w:highlight w:val="none"/>
                <w:lang w:val="en-US" w:eastAsia="zh-CN"/>
              </w:rPr>
              <w:t>100</w:t>
            </w:r>
            <w:r>
              <w:rPr>
                <w:rFonts w:hint="eastAsia" w:ascii="Times New Roman" w:hAnsi="Times New Roman" w:eastAsia="宋体" w:cs="宋体"/>
                <w:color w:val="auto"/>
                <w:kern w:val="0"/>
                <w:sz w:val="24"/>
                <w:szCs w:val="20"/>
                <w:highlight w:val="none"/>
              </w:rPr>
              <w:t>万元，其中环保投资</w:t>
            </w:r>
            <w:r>
              <w:rPr>
                <w:rFonts w:hint="eastAsia" w:ascii="Times New Roman" w:hAnsi="Times New Roman" w:eastAsia="宋体" w:cs="宋体"/>
                <w:color w:val="auto"/>
                <w:kern w:val="0"/>
                <w:sz w:val="24"/>
                <w:szCs w:val="20"/>
                <w:highlight w:val="none"/>
                <w:lang w:val="en-US" w:eastAsia="zh-CN"/>
              </w:rPr>
              <w:t>10</w:t>
            </w:r>
            <w:r>
              <w:rPr>
                <w:rFonts w:hint="eastAsia" w:ascii="Times New Roman" w:hAnsi="Times New Roman" w:eastAsia="宋体" w:cs="宋体"/>
                <w:color w:val="auto"/>
                <w:kern w:val="0"/>
                <w:sz w:val="24"/>
                <w:szCs w:val="20"/>
                <w:highlight w:val="none"/>
              </w:rPr>
              <w:t>万元，环保投资占</w:t>
            </w:r>
            <w:r>
              <w:rPr>
                <w:rFonts w:hint="eastAsia" w:cs="宋体"/>
                <w:color w:val="auto"/>
                <w:kern w:val="0"/>
                <w:sz w:val="24"/>
                <w:szCs w:val="20"/>
                <w:highlight w:val="none"/>
                <w:lang w:val="en-US" w:eastAsia="zh-CN"/>
              </w:rPr>
              <w:t>10</w:t>
            </w:r>
            <w:r>
              <w:rPr>
                <w:rFonts w:hint="eastAsia" w:ascii="Times New Roman" w:hAnsi="Times New Roman" w:eastAsia="宋体" w:cs="宋体"/>
                <w:color w:val="auto"/>
                <w:kern w:val="0"/>
                <w:sz w:val="24"/>
                <w:szCs w:val="20"/>
                <w:highlight w:val="none"/>
              </w:rPr>
              <w:t>%。环保投资情况见下表。</w:t>
            </w:r>
          </w:p>
          <w:p w14:paraId="4DEB1999">
            <w:pPr>
              <w:widowControl w:val="0"/>
              <w:shd w:val="clear" w:color="auto" w:fill="auto"/>
              <w:bidi w:val="0"/>
              <w:spacing w:line="360" w:lineRule="auto"/>
              <w:ind w:left="0" w:leftChars="0" w:firstLine="0" w:firstLineChars="0"/>
              <w:jc w:val="center"/>
              <w:rPr>
                <w:rFonts w:hint="eastAsia" w:asciiTheme="majorEastAsia" w:hAnsiTheme="majorEastAsia" w:eastAsiaTheme="majorEastAsia" w:cstheme="majorEastAsia"/>
                <w:b/>
                <w:color w:val="auto"/>
                <w:kern w:val="2"/>
                <w:sz w:val="21"/>
                <w:szCs w:val="22"/>
                <w:highlight w:val="none"/>
                <w:lang w:val="en-US" w:eastAsia="zh-CN" w:bidi="ar-SA"/>
              </w:rPr>
            </w:pPr>
            <w:r>
              <w:rPr>
                <w:rFonts w:hint="eastAsia" w:asciiTheme="majorEastAsia" w:hAnsiTheme="majorEastAsia" w:eastAsiaTheme="majorEastAsia" w:cstheme="majorEastAsia"/>
                <w:b/>
                <w:color w:val="auto"/>
                <w:kern w:val="2"/>
                <w:sz w:val="21"/>
                <w:szCs w:val="22"/>
                <w:highlight w:val="none"/>
                <w:lang w:val="en-US" w:eastAsia="zh-CN" w:bidi="ar-SA"/>
              </w:rPr>
              <w:t>表4-13  环保投资明细单位：万元</w:t>
            </w:r>
          </w:p>
          <w:tbl>
            <w:tblPr>
              <w:tblStyle w:val="24"/>
              <w:tblW w:w="7918"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1"/>
              <w:gridCol w:w="578"/>
              <w:gridCol w:w="1396"/>
              <w:gridCol w:w="2681"/>
              <w:gridCol w:w="2121"/>
              <w:gridCol w:w="721"/>
            </w:tblGrid>
            <w:tr w14:paraId="48782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999" w:type="dxa"/>
                  <w:gridSpan w:val="2"/>
                  <w:tcBorders>
                    <w:tl2br w:val="nil"/>
                    <w:tr2bl w:val="nil"/>
                  </w:tcBorders>
                  <w:noWrap w:val="0"/>
                  <w:vAlign w:val="center"/>
                </w:tcPr>
                <w:p w14:paraId="3C167224">
                  <w:pPr>
                    <w:shd w:val="clear" w:color="auto" w:fill="auto"/>
                    <w:jc w:val="center"/>
                    <w:rPr>
                      <w:rFonts w:ascii="Times New Roman"/>
                      <w:b/>
                      <w:bCs/>
                      <w:color w:val="auto"/>
                      <w:sz w:val="21"/>
                      <w:szCs w:val="21"/>
                      <w:highlight w:val="none"/>
                    </w:rPr>
                  </w:pPr>
                  <w:r>
                    <w:rPr>
                      <w:rFonts w:ascii="Times New Roman"/>
                      <w:b/>
                      <w:bCs/>
                      <w:color w:val="auto"/>
                      <w:sz w:val="21"/>
                      <w:szCs w:val="21"/>
                      <w:highlight w:val="none"/>
                    </w:rPr>
                    <w:t>项目类别</w:t>
                  </w:r>
                </w:p>
              </w:tc>
              <w:tc>
                <w:tcPr>
                  <w:tcW w:w="1396" w:type="dxa"/>
                  <w:tcBorders>
                    <w:tl2br w:val="nil"/>
                    <w:tr2bl w:val="nil"/>
                  </w:tcBorders>
                  <w:noWrap w:val="0"/>
                  <w:vAlign w:val="center"/>
                </w:tcPr>
                <w:p w14:paraId="255FE5A2">
                  <w:pPr>
                    <w:shd w:val="clear" w:color="auto" w:fill="auto"/>
                    <w:jc w:val="center"/>
                    <w:rPr>
                      <w:rFonts w:ascii="Times New Roman"/>
                      <w:b/>
                      <w:bCs/>
                      <w:color w:val="auto"/>
                      <w:sz w:val="21"/>
                      <w:szCs w:val="21"/>
                      <w:highlight w:val="none"/>
                    </w:rPr>
                  </w:pPr>
                  <w:r>
                    <w:rPr>
                      <w:rFonts w:ascii="Times New Roman"/>
                      <w:b/>
                      <w:bCs/>
                      <w:color w:val="auto"/>
                      <w:sz w:val="21"/>
                      <w:szCs w:val="21"/>
                      <w:highlight w:val="none"/>
                    </w:rPr>
                    <w:t>污染源</w:t>
                  </w:r>
                </w:p>
              </w:tc>
              <w:tc>
                <w:tcPr>
                  <w:tcW w:w="2681" w:type="dxa"/>
                  <w:tcBorders>
                    <w:tl2br w:val="nil"/>
                    <w:tr2bl w:val="nil"/>
                  </w:tcBorders>
                  <w:noWrap w:val="0"/>
                  <w:vAlign w:val="center"/>
                </w:tcPr>
                <w:p w14:paraId="33062FEE">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baseline"/>
                    <w:rPr>
                      <w:rFonts w:ascii="Times New Roman"/>
                      <w:b/>
                      <w:bCs/>
                      <w:color w:val="auto"/>
                      <w:sz w:val="21"/>
                      <w:szCs w:val="21"/>
                      <w:highlight w:val="none"/>
                    </w:rPr>
                  </w:pPr>
                  <w:r>
                    <w:rPr>
                      <w:rFonts w:hint="eastAsia" w:ascii="Times New Roman" w:hAnsi="Times New Roman" w:eastAsia="宋体" w:cs="Times New Roman"/>
                      <w:b/>
                      <w:bCs/>
                      <w:i w:val="0"/>
                      <w:iCs w:val="0"/>
                      <w:color w:val="auto"/>
                      <w:sz w:val="21"/>
                      <w:szCs w:val="21"/>
                      <w:lang w:eastAsia="zh-CN"/>
                    </w:rPr>
                    <w:t>处理措施与设施</w:t>
                  </w:r>
                </w:p>
              </w:tc>
              <w:tc>
                <w:tcPr>
                  <w:tcW w:w="2121" w:type="dxa"/>
                  <w:tcBorders>
                    <w:tl2br w:val="nil"/>
                    <w:tr2bl w:val="nil"/>
                  </w:tcBorders>
                  <w:noWrap w:val="0"/>
                  <w:vAlign w:val="center"/>
                </w:tcPr>
                <w:p w14:paraId="7972A5EC">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baseline"/>
                    <w:rPr>
                      <w:rFonts w:ascii="Times New Roman"/>
                      <w:b/>
                      <w:bCs/>
                      <w:color w:val="auto"/>
                      <w:sz w:val="21"/>
                      <w:szCs w:val="21"/>
                      <w:highlight w:val="none"/>
                    </w:rPr>
                  </w:pPr>
                  <w:r>
                    <w:rPr>
                      <w:rFonts w:hint="eastAsia" w:ascii="Times New Roman" w:hAnsi="Times New Roman" w:eastAsia="宋体" w:cs="Times New Roman"/>
                      <w:b/>
                      <w:bCs/>
                      <w:i w:val="0"/>
                      <w:iCs w:val="0"/>
                      <w:color w:val="auto"/>
                      <w:sz w:val="21"/>
                      <w:szCs w:val="21"/>
                      <w:lang w:eastAsia="zh-CN"/>
                    </w:rPr>
                    <w:t>数量</w:t>
                  </w:r>
                </w:p>
              </w:tc>
              <w:tc>
                <w:tcPr>
                  <w:tcW w:w="721" w:type="dxa"/>
                  <w:tcBorders>
                    <w:tl2br w:val="nil"/>
                    <w:tr2bl w:val="nil"/>
                  </w:tcBorders>
                  <w:noWrap w:val="0"/>
                  <w:vAlign w:val="center"/>
                </w:tcPr>
                <w:p w14:paraId="7AD4BAB2">
                  <w:pPr>
                    <w:shd w:val="clear" w:color="auto" w:fill="auto"/>
                    <w:jc w:val="center"/>
                    <w:rPr>
                      <w:rFonts w:ascii="Times New Roman"/>
                      <w:b/>
                      <w:bCs/>
                      <w:color w:val="auto"/>
                      <w:sz w:val="21"/>
                      <w:szCs w:val="21"/>
                      <w:highlight w:val="none"/>
                    </w:rPr>
                  </w:pPr>
                  <w:r>
                    <w:rPr>
                      <w:rFonts w:ascii="Times New Roman"/>
                      <w:b/>
                      <w:bCs/>
                      <w:color w:val="auto"/>
                      <w:sz w:val="21"/>
                      <w:szCs w:val="21"/>
                      <w:highlight w:val="none"/>
                    </w:rPr>
                    <w:t>投资</w:t>
                  </w:r>
                </w:p>
              </w:tc>
            </w:tr>
            <w:tr w14:paraId="14426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8" w:hRule="atLeast"/>
              </w:trPr>
              <w:tc>
                <w:tcPr>
                  <w:tcW w:w="421" w:type="dxa"/>
                  <w:vMerge w:val="restart"/>
                  <w:tcBorders>
                    <w:tl2br w:val="nil"/>
                    <w:tr2bl w:val="nil"/>
                  </w:tcBorders>
                  <w:noWrap w:val="0"/>
                  <w:vAlign w:val="center"/>
                </w:tcPr>
                <w:p w14:paraId="1A50975D">
                  <w:pPr>
                    <w:shd w:val="clear" w:color="auto" w:fill="auto"/>
                    <w:jc w:val="center"/>
                    <w:rPr>
                      <w:rFonts w:ascii="Times New Roman"/>
                      <w:color w:val="auto"/>
                      <w:sz w:val="21"/>
                      <w:szCs w:val="21"/>
                      <w:highlight w:val="none"/>
                    </w:rPr>
                  </w:pPr>
                  <w:r>
                    <w:rPr>
                      <w:rFonts w:hint="eastAsia" w:ascii="Times New Roman"/>
                      <w:color w:val="auto"/>
                      <w:sz w:val="21"/>
                      <w:szCs w:val="21"/>
                      <w:highlight w:val="none"/>
                    </w:rPr>
                    <w:t>运营期</w:t>
                  </w:r>
                </w:p>
              </w:tc>
              <w:tc>
                <w:tcPr>
                  <w:tcW w:w="578" w:type="dxa"/>
                  <w:tcBorders>
                    <w:tl2br w:val="nil"/>
                    <w:tr2bl w:val="nil"/>
                  </w:tcBorders>
                  <w:noWrap w:val="0"/>
                  <w:vAlign w:val="center"/>
                </w:tcPr>
                <w:p w14:paraId="1CC4E9E1">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eastAsia" w:ascii="Times New Roman"/>
                      <w:color w:val="auto"/>
                      <w:sz w:val="21"/>
                      <w:szCs w:val="21"/>
                      <w:highlight w:val="none"/>
                    </w:rPr>
                    <w:t>废气</w:t>
                  </w:r>
                </w:p>
              </w:tc>
              <w:tc>
                <w:tcPr>
                  <w:tcW w:w="1396" w:type="dxa"/>
                  <w:tcBorders>
                    <w:tl2br w:val="nil"/>
                    <w:tr2bl w:val="nil"/>
                  </w:tcBorders>
                  <w:noWrap w:val="0"/>
                  <w:vAlign w:val="center"/>
                </w:tcPr>
                <w:p w14:paraId="1917DC97">
                  <w:pPr>
                    <w:pStyle w:val="9"/>
                    <w:keepNext w:val="0"/>
                    <w:keepLines w:val="0"/>
                    <w:pageBreakBefore w:val="0"/>
                    <w:widowControl w:val="0"/>
                    <w:tabs>
                      <w:tab w:val="left" w:pos="3794"/>
                    </w:tabs>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eastAsia="宋体" w:cs="Courier New"/>
                      <w:color w:val="auto"/>
                      <w:kern w:val="2"/>
                      <w:sz w:val="21"/>
                      <w:szCs w:val="21"/>
                      <w:shd w:val="clear" w:color="auto" w:fill="FFFFFF"/>
                      <w:lang w:val="en-US" w:eastAsia="zh-CN" w:bidi="ar-SA"/>
                    </w:rPr>
                  </w:pPr>
                  <w:r>
                    <w:rPr>
                      <w:rFonts w:hint="eastAsia" w:ascii="Times New Roman" w:hAnsi="Times New Roman" w:eastAsia="宋体" w:cs="Courier New"/>
                      <w:color w:val="auto"/>
                      <w:kern w:val="2"/>
                      <w:sz w:val="21"/>
                      <w:szCs w:val="21"/>
                      <w:shd w:val="clear" w:color="auto" w:fill="FFFFFF"/>
                      <w:lang w:val="en-US" w:eastAsia="zh-CN" w:bidi="ar-SA"/>
                    </w:rPr>
                    <w:t>注塑、挤出废气</w:t>
                  </w:r>
                </w:p>
              </w:tc>
              <w:tc>
                <w:tcPr>
                  <w:tcW w:w="2681" w:type="dxa"/>
                  <w:tcBorders>
                    <w:tl2br w:val="nil"/>
                    <w:tr2bl w:val="nil"/>
                  </w:tcBorders>
                  <w:noWrap w:val="0"/>
                  <w:vAlign w:val="center"/>
                </w:tcPr>
                <w:p w14:paraId="7585F59E">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lang w:eastAsia="zh-CN"/>
                    </w:rPr>
                    <w:t>集气罩</w:t>
                  </w:r>
                  <w:r>
                    <w:rPr>
                      <w:rFonts w:hint="eastAsia" w:ascii="Times New Roman" w:hAnsi="Times New Roman" w:eastAsia="宋体" w:cs="Times New Roman"/>
                      <w:b w:val="0"/>
                      <w:bCs w:val="0"/>
                      <w:i w:val="0"/>
                      <w:iCs w:val="0"/>
                      <w:color w:val="auto"/>
                      <w:sz w:val="21"/>
                      <w:szCs w:val="21"/>
                      <w:lang w:val="en-US" w:eastAsia="zh-CN"/>
                    </w:rPr>
                    <w:t>+二级活性炭</w:t>
                  </w:r>
                  <w:r>
                    <w:rPr>
                      <w:rFonts w:hint="default" w:ascii="Times New Roman" w:hAnsi="Times New Roman" w:eastAsia="宋体" w:cs="Times New Roman"/>
                      <w:b w:val="0"/>
                      <w:bCs w:val="0"/>
                      <w:i w:val="0"/>
                      <w:iCs w:val="0"/>
                      <w:color w:val="auto"/>
                      <w:sz w:val="21"/>
                      <w:szCs w:val="21"/>
                      <w:lang w:eastAsia="zh-CN"/>
                    </w:rPr>
                    <w:t>+15m排气筒</w:t>
                  </w:r>
                  <w:r>
                    <w:rPr>
                      <w:rFonts w:hint="eastAsia" w:ascii="Times New Roman" w:hAnsi="Times New Roman" w:eastAsia="宋体" w:cs="Times New Roman"/>
                      <w:b w:val="0"/>
                      <w:bCs w:val="0"/>
                      <w:i w:val="0"/>
                      <w:iCs w:val="0"/>
                      <w:color w:val="auto"/>
                      <w:sz w:val="21"/>
                      <w:szCs w:val="21"/>
                      <w:lang w:eastAsia="zh-CN"/>
                    </w:rPr>
                    <w:t>（</w:t>
                  </w:r>
                  <w:r>
                    <w:rPr>
                      <w:rFonts w:hint="eastAsia" w:ascii="Times New Roman" w:hAnsi="Times New Roman" w:eastAsia="宋体" w:cs="Times New Roman"/>
                      <w:b w:val="0"/>
                      <w:bCs w:val="0"/>
                      <w:i w:val="0"/>
                      <w:iCs w:val="0"/>
                      <w:color w:val="auto"/>
                      <w:sz w:val="21"/>
                      <w:szCs w:val="21"/>
                      <w:lang w:val="en-US" w:eastAsia="zh-CN"/>
                    </w:rPr>
                    <w:t>DA001）</w:t>
                  </w:r>
                </w:p>
              </w:tc>
              <w:tc>
                <w:tcPr>
                  <w:tcW w:w="2121" w:type="dxa"/>
                  <w:tcBorders>
                    <w:tl2br w:val="nil"/>
                    <w:tr2bl w:val="nil"/>
                  </w:tcBorders>
                  <w:noWrap w:val="0"/>
                  <w:vAlign w:val="center"/>
                </w:tcPr>
                <w:p w14:paraId="5727C094">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集气罩</w:t>
                  </w:r>
                  <w:r>
                    <w:rPr>
                      <w:rFonts w:hint="eastAsia" w:ascii="Times New Roman" w:hAnsi="Times New Roman" w:cs="Times New Roman"/>
                      <w:color w:val="auto"/>
                      <w:sz w:val="21"/>
                      <w:szCs w:val="21"/>
                      <w:lang w:val="en-US" w:eastAsia="zh-CN"/>
                    </w:rPr>
                    <w:t>6</w:t>
                  </w:r>
                  <w:r>
                    <w:rPr>
                      <w:rFonts w:hint="default" w:ascii="Times New Roman" w:hAnsi="Times New Roman" w:cs="Times New Roman"/>
                      <w:color w:val="auto"/>
                      <w:sz w:val="21"/>
                      <w:szCs w:val="21"/>
                      <w:lang w:val="en-US" w:eastAsia="zh-CN"/>
                    </w:rPr>
                    <w:t>套</w:t>
                  </w:r>
                  <w:r>
                    <w:rPr>
                      <w:rFonts w:hint="eastAsia" w:ascii="Times New Roman" w:hAnsi="Times New Roman" w:cs="Times New Roman"/>
                      <w:color w:val="auto"/>
                      <w:sz w:val="21"/>
                      <w:szCs w:val="21"/>
                      <w:lang w:val="en-US" w:eastAsia="zh-CN"/>
                    </w:rPr>
                    <w:t>，</w:t>
                  </w:r>
                  <w:r>
                    <w:rPr>
                      <w:rFonts w:hint="eastAsia" w:ascii="Times New Roman" w:hAnsi="Times New Roman" w:eastAsia="宋体" w:cs="Times New Roman"/>
                      <w:b w:val="0"/>
                      <w:bCs w:val="0"/>
                      <w:i w:val="0"/>
                      <w:iCs w:val="0"/>
                      <w:color w:val="auto"/>
                      <w:sz w:val="21"/>
                      <w:szCs w:val="21"/>
                      <w:lang w:val="en-US" w:eastAsia="zh-CN"/>
                    </w:rPr>
                    <w:t>二级活性炭</w:t>
                  </w:r>
                  <w:r>
                    <w:rPr>
                      <w:rFonts w:hint="default" w:ascii="Times New Roman" w:hAnsi="Times New Roman" w:cs="Times New Roman"/>
                      <w:color w:val="auto"/>
                      <w:sz w:val="21"/>
                      <w:szCs w:val="21"/>
                      <w:lang w:val="en-US" w:eastAsia="zh-CN"/>
                    </w:rPr>
                    <w:t>1套，排气筒1根</w:t>
                  </w:r>
                </w:p>
              </w:tc>
              <w:tc>
                <w:tcPr>
                  <w:tcW w:w="721" w:type="dxa"/>
                  <w:tcBorders>
                    <w:tl2br w:val="nil"/>
                    <w:tr2bl w:val="nil"/>
                  </w:tcBorders>
                  <w:noWrap w:val="0"/>
                  <w:vAlign w:val="center"/>
                </w:tcPr>
                <w:p w14:paraId="107CF67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8.0</w:t>
                  </w:r>
                </w:p>
              </w:tc>
            </w:tr>
            <w:tr w14:paraId="1EEE1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8" w:hRule="atLeast"/>
              </w:trPr>
              <w:tc>
                <w:tcPr>
                  <w:tcW w:w="421" w:type="dxa"/>
                  <w:vMerge w:val="continue"/>
                  <w:tcBorders>
                    <w:tl2br w:val="nil"/>
                    <w:tr2bl w:val="nil"/>
                  </w:tcBorders>
                  <w:noWrap w:val="0"/>
                  <w:vAlign w:val="center"/>
                </w:tcPr>
                <w:p w14:paraId="1F244229">
                  <w:pPr>
                    <w:shd w:val="clear" w:color="auto" w:fill="auto"/>
                    <w:jc w:val="center"/>
                    <w:rPr>
                      <w:rFonts w:ascii="Times New Roman"/>
                      <w:color w:val="auto"/>
                      <w:sz w:val="21"/>
                      <w:szCs w:val="21"/>
                      <w:highlight w:val="none"/>
                    </w:rPr>
                  </w:pPr>
                </w:p>
              </w:tc>
              <w:tc>
                <w:tcPr>
                  <w:tcW w:w="578" w:type="dxa"/>
                  <w:tcBorders>
                    <w:tl2br w:val="nil"/>
                    <w:tr2bl w:val="nil"/>
                  </w:tcBorders>
                  <w:noWrap w:val="0"/>
                  <w:vAlign w:val="center"/>
                </w:tcPr>
                <w:p w14:paraId="289F76D8">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废水</w:t>
                  </w:r>
                </w:p>
              </w:tc>
              <w:tc>
                <w:tcPr>
                  <w:tcW w:w="1396" w:type="dxa"/>
                  <w:tcBorders>
                    <w:tl2br w:val="nil"/>
                    <w:tr2bl w:val="nil"/>
                  </w:tcBorders>
                  <w:noWrap w:val="0"/>
                  <w:vAlign w:val="center"/>
                </w:tcPr>
                <w:p w14:paraId="4BA21C3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生活污水</w:t>
                  </w:r>
                </w:p>
              </w:tc>
              <w:tc>
                <w:tcPr>
                  <w:tcW w:w="2681" w:type="dxa"/>
                  <w:tcBorders>
                    <w:tl2br w:val="nil"/>
                    <w:tr2bl w:val="nil"/>
                  </w:tcBorders>
                  <w:noWrap w:val="0"/>
                  <w:vAlign w:val="center"/>
                </w:tcPr>
                <w:p w14:paraId="6D0441D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化粪池</w:t>
                  </w:r>
                </w:p>
              </w:tc>
              <w:tc>
                <w:tcPr>
                  <w:tcW w:w="2121" w:type="dxa"/>
                  <w:tcBorders>
                    <w:tl2br w:val="nil"/>
                    <w:tr2bl w:val="nil"/>
                  </w:tcBorders>
                  <w:noWrap w:val="0"/>
                  <w:vAlign w:val="center"/>
                </w:tcPr>
                <w:p w14:paraId="5FD39DC1">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依托</w:t>
                  </w:r>
                </w:p>
              </w:tc>
              <w:tc>
                <w:tcPr>
                  <w:tcW w:w="721" w:type="dxa"/>
                  <w:tcBorders>
                    <w:tl2br w:val="nil"/>
                    <w:tr2bl w:val="nil"/>
                  </w:tcBorders>
                  <w:noWrap w:val="0"/>
                  <w:vAlign w:val="center"/>
                </w:tcPr>
                <w:p w14:paraId="1805383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w:t>
                  </w:r>
                </w:p>
              </w:tc>
            </w:tr>
            <w:tr w14:paraId="5BCAF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8" w:hRule="atLeast"/>
              </w:trPr>
              <w:tc>
                <w:tcPr>
                  <w:tcW w:w="421" w:type="dxa"/>
                  <w:vMerge w:val="continue"/>
                  <w:tcBorders>
                    <w:tl2br w:val="nil"/>
                    <w:tr2bl w:val="nil"/>
                  </w:tcBorders>
                  <w:noWrap w:val="0"/>
                  <w:vAlign w:val="center"/>
                </w:tcPr>
                <w:p w14:paraId="43E01C0C">
                  <w:pPr>
                    <w:shd w:val="clear" w:color="auto" w:fill="auto"/>
                    <w:jc w:val="center"/>
                    <w:rPr>
                      <w:rFonts w:ascii="Times New Roman"/>
                      <w:color w:val="auto"/>
                      <w:sz w:val="21"/>
                      <w:szCs w:val="21"/>
                      <w:highlight w:val="none"/>
                    </w:rPr>
                  </w:pPr>
                </w:p>
              </w:tc>
              <w:tc>
                <w:tcPr>
                  <w:tcW w:w="578" w:type="dxa"/>
                  <w:tcBorders>
                    <w:tl2br w:val="nil"/>
                    <w:tr2bl w:val="nil"/>
                  </w:tcBorders>
                  <w:noWrap w:val="0"/>
                  <w:vAlign w:val="center"/>
                </w:tcPr>
                <w:p w14:paraId="1FA258BB">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噪声</w:t>
                  </w:r>
                </w:p>
              </w:tc>
              <w:tc>
                <w:tcPr>
                  <w:tcW w:w="1396" w:type="dxa"/>
                  <w:tcBorders>
                    <w:tl2br w:val="nil"/>
                    <w:tr2bl w:val="nil"/>
                  </w:tcBorders>
                  <w:noWrap w:val="0"/>
                  <w:vAlign w:val="center"/>
                </w:tcPr>
                <w:p w14:paraId="59E990E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厂区</w:t>
                  </w:r>
                </w:p>
              </w:tc>
              <w:tc>
                <w:tcPr>
                  <w:tcW w:w="2681" w:type="dxa"/>
                  <w:tcBorders>
                    <w:tl2br w:val="nil"/>
                    <w:tr2bl w:val="nil"/>
                  </w:tcBorders>
                  <w:noWrap w:val="0"/>
                  <w:vAlign w:val="center"/>
                </w:tcPr>
                <w:p w14:paraId="709D562A">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基础减震、</w:t>
                  </w:r>
                  <w:r>
                    <w:rPr>
                      <w:rFonts w:hint="eastAsia" w:ascii="Times New Roman"/>
                      <w:color w:val="auto"/>
                      <w:sz w:val="21"/>
                      <w:szCs w:val="21"/>
                      <w:highlight w:val="none"/>
                    </w:rPr>
                    <w:t>厂房隔声</w:t>
                  </w:r>
                  <w:r>
                    <w:rPr>
                      <w:rFonts w:ascii="Times New Roman"/>
                      <w:color w:val="auto"/>
                      <w:sz w:val="21"/>
                      <w:szCs w:val="21"/>
                      <w:highlight w:val="none"/>
                    </w:rPr>
                    <w:t>等</w:t>
                  </w:r>
                </w:p>
              </w:tc>
              <w:tc>
                <w:tcPr>
                  <w:tcW w:w="2121" w:type="dxa"/>
                  <w:tcBorders>
                    <w:tl2br w:val="nil"/>
                    <w:tr2bl w:val="nil"/>
                  </w:tcBorders>
                  <w:noWrap w:val="0"/>
                  <w:vAlign w:val="center"/>
                </w:tcPr>
                <w:p w14:paraId="64515D6D">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eastAsia="zh-CN"/>
                    </w:rPr>
                  </w:pPr>
                  <w:r>
                    <w:rPr>
                      <w:rFonts w:hint="default" w:ascii="Times New Roman" w:hAnsi="Times New Roman" w:cs="Times New Roman"/>
                      <w:color w:val="auto"/>
                      <w:sz w:val="21"/>
                      <w:szCs w:val="21"/>
                      <w:lang w:eastAsia="zh-CN"/>
                    </w:rPr>
                    <w:t>若干</w:t>
                  </w:r>
                </w:p>
              </w:tc>
              <w:tc>
                <w:tcPr>
                  <w:tcW w:w="721" w:type="dxa"/>
                  <w:tcBorders>
                    <w:tl2br w:val="nil"/>
                    <w:tr2bl w:val="nil"/>
                  </w:tcBorders>
                  <w:noWrap w:val="0"/>
                  <w:vAlign w:val="center"/>
                </w:tcPr>
                <w:p w14:paraId="33F118C8">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0.5</w:t>
                  </w:r>
                </w:p>
              </w:tc>
            </w:tr>
            <w:tr w14:paraId="3C98A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trPr>
              <w:tc>
                <w:tcPr>
                  <w:tcW w:w="421" w:type="dxa"/>
                  <w:vMerge w:val="continue"/>
                  <w:tcBorders>
                    <w:tl2br w:val="nil"/>
                    <w:tr2bl w:val="nil"/>
                  </w:tcBorders>
                  <w:noWrap w:val="0"/>
                  <w:vAlign w:val="center"/>
                </w:tcPr>
                <w:p w14:paraId="67B3ED72">
                  <w:pPr>
                    <w:shd w:val="clear" w:color="auto" w:fill="auto"/>
                    <w:jc w:val="center"/>
                    <w:rPr>
                      <w:rFonts w:ascii="Times New Roman"/>
                      <w:color w:val="auto"/>
                      <w:sz w:val="21"/>
                      <w:szCs w:val="21"/>
                      <w:highlight w:val="none"/>
                    </w:rPr>
                  </w:pPr>
                </w:p>
              </w:tc>
              <w:tc>
                <w:tcPr>
                  <w:tcW w:w="578" w:type="dxa"/>
                  <w:vMerge w:val="restart"/>
                  <w:tcBorders>
                    <w:tl2br w:val="nil"/>
                    <w:tr2bl w:val="nil"/>
                  </w:tcBorders>
                  <w:noWrap w:val="0"/>
                  <w:vAlign w:val="center"/>
                </w:tcPr>
                <w:p w14:paraId="01995698">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固废</w:t>
                  </w:r>
                </w:p>
              </w:tc>
              <w:tc>
                <w:tcPr>
                  <w:tcW w:w="1396" w:type="dxa"/>
                  <w:tcBorders>
                    <w:tl2br w:val="nil"/>
                    <w:tr2bl w:val="nil"/>
                  </w:tcBorders>
                  <w:noWrap w:val="0"/>
                  <w:vAlign w:val="center"/>
                </w:tcPr>
                <w:p w14:paraId="6A31A2B8">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eastAsia" w:ascii="Times New Roman"/>
                      <w:color w:val="auto"/>
                      <w:sz w:val="21"/>
                      <w:szCs w:val="21"/>
                      <w:highlight w:val="none"/>
                      <w:lang w:val="en-US" w:eastAsia="zh-CN"/>
                    </w:rPr>
                    <w:t>生活垃圾</w:t>
                  </w:r>
                </w:p>
              </w:tc>
              <w:tc>
                <w:tcPr>
                  <w:tcW w:w="2681" w:type="dxa"/>
                  <w:tcBorders>
                    <w:tl2br w:val="nil"/>
                    <w:tr2bl w:val="nil"/>
                  </w:tcBorders>
                  <w:noWrap w:val="0"/>
                  <w:vAlign w:val="center"/>
                </w:tcPr>
                <w:p w14:paraId="71EE06B0">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垃圾桶</w:t>
                  </w:r>
                </w:p>
              </w:tc>
              <w:tc>
                <w:tcPr>
                  <w:tcW w:w="2121" w:type="dxa"/>
                  <w:tcBorders>
                    <w:tl2br w:val="nil"/>
                    <w:tr2bl w:val="nil"/>
                  </w:tcBorders>
                  <w:noWrap w:val="0"/>
                  <w:vAlign w:val="center"/>
                </w:tcPr>
                <w:p w14:paraId="23C26CE8">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default" w:ascii="Times New Roman" w:hAnsi="Times New Roman" w:cs="Times New Roman"/>
                      <w:color w:val="auto"/>
                      <w:sz w:val="21"/>
                      <w:szCs w:val="21"/>
                      <w:lang w:eastAsia="zh-CN"/>
                    </w:rPr>
                    <w:t>若干</w:t>
                  </w:r>
                </w:p>
              </w:tc>
              <w:tc>
                <w:tcPr>
                  <w:tcW w:w="721" w:type="dxa"/>
                  <w:tcBorders>
                    <w:tl2br w:val="nil"/>
                    <w:tr2bl w:val="nil"/>
                  </w:tcBorders>
                  <w:noWrap w:val="0"/>
                  <w:vAlign w:val="center"/>
                </w:tcPr>
                <w:p w14:paraId="5956E16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0.5</w:t>
                  </w:r>
                </w:p>
              </w:tc>
            </w:tr>
            <w:tr w14:paraId="5D24B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 w:hRule="atLeast"/>
              </w:trPr>
              <w:tc>
                <w:tcPr>
                  <w:tcW w:w="421" w:type="dxa"/>
                  <w:vMerge w:val="continue"/>
                  <w:tcBorders>
                    <w:tl2br w:val="nil"/>
                    <w:tr2bl w:val="nil"/>
                  </w:tcBorders>
                  <w:noWrap w:val="0"/>
                  <w:vAlign w:val="center"/>
                </w:tcPr>
                <w:p w14:paraId="4AB38B3B">
                  <w:pPr>
                    <w:shd w:val="clear" w:color="auto" w:fill="auto"/>
                    <w:jc w:val="center"/>
                    <w:rPr>
                      <w:rFonts w:ascii="Times New Roman"/>
                      <w:color w:val="auto"/>
                      <w:sz w:val="21"/>
                      <w:szCs w:val="21"/>
                      <w:highlight w:val="none"/>
                    </w:rPr>
                  </w:pPr>
                </w:p>
              </w:tc>
              <w:tc>
                <w:tcPr>
                  <w:tcW w:w="578" w:type="dxa"/>
                  <w:vMerge w:val="continue"/>
                  <w:tcBorders>
                    <w:tl2br w:val="nil"/>
                    <w:tr2bl w:val="nil"/>
                  </w:tcBorders>
                  <w:noWrap w:val="0"/>
                  <w:vAlign w:val="center"/>
                </w:tcPr>
                <w:p w14:paraId="5A68B82D">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p>
              </w:tc>
              <w:tc>
                <w:tcPr>
                  <w:tcW w:w="1396" w:type="dxa"/>
                  <w:tcBorders>
                    <w:tl2br w:val="nil"/>
                    <w:tr2bl w:val="nil"/>
                  </w:tcBorders>
                  <w:noWrap w:val="0"/>
                  <w:vAlign w:val="center"/>
                </w:tcPr>
                <w:p w14:paraId="6C67AE2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一般固废</w:t>
                  </w:r>
                </w:p>
              </w:tc>
              <w:tc>
                <w:tcPr>
                  <w:tcW w:w="2681" w:type="dxa"/>
                  <w:tcBorders>
                    <w:tl2br w:val="nil"/>
                    <w:tr2bl w:val="nil"/>
                  </w:tcBorders>
                  <w:noWrap w:val="0"/>
                  <w:vAlign w:val="center"/>
                </w:tcPr>
                <w:p w14:paraId="517B4B93">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default" w:ascii="Times New Roman" w:hAnsi="Times New Roman" w:cs="Times New Roman"/>
                      <w:color w:val="auto"/>
                      <w:sz w:val="21"/>
                      <w:szCs w:val="21"/>
                      <w:lang w:eastAsia="zh-CN"/>
                    </w:rPr>
                    <w:t>一般固废暂存区</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0m</w:t>
                  </w:r>
                  <w:r>
                    <w:rPr>
                      <w:rFonts w:hint="default" w:ascii="Times New Roman" w:hAnsi="Times New Roman" w:cs="Times New Roman"/>
                      <w:color w:val="auto"/>
                      <w:sz w:val="21"/>
                      <w:szCs w:val="21"/>
                      <w:vertAlign w:val="superscript"/>
                      <w:lang w:val="en-US" w:eastAsia="zh-CN"/>
                    </w:rPr>
                    <w:t>2</w:t>
                  </w:r>
                </w:p>
              </w:tc>
              <w:tc>
                <w:tcPr>
                  <w:tcW w:w="2121" w:type="dxa"/>
                  <w:tcBorders>
                    <w:tl2br w:val="nil"/>
                    <w:tr2bl w:val="nil"/>
                  </w:tcBorders>
                  <w:noWrap w:val="0"/>
                  <w:vAlign w:val="center"/>
                </w:tcPr>
                <w:p w14:paraId="0D4A62BC">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1处</w:t>
                  </w:r>
                </w:p>
              </w:tc>
              <w:tc>
                <w:tcPr>
                  <w:tcW w:w="721" w:type="dxa"/>
                  <w:tcBorders>
                    <w:tl2br w:val="nil"/>
                    <w:tr2bl w:val="nil"/>
                  </w:tcBorders>
                  <w:noWrap w:val="0"/>
                  <w:vAlign w:val="center"/>
                </w:tcPr>
                <w:p w14:paraId="21E94CCB">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0.5</w:t>
                  </w:r>
                </w:p>
              </w:tc>
            </w:tr>
            <w:tr w14:paraId="3DF05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6" w:hRule="atLeast"/>
              </w:trPr>
              <w:tc>
                <w:tcPr>
                  <w:tcW w:w="421" w:type="dxa"/>
                  <w:vMerge w:val="continue"/>
                  <w:tcBorders>
                    <w:tl2br w:val="nil"/>
                    <w:tr2bl w:val="nil"/>
                  </w:tcBorders>
                  <w:noWrap w:val="0"/>
                  <w:vAlign w:val="center"/>
                </w:tcPr>
                <w:p w14:paraId="4201C391">
                  <w:pPr>
                    <w:shd w:val="clear" w:color="auto" w:fill="auto"/>
                    <w:jc w:val="center"/>
                    <w:rPr>
                      <w:rFonts w:ascii="Times New Roman"/>
                      <w:color w:val="auto"/>
                      <w:sz w:val="21"/>
                      <w:szCs w:val="21"/>
                      <w:highlight w:val="none"/>
                    </w:rPr>
                  </w:pPr>
                </w:p>
              </w:tc>
              <w:tc>
                <w:tcPr>
                  <w:tcW w:w="578" w:type="dxa"/>
                  <w:vMerge w:val="continue"/>
                  <w:tcBorders>
                    <w:tl2br w:val="nil"/>
                    <w:tr2bl w:val="nil"/>
                  </w:tcBorders>
                  <w:noWrap w:val="0"/>
                  <w:vAlign w:val="center"/>
                </w:tcPr>
                <w:p w14:paraId="76C3E07D">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p>
              </w:tc>
              <w:tc>
                <w:tcPr>
                  <w:tcW w:w="1396" w:type="dxa"/>
                  <w:tcBorders>
                    <w:tl2br w:val="nil"/>
                    <w:tr2bl w:val="nil"/>
                  </w:tcBorders>
                  <w:noWrap w:val="0"/>
                  <w:vAlign w:val="center"/>
                </w:tcPr>
                <w:p w14:paraId="420742C8">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eastAsia" w:ascii="Times New Roman"/>
                      <w:color w:val="auto"/>
                      <w:sz w:val="21"/>
                      <w:szCs w:val="21"/>
                      <w:highlight w:val="none"/>
                      <w:lang w:val="en-US" w:eastAsia="zh-CN"/>
                    </w:rPr>
                    <w:t>危险废物</w:t>
                  </w:r>
                </w:p>
              </w:tc>
              <w:tc>
                <w:tcPr>
                  <w:tcW w:w="2681" w:type="dxa"/>
                  <w:tcBorders>
                    <w:tl2br w:val="nil"/>
                    <w:tr2bl w:val="nil"/>
                  </w:tcBorders>
                  <w:noWrap w:val="0"/>
                  <w:vAlign w:val="center"/>
                </w:tcPr>
                <w:p w14:paraId="7EACD96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eastAsia="zh-CN"/>
                    </w:rPr>
                  </w:pPr>
                  <w:r>
                    <w:rPr>
                      <w:rFonts w:hint="eastAsia" w:cs="Times New Roman"/>
                      <w:color w:val="auto"/>
                      <w:sz w:val="21"/>
                      <w:szCs w:val="21"/>
                      <w:lang w:eastAsia="zh-CN"/>
                    </w:rPr>
                    <w:t>危险废物贮存库</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10</w:t>
                  </w:r>
                  <w:r>
                    <w:rPr>
                      <w:rFonts w:hint="default" w:ascii="Times New Roman" w:hAnsi="Times New Roman" w:cs="Times New Roman"/>
                      <w:color w:val="auto"/>
                      <w:sz w:val="21"/>
                      <w:szCs w:val="21"/>
                      <w:lang w:eastAsia="zh-CN"/>
                    </w:rPr>
                    <w:t>m</w:t>
                  </w:r>
                  <w:r>
                    <w:rPr>
                      <w:rFonts w:hint="default" w:ascii="Times New Roman" w:hAnsi="Times New Roman" w:cs="Times New Roman"/>
                      <w:color w:val="auto"/>
                      <w:sz w:val="21"/>
                      <w:szCs w:val="21"/>
                      <w:vertAlign w:val="superscript"/>
                      <w:lang w:eastAsia="zh-CN"/>
                    </w:rPr>
                    <w:t>2</w:t>
                  </w:r>
                </w:p>
              </w:tc>
              <w:tc>
                <w:tcPr>
                  <w:tcW w:w="2121" w:type="dxa"/>
                  <w:tcBorders>
                    <w:tl2br w:val="nil"/>
                    <w:tr2bl w:val="nil"/>
                  </w:tcBorders>
                  <w:noWrap w:val="0"/>
                  <w:vAlign w:val="center"/>
                </w:tcPr>
                <w:p w14:paraId="798EDEB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ascii="Times New Roman"/>
                      <w:color w:val="auto"/>
                      <w:sz w:val="21"/>
                      <w:szCs w:val="21"/>
                      <w:highlight w:val="none"/>
                    </w:rPr>
                  </w:pPr>
                  <w:r>
                    <w:rPr>
                      <w:rFonts w:hint="default" w:ascii="Times New Roman" w:hAnsi="Times New Roman" w:cs="Times New Roman"/>
                      <w:color w:val="auto"/>
                      <w:sz w:val="21"/>
                      <w:szCs w:val="21"/>
                      <w:lang w:eastAsia="zh-CN"/>
                    </w:rPr>
                    <w:t>1间</w:t>
                  </w:r>
                </w:p>
              </w:tc>
              <w:tc>
                <w:tcPr>
                  <w:tcW w:w="721" w:type="dxa"/>
                  <w:tcBorders>
                    <w:tl2br w:val="nil"/>
                    <w:tr2bl w:val="nil"/>
                  </w:tcBorders>
                  <w:noWrap w:val="0"/>
                  <w:vAlign w:val="center"/>
                </w:tcPr>
                <w:p w14:paraId="206F2A0F">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0.5</w:t>
                  </w:r>
                </w:p>
              </w:tc>
            </w:tr>
            <w:tr w14:paraId="70A63A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trPr>
              <w:tc>
                <w:tcPr>
                  <w:tcW w:w="7197" w:type="dxa"/>
                  <w:gridSpan w:val="5"/>
                  <w:tcBorders>
                    <w:tl2br w:val="nil"/>
                    <w:tr2bl w:val="nil"/>
                  </w:tcBorders>
                  <w:noWrap w:val="0"/>
                  <w:vAlign w:val="center"/>
                </w:tcPr>
                <w:p w14:paraId="0FCE1E14">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合计</w:t>
                  </w:r>
                </w:p>
              </w:tc>
              <w:tc>
                <w:tcPr>
                  <w:tcW w:w="721" w:type="dxa"/>
                  <w:tcBorders>
                    <w:tl2br w:val="nil"/>
                    <w:tr2bl w:val="nil"/>
                  </w:tcBorders>
                  <w:noWrap w:val="0"/>
                  <w:vAlign w:val="center"/>
                </w:tcPr>
                <w:p w14:paraId="215E273A">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10</w:t>
                  </w:r>
                </w:p>
              </w:tc>
            </w:tr>
          </w:tbl>
          <w:p w14:paraId="1D7D8DF8">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0C624E6C">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6F8DA021">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7E003ECE">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74E56691">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4AA04EB0">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69A83FFB">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4BC9B4A2">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0C35E6E4">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63B4688B">
            <w:pPr>
              <w:shd w:val="clear" w:color="auto" w:fill="auto"/>
              <w:adjustRightInd w:val="0"/>
              <w:snapToGrid w:val="0"/>
              <w:spacing w:line="360" w:lineRule="auto"/>
              <w:rPr>
                <w:rFonts w:hint="eastAsia" w:ascii="Times New Roman" w:hAnsi="Times New Roman" w:eastAsia="宋体" w:cs="宋体"/>
                <w:color w:val="auto"/>
                <w:kern w:val="0"/>
                <w:sz w:val="24"/>
                <w:szCs w:val="20"/>
                <w:highlight w:val="none"/>
              </w:rPr>
            </w:pPr>
          </w:p>
          <w:p w14:paraId="68DEFE5B">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p>
          <w:p w14:paraId="0A3E90EF">
            <w:pPr>
              <w:keepNext w:val="0"/>
              <w:keepLines w:val="0"/>
              <w:pageBreakBefore w:val="0"/>
              <w:widowControl/>
              <w:kinsoku/>
              <w:wordWrap/>
              <w:overflowPunct/>
              <w:topLinePunct w:val="0"/>
              <w:autoSpaceDE/>
              <w:autoSpaceDN/>
              <w:bidi w:val="0"/>
              <w:adjustRightInd/>
              <w:snapToGrid/>
              <w:spacing w:line="440" w:lineRule="exact"/>
              <w:textAlignment w:val="auto"/>
              <w:rPr>
                <w:rFonts w:ascii="Times New Roman" w:hAnsi="Times New Roman"/>
                <w:color w:val="auto"/>
                <w:sz w:val="21"/>
                <w:szCs w:val="21"/>
                <w:highlight w:val="none"/>
              </w:rPr>
            </w:pPr>
          </w:p>
        </w:tc>
      </w:tr>
    </w:tbl>
    <w:p w14:paraId="7D31541E">
      <w:pPr>
        <w:adjustRightInd w:val="0"/>
        <w:snapToGrid w:val="0"/>
        <w:spacing w:line="360" w:lineRule="auto"/>
        <w:rPr>
          <w:rFonts w:hint="eastAsia" w:ascii="宋体" w:cs="宋体"/>
          <w:b/>
          <w:color w:val="0000FF"/>
          <w:kern w:val="0"/>
          <w:sz w:val="28"/>
          <w:szCs w:val="28"/>
        </w:rPr>
        <w:sectPr>
          <w:pgSz w:w="11907" w:h="16840"/>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3E16AB92">
      <w:pPr>
        <w:pStyle w:val="21"/>
        <w:numPr>
          <w:ilvl w:val="0"/>
          <w:numId w:val="7"/>
        </w:numPr>
        <w:ind w:left="0" w:leftChars="0" w:firstLine="0" w:firstLineChars="0"/>
        <w:jc w:val="center"/>
        <w:outlineLvl w:val="0"/>
        <w:rPr>
          <w:rFonts w:hint="eastAsia" w:ascii="黑体" w:hAnsi="黑体" w:eastAsia="黑体"/>
          <w:snapToGrid w:val="0"/>
          <w:color w:val="auto"/>
          <w:sz w:val="30"/>
          <w:szCs w:val="30"/>
        </w:rPr>
      </w:pPr>
      <w:bookmarkStart w:id="18" w:name="_Hlk54167917"/>
      <w:r>
        <w:rPr>
          <w:rFonts w:hint="eastAsia" w:ascii="黑体" w:hAnsi="黑体" w:eastAsia="黑体"/>
          <w:snapToGrid w:val="0"/>
          <w:color w:val="auto"/>
          <w:sz w:val="30"/>
          <w:szCs w:val="30"/>
        </w:rPr>
        <w:t>环境保护措施监督检查清单</w:t>
      </w:r>
      <w:bookmarkEnd w:id="18"/>
    </w:p>
    <w:tbl>
      <w:tblPr>
        <w:tblStyle w:val="24"/>
        <w:tblW w:w="91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1"/>
        <w:gridCol w:w="1644"/>
        <w:gridCol w:w="1624"/>
        <w:gridCol w:w="2547"/>
        <w:gridCol w:w="2163"/>
      </w:tblGrid>
      <w:tr w14:paraId="6D6DF0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2" w:hRule="atLeast"/>
          <w:jc w:val="center"/>
        </w:trPr>
        <w:tc>
          <w:tcPr>
            <w:tcW w:w="1151" w:type="dxa"/>
            <w:tcBorders>
              <w:tl2br w:val="single" w:color="auto" w:sz="4" w:space="0"/>
            </w:tcBorders>
            <w:noWrap w:val="0"/>
            <w:vAlign w:val="top"/>
          </w:tcPr>
          <w:p w14:paraId="15A12C01">
            <w:pPr>
              <w:shd w:val="clear" w:color="auto" w:fill="auto"/>
              <w:adjustRightInd w:val="0"/>
              <w:snapToGrid w:val="0"/>
              <w:ind w:firstLine="422" w:firstLineChars="200"/>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内容</w:t>
            </w:r>
          </w:p>
          <w:p w14:paraId="351A6E78">
            <w:pPr>
              <w:shd w:val="clear" w:color="auto" w:fill="auto"/>
              <w:adjustRightInd w:val="0"/>
              <w:snapToGrid w:val="0"/>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要素</w:t>
            </w:r>
          </w:p>
        </w:tc>
        <w:tc>
          <w:tcPr>
            <w:tcW w:w="1644" w:type="dxa"/>
            <w:noWrap w:val="0"/>
            <w:vAlign w:val="center"/>
          </w:tcPr>
          <w:p w14:paraId="1D404BE8">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排放口(编号、</w:t>
            </w:r>
          </w:p>
          <w:p w14:paraId="34E4C9DD">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名称)/污染源</w:t>
            </w:r>
          </w:p>
        </w:tc>
        <w:tc>
          <w:tcPr>
            <w:tcW w:w="1624" w:type="dxa"/>
            <w:noWrap w:val="0"/>
            <w:vAlign w:val="center"/>
          </w:tcPr>
          <w:p w14:paraId="334D9EAE">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污染物项目</w:t>
            </w:r>
          </w:p>
        </w:tc>
        <w:tc>
          <w:tcPr>
            <w:tcW w:w="2547" w:type="dxa"/>
            <w:noWrap w:val="0"/>
            <w:vAlign w:val="center"/>
          </w:tcPr>
          <w:p w14:paraId="1B999E5B">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环境保护措施</w:t>
            </w:r>
          </w:p>
        </w:tc>
        <w:tc>
          <w:tcPr>
            <w:tcW w:w="2163" w:type="dxa"/>
            <w:noWrap w:val="0"/>
            <w:vAlign w:val="center"/>
          </w:tcPr>
          <w:p w14:paraId="35F7963B">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执行标准</w:t>
            </w:r>
          </w:p>
        </w:tc>
      </w:tr>
      <w:tr w14:paraId="69C967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2" w:hRule="atLeast"/>
          <w:jc w:val="center"/>
        </w:trPr>
        <w:tc>
          <w:tcPr>
            <w:tcW w:w="1151" w:type="dxa"/>
            <w:noWrap w:val="0"/>
            <w:vAlign w:val="center"/>
          </w:tcPr>
          <w:p w14:paraId="5A9A239C">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大气环境</w:t>
            </w:r>
          </w:p>
        </w:tc>
        <w:tc>
          <w:tcPr>
            <w:tcW w:w="1644" w:type="dxa"/>
            <w:noWrap w:val="0"/>
            <w:vAlign w:val="center"/>
          </w:tcPr>
          <w:p w14:paraId="4C2E0485">
            <w:pPr>
              <w:pStyle w:val="9"/>
              <w:keepNext w:val="0"/>
              <w:keepLines w:val="0"/>
              <w:pageBreakBefore w:val="0"/>
              <w:widowControl w:val="0"/>
              <w:tabs>
                <w:tab w:val="left" w:pos="3794"/>
              </w:tabs>
              <w:kinsoku/>
              <w:overflowPunct/>
              <w:topLinePunct w:val="0"/>
              <w:autoSpaceDE/>
              <w:autoSpaceDN/>
              <w:bidi w:val="0"/>
              <w:adjustRightInd w:val="0"/>
              <w:snapToGrid w:val="0"/>
              <w:spacing w:line="264" w:lineRule="auto"/>
              <w:ind w:firstLine="0" w:firstLineChars="0"/>
              <w:jc w:val="center"/>
              <w:textAlignment w:val="auto"/>
              <w:rPr>
                <w:rFonts w:hint="eastAsia" w:ascii="Times New Roman" w:hAnsi="Times New Roman" w:eastAsia="宋体" w:cs="Courier New"/>
                <w:color w:val="auto"/>
                <w:kern w:val="2"/>
                <w:sz w:val="21"/>
                <w:szCs w:val="21"/>
                <w:shd w:val="clear" w:color="auto" w:fill="FFFFFF"/>
                <w:lang w:val="en-US" w:eastAsia="zh-CN" w:bidi="ar-SA"/>
              </w:rPr>
            </w:pPr>
            <w:r>
              <w:rPr>
                <w:rFonts w:hint="eastAsia" w:ascii="Times New Roman" w:hAnsi="Times New Roman"/>
                <w:color w:val="auto"/>
                <w:szCs w:val="21"/>
                <w:shd w:val="clear" w:color="auto" w:fill="FFFFFF"/>
                <w:lang w:val="en-US" w:eastAsia="zh-CN"/>
              </w:rPr>
              <w:t>挤出、注塑</w:t>
            </w:r>
            <w:r>
              <w:rPr>
                <w:rFonts w:hint="eastAsia" w:ascii="Times New Roman" w:hAnsi="Times New Roman"/>
                <w:color w:val="auto"/>
                <w:szCs w:val="21"/>
                <w:shd w:val="clear" w:color="auto" w:fill="FFFFFF"/>
                <w:lang w:eastAsia="zh-CN"/>
              </w:rPr>
              <w:t>废气</w:t>
            </w:r>
          </w:p>
        </w:tc>
        <w:tc>
          <w:tcPr>
            <w:tcW w:w="1624" w:type="dxa"/>
            <w:noWrap w:val="0"/>
            <w:vAlign w:val="center"/>
          </w:tcPr>
          <w:p w14:paraId="16E557EF">
            <w:pPr>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非甲烷总烃</w:t>
            </w:r>
          </w:p>
        </w:tc>
        <w:tc>
          <w:tcPr>
            <w:tcW w:w="2547" w:type="dxa"/>
            <w:noWrap w:val="0"/>
            <w:vAlign w:val="center"/>
          </w:tcPr>
          <w:p w14:paraId="3F1898ED">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lang w:eastAsia="zh-CN"/>
              </w:rPr>
              <w:t>集气罩+</w:t>
            </w:r>
            <w:r>
              <w:rPr>
                <w:rFonts w:hint="eastAsia" w:ascii="Times New Roman" w:hAnsi="Times New Roman" w:eastAsia="宋体" w:cs="Times New Roman"/>
                <w:b w:val="0"/>
                <w:bCs w:val="0"/>
                <w:i w:val="0"/>
                <w:iCs w:val="0"/>
                <w:color w:val="auto"/>
                <w:sz w:val="21"/>
                <w:szCs w:val="21"/>
                <w:lang w:val="en-US" w:eastAsia="zh-CN"/>
              </w:rPr>
              <w:t>二级活性炭</w:t>
            </w:r>
            <w:r>
              <w:rPr>
                <w:rFonts w:hint="default" w:ascii="Times New Roman" w:hAnsi="Times New Roman" w:eastAsia="宋体" w:cs="Times New Roman"/>
                <w:b w:val="0"/>
                <w:bCs w:val="0"/>
                <w:i w:val="0"/>
                <w:iCs w:val="0"/>
                <w:color w:val="auto"/>
                <w:sz w:val="21"/>
                <w:szCs w:val="21"/>
                <w:lang w:eastAsia="zh-CN"/>
              </w:rPr>
              <w:t>+15m排气筒</w:t>
            </w:r>
            <w:r>
              <w:rPr>
                <w:rFonts w:hint="eastAsia" w:ascii="Times New Roman" w:hAnsi="Times New Roman" w:eastAsia="宋体" w:cs="Times New Roman"/>
                <w:b w:val="0"/>
                <w:bCs w:val="0"/>
                <w:i w:val="0"/>
                <w:iCs w:val="0"/>
                <w:color w:val="auto"/>
                <w:sz w:val="21"/>
                <w:szCs w:val="21"/>
                <w:lang w:eastAsia="zh-CN"/>
              </w:rPr>
              <w:t>（</w:t>
            </w:r>
            <w:r>
              <w:rPr>
                <w:rFonts w:hint="eastAsia" w:ascii="Times New Roman" w:hAnsi="Times New Roman" w:eastAsia="宋体" w:cs="Times New Roman"/>
                <w:b w:val="0"/>
                <w:bCs w:val="0"/>
                <w:i w:val="0"/>
                <w:iCs w:val="0"/>
                <w:color w:val="auto"/>
                <w:sz w:val="21"/>
                <w:szCs w:val="21"/>
                <w:lang w:val="en-US" w:eastAsia="zh-CN"/>
              </w:rPr>
              <w:t>DA001）</w:t>
            </w:r>
          </w:p>
        </w:tc>
        <w:tc>
          <w:tcPr>
            <w:tcW w:w="2163" w:type="dxa"/>
            <w:noWrap w:val="0"/>
            <w:vAlign w:val="center"/>
          </w:tcPr>
          <w:p w14:paraId="64AF2BE5">
            <w:pPr>
              <w:keepNext w:val="0"/>
              <w:keepLines w:val="0"/>
              <w:pageBreakBefore w:val="0"/>
              <w:widowControl w:val="0"/>
              <w:shd w:val="clear" w:color="auto" w:fill="auto"/>
              <w:kinsoku/>
              <w:wordWrap w:val="0"/>
              <w:overflowPunct/>
              <w:topLinePunct w:val="0"/>
              <w:autoSpaceDE/>
              <w:autoSpaceDN/>
              <w:bidi w:val="0"/>
              <w:adjustRightInd w:val="0"/>
              <w:snapToGrid w:val="0"/>
              <w:spacing w:line="264" w:lineRule="auto"/>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b w:val="0"/>
                <w:bCs/>
                <w:color w:val="auto"/>
                <w:szCs w:val="21"/>
                <w:highlight w:val="none"/>
                <w:lang w:bidi="ar"/>
              </w:rPr>
              <w:t>《合成树脂工业污染物排放标准》（GB31572-2015）</w:t>
            </w:r>
            <w:r>
              <w:rPr>
                <w:rFonts w:hint="eastAsia" w:ascii="Times New Roman" w:hAnsi="Times New Roman"/>
                <w:b w:val="0"/>
                <w:bCs/>
                <w:color w:val="auto"/>
                <w:szCs w:val="21"/>
                <w:highlight w:val="none"/>
                <w:lang w:eastAsia="zh-CN" w:bidi="ar"/>
              </w:rPr>
              <w:t>表</w:t>
            </w:r>
            <w:r>
              <w:rPr>
                <w:rFonts w:hint="eastAsia" w:ascii="Times New Roman" w:hAnsi="Times New Roman"/>
                <w:b w:val="0"/>
                <w:bCs/>
                <w:color w:val="auto"/>
                <w:szCs w:val="21"/>
                <w:highlight w:val="none"/>
                <w:lang w:val="en-US" w:eastAsia="zh-CN" w:bidi="ar"/>
              </w:rPr>
              <w:t>5和表9排放限值要求</w:t>
            </w:r>
            <w:r>
              <w:rPr>
                <w:rFonts w:hint="eastAsia" w:ascii="Times New Roman" w:hAnsi="Times New Roman" w:cs="Times New Roman"/>
                <w:color w:val="auto"/>
                <w:sz w:val="21"/>
                <w:szCs w:val="21"/>
                <w:highlight w:val="none"/>
                <w:lang w:eastAsia="zh-CN"/>
              </w:rPr>
              <w:t>以及</w:t>
            </w:r>
            <w:r>
              <w:rPr>
                <w:rFonts w:hint="default" w:ascii="Times New Roman" w:hAnsi="Times New Roman" w:cs="Times New Roman"/>
                <w:color w:val="auto"/>
                <w:sz w:val="21"/>
                <w:szCs w:val="21"/>
                <w:highlight w:val="none"/>
                <w:shd w:val="clear" w:color="auto" w:fill="FFFFFF"/>
              </w:rPr>
              <w:t>《挥发性有机物无组织排放控制标准》（GB37822-2019）</w:t>
            </w:r>
            <w:r>
              <w:rPr>
                <w:rFonts w:hint="eastAsia" w:ascii="Times New Roman" w:hAnsi="Times New Roman" w:cs="Times New Roman"/>
                <w:color w:val="auto"/>
                <w:sz w:val="21"/>
                <w:szCs w:val="21"/>
                <w:highlight w:val="none"/>
                <w:shd w:val="clear" w:color="auto" w:fill="FFFFFF"/>
                <w:lang w:eastAsia="zh-CN"/>
              </w:rPr>
              <w:t>表</w:t>
            </w:r>
            <w:r>
              <w:rPr>
                <w:rFonts w:hint="eastAsia" w:ascii="Times New Roman" w:hAnsi="Times New Roman" w:cs="Times New Roman"/>
                <w:color w:val="auto"/>
                <w:sz w:val="21"/>
                <w:szCs w:val="21"/>
                <w:highlight w:val="none"/>
                <w:shd w:val="clear" w:color="auto" w:fill="FFFFFF"/>
                <w:lang w:val="en-US" w:eastAsia="zh-CN"/>
              </w:rPr>
              <w:t>A.1要求</w:t>
            </w:r>
          </w:p>
        </w:tc>
      </w:tr>
      <w:tr w14:paraId="18F42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4" w:hRule="atLeast"/>
          <w:jc w:val="center"/>
        </w:trPr>
        <w:tc>
          <w:tcPr>
            <w:tcW w:w="1151" w:type="dxa"/>
            <w:noWrap w:val="0"/>
            <w:vAlign w:val="center"/>
          </w:tcPr>
          <w:p w14:paraId="3658F6A2">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地表水环境</w:t>
            </w:r>
          </w:p>
        </w:tc>
        <w:tc>
          <w:tcPr>
            <w:tcW w:w="1644" w:type="dxa"/>
            <w:noWrap w:val="0"/>
            <w:vAlign w:val="center"/>
          </w:tcPr>
          <w:p w14:paraId="6156FFB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生活污水</w:t>
            </w:r>
          </w:p>
        </w:tc>
        <w:tc>
          <w:tcPr>
            <w:tcW w:w="1624" w:type="dxa"/>
            <w:noWrap w:val="0"/>
            <w:vAlign w:val="center"/>
          </w:tcPr>
          <w:p w14:paraId="5900E51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eastAsia="宋体" w:cs="宋体"/>
                <w:color w:val="auto"/>
                <w:sz w:val="21"/>
                <w:szCs w:val="21"/>
                <w:highlight w:val="none"/>
                <w:lang w:val="en-US" w:eastAsia="zh-CN"/>
              </w:rPr>
            </w:pPr>
            <w:r>
              <w:rPr>
                <w:rFonts w:hint="eastAsia" w:ascii="Times New Roman" w:hAnsi="Times New Roman" w:eastAsia="宋体" w:cs="Times New Roman"/>
                <w:b w:val="0"/>
                <w:bCs w:val="0"/>
                <w:i w:val="0"/>
                <w:iCs w:val="0"/>
                <w:color w:val="auto"/>
                <w:sz w:val="21"/>
                <w:szCs w:val="21"/>
                <w:lang w:val="en-US" w:eastAsia="zh-CN"/>
              </w:rPr>
              <w:t>pH、</w:t>
            </w:r>
            <w:r>
              <w:rPr>
                <w:rFonts w:hint="default" w:ascii="Times New Roman" w:hAnsi="Times New Roman" w:eastAsia="宋体" w:cs="Times New Roman"/>
                <w:b w:val="0"/>
                <w:bCs w:val="0"/>
                <w:i w:val="0"/>
                <w:iCs w:val="0"/>
                <w:color w:val="auto"/>
                <w:sz w:val="21"/>
                <w:szCs w:val="21"/>
                <w:lang w:val="en-US" w:eastAsia="zh-CN"/>
              </w:rPr>
              <w:t>COD、BOD</w:t>
            </w:r>
            <w:r>
              <w:rPr>
                <w:rFonts w:hint="default" w:ascii="Times New Roman" w:hAnsi="Times New Roman" w:eastAsia="宋体" w:cs="Times New Roman"/>
                <w:b w:val="0"/>
                <w:bCs w:val="0"/>
                <w:i w:val="0"/>
                <w:iCs w:val="0"/>
                <w:color w:val="auto"/>
                <w:sz w:val="21"/>
                <w:szCs w:val="21"/>
                <w:vertAlign w:val="subscript"/>
                <w:lang w:val="en-US" w:eastAsia="zh-CN"/>
              </w:rPr>
              <w:t>5</w:t>
            </w:r>
            <w:r>
              <w:rPr>
                <w:rFonts w:hint="default" w:ascii="Times New Roman" w:hAnsi="Times New Roman" w:eastAsia="宋体" w:cs="Times New Roman"/>
                <w:b w:val="0"/>
                <w:bCs w:val="0"/>
                <w:i w:val="0"/>
                <w:iCs w:val="0"/>
                <w:color w:val="auto"/>
                <w:sz w:val="21"/>
                <w:szCs w:val="21"/>
                <w:lang w:val="en-US" w:eastAsia="zh-CN"/>
              </w:rPr>
              <w:t>、SS、氨氮</w:t>
            </w:r>
          </w:p>
        </w:tc>
        <w:tc>
          <w:tcPr>
            <w:tcW w:w="2547" w:type="dxa"/>
            <w:noWrap w:val="0"/>
            <w:vAlign w:val="center"/>
          </w:tcPr>
          <w:p w14:paraId="17C5D089">
            <w:pPr>
              <w:keepNext w:val="0"/>
              <w:keepLines w:val="0"/>
              <w:pageBreakBefore w:val="0"/>
              <w:widowControl w:val="0"/>
              <w:kinsoku/>
              <w:wordWrap/>
              <w:overflowPunct/>
              <w:topLinePunct w:val="0"/>
              <w:autoSpaceDE/>
              <w:autoSpaceDN/>
              <w:bidi w:val="0"/>
              <w:adjustRightInd w:val="0"/>
              <w:snapToGrid w:val="0"/>
              <w:spacing w:line="264" w:lineRule="auto"/>
              <w:ind w:left="-105" w:leftChars="-50" w:right="-105" w:rightChars="-50"/>
              <w:jc w:val="center"/>
              <w:textAlignment w:val="auto"/>
              <w:rPr>
                <w:rFonts w:hint="default" w:ascii="Times New Roman" w:hAnsi="Times New Roman" w:eastAsia="宋体" w:cs="宋体"/>
                <w:color w:val="auto"/>
                <w:sz w:val="21"/>
                <w:szCs w:val="21"/>
                <w:highlight w:val="none"/>
                <w:lang w:val="en-US" w:eastAsia="zh-CN"/>
              </w:rPr>
            </w:pPr>
            <w:r>
              <w:rPr>
                <w:rFonts w:hint="default" w:ascii="Times New Roman" w:hAnsi="Times New Roman" w:cs="Times New Roman"/>
                <w:color w:val="auto"/>
                <w:szCs w:val="21"/>
                <w:highlight w:val="none"/>
              </w:rPr>
              <w:t>化粪池</w:t>
            </w:r>
            <w:r>
              <w:rPr>
                <w:rFonts w:hint="default" w:ascii="Times New Roman" w:hAnsi="Times New Roman" w:cs="Times New Roman"/>
                <w:color w:val="auto"/>
                <w:szCs w:val="21"/>
                <w:highlight w:val="none"/>
                <w:lang w:eastAsia="zh-CN"/>
              </w:rPr>
              <w:t>收集</w:t>
            </w:r>
            <w:r>
              <w:rPr>
                <w:rFonts w:hint="eastAsia" w:ascii="Times New Roman" w:hAnsi="Times New Roman" w:cs="Times New Roman"/>
                <w:color w:val="auto"/>
                <w:szCs w:val="21"/>
                <w:highlight w:val="none"/>
                <w:lang w:eastAsia="zh-CN"/>
              </w:rPr>
              <w:t>，定期清掏</w:t>
            </w:r>
          </w:p>
        </w:tc>
        <w:tc>
          <w:tcPr>
            <w:tcW w:w="2163" w:type="dxa"/>
            <w:noWrap w:val="0"/>
            <w:vAlign w:val="center"/>
          </w:tcPr>
          <w:p w14:paraId="54C4366D">
            <w:pPr>
              <w:keepNext w:val="0"/>
              <w:keepLines w:val="0"/>
              <w:pageBreakBefore w:val="0"/>
              <w:widowControl w:val="0"/>
              <w:kinsoku/>
              <w:wordWrap/>
              <w:overflowPunct/>
              <w:topLinePunct w:val="0"/>
              <w:autoSpaceDE/>
              <w:autoSpaceDN/>
              <w:bidi w:val="0"/>
              <w:adjustRightInd w:val="0"/>
              <w:snapToGrid w:val="0"/>
              <w:spacing w:line="264" w:lineRule="auto"/>
              <w:ind w:left="-105" w:leftChars="-50" w:right="-105" w:rightChars="-50"/>
              <w:jc w:val="center"/>
              <w:textAlignment w:val="auto"/>
              <w:rPr>
                <w:rFonts w:hint="eastAsia" w:ascii="Times New Roman" w:hAnsi="Times New Roman" w:eastAsia="宋体" w:cs="宋体"/>
                <w:color w:val="auto"/>
                <w:sz w:val="21"/>
                <w:szCs w:val="21"/>
                <w:highlight w:val="none"/>
                <w:lang w:eastAsia="zh-CN"/>
              </w:rPr>
            </w:pPr>
            <w:r>
              <w:rPr>
                <w:rFonts w:hint="default" w:ascii="Times New Roman" w:hAnsi="Times New Roman" w:cs="Times New Roman"/>
                <w:color w:val="auto"/>
                <w:sz w:val="21"/>
                <w:szCs w:val="21"/>
                <w:highlight w:val="none"/>
              </w:rPr>
              <w:t>定期清掏肥田不外排</w:t>
            </w:r>
          </w:p>
        </w:tc>
      </w:tr>
      <w:tr w14:paraId="51D90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151" w:type="dxa"/>
            <w:noWrap w:val="0"/>
            <w:vAlign w:val="center"/>
          </w:tcPr>
          <w:p w14:paraId="6D77FF2C">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声环境</w:t>
            </w:r>
          </w:p>
        </w:tc>
        <w:tc>
          <w:tcPr>
            <w:tcW w:w="1644" w:type="dxa"/>
            <w:noWrap w:val="0"/>
            <w:vAlign w:val="center"/>
          </w:tcPr>
          <w:p w14:paraId="1400060F">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eastAsia="zh-CN"/>
              </w:rPr>
            </w:pPr>
            <w:r>
              <w:rPr>
                <w:rFonts w:hint="eastAsia" w:ascii="Times New Roman" w:hAnsi="Times New Roman" w:eastAsia="宋体" w:cs="宋体"/>
                <w:color w:val="auto"/>
                <w:sz w:val="21"/>
                <w:szCs w:val="21"/>
                <w:highlight w:val="none"/>
                <w:lang w:eastAsia="zh-CN"/>
              </w:rPr>
              <w:t>设备噪声</w:t>
            </w:r>
          </w:p>
        </w:tc>
        <w:tc>
          <w:tcPr>
            <w:tcW w:w="1624" w:type="dxa"/>
            <w:noWrap w:val="0"/>
            <w:vAlign w:val="center"/>
          </w:tcPr>
          <w:p w14:paraId="11C537F1">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eastAsia="zh-CN"/>
              </w:rPr>
            </w:pPr>
            <w:r>
              <w:rPr>
                <w:rFonts w:hint="eastAsia" w:ascii="Times New Roman" w:hAnsi="Times New Roman" w:eastAsia="宋体" w:cs="宋体"/>
                <w:color w:val="auto"/>
                <w:sz w:val="21"/>
                <w:szCs w:val="21"/>
                <w:highlight w:val="none"/>
                <w:lang w:eastAsia="zh-CN"/>
              </w:rPr>
              <w:t>噪声</w:t>
            </w:r>
          </w:p>
        </w:tc>
        <w:tc>
          <w:tcPr>
            <w:tcW w:w="2547" w:type="dxa"/>
            <w:noWrap w:val="0"/>
            <w:vAlign w:val="center"/>
          </w:tcPr>
          <w:p w14:paraId="4491CFC0">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选用低噪声设备、合理布局、距离衰减等</w:t>
            </w:r>
          </w:p>
        </w:tc>
        <w:tc>
          <w:tcPr>
            <w:tcW w:w="2163" w:type="dxa"/>
            <w:noWrap w:val="0"/>
            <w:vAlign w:val="center"/>
          </w:tcPr>
          <w:p w14:paraId="4AEEA876">
            <w:pPr>
              <w:keepNext w:val="0"/>
              <w:keepLines w:val="0"/>
              <w:pageBreakBefore w:val="0"/>
              <w:widowControl w:val="0"/>
              <w:shd w:val="clear" w:color="auto" w:fill="auto"/>
              <w:kinsoku/>
              <w:wordWrap w:val="0"/>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《工业企业厂界环境噪声排放标准》（GB12348-2008）中</w:t>
            </w:r>
            <w:r>
              <w:rPr>
                <w:rFonts w:hint="eastAsia" w:ascii="Times New Roman" w:hAnsi="Times New Roman" w:eastAsia="宋体" w:cs="宋体"/>
                <w:color w:val="auto"/>
                <w:sz w:val="21"/>
                <w:szCs w:val="21"/>
                <w:highlight w:val="none"/>
                <w:lang w:val="en-US" w:eastAsia="zh-CN"/>
              </w:rPr>
              <w:t>3</w:t>
            </w:r>
            <w:r>
              <w:rPr>
                <w:rFonts w:hint="eastAsia" w:ascii="Times New Roman" w:hAnsi="Times New Roman" w:eastAsia="宋体" w:cs="宋体"/>
                <w:color w:val="auto"/>
                <w:sz w:val="21"/>
                <w:szCs w:val="21"/>
                <w:highlight w:val="none"/>
              </w:rPr>
              <w:t>类标准</w:t>
            </w:r>
          </w:p>
        </w:tc>
      </w:tr>
      <w:tr w14:paraId="60533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151" w:type="dxa"/>
            <w:noWrap w:val="0"/>
            <w:vAlign w:val="center"/>
          </w:tcPr>
          <w:p w14:paraId="660C11F9">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电磁辐射</w:t>
            </w:r>
          </w:p>
        </w:tc>
        <w:tc>
          <w:tcPr>
            <w:tcW w:w="1644" w:type="dxa"/>
            <w:noWrap w:val="0"/>
            <w:vAlign w:val="center"/>
          </w:tcPr>
          <w:p w14:paraId="50320461">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624" w:type="dxa"/>
            <w:noWrap w:val="0"/>
            <w:vAlign w:val="center"/>
          </w:tcPr>
          <w:p w14:paraId="2102F5E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2547" w:type="dxa"/>
            <w:noWrap w:val="0"/>
            <w:vAlign w:val="center"/>
          </w:tcPr>
          <w:p w14:paraId="71CD5BF7">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2163" w:type="dxa"/>
            <w:noWrap w:val="0"/>
            <w:vAlign w:val="center"/>
          </w:tcPr>
          <w:p w14:paraId="5106C7B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r>
      <w:tr w14:paraId="15985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1151" w:type="dxa"/>
            <w:vMerge w:val="restart"/>
            <w:noWrap w:val="0"/>
            <w:vAlign w:val="center"/>
          </w:tcPr>
          <w:p w14:paraId="5B1BC6A7">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固体废物</w:t>
            </w:r>
          </w:p>
        </w:tc>
        <w:tc>
          <w:tcPr>
            <w:tcW w:w="1644" w:type="dxa"/>
            <w:noWrap w:val="0"/>
            <w:vAlign w:val="center"/>
          </w:tcPr>
          <w:p w14:paraId="309A2BB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一般固废</w:t>
            </w:r>
          </w:p>
        </w:tc>
        <w:tc>
          <w:tcPr>
            <w:tcW w:w="6334" w:type="dxa"/>
            <w:gridSpan w:val="3"/>
            <w:noWrap w:val="0"/>
            <w:vAlign w:val="center"/>
          </w:tcPr>
          <w:p w14:paraId="4367B891">
            <w:pPr>
              <w:keepNext w:val="0"/>
              <w:keepLines w:val="0"/>
              <w:pageBreakBefore w:val="0"/>
              <w:widowControl w:val="0"/>
              <w:suppressLineNumbers w:val="0"/>
              <w:kinsoku/>
              <w:overflowPunct/>
              <w:topLinePunct w:val="0"/>
              <w:autoSpaceDE/>
              <w:autoSpaceDN/>
              <w:bidi w:val="0"/>
              <w:spacing w:before="0" w:beforeAutospacing="0" w:after="0" w:afterAutospacing="0" w:line="264" w:lineRule="auto"/>
              <w:ind w:left="0" w:leftChars="0" w:right="0" w:rightChars="0"/>
              <w:jc w:val="left"/>
              <w:textAlignment w:val="auto"/>
              <w:rPr>
                <w:rFonts w:hint="eastAsia" w:ascii="Times New Roman" w:hAnsi="Times New Roman" w:eastAsia="宋体" w:cs="宋体"/>
                <w:color w:val="auto"/>
                <w:sz w:val="21"/>
                <w:szCs w:val="21"/>
                <w:highlight w:val="none"/>
                <w:lang w:eastAsia="zh-CN"/>
              </w:rPr>
            </w:pPr>
            <w:r>
              <w:rPr>
                <w:rFonts w:hint="eastAsia"/>
                <w:color w:val="auto"/>
                <w:sz w:val="21"/>
                <w:szCs w:val="20"/>
                <w:lang w:val="en-US" w:eastAsia="zh-CN"/>
              </w:rPr>
              <w:t>废包装材料、边角料及不合格产品</w:t>
            </w:r>
            <w:r>
              <w:rPr>
                <w:rFonts w:hint="eastAsia"/>
                <w:color w:val="auto"/>
                <w:sz w:val="21"/>
                <w:szCs w:val="20"/>
              </w:rPr>
              <w:t>集中收集</w:t>
            </w:r>
            <w:r>
              <w:rPr>
                <w:rFonts w:hint="eastAsia"/>
                <w:color w:val="auto"/>
                <w:sz w:val="21"/>
                <w:szCs w:val="20"/>
                <w:lang w:val="en-US" w:eastAsia="zh-CN"/>
              </w:rPr>
              <w:t>后</w:t>
            </w:r>
            <w:r>
              <w:rPr>
                <w:rFonts w:hint="eastAsia"/>
                <w:color w:val="auto"/>
                <w:sz w:val="21"/>
                <w:szCs w:val="20"/>
              </w:rPr>
              <w:t>外售至废品回收站</w:t>
            </w:r>
            <w:r>
              <w:rPr>
                <w:rFonts w:hint="eastAsia"/>
                <w:color w:val="auto"/>
                <w:szCs w:val="21"/>
                <w:lang w:eastAsia="zh-CN"/>
              </w:rPr>
              <w:t>；</w:t>
            </w:r>
          </w:p>
        </w:tc>
      </w:tr>
      <w:tr w14:paraId="38666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1151" w:type="dxa"/>
            <w:vMerge w:val="continue"/>
            <w:noWrap w:val="0"/>
            <w:vAlign w:val="center"/>
          </w:tcPr>
          <w:p w14:paraId="25837DC5">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color w:val="auto"/>
                <w:sz w:val="21"/>
                <w:szCs w:val="21"/>
              </w:rPr>
            </w:pPr>
          </w:p>
        </w:tc>
        <w:tc>
          <w:tcPr>
            <w:tcW w:w="1644" w:type="dxa"/>
            <w:noWrap w:val="0"/>
            <w:vAlign w:val="center"/>
          </w:tcPr>
          <w:p w14:paraId="401252F7">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危险废物</w:t>
            </w:r>
          </w:p>
        </w:tc>
        <w:tc>
          <w:tcPr>
            <w:tcW w:w="6334" w:type="dxa"/>
            <w:gridSpan w:val="3"/>
            <w:noWrap w:val="0"/>
            <w:vAlign w:val="center"/>
          </w:tcPr>
          <w:p w14:paraId="2AACF2AA">
            <w:pPr>
              <w:keepNext w:val="0"/>
              <w:keepLines w:val="0"/>
              <w:pageBreakBefore w:val="0"/>
              <w:widowControl w:val="0"/>
              <w:suppressLineNumbers w:val="0"/>
              <w:kinsoku/>
              <w:overflowPunct/>
              <w:topLinePunct w:val="0"/>
              <w:autoSpaceDE/>
              <w:autoSpaceDN/>
              <w:bidi w:val="0"/>
              <w:spacing w:before="0" w:beforeAutospacing="0" w:after="0" w:afterAutospacing="0" w:line="264" w:lineRule="auto"/>
              <w:ind w:left="0" w:leftChars="0" w:right="0" w:rightChars="0"/>
              <w:jc w:val="left"/>
              <w:textAlignment w:val="auto"/>
              <w:rPr>
                <w:rFonts w:hint="eastAsia" w:ascii="Times New Roman" w:hAnsi="Times New Roman" w:eastAsia="宋体" w:cs="宋体"/>
                <w:color w:val="auto"/>
                <w:sz w:val="21"/>
                <w:szCs w:val="21"/>
                <w:highlight w:val="none"/>
                <w:lang w:val="en-US" w:eastAsia="zh-CN"/>
              </w:rPr>
            </w:pPr>
            <w:r>
              <w:rPr>
                <w:rFonts w:hint="eastAsia" w:ascii="Times New Roman"/>
                <w:color w:val="auto"/>
                <w:sz w:val="21"/>
                <w:szCs w:val="20"/>
                <w:lang w:val="en-US" w:eastAsia="zh-CN"/>
              </w:rPr>
              <w:t>废润滑油桶、废活性炭、废油抹布及手套分类</w:t>
            </w:r>
            <w:r>
              <w:rPr>
                <w:rFonts w:hint="eastAsia" w:ascii="Times New Roman"/>
                <w:color w:val="auto"/>
                <w:sz w:val="21"/>
                <w:szCs w:val="20"/>
              </w:rPr>
              <w:t>收集存放于</w:t>
            </w:r>
            <w:r>
              <w:rPr>
                <w:rFonts w:hint="eastAsia" w:ascii="Times New Roman"/>
                <w:color w:val="auto"/>
                <w:sz w:val="21"/>
                <w:szCs w:val="20"/>
                <w:lang w:eastAsia="zh-CN"/>
              </w:rPr>
              <w:t>危险废物贮存库</w:t>
            </w:r>
            <w:r>
              <w:rPr>
                <w:rFonts w:hint="eastAsia" w:ascii="Times New Roman"/>
                <w:color w:val="auto"/>
                <w:sz w:val="21"/>
                <w:szCs w:val="20"/>
              </w:rPr>
              <w:t>，交由有资质单位统一收集处理</w:t>
            </w:r>
          </w:p>
        </w:tc>
      </w:tr>
      <w:tr w14:paraId="467C1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1151" w:type="dxa"/>
            <w:vMerge w:val="continue"/>
            <w:noWrap w:val="0"/>
            <w:vAlign w:val="center"/>
          </w:tcPr>
          <w:p w14:paraId="4202E0CB">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eastAsia="zh-CN"/>
              </w:rPr>
            </w:pPr>
          </w:p>
        </w:tc>
        <w:tc>
          <w:tcPr>
            <w:tcW w:w="1644" w:type="dxa"/>
            <w:noWrap w:val="0"/>
            <w:vAlign w:val="center"/>
          </w:tcPr>
          <w:p w14:paraId="3A44B066">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生活垃圾</w:t>
            </w:r>
          </w:p>
        </w:tc>
        <w:tc>
          <w:tcPr>
            <w:tcW w:w="6334" w:type="dxa"/>
            <w:gridSpan w:val="3"/>
            <w:noWrap w:val="0"/>
            <w:vAlign w:val="center"/>
          </w:tcPr>
          <w:p w14:paraId="20671295">
            <w:pPr>
              <w:keepNext w:val="0"/>
              <w:keepLines w:val="0"/>
              <w:pageBreakBefore w:val="0"/>
              <w:widowControl w:val="0"/>
              <w:suppressLineNumbers w:val="0"/>
              <w:kinsoku/>
              <w:overflowPunct/>
              <w:topLinePunct w:val="0"/>
              <w:autoSpaceDE/>
              <w:autoSpaceDN/>
              <w:bidi w:val="0"/>
              <w:spacing w:before="0" w:beforeAutospacing="0" w:after="0" w:afterAutospacing="0" w:line="264" w:lineRule="auto"/>
              <w:ind w:left="0" w:leftChars="0" w:right="0" w:rightChars="0"/>
              <w:jc w:val="left"/>
              <w:textAlignment w:val="auto"/>
              <w:rPr>
                <w:rFonts w:hint="eastAsia" w:ascii="Times New Roman" w:hAnsi="Times New Roman" w:eastAsia="宋体" w:cs="宋体"/>
                <w:color w:val="auto"/>
                <w:sz w:val="21"/>
                <w:szCs w:val="21"/>
                <w:highlight w:val="none"/>
                <w:lang w:val="en-US" w:eastAsia="zh-CN"/>
              </w:rPr>
            </w:pPr>
            <w:r>
              <w:rPr>
                <w:rFonts w:hint="eastAsia" w:ascii="Times New Roman"/>
                <w:color w:val="auto"/>
                <w:sz w:val="21"/>
                <w:szCs w:val="20"/>
              </w:rPr>
              <w:t>设置垃圾桶，分类收集后定期交由环卫部门统一清运</w:t>
            </w:r>
          </w:p>
        </w:tc>
      </w:tr>
      <w:tr w14:paraId="4401B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0" w:hRule="atLeast"/>
          <w:jc w:val="center"/>
        </w:trPr>
        <w:tc>
          <w:tcPr>
            <w:tcW w:w="1151" w:type="dxa"/>
            <w:noWrap w:val="0"/>
            <w:vAlign w:val="center"/>
          </w:tcPr>
          <w:p w14:paraId="6DF14D72">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土壤及地下水污染防治措施</w:t>
            </w:r>
          </w:p>
        </w:tc>
        <w:tc>
          <w:tcPr>
            <w:tcW w:w="7978" w:type="dxa"/>
            <w:gridSpan w:val="4"/>
            <w:noWrap w:val="0"/>
            <w:vAlign w:val="center"/>
          </w:tcPr>
          <w:p w14:paraId="22FD6C4A">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both"/>
              <w:textAlignment w:val="auto"/>
              <w:rPr>
                <w:rFonts w:hint="default" w:ascii="Times New Roman" w:hAnsi="Times New Roman" w:eastAsia="宋体" w:cs="宋体"/>
                <w:color w:val="auto"/>
                <w:sz w:val="21"/>
                <w:szCs w:val="21"/>
                <w:lang w:val="en-US" w:eastAsia="zh-CN"/>
              </w:rPr>
            </w:pPr>
            <w:r>
              <w:rPr>
                <w:rFonts w:hint="default" w:ascii="Times New Roman" w:hAnsi="Times New Roman" w:eastAsia="宋体" w:cs="宋体"/>
                <w:color w:val="auto"/>
                <w:sz w:val="21"/>
                <w:szCs w:val="21"/>
                <w:lang w:val="en-US" w:eastAsia="zh-CN"/>
              </w:rPr>
              <w:t>1、做好危废储存管理，</w:t>
            </w:r>
            <w:r>
              <w:rPr>
                <w:rFonts w:hint="eastAsia" w:ascii="Times New Roman" w:hAnsi="Times New Roman" w:eastAsia="宋体" w:cs="宋体"/>
                <w:color w:val="auto"/>
                <w:sz w:val="21"/>
                <w:szCs w:val="21"/>
                <w:lang w:val="en-US" w:eastAsia="zh-CN"/>
              </w:rPr>
              <w:t>危险废物贮存库</w:t>
            </w:r>
            <w:r>
              <w:rPr>
                <w:rFonts w:hint="default" w:ascii="Times New Roman" w:hAnsi="Times New Roman" w:eastAsia="宋体" w:cs="宋体"/>
                <w:color w:val="auto"/>
                <w:sz w:val="21"/>
                <w:szCs w:val="21"/>
                <w:lang w:val="en-US" w:eastAsia="zh-CN"/>
              </w:rPr>
              <w:t>的地面必须做好防渗处理，保持地面硬化完整性，防止危废渗漏到土壤，污染环境。</w:t>
            </w:r>
          </w:p>
          <w:p w14:paraId="40453687">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both"/>
              <w:textAlignment w:val="auto"/>
              <w:rPr>
                <w:rFonts w:hint="default" w:ascii="Times New Roman" w:hAnsi="Times New Roman" w:eastAsia="宋体" w:cs="宋体"/>
                <w:color w:val="auto"/>
                <w:sz w:val="21"/>
                <w:szCs w:val="21"/>
                <w:lang w:val="en-US" w:eastAsia="zh-CN"/>
              </w:rPr>
            </w:pPr>
            <w:r>
              <w:rPr>
                <w:rFonts w:hint="default" w:ascii="Times New Roman" w:hAnsi="Times New Roman" w:eastAsia="宋体" w:cs="宋体"/>
                <w:color w:val="auto"/>
                <w:sz w:val="21"/>
                <w:szCs w:val="21"/>
                <w:lang w:val="en-US" w:eastAsia="zh-CN"/>
              </w:rPr>
              <w:t>2、污染物严格按照环评要求处置，禁止未经处理的污染物直接排放到环境中，造成土壤环境污染。</w:t>
            </w:r>
          </w:p>
          <w:p w14:paraId="70BF1324">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both"/>
              <w:textAlignment w:val="auto"/>
              <w:rPr>
                <w:rFonts w:hint="eastAsia" w:ascii="Times New Roman" w:hAnsi="Times New Roman" w:eastAsia="宋体" w:cs="宋体"/>
                <w:color w:val="auto"/>
                <w:sz w:val="21"/>
                <w:szCs w:val="21"/>
                <w:highlight w:val="none"/>
                <w:lang w:val="en-US" w:eastAsia="zh-CN"/>
              </w:rPr>
            </w:pPr>
            <w:r>
              <w:rPr>
                <w:rFonts w:hint="default" w:ascii="Times New Roman" w:hAnsi="Times New Roman" w:eastAsia="宋体" w:cs="宋体"/>
                <w:color w:val="auto"/>
                <w:sz w:val="21"/>
                <w:szCs w:val="21"/>
                <w:lang w:val="en-US" w:eastAsia="zh-CN"/>
              </w:rPr>
              <w:t>3、严格落实本报告提出的污染防治措施，项目运营时应确保环保措施稳定正常的运行，废气达标排放，防止直接排放沉降后对地表土壤环境造成污染。</w:t>
            </w:r>
          </w:p>
        </w:tc>
      </w:tr>
      <w:tr w14:paraId="015DB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0" w:hRule="atLeast"/>
          <w:jc w:val="center"/>
        </w:trPr>
        <w:tc>
          <w:tcPr>
            <w:tcW w:w="1151" w:type="dxa"/>
            <w:noWrap w:val="0"/>
            <w:vAlign w:val="center"/>
          </w:tcPr>
          <w:p w14:paraId="201E0A62">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环境风险</w:t>
            </w:r>
          </w:p>
          <w:p w14:paraId="3CD6F10F">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防范措施</w:t>
            </w:r>
          </w:p>
        </w:tc>
        <w:tc>
          <w:tcPr>
            <w:tcW w:w="7978" w:type="dxa"/>
            <w:gridSpan w:val="4"/>
            <w:noWrap w:val="0"/>
            <w:vAlign w:val="center"/>
          </w:tcPr>
          <w:p w14:paraId="0B078BAF">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left"/>
              <w:textAlignment w:val="auto"/>
              <w:rPr>
                <w:rFonts w:hint="eastAsia" w:ascii="Times New Roman" w:hAnsi="Times New Roman" w:eastAsia="宋体" w:cs="宋体"/>
                <w:color w:val="auto"/>
                <w:sz w:val="21"/>
                <w:szCs w:val="21"/>
                <w:highlight w:val="none"/>
                <w:lang w:eastAsia="zh-CN"/>
              </w:rPr>
            </w:pPr>
            <w:r>
              <w:rPr>
                <w:rFonts w:hint="eastAsia" w:ascii="Times New Roman" w:hAnsi="Times New Roman" w:eastAsia="宋体" w:cs="宋体"/>
                <w:color w:val="auto"/>
                <w:sz w:val="21"/>
                <w:szCs w:val="21"/>
                <w:lang w:eastAsia="zh-CN"/>
              </w:rPr>
              <w:t>①加强设备的维修、保养，杜绝由于设备劳损、折旧带来的事故隐患；②加强职工的安全教育，提高安全防范意识；③加强</w:t>
            </w:r>
            <w:r>
              <w:rPr>
                <w:rFonts w:hint="eastAsia" w:ascii="Times New Roman" w:hAnsi="Times New Roman" w:eastAsia="宋体" w:cs="宋体"/>
                <w:color w:val="auto"/>
                <w:sz w:val="21"/>
                <w:szCs w:val="21"/>
                <w:lang w:val="en-US" w:eastAsia="zh-CN"/>
              </w:rPr>
              <w:t>危险废物贮存库</w:t>
            </w:r>
            <w:r>
              <w:rPr>
                <w:rFonts w:hint="eastAsia" w:ascii="Times New Roman" w:hAnsi="Times New Roman" w:eastAsia="宋体" w:cs="宋体"/>
                <w:color w:val="auto"/>
                <w:sz w:val="21"/>
                <w:szCs w:val="21"/>
                <w:lang w:eastAsia="zh-CN"/>
              </w:rPr>
              <w:t>管理，</w:t>
            </w:r>
            <w:r>
              <w:rPr>
                <w:rFonts w:hint="eastAsia" w:ascii="Times New Roman" w:hAnsi="Times New Roman" w:eastAsia="宋体" w:cs="宋体"/>
                <w:color w:val="auto"/>
                <w:sz w:val="21"/>
                <w:szCs w:val="21"/>
                <w:lang w:val="en-US" w:eastAsia="zh-CN"/>
              </w:rPr>
              <w:t>危险废物贮存库</w:t>
            </w:r>
            <w:r>
              <w:rPr>
                <w:rFonts w:hint="eastAsia" w:ascii="Times New Roman" w:hAnsi="Times New Roman" w:eastAsia="宋体" w:cs="宋体"/>
                <w:color w:val="auto"/>
                <w:sz w:val="21"/>
                <w:szCs w:val="21"/>
                <w:lang w:eastAsia="zh-CN"/>
              </w:rPr>
              <w:t>进行防渗处理；④生产车间、</w:t>
            </w:r>
            <w:r>
              <w:rPr>
                <w:rFonts w:hint="eastAsia" w:ascii="Times New Roman" w:hAnsi="Times New Roman" w:eastAsia="宋体" w:cs="宋体"/>
                <w:color w:val="auto"/>
                <w:sz w:val="21"/>
                <w:szCs w:val="21"/>
                <w:lang w:val="en-US" w:eastAsia="zh-CN"/>
              </w:rPr>
              <w:t>危险废物贮存库</w:t>
            </w:r>
            <w:r>
              <w:rPr>
                <w:rFonts w:hint="eastAsia" w:ascii="Times New Roman" w:hAnsi="Times New Roman" w:eastAsia="宋体" w:cs="宋体"/>
                <w:color w:val="auto"/>
                <w:sz w:val="21"/>
                <w:szCs w:val="21"/>
                <w:lang w:eastAsia="zh-CN"/>
              </w:rPr>
              <w:t>所在区配置消防器材及灭火器材</w:t>
            </w:r>
            <w:r>
              <w:rPr>
                <w:rFonts w:hint="eastAsia" w:ascii="Times New Roman" w:hAnsi="Times New Roman" w:eastAsia="宋体" w:cs="宋体"/>
                <w:color w:val="auto"/>
                <w:sz w:val="21"/>
                <w:szCs w:val="21"/>
                <w:highlight w:val="none"/>
                <w:lang w:eastAsia="zh-CN"/>
              </w:rPr>
              <w:t>。</w:t>
            </w:r>
          </w:p>
        </w:tc>
      </w:tr>
      <w:tr w14:paraId="3CC02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151" w:type="dxa"/>
            <w:noWrap w:val="0"/>
            <w:vAlign w:val="center"/>
          </w:tcPr>
          <w:p w14:paraId="635C2309">
            <w:pPr>
              <w:shd w:val="clear" w:color="auto" w:fill="auto"/>
              <w:adjustRightInd w:val="0"/>
              <w:snapToGrid w:val="0"/>
              <w:jc w:val="center"/>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其他环境</w:t>
            </w:r>
          </w:p>
          <w:p w14:paraId="1873187E">
            <w:pPr>
              <w:shd w:val="clear" w:color="auto" w:fill="auto"/>
              <w:adjustRightInd w:val="0"/>
              <w:snapToGrid w:val="0"/>
              <w:jc w:val="center"/>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管理要求</w:t>
            </w:r>
          </w:p>
        </w:tc>
        <w:tc>
          <w:tcPr>
            <w:tcW w:w="7978" w:type="dxa"/>
            <w:gridSpan w:val="4"/>
            <w:noWrap w:val="0"/>
            <w:vAlign w:val="center"/>
          </w:tcPr>
          <w:p w14:paraId="2A5F303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一、环境管理</w:t>
            </w:r>
          </w:p>
          <w:p w14:paraId="60E86F0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1、建设单位应贯彻执行国家有关法律、法规和政策；建立健全企业的环境管理制度，并实施检查和监督；编制本公司环保规划和年度发展规划，并组织实施；执行建设项目的“三同时”制度；监督环保设计工程措施及运行管理；配合有关环保部门搞好环境监测与年度统计工作，建立监控档案；搞好本企业环保知识普及教育、宣传工作及相关人员的专业技能培训。</w:t>
            </w:r>
          </w:p>
          <w:p w14:paraId="5204F43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2、三同时竣工验收</w:t>
            </w:r>
          </w:p>
          <w:p w14:paraId="53735E5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三同时”是我国环境管理中的一项重要制度，《中华人民共和国环境保护法》把这一原则规定为法律制度。因此，建设单位必须予以高度重视，建设项目中的防治污染的设施必须与主体工程同时设计、同时施工、同时投产。</w:t>
            </w:r>
          </w:p>
          <w:p w14:paraId="2845EF3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建设项目竣工验收流程：环评编制→取得环评</w:t>
            </w:r>
            <w:r>
              <w:rPr>
                <w:rFonts w:hint="eastAsia" w:ascii="Times New Roman" w:hAnsi="Times New Roman" w:eastAsia="宋体" w:cs="Times New Roman"/>
                <w:color w:val="auto"/>
                <w:kern w:val="0"/>
                <w:sz w:val="24"/>
                <w:szCs w:val="24"/>
                <w:lang w:val="en-US" w:eastAsia="zh-CN" w:bidi="ar-SA"/>
              </w:rPr>
              <w:t>批复</w:t>
            </w:r>
            <w:r>
              <w:rPr>
                <w:rFonts w:hint="default" w:ascii="Times New Roman" w:hAnsi="Times New Roman" w:eastAsia="宋体" w:cs="Times New Roman"/>
                <w:color w:val="auto"/>
                <w:kern w:val="0"/>
                <w:sz w:val="24"/>
                <w:szCs w:val="24"/>
                <w:lang w:val="en-US" w:eastAsia="zh-CN" w:bidi="ar-SA"/>
              </w:rPr>
              <w:t>文件（或者完成登记表备案）→申请排污许可证→编制突发环境事件应急预案→试运行→开展竣工验收→完成自主验收→正式投产运行。</w:t>
            </w:r>
          </w:p>
          <w:p w14:paraId="3C33A1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3、</w:t>
            </w:r>
            <w:r>
              <w:rPr>
                <w:rFonts w:hint="default" w:ascii="Times New Roman" w:hAnsi="Times New Roman" w:eastAsia="宋体" w:cs="Times New Roman"/>
                <w:color w:val="auto"/>
                <w:kern w:val="0"/>
                <w:sz w:val="24"/>
                <w:szCs w:val="24"/>
                <w:lang w:val="en-US" w:eastAsia="zh-CN" w:bidi="ar-SA"/>
              </w:rPr>
              <w:t>建立自行监测制度，根据环评要求开展自行监测</w:t>
            </w:r>
            <w:r>
              <w:rPr>
                <w:rFonts w:hint="eastAsia" w:ascii="Times New Roman" w:hAnsi="Times New Roman" w:eastAsia="宋体" w:cs="Times New Roman"/>
                <w:color w:val="auto"/>
                <w:kern w:val="0"/>
                <w:sz w:val="24"/>
                <w:szCs w:val="24"/>
                <w:lang w:val="en-US" w:eastAsia="zh-CN" w:bidi="ar-SA"/>
              </w:rPr>
              <w:t>，具体的监测计划如下表所示。</w:t>
            </w:r>
          </w:p>
          <w:p w14:paraId="072F8D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cs="Times New Roman" w:eastAsiaTheme="majorEastAsia"/>
                <w:b/>
                <w:bCs/>
                <w:color w:val="auto"/>
                <w:lang w:val="en-US" w:eastAsia="zh-CN"/>
              </w:rPr>
            </w:pPr>
            <w:r>
              <w:rPr>
                <w:rFonts w:hint="default" w:ascii="Times New Roman" w:hAnsi="Times New Roman" w:cs="Times New Roman" w:eastAsiaTheme="majorEastAsia"/>
                <w:b/>
                <w:bCs/>
                <w:color w:val="auto"/>
                <w:lang w:val="en-US" w:eastAsia="zh-CN"/>
              </w:rPr>
              <w:t>表5-1    企业自行监测计划表</w:t>
            </w:r>
          </w:p>
          <w:tbl>
            <w:tblPr>
              <w:tblStyle w:val="24"/>
              <w:tblW w:w="76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
              <w:gridCol w:w="841"/>
              <w:gridCol w:w="1266"/>
              <w:gridCol w:w="1301"/>
              <w:gridCol w:w="926"/>
              <w:gridCol w:w="2424"/>
            </w:tblGrid>
            <w:tr w14:paraId="04CEE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tblHeader/>
                <w:jc w:val="center"/>
              </w:trPr>
              <w:tc>
                <w:tcPr>
                  <w:tcW w:w="1143" w:type="pct"/>
                  <w:gridSpan w:val="2"/>
                  <w:noWrap w:val="0"/>
                  <w:vAlign w:val="center"/>
                </w:tcPr>
                <w:p w14:paraId="207238AE">
                  <w:pPr>
                    <w:keepLines w:val="0"/>
                    <w:pageBreakBefore w:val="0"/>
                    <w:kinsoku/>
                    <w:overflowPunct/>
                    <w:topLinePunct w:val="0"/>
                    <w:bidi w:val="0"/>
                    <w:adjustRightInd/>
                    <w:snapToGrid/>
                    <w:spacing w:line="240" w:lineRule="auto"/>
                    <w:ind w:left="0" w:leftChars="0"/>
                    <w:jc w:val="center"/>
                    <w:rPr>
                      <w:b/>
                      <w:bCs w:val="0"/>
                      <w:color w:val="auto"/>
                      <w:szCs w:val="21"/>
                      <w:highlight w:val="none"/>
                    </w:rPr>
                  </w:pPr>
                  <w:r>
                    <w:rPr>
                      <w:rFonts w:hint="eastAsia"/>
                      <w:b/>
                      <w:bCs w:val="0"/>
                      <w:color w:val="auto"/>
                      <w:szCs w:val="21"/>
                      <w:highlight w:val="none"/>
                      <w:lang w:eastAsia="zh-CN"/>
                    </w:rPr>
                    <w:t>类别</w:t>
                  </w:r>
                </w:p>
              </w:tc>
              <w:tc>
                <w:tcPr>
                  <w:tcW w:w="825" w:type="pct"/>
                  <w:noWrap w:val="0"/>
                  <w:vAlign w:val="center"/>
                </w:tcPr>
                <w:p w14:paraId="027AC799">
                  <w:pPr>
                    <w:keepLines w:val="0"/>
                    <w:pageBreakBefore w:val="0"/>
                    <w:kinsoku/>
                    <w:overflowPunct/>
                    <w:topLinePunct w:val="0"/>
                    <w:bidi w:val="0"/>
                    <w:adjustRightInd/>
                    <w:snapToGrid/>
                    <w:spacing w:line="240" w:lineRule="auto"/>
                    <w:ind w:left="0" w:leftChars="0"/>
                    <w:jc w:val="center"/>
                    <w:rPr>
                      <w:b/>
                      <w:bCs w:val="0"/>
                      <w:color w:val="auto"/>
                      <w:szCs w:val="21"/>
                      <w:highlight w:val="none"/>
                    </w:rPr>
                  </w:pPr>
                  <w:r>
                    <w:rPr>
                      <w:b/>
                      <w:bCs w:val="0"/>
                      <w:color w:val="auto"/>
                      <w:szCs w:val="21"/>
                      <w:highlight w:val="none"/>
                    </w:rPr>
                    <w:t>监测项目</w:t>
                  </w:r>
                </w:p>
              </w:tc>
              <w:tc>
                <w:tcPr>
                  <w:tcW w:w="847" w:type="pct"/>
                  <w:noWrap w:val="0"/>
                  <w:vAlign w:val="center"/>
                </w:tcPr>
                <w:p w14:paraId="02E34B0D">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b/>
                      <w:bCs w:val="0"/>
                      <w:color w:val="auto"/>
                      <w:sz w:val="21"/>
                      <w:szCs w:val="21"/>
                      <w:highlight w:val="none"/>
                      <w:lang w:val="en-US" w:eastAsia="zh-CN"/>
                    </w:rPr>
                  </w:pPr>
                  <w:r>
                    <w:rPr>
                      <w:b/>
                      <w:bCs w:val="0"/>
                      <w:color w:val="auto"/>
                      <w:sz w:val="21"/>
                      <w:szCs w:val="21"/>
                      <w:highlight w:val="none"/>
                      <w:lang w:val="en-US" w:eastAsia="zh-CN"/>
                    </w:rPr>
                    <w:t>监测点位</w:t>
                  </w:r>
                </w:p>
              </w:tc>
              <w:tc>
                <w:tcPr>
                  <w:tcW w:w="603" w:type="pct"/>
                  <w:noWrap w:val="0"/>
                  <w:vAlign w:val="center"/>
                </w:tcPr>
                <w:p w14:paraId="41EDEBDA">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b/>
                      <w:bCs w:val="0"/>
                      <w:color w:val="auto"/>
                      <w:sz w:val="21"/>
                      <w:szCs w:val="21"/>
                      <w:highlight w:val="none"/>
                      <w:lang w:val="en-US" w:eastAsia="zh-CN"/>
                    </w:rPr>
                  </w:pPr>
                  <w:r>
                    <w:rPr>
                      <w:b/>
                      <w:bCs w:val="0"/>
                      <w:color w:val="auto"/>
                      <w:sz w:val="21"/>
                      <w:szCs w:val="21"/>
                      <w:highlight w:val="none"/>
                      <w:lang w:val="en-US" w:eastAsia="zh-CN"/>
                    </w:rPr>
                    <w:t>监测频率</w:t>
                  </w:r>
                </w:p>
              </w:tc>
              <w:tc>
                <w:tcPr>
                  <w:tcW w:w="1579" w:type="pct"/>
                  <w:noWrap w:val="0"/>
                  <w:vAlign w:val="center"/>
                </w:tcPr>
                <w:p w14:paraId="79151DFB">
                  <w:pPr>
                    <w:keepLines w:val="0"/>
                    <w:pageBreakBefore w:val="0"/>
                    <w:kinsoku/>
                    <w:overflowPunct/>
                    <w:topLinePunct w:val="0"/>
                    <w:bidi w:val="0"/>
                    <w:adjustRightInd/>
                    <w:snapToGrid/>
                    <w:spacing w:line="240" w:lineRule="auto"/>
                    <w:ind w:left="0" w:leftChars="0"/>
                    <w:jc w:val="center"/>
                    <w:rPr>
                      <w:b/>
                      <w:bCs w:val="0"/>
                      <w:color w:val="auto"/>
                      <w:szCs w:val="21"/>
                      <w:highlight w:val="none"/>
                    </w:rPr>
                  </w:pPr>
                  <w:r>
                    <w:rPr>
                      <w:b/>
                      <w:bCs w:val="0"/>
                      <w:color w:val="auto"/>
                      <w:szCs w:val="21"/>
                      <w:highlight w:val="none"/>
                    </w:rPr>
                    <w:t>执行标准</w:t>
                  </w:r>
                </w:p>
              </w:tc>
            </w:tr>
            <w:tr w14:paraId="7FBBF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3" w:hRule="atLeast"/>
                <w:tblHeader/>
                <w:jc w:val="center"/>
              </w:trPr>
              <w:tc>
                <w:tcPr>
                  <w:tcW w:w="595" w:type="pct"/>
                  <w:vMerge w:val="restart"/>
                  <w:noWrap w:val="0"/>
                  <w:vAlign w:val="center"/>
                </w:tcPr>
                <w:p w14:paraId="47F67E81">
                  <w:pPr>
                    <w:keepLines w:val="0"/>
                    <w:pageBreakBefore w:val="0"/>
                    <w:kinsoku/>
                    <w:overflowPunct/>
                    <w:topLinePunct w:val="0"/>
                    <w:bidi w:val="0"/>
                    <w:adjustRightInd/>
                    <w:snapToGrid/>
                    <w:spacing w:line="240" w:lineRule="auto"/>
                    <w:ind w:left="0" w:leftChars="0"/>
                    <w:jc w:val="center"/>
                    <w:rPr>
                      <w:rFonts w:hint="eastAsia"/>
                      <w:bCs/>
                      <w:color w:val="auto"/>
                      <w:szCs w:val="21"/>
                      <w:highlight w:val="none"/>
                      <w:lang w:val="en-US" w:eastAsia="zh-CN"/>
                    </w:rPr>
                  </w:pPr>
                  <w:r>
                    <w:rPr>
                      <w:rFonts w:hint="eastAsia"/>
                      <w:bCs/>
                      <w:color w:val="auto"/>
                      <w:szCs w:val="21"/>
                      <w:highlight w:val="none"/>
                      <w:lang w:val="en-US" w:eastAsia="zh-CN"/>
                    </w:rPr>
                    <w:t>废气</w:t>
                  </w:r>
                </w:p>
              </w:tc>
              <w:tc>
                <w:tcPr>
                  <w:tcW w:w="548" w:type="pct"/>
                  <w:noWrap w:val="0"/>
                  <w:vAlign w:val="center"/>
                </w:tcPr>
                <w:p w14:paraId="03EB8745">
                  <w:pPr>
                    <w:keepLines w:val="0"/>
                    <w:pageBreakBefore w:val="0"/>
                    <w:kinsoku/>
                    <w:overflowPunct/>
                    <w:topLinePunct w:val="0"/>
                    <w:bidi w:val="0"/>
                    <w:adjustRightInd/>
                    <w:snapToGrid/>
                    <w:spacing w:line="240" w:lineRule="auto"/>
                    <w:ind w:left="0" w:leftChars="0"/>
                    <w:jc w:val="center"/>
                    <w:rPr>
                      <w:rFonts w:hint="default" w:eastAsia="宋体"/>
                      <w:bCs/>
                      <w:color w:val="auto"/>
                      <w:szCs w:val="21"/>
                      <w:highlight w:val="none"/>
                      <w:lang w:val="en-US" w:eastAsia="zh-CN"/>
                    </w:rPr>
                  </w:pPr>
                  <w:r>
                    <w:rPr>
                      <w:rFonts w:hint="eastAsia"/>
                      <w:bCs/>
                      <w:color w:val="auto"/>
                      <w:szCs w:val="21"/>
                      <w:highlight w:val="none"/>
                      <w:lang w:val="en-US" w:eastAsia="zh-CN"/>
                    </w:rPr>
                    <w:t>有组织废气DA001</w:t>
                  </w:r>
                </w:p>
              </w:tc>
              <w:tc>
                <w:tcPr>
                  <w:tcW w:w="825" w:type="pct"/>
                  <w:vMerge w:val="restart"/>
                  <w:noWrap w:val="0"/>
                  <w:vAlign w:val="center"/>
                </w:tcPr>
                <w:p w14:paraId="15ECA38B">
                  <w:pPr>
                    <w:keepLines w:val="0"/>
                    <w:pageBreakBefore w:val="0"/>
                    <w:kinsoku/>
                    <w:overflowPunct/>
                    <w:topLinePunct w:val="0"/>
                    <w:bidi w:val="0"/>
                    <w:adjustRightInd/>
                    <w:snapToGrid/>
                    <w:spacing w:line="240" w:lineRule="auto"/>
                    <w:ind w:left="0" w:leftChars="0"/>
                    <w:jc w:val="center"/>
                    <w:rPr>
                      <w:bCs/>
                      <w:color w:val="auto"/>
                      <w:szCs w:val="21"/>
                      <w:highlight w:val="none"/>
                    </w:rPr>
                  </w:pPr>
                  <w:r>
                    <w:rPr>
                      <w:bCs/>
                      <w:color w:val="auto"/>
                      <w:szCs w:val="21"/>
                      <w:highlight w:val="none"/>
                    </w:rPr>
                    <w:t>非甲烷总烃</w:t>
                  </w:r>
                </w:p>
                <w:p w14:paraId="69CD85B4">
                  <w:pPr>
                    <w:keepLines w:val="0"/>
                    <w:pageBreakBefore w:val="0"/>
                    <w:kinsoku/>
                    <w:overflowPunct/>
                    <w:topLinePunct w:val="0"/>
                    <w:bidi w:val="0"/>
                    <w:adjustRightInd/>
                    <w:snapToGrid/>
                    <w:spacing w:line="240" w:lineRule="auto"/>
                    <w:ind w:left="0" w:leftChars="0"/>
                    <w:jc w:val="center"/>
                    <w:rPr>
                      <w:rFonts w:hint="eastAsia" w:eastAsia="宋体"/>
                      <w:bCs/>
                      <w:color w:val="auto"/>
                      <w:szCs w:val="21"/>
                      <w:highlight w:val="none"/>
                      <w:lang w:eastAsia="zh-CN"/>
                    </w:rPr>
                  </w:pPr>
                </w:p>
              </w:tc>
              <w:tc>
                <w:tcPr>
                  <w:tcW w:w="847" w:type="pct"/>
                  <w:noWrap w:val="0"/>
                  <w:vAlign w:val="center"/>
                </w:tcPr>
                <w:p w14:paraId="4BC46703">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bCs/>
                      <w:color w:val="auto"/>
                      <w:sz w:val="21"/>
                      <w:szCs w:val="21"/>
                      <w:highlight w:val="none"/>
                      <w:lang w:val="en-US" w:eastAsia="zh-CN"/>
                    </w:rPr>
                  </w:pPr>
                  <w:r>
                    <w:rPr>
                      <w:rFonts w:hint="eastAsia"/>
                      <w:bCs/>
                      <w:color w:val="auto"/>
                      <w:sz w:val="21"/>
                      <w:szCs w:val="21"/>
                      <w:highlight w:val="none"/>
                      <w:lang w:val="en-US" w:eastAsia="zh-CN"/>
                    </w:rPr>
                    <w:t>废气处理设施出口</w:t>
                  </w:r>
                </w:p>
              </w:tc>
              <w:tc>
                <w:tcPr>
                  <w:tcW w:w="603" w:type="pct"/>
                  <w:vMerge w:val="restart"/>
                  <w:noWrap w:val="0"/>
                  <w:vAlign w:val="center"/>
                </w:tcPr>
                <w:p w14:paraId="0993C46C">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bCs/>
                      <w:color w:val="auto"/>
                      <w:sz w:val="21"/>
                      <w:szCs w:val="21"/>
                      <w:highlight w:val="none"/>
                      <w:lang w:val="en-US" w:eastAsia="zh-CN"/>
                    </w:rPr>
                  </w:pPr>
                  <w:r>
                    <w:rPr>
                      <w:bCs/>
                      <w:color w:val="auto"/>
                      <w:sz w:val="21"/>
                      <w:szCs w:val="21"/>
                      <w:highlight w:val="none"/>
                      <w:lang w:val="en-US" w:eastAsia="zh-CN"/>
                    </w:rPr>
                    <w:t>1次/年</w:t>
                  </w:r>
                </w:p>
                <w:p w14:paraId="06E53BE0">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bCs/>
                      <w:color w:val="auto"/>
                      <w:sz w:val="21"/>
                      <w:szCs w:val="21"/>
                      <w:highlight w:val="none"/>
                      <w:lang w:val="en-US" w:eastAsia="zh-CN"/>
                    </w:rPr>
                  </w:pPr>
                </w:p>
              </w:tc>
              <w:tc>
                <w:tcPr>
                  <w:tcW w:w="1579" w:type="pct"/>
                  <w:vMerge w:val="restart"/>
                  <w:noWrap w:val="0"/>
                  <w:vAlign w:val="center"/>
                </w:tcPr>
                <w:p w14:paraId="08E614F8">
                  <w:pPr>
                    <w:keepLines w:val="0"/>
                    <w:pageBreakBefore w:val="0"/>
                    <w:kinsoku/>
                    <w:overflowPunct/>
                    <w:topLinePunct w:val="0"/>
                    <w:bidi w:val="0"/>
                    <w:adjustRightInd/>
                    <w:snapToGrid/>
                    <w:spacing w:line="240" w:lineRule="auto"/>
                    <w:ind w:left="0" w:leftChars="0"/>
                    <w:jc w:val="center"/>
                    <w:rPr>
                      <w:bCs/>
                      <w:color w:val="auto"/>
                      <w:szCs w:val="21"/>
                      <w:highlight w:val="none"/>
                    </w:rPr>
                  </w:pPr>
                  <w:r>
                    <w:rPr>
                      <w:rFonts w:hint="eastAsia"/>
                      <w:bCs/>
                      <w:color w:val="auto"/>
                      <w:szCs w:val="21"/>
                      <w:highlight w:val="none"/>
                    </w:rPr>
                    <w:t>《合成树脂工业污染物排放标准》（GB31572-2015）</w:t>
                  </w:r>
                </w:p>
              </w:tc>
            </w:tr>
            <w:tr w14:paraId="62920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tblHeader/>
                <w:jc w:val="center"/>
              </w:trPr>
              <w:tc>
                <w:tcPr>
                  <w:tcW w:w="595" w:type="pct"/>
                  <w:vMerge w:val="continue"/>
                  <w:noWrap w:val="0"/>
                  <w:vAlign w:val="center"/>
                </w:tcPr>
                <w:p w14:paraId="2B2A5F97">
                  <w:pPr>
                    <w:keepLines w:val="0"/>
                    <w:pageBreakBefore w:val="0"/>
                    <w:kinsoku/>
                    <w:overflowPunct/>
                    <w:topLinePunct w:val="0"/>
                    <w:bidi w:val="0"/>
                    <w:adjustRightInd/>
                    <w:snapToGrid/>
                    <w:spacing w:line="240" w:lineRule="auto"/>
                    <w:ind w:left="0" w:leftChars="0"/>
                    <w:jc w:val="center"/>
                    <w:rPr>
                      <w:bCs/>
                      <w:color w:val="auto"/>
                      <w:szCs w:val="21"/>
                      <w:highlight w:val="none"/>
                    </w:rPr>
                  </w:pPr>
                </w:p>
              </w:tc>
              <w:tc>
                <w:tcPr>
                  <w:tcW w:w="548" w:type="pct"/>
                  <w:vMerge w:val="restart"/>
                  <w:noWrap w:val="0"/>
                  <w:vAlign w:val="center"/>
                </w:tcPr>
                <w:p w14:paraId="2D0F0901">
                  <w:pPr>
                    <w:keepLines w:val="0"/>
                    <w:pageBreakBefore w:val="0"/>
                    <w:kinsoku/>
                    <w:overflowPunct/>
                    <w:topLinePunct w:val="0"/>
                    <w:bidi w:val="0"/>
                    <w:adjustRightInd/>
                    <w:snapToGrid/>
                    <w:spacing w:line="240" w:lineRule="auto"/>
                    <w:ind w:left="0" w:leftChars="0"/>
                    <w:jc w:val="center"/>
                    <w:rPr>
                      <w:bCs/>
                      <w:color w:val="auto"/>
                      <w:szCs w:val="21"/>
                      <w:highlight w:val="none"/>
                    </w:rPr>
                  </w:pPr>
                  <w:r>
                    <w:rPr>
                      <w:bCs/>
                      <w:color w:val="auto"/>
                      <w:szCs w:val="21"/>
                      <w:highlight w:val="none"/>
                    </w:rPr>
                    <w:t>无组织废气</w:t>
                  </w:r>
                </w:p>
              </w:tc>
              <w:tc>
                <w:tcPr>
                  <w:tcW w:w="825" w:type="pct"/>
                  <w:vMerge w:val="continue"/>
                  <w:noWrap w:val="0"/>
                  <w:vAlign w:val="center"/>
                </w:tcPr>
                <w:p w14:paraId="008B1BC9">
                  <w:pPr>
                    <w:keepLines w:val="0"/>
                    <w:pageBreakBefore w:val="0"/>
                    <w:kinsoku/>
                    <w:overflowPunct/>
                    <w:topLinePunct w:val="0"/>
                    <w:bidi w:val="0"/>
                    <w:adjustRightInd/>
                    <w:snapToGrid/>
                    <w:spacing w:line="240" w:lineRule="auto"/>
                    <w:ind w:left="0" w:leftChars="0"/>
                    <w:jc w:val="center"/>
                    <w:rPr>
                      <w:rFonts w:hint="eastAsia" w:eastAsia="宋体"/>
                      <w:bCs/>
                      <w:color w:val="auto"/>
                      <w:szCs w:val="21"/>
                      <w:highlight w:val="none"/>
                      <w:lang w:eastAsia="zh-CN"/>
                    </w:rPr>
                  </w:pPr>
                </w:p>
              </w:tc>
              <w:tc>
                <w:tcPr>
                  <w:tcW w:w="847" w:type="pct"/>
                  <w:noWrap w:val="0"/>
                  <w:vAlign w:val="center"/>
                </w:tcPr>
                <w:p w14:paraId="63101E51">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bCs/>
                      <w:color w:val="auto"/>
                      <w:sz w:val="21"/>
                      <w:szCs w:val="21"/>
                      <w:highlight w:val="none"/>
                      <w:lang w:val="en-US" w:eastAsia="zh-CN"/>
                    </w:rPr>
                  </w:pPr>
                  <w:r>
                    <w:rPr>
                      <w:bCs/>
                      <w:color w:val="auto"/>
                      <w:sz w:val="21"/>
                      <w:szCs w:val="21"/>
                      <w:highlight w:val="none"/>
                      <w:lang w:val="en-US" w:eastAsia="zh-CN"/>
                    </w:rPr>
                    <w:t>厂界外上风向设1个点，下风向设3个点</w:t>
                  </w:r>
                </w:p>
              </w:tc>
              <w:tc>
                <w:tcPr>
                  <w:tcW w:w="603" w:type="pct"/>
                  <w:vMerge w:val="continue"/>
                  <w:noWrap w:val="0"/>
                  <w:vAlign w:val="center"/>
                </w:tcPr>
                <w:p w14:paraId="3F6884E3">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bCs/>
                      <w:color w:val="auto"/>
                      <w:sz w:val="21"/>
                      <w:szCs w:val="21"/>
                      <w:highlight w:val="none"/>
                      <w:lang w:val="en-US" w:eastAsia="zh-CN"/>
                    </w:rPr>
                  </w:pPr>
                </w:p>
              </w:tc>
              <w:tc>
                <w:tcPr>
                  <w:tcW w:w="1579" w:type="pct"/>
                  <w:vMerge w:val="continue"/>
                  <w:noWrap w:val="0"/>
                  <w:vAlign w:val="center"/>
                </w:tcPr>
                <w:p w14:paraId="2675729A">
                  <w:pPr>
                    <w:keepLines w:val="0"/>
                    <w:pageBreakBefore w:val="0"/>
                    <w:kinsoku/>
                    <w:overflowPunct/>
                    <w:topLinePunct w:val="0"/>
                    <w:bidi w:val="0"/>
                    <w:adjustRightInd/>
                    <w:snapToGrid/>
                    <w:spacing w:line="240" w:lineRule="auto"/>
                    <w:ind w:left="0" w:leftChars="0"/>
                    <w:jc w:val="center"/>
                    <w:rPr>
                      <w:bCs/>
                      <w:color w:val="auto"/>
                      <w:szCs w:val="21"/>
                      <w:highlight w:val="none"/>
                    </w:rPr>
                  </w:pPr>
                </w:p>
              </w:tc>
            </w:tr>
            <w:tr w14:paraId="07BD0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tblHeader/>
                <w:jc w:val="center"/>
              </w:trPr>
              <w:tc>
                <w:tcPr>
                  <w:tcW w:w="595" w:type="pct"/>
                  <w:vMerge w:val="continue"/>
                  <w:noWrap w:val="0"/>
                  <w:vAlign w:val="center"/>
                </w:tcPr>
                <w:p w14:paraId="49F4A05B">
                  <w:pPr>
                    <w:keepLines w:val="0"/>
                    <w:pageBreakBefore w:val="0"/>
                    <w:kinsoku/>
                    <w:overflowPunct/>
                    <w:topLinePunct w:val="0"/>
                    <w:bidi w:val="0"/>
                    <w:adjustRightInd/>
                    <w:snapToGrid/>
                    <w:spacing w:line="240" w:lineRule="auto"/>
                    <w:ind w:left="0" w:leftChars="0"/>
                    <w:jc w:val="center"/>
                    <w:rPr>
                      <w:bCs/>
                      <w:color w:val="auto"/>
                      <w:szCs w:val="21"/>
                      <w:highlight w:val="none"/>
                    </w:rPr>
                  </w:pPr>
                </w:p>
              </w:tc>
              <w:tc>
                <w:tcPr>
                  <w:tcW w:w="548" w:type="pct"/>
                  <w:vMerge w:val="continue"/>
                  <w:noWrap w:val="0"/>
                  <w:vAlign w:val="center"/>
                </w:tcPr>
                <w:p w14:paraId="52C719D5">
                  <w:pPr>
                    <w:keepLines w:val="0"/>
                    <w:pageBreakBefore w:val="0"/>
                    <w:kinsoku/>
                    <w:overflowPunct/>
                    <w:topLinePunct w:val="0"/>
                    <w:bidi w:val="0"/>
                    <w:adjustRightInd/>
                    <w:snapToGrid/>
                    <w:spacing w:line="240" w:lineRule="auto"/>
                    <w:ind w:left="0" w:leftChars="0"/>
                    <w:jc w:val="center"/>
                    <w:rPr>
                      <w:bCs/>
                      <w:color w:val="auto"/>
                      <w:szCs w:val="21"/>
                      <w:highlight w:val="none"/>
                    </w:rPr>
                  </w:pPr>
                </w:p>
              </w:tc>
              <w:tc>
                <w:tcPr>
                  <w:tcW w:w="825" w:type="pct"/>
                  <w:vMerge w:val="continue"/>
                  <w:noWrap w:val="0"/>
                  <w:vAlign w:val="center"/>
                </w:tcPr>
                <w:p w14:paraId="1336BE82">
                  <w:pPr>
                    <w:keepLines w:val="0"/>
                    <w:pageBreakBefore w:val="0"/>
                    <w:kinsoku/>
                    <w:overflowPunct/>
                    <w:topLinePunct w:val="0"/>
                    <w:bidi w:val="0"/>
                    <w:adjustRightInd/>
                    <w:snapToGrid/>
                    <w:spacing w:line="240" w:lineRule="auto"/>
                    <w:ind w:left="0" w:leftChars="0"/>
                    <w:jc w:val="center"/>
                    <w:rPr>
                      <w:rFonts w:hint="eastAsia" w:eastAsia="宋体"/>
                      <w:bCs/>
                      <w:color w:val="auto"/>
                      <w:szCs w:val="21"/>
                      <w:highlight w:val="none"/>
                      <w:lang w:eastAsia="zh-CN"/>
                    </w:rPr>
                  </w:pPr>
                </w:p>
              </w:tc>
              <w:tc>
                <w:tcPr>
                  <w:tcW w:w="847" w:type="pct"/>
                  <w:noWrap w:val="0"/>
                  <w:vAlign w:val="center"/>
                </w:tcPr>
                <w:p w14:paraId="2CEE3A88">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厂区内</w:t>
                  </w:r>
                </w:p>
              </w:tc>
              <w:tc>
                <w:tcPr>
                  <w:tcW w:w="603" w:type="pct"/>
                  <w:vMerge w:val="continue"/>
                  <w:noWrap w:val="0"/>
                  <w:vAlign w:val="center"/>
                </w:tcPr>
                <w:p w14:paraId="6AA8A25E">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bCs/>
                      <w:color w:val="auto"/>
                      <w:sz w:val="21"/>
                      <w:szCs w:val="21"/>
                      <w:highlight w:val="none"/>
                      <w:lang w:val="en-US" w:eastAsia="zh-CN"/>
                    </w:rPr>
                  </w:pPr>
                </w:p>
              </w:tc>
              <w:tc>
                <w:tcPr>
                  <w:tcW w:w="1579" w:type="pct"/>
                  <w:noWrap w:val="0"/>
                  <w:vAlign w:val="center"/>
                </w:tcPr>
                <w:p w14:paraId="745113B6">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olor w:val="auto"/>
                      <w:sz w:val="21"/>
                      <w:szCs w:val="21"/>
                      <w:highlight w:val="none"/>
                      <w:lang w:val="en-US" w:eastAsia="zh-CN"/>
                    </w:rPr>
                    <w:t>《挥发性有机物无组织排放控制标准》（GB 37822-2019）</w:t>
                  </w:r>
                </w:p>
              </w:tc>
            </w:tr>
            <w:tr w14:paraId="65CEA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blHeader/>
                <w:jc w:val="center"/>
              </w:trPr>
              <w:tc>
                <w:tcPr>
                  <w:tcW w:w="595" w:type="pct"/>
                  <w:vMerge w:val="restart"/>
                  <w:noWrap w:val="0"/>
                  <w:vAlign w:val="center"/>
                </w:tcPr>
                <w:p w14:paraId="539432C8">
                  <w:pPr>
                    <w:keepLines w:val="0"/>
                    <w:pageBreakBefore w:val="0"/>
                    <w:kinsoku/>
                    <w:overflowPunct/>
                    <w:topLinePunct w:val="0"/>
                    <w:bidi w:val="0"/>
                    <w:adjustRightInd/>
                    <w:snapToGrid/>
                    <w:spacing w:line="240" w:lineRule="auto"/>
                    <w:ind w:left="0" w:leftChars="0"/>
                    <w:jc w:val="center"/>
                    <w:rPr>
                      <w:rFonts w:hint="eastAsia" w:eastAsia="宋体"/>
                      <w:bCs/>
                      <w:color w:val="auto"/>
                      <w:szCs w:val="21"/>
                      <w:highlight w:val="none"/>
                      <w:lang w:eastAsia="zh-CN"/>
                    </w:rPr>
                  </w:pPr>
                  <w:r>
                    <w:rPr>
                      <w:rFonts w:hint="eastAsia"/>
                      <w:bCs/>
                      <w:color w:val="auto"/>
                      <w:szCs w:val="21"/>
                      <w:highlight w:val="none"/>
                      <w:lang w:eastAsia="zh-CN"/>
                    </w:rPr>
                    <w:t>噪声</w:t>
                  </w:r>
                </w:p>
              </w:tc>
              <w:tc>
                <w:tcPr>
                  <w:tcW w:w="548" w:type="pct"/>
                  <w:vMerge w:val="restart"/>
                  <w:noWrap w:val="0"/>
                  <w:vAlign w:val="center"/>
                </w:tcPr>
                <w:p w14:paraId="64340D29">
                  <w:pPr>
                    <w:keepLines w:val="0"/>
                    <w:pageBreakBefore w:val="0"/>
                    <w:kinsoku/>
                    <w:overflowPunct/>
                    <w:topLinePunct w:val="0"/>
                    <w:bidi w:val="0"/>
                    <w:adjustRightInd/>
                    <w:snapToGrid/>
                    <w:spacing w:line="240" w:lineRule="auto"/>
                    <w:ind w:left="0" w:leftChars="0"/>
                    <w:jc w:val="center"/>
                    <w:rPr>
                      <w:bCs/>
                      <w:color w:val="auto"/>
                      <w:szCs w:val="21"/>
                      <w:highlight w:val="none"/>
                    </w:rPr>
                  </w:pPr>
                  <w:r>
                    <w:rPr>
                      <w:rFonts w:hint="default" w:ascii="Times New Roman" w:hAnsi="Times New Roman" w:cs="Times New Roman"/>
                      <w:color w:val="auto"/>
                      <w:sz w:val="21"/>
                      <w:szCs w:val="21"/>
                      <w:highlight w:val="none"/>
                    </w:rPr>
                    <w:t>厂界</w:t>
                  </w:r>
                </w:p>
              </w:tc>
              <w:tc>
                <w:tcPr>
                  <w:tcW w:w="825" w:type="pct"/>
                  <w:vMerge w:val="restart"/>
                  <w:noWrap w:val="0"/>
                  <w:vAlign w:val="center"/>
                </w:tcPr>
                <w:p w14:paraId="5AADCEF6">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等效连续A声级</w:t>
                  </w:r>
                </w:p>
              </w:tc>
              <w:tc>
                <w:tcPr>
                  <w:tcW w:w="847" w:type="pct"/>
                  <w:noWrap w:val="0"/>
                  <w:vAlign w:val="center"/>
                </w:tcPr>
                <w:p w14:paraId="2A144D1A">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厂界东侧</w:t>
                  </w:r>
                </w:p>
              </w:tc>
              <w:tc>
                <w:tcPr>
                  <w:tcW w:w="603" w:type="pct"/>
                  <w:vMerge w:val="restart"/>
                  <w:noWrap w:val="0"/>
                  <w:vAlign w:val="center"/>
                </w:tcPr>
                <w:p w14:paraId="47B7FF42">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bCs/>
                      <w:color w:val="auto"/>
                      <w:sz w:val="21"/>
                      <w:szCs w:val="21"/>
                      <w:highlight w:val="none"/>
                      <w:lang w:val="en-US" w:eastAsia="zh-CN"/>
                    </w:rPr>
                  </w:pPr>
                  <w:r>
                    <w:rPr>
                      <w:bCs/>
                      <w:color w:val="auto"/>
                      <w:sz w:val="21"/>
                      <w:szCs w:val="21"/>
                      <w:highlight w:val="none"/>
                      <w:lang w:val="en-US" w:eastAsia="zh-CN"/>
                    </w:rPr>
                    <w:t>1次/</w:t>
                  </w:r>
                  <w:r>
                    <w:rPr>
                      <w:rFonts w:hint="eastAsia"/>
                      <w:bCs/>
                      <w:color w:val="auto"/>
                      <w:sz w:val="21"/>
                      <w:szCs w:val="21"/>
                      <w:highlight w:val="none"/>
                      <w:lang w:val="en-US" w:eastAsia="zh-CN"/>
                    </w:rPr>
                    <w:t>季</w:t>
                  </w:r>
                </w:p>
              </w:tc>
              <w:tc>
                <w:tcPr>
                  <w:tcW w:w="1579" w:type="pct"/>
                  <w:vMerge w:val="restart"/>
                  <w:noWrap w:val="0"/>
                  <w:vAlign w:val="center"/>
                </w:tcPr>
                <w:p w14:paraId="6F88243C">
                  <w:pPr>
                    <w:keepLines w:val="0"/>
                    <w:pageBreakBefore w:val="0"/>
                    <w:kinsoku/>
                    <w:overflowPunct/>
                    <w:topLinePunct w:val="0"/>
                    <w:bidi w:val="0"/>
                    <w:adjustRightInd/>
                    <w:snapToGrid/>
                    <w:spacing w:line="240" w:lineRule="auto"/>
                    <w:ind w:left="0" w:leftChars="0"/>
                    <w:jc w:val="center"/>
                    <w:rPr>
                      <w:color w:val="auto"/>
                      <w:szCs w:val="21"/>
                      <w:highlight w:val="none"/>
                    </w:rPr>
                  </w:pPr>
                  <w:r>
                    <w:rPr>
                      <w:color w:val="auto"/>
                      <w:szCs w:val="21"/>
                      <w:highlight w:val="none"/>
                    </w:rPr>
                    <w:t>《工业企业厂界环境噪声排放标准》（GB12348-2008）</w:t>
                  </w:r>
                </w:p>
                <w:p w14:paraId="6D0ECE59">
                  <w:pPr>
                    <w:keepLines w:val="0"/>
                    <w:pageBreakBefore w:val="0"/>
                    <w:kinsoku/>
                    <w:overflowPunct/>
                    <w:topLinePunct w:val="0"/>
                    <w:bidi w:val="0"/>
                    <w:adjustRightInd/>
                    <w:snapToGrid/>
                    <w:spacing w:line="240" w:lineRule="auto"/>
                    <w:ind w:left="0" w:leftChars="0"/>
                    <w:jc w:val="center"/>
                    <w:rPr>
                      <w:rFonts w:hint="eastAsia" w:ascii="Times New Roman"/>
                      <w:color w:val="auto"/>
                      <w:sz w:val="21"/>
                      <w:szCs w:val="21"/>
                      <w:highlight w:val="none"/>
                    </w:rPr>
                  </w:pPr>
                </w:p>
              </w:tc>
            </w:tr>
            <w:tr w14:paraId="73585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blHeader/>
                <w:jc w:val="center"/>
              </w:trPr>
              <w:tc>
                <w:tcPr>
                  <w:tcW w:w="595" w:type="pct"/>
                  <w:vMerge w:val="continue"/>
                  <w:noWrap w:val="0"/>
                  <w:vAlign w:val="center"/>
                </w:tcPr>
                <w:p w14:paraId="430B487E">
                  <w:pPr>
                    <w:keepLines w:val="0"/>
                    <w:pageBreakBefore w:val="0"/>
                    <w:kinsoku/>
                    <w:overflowPunct/>
                    <w:topLinePunct w:val="0"/>
                    <w:bidi w:val="0"/>
                    <w:adjustRightInd/>
                    <w:snapToGrid/>
                    <w:spacing w:line="240" w:lineRule="auto"/>
                    <w:ind w:left="0" w:leftChars="0"/>
                    <w:jc w:val="center"/>
                    <w:rPr>
                      <w:rFonts w:hint="eastAsia"/>
                      <w:bCs/>
                      <w:color w:val="auto"/>
                      <w:szCs w:val="21"/>
                      <w:highlight w:val="none"/>
                      <w:lang w:eastAsia="zh-CN"/>
                    </w:rPr>
                  </w:pPr>
                </w:p>
              </w:tc>
              <w:tc>
                <w:tcPr>
                  <w:tcW w:w="548" w:type="pct"/>
                  <w:vMerge w:val="continue"/>
                  <w:noWrap w:val="0"/>
                  <w:vAlign w:val="center"/>
                </w:tcPr>
                <w:p w14:paraId="7F6FF889">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25" w:type="pct"/>
                  <w:vMerge w:val="continue"/>
                  <w:noWrap w:val="0"/>
                  <w:vAlign w:val="center"/>
                </w:tcPr>
                <w:p w14:paraId="2A246013">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ascii="Times New Roman" w:hAnsi="Times New Roman" w:eastAsia="宋体" w:cs="Times New Roman"/>
                      <w:bCs/>
                      <w:color w:val="auto"/>
                      <w:sz w:val="21"/>
                      <w:szCs w:val="21"/>
                      <w:highlight w:val="none"/>
                      <w:lang w:val="en-US" w:eastAsia="zh-CN"/>
                    </w:rPr>
                  </w:pPr>
                </w:p>
              </w:tc>
              <w:tc>
                <w:tcPr>
                  <w:tcW w:w="847" w:type="pct"/>
                  <w:noWrap w:val="0"/>
                  <w:vAlign w:val="center"/>
                </w:tcPr>
                <w:p w14:paraId="68348C4D">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厂界南侧</w:t>
                  </w:r>
                </w:p>
              </w:tc>
              <w:tc>
                <w:tcPr>
                  <w:tcW w:w="603" w:type="pct"/>
                  <w:vMerge w:val="continue"/>
                  <w:noWrap w:val="0"/>
                  <w:vAlign w:val="center"/>
                </w:tcPr>
                <w:p w14:paraId="3B773A52">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ascii="Times New Roman"/>
                      <w:color w:val="auto"/>
                      <w:sz w:val="21"/>
                      <w:szCs w:val="21"/>
                      <w:highlight w:val="none"/>
                    </w:rPr>
                  </w:pPr>
                </w:p>
              </w:tc>
              <w:tc>
                <w:tcPr>
                  <w:tcW w:w="1579" w:type="pct"/>
                  <w:vMerge w:val="continue"/>
                  <w:noWrap w:val="0"/>
                  <w:vAlign w:val="center"/>
                </w:tcPr>
                <w:p w14:paraId="30ACA015">
                  <w:pPr>
                    <w:keepLines w:val="0"/>
                    <w:pageBreakBefore w:val="0"/>
                    <w:kinsoku/>
                    <w:overflowPunct/>
                    <w:topLinePunct w:val="0"/>
                    <w:bidi w:val="0"/>
                    <w:adjustRightInd/>
                    <w:snapToGrid/>
                    <w:spacing w:line="240" w:lineRule="auto"/>
                    <w:ind w:left="0" w:leftChars="0"/>
                    <w:jc w:val="center"/>
                    <w:rPr>
                      <w:rFonts w:hint="eastAsia" w:ascii="Times New Roman"/>
                      <w:color w:val="auto"/>
                      <w:sz w:val="21"/>
                      <w:szCs w:val="21"/>
                      <w:highlight w:val="none"/>
                    </w:rPr>
                  </w:pPr>
                </w:p>
              </w:tc>
            </w:tr>
            <w:tr w14:paraId="7B7BB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blHeader/>
                <w:jc w:val="center"/>
              </w:trPr>
              <w:tc>
                <w:tcPr>
                  <w:tcW w:w="595" w:type="pct"/>
                  <w:vMerge w:val="continue"/>
                  <w:noWrap w:val="0"/>
                  <w:vAlign w:val="center"/>
                </w:tcPr>
                <w:p w14:paraId="633BC640">
                  <w:pPr>
                    <w:keepLines w:val="0"/>
                    <w:pageBreakBefore w:val="0"/>
                    <w:kinsoku/>
                    <w:overflowPunct/>
                    <w:topLinePunct w:val="0"/>
                    <w:bidi w:val="0"/>
                    <w:adjustRightInd/>
                    <w:snapToGrid/>
                    <w:spacing w:line="240" w:lineRule="auto"/>
                    <w:ind w:left="0" w:leftChars="0"/>
                    <w:jc w:val="center"/>
                    <w:rPr>
                      <w:rFonts w:hint="eastAsia"/>
                      <w:bCs/>
                      <w:color w:val="auto"/>
                      <w:szCs w:val="21"/>
                      <w:highlight w:val="none"/>
                      <w:lang w:eastAsia="zh-CN"/>
                    </w:rPr>
                  </w:pPr>
                </w:p>
              </w:tc>
              <w:tc>
                <w:tcPr>
                  <w:tcW w:w="548" w:type="pct"/>
                  <w:vMerge w:val="continue"/>
                  <w:noWrap w:val="0"/>
                  <w:vAlign w:val="center"/>
                </w:tcPr>
                <w:p w14:paraId="05542F32">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25" w:type="pct"/>
                  <w:vMerge w:val="continue"/>
                  <w:noWrap w:val="0"/>
                  <w:vAlign w:val="center"/>
                </w:tcPr>
                <w:p w14:paraId="607EFD0D">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ascii="Times New Roman" w:hAnsi="Times New Roman" w:eastAsia="宋体" w:cs="Times New Roman"/>
                      <w:bCs/>
                      <w:color w:val="auto"/>
                      <w:sz w:val="21"/>
                      <w:szCs w:val="21"/>
                      <w:highlight w:val="none"/>
                      <w:lang w:val="en-US" w:eastAsia="zh-CN"/>
                    </w:rPr>
                  </w:pPr>
                </w:p>
              </w:tc>
              <w:tc>
                <w:tcPr>
                  <w:tcW w:w="847" w:type="pct"/>
                  <w:noWrap w:val="0"/>
                  <w:vAlign w:val="center"/>
                </w:tcPr>
                <w:p w14:paraId="07944A81">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厂界北侧</w:t>
                  </w:r>
                </w:p>
              </w:tc>
              <w:tc>
                <w:tcPr>
                  <w:tcW w:w="603" w:type="pct"/>
                  <w:vMerge w:val="continue"/>
                  <w:noWrap w:val="0"/>
                  <w:vAlign w:val="center"/>
                </w:tcPr>
                <w:p w14:paraId="42A0AB8F">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ascii="Times New Roman"/>
                      <w:color w:val="auto"/>
                      <w:sz w:val="21"/>
                      <w:szCs w:val="21"/>
                      <w:highlight w:val="none"/>
                    </w:rPr>
                  </w:pPr>
                </w:p>
              </w:tc>
              <w:tc>
                <w:tcPr>
                  <w:tcW w:w="1579" w:type="pct"/>
                  <w:vMerge w:val="continue"/>
                  <w:noWrap w:val="0"/>
                  <w:vAlign w:val="center"/>
                </w:tcPr>
                <w:p w14:paraId="328C96EA">
                  <w:pPr>
                    <w:keepLines w:val="0"/>
                    <w:pageBreakBefore w:val="0"/>
                    <w:kinsoku/>
                    <w:overflowPunct/>
                    <w:topLinePunct w:val="0"/>
                    <w:bidi w:val="0"/>
                    <w:adjustRightInd/>
                    <w:snapToGrid/>
                    <w:spacing w:line="240" w:lineRule="auto"/>
                    <w:ind w:left="0" w:leftChars="0"/>
                    <w:jc w:val="center"/>
                    <w:rPr>
                      <w:rFonts w:hint="eastAsia" w:ascii="Times New Roman"/>
                      <w:color w:val="auto"/>
                      <w:sz w:val="21"/>
                      <w:szCs w:val="21"/>
                      <w:highlight w:val="none"/>
                    </w:rPr>
                  </w:pPr>
                </w:p>
              </w:tc>
            </w:tr>
            <w:tr w14:paraId="74ED2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blHeader/>
                <w:jc w:val="center"/>
              </w:trPr>
              <w:tc>
                <w:tcPr>
                  <w:tcW w:w="595" w:type="pct"/>
                  <w:vMerge w:val="continue"/>
                  <w:noWrap w:val="0"/>
                  <w:vAlign w:val="center"/>
                </w:tcPr>
                <w:p w14:paraId="3AC44DEC">
                  <w:pPr>
                    <w:keepLines w:val="0"/>
                    <w:pageBreakBefore w:val="0"/>
                    <w:kinsoku/>
                    <w:overflowPunct/>
                    <w:topLinePunct w:val="0"/>
                    <w:bidi w:val="0"/>
                    <w:adjustRightInd/>
                    <w:snapToGrid/>
                    <w:spacing w:line="240" w:lineRule="auto"/>
                    <w:ind w:left="0" w:leftChars="0"/>
                    <w:jc w:val="center"/>
                    <w:rPr>
                      <w:rFonts w:hint="eastAsia"/>
                      <w:bCs/>
                      <w:color w:val="auto"/>
                      <w:szCs w:val="21"/>
                      <w:highlight w:val="none"/>
                      <w:lang w:eastAsia="zh-CN"/>
                    </w:rPr>
                  </w:pPr>
                </w:p>
              </w:tc>
              <w:tc>
                <w:tcPr>
                  <w:tcW w:w="548" w:type="pct"/>
                  <w:vMerge w:val="continue"/>
                  <w:noWrap w:val="0"/>
                  <w:vAlign w:val="center"/>
                </w:tcPr>
                <w:p w14:paraId="01DC1970">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25" w:type="pct"/>
                  <w:vMerge w:val="continue"/>
                  <w:noWrap w:val="0"/>
                  <w:vAlign w:val="center"/>
                </w:tcPr>
                <w:p w14:paraId="2851D258">
                  <w:pPr>
                    <w:keepLines w:val="0"/>
                    <w:pageBreakBefore w:val="0"/>
                    <w:kinsoku/>
                    <w:overflowPunct/>
                    <w:topLinePunct w:val="0"/>
                    <w:bidi w:val="0"/>
                    <w:adjustRightInd/>
                    <w:snapToGrid/>
                    <w:spacing w:line="240" w:lineRule="auto"/>
                    <w:ind w:left="0" w:leftChars="0"/>
                    <w:jc w:val="center"/>
                    <w:rPr>
                      <w:rFonts w:ascii="Times New Roman"/>
                      <w:color w:val="auto"/>
                      <w:sz w:val="21"/>
                      <w:szCs w:val="21"/>
                      <w:highlight w:val="none"/>
                    </w:rPr>
                  </w:pPr>
                </w:p>
              </w:tc>
              <w:tc>
                <w:tcPr>
                  <w:tcW w:w="847" w:type="pct"/>
                  <w:noWrap w:val="0"/>
                  <w:vAlign w:val="center"/>
                </w:tcPr>
                <w:p w14:paraId="0BD54A45">
                  <w:pPr>
                    <w:pStyle w:val="15"/>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eastAsia" w:ascii="Times New Roman"/>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厂界西侧</w:t>
                  </w:r>
                </w:p>
              </w:tc>
              <w:tc>
                <w:tcPr>
                  <w:tcW w:w="603" w:type="pct"/>
                  <w:vMerge w:val="continue"/>
                  <w:noWrap w:val="0"/>
                  <w:vAlign w:val="center"/>
                </w:tcPr>
                <w:p w14:paraId="32749A6E">
                  <w:pPr>
                    <w:pStyle w:val="15"/>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ascii="Times New Roman"/>
                      <w:color w:val="auto"/>
                      <w:sz w:val="21"/>
                      <w:szCs w:val="21"/>
                      <w:highlight w:val="none"/>
                    </w:rPr>
                  </w:pPr>
                </w:p>
              </w:tc>
              <w:tc>
                <w:tcPr>
                  <w:tcW w:w="1579" w:type="pct"/>
                  <w:vMerge w:val="continue"/>
                  <w:noWrap w:val="0"/>
                  <w:vAlign w:val="center"/>
                </w:tcPr>
                <w:p w14:paraId="37C7D056">
                  <w:pPr>
                    <w:keepLines w:val="0"/>
                    <w:pageBreakBefore w:val="0"/>
                    <w:kinsoku/>
                    <w:overflowPunct/>
                    <w:topLinePunct w:val="0"/>
                    <w:bidi w:val="0"/>
                    <w:adjustRightInd/>
                    <w:snapToGrid/>
                    <w:spacing w:line="240" w:lineRule="auto"/>
                    <w:ind w:left="0" w:leftChars="0"/>
                    <w:jc w:val="center"/>
                    <w:rPr>
                      <w:rFonts w:hint="eastAsia" w:ascii="Times New Roman"/>
                      <w:color w:val="auto"/>
                      <w:sz w:val="21"/>
                      <w:szCs w:val="21"/>
                      <w:highlight w:val="none"/>
                    </w:rPr>
                  </w:pPr>
                </w:p>
              </w:tc>
            </w:tr>
          </w:tbl>
          <w:p w14:paraId="580F07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4、排污口规范化管理</w:t>
            </w:r>
          </w:p>
          <w:p w14:paraId="0E5310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（1）排污口管理</w:t>
            </w:r>
          </w:p>
          <w:p w14:paraId="426F618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建设单位应在各个排污口处树立标志牌。生态环境主管部门和建设单位可分别按以下内容建立排污口管理的专门档案：排污口性质和编号，位置，排放主要污染物种类、数量、浓度，排放去向，达标情况，治理设施运行情况及整改意见。</w:t>
            </w:r>
          </w:p>
          <w:p w14:paraId="5E69C66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（2）环境保护图形标志</w:t>
            </w:r>
          </w:p>
          <w:p w14:paraId="14C66E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在废气排放口、废水排放口、固体废物贮存处置场、噪声产生点应设置环境保护图形标志，图形符号分为提示图形和警告图形符号两种，分别按《环境保护图形标志-排放口》（GB15562.1-1995）和《危险废物识别标志设置技术规范》（HJ 1276-2022）执行。</w:t>
            </w:r>
          </w:p>
          <w:p w14:paraId="507F777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5、对固废进行分类收集，有回收利用价值的全部回收利用，无利用价值的集中存放进行处理；危废严格执行转移联单制度，合法处置。</w:t>
            </w:r>
          </w:p>
          <w:p w14:paraId="2C20509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6、项目建成后，建设单位需按照《突发环境事件应急预案管理办法》（环境保护部令34号），2015.06.05；《企业突发环境事件风险分级方法》（HJ941-2018）编制环境风险应急预案。应急预案的主要内容包括预案适用范围、环境事件分类与分级、组织机构和职责、监控和预警、应急和预警、应急响应、应急保障、善后处理、预案管理和演练等内容。须认真落实企业环境应急预案，并对环境风险应急预案进行备案。</w:t>
            </w:r>
          </w:p>
          <w:p w14:paraId="5406E7E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7、加强职工操作培训，提高职工技术水平和环保意识，建立全厂设备维护、维修制度，注意正确的操作规程，避免因操作失误造成的环境影响。</w:t>
            </w:r>
          </w:p>
          <w:p w14:paraId="32067DE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8、建立完善的环保台账，对日常环保设施运行情况进行记录、管理。</w:t>
            </w:r>
          </w:p>
          <w:p w14:paraId="108465E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s="宋体"/>
                <w:color w:val="auto"/>
                <w:sz w:val="21"/>
                <w:szCs w:val="21"/>
                <w:highlight w:val="none"/>
                <w:lang w:val="en-US" w:eastAsia="zh-CN"/>
              </w:rPr>
            </w:pPr>
            <w:r>
              <w:rPr>
                <w:rFonts w:hint="default" w:ascii="Times New Roman" w:hAnsi="Times New Roman" w:eastAsia="宋体" w:cs="Times New Roman"/>
                <w:color w:val="auto"/>
                <w:kern w:val="0"/>
                <w:sz w:val="24"/>
                <w:szCs w:val="24"/>
                <w:lang w:val="en-US" w:eastAsia="zh-CN" w:bidi="ar-SA"/>
              </w:rPr>
              <w:t>9、根据《企业事业单位环境信息公开办法》（环保部令第31号）的规定，并</w:t>
            </w:r>
            <w:r>
              <w:rPr>
                <w:rFonts w:hint="default" w:ascii="Times New Roman" w:hAnsi="Times New Roman" w:eastAsia="宋体" w:cs="Times New Roman"/>
                <w:color w:val="auto"/>
                <w:kern w:val="0"/>
                <w:sz w:val="24"/>
                <w:szCs w:val="24"/>
                <w:highlight w:val="none"/>
                <w:lang w:val="en-US" w:eastAsia="zh-CN" w:bidi="ar-SA"/>
              </w:rPr>
              <w:t>结合西咸新区生态环境局（泾河）工作部的</w:t>
            </w:r>
            <w:r>
              <w:rPr>
                <w:rFonts w:hint="default" w:ascii="Times New Roman" w:hAnsi="Times New Roman" w:eastAsia="宋体" w:cs="Times New Roman"/>
                <w:color w:val="auto"/>
                <w:kern w:val="0"/>
                <w:sz w:val="24"/>
                <w:szCs w:val="24"/>
                <w:lang w:val="en-US" w:eastAsia="zh-CN" w:bidi="ar-SA"/>
              </w:rPr>
              <w:t>要求，应及时、如实地公开其环境信息，应当在单位内部建立环境信息公开制度，设专人负责环境信息公开的日常工作。</w:t>
            </w:r>
          </w:p>
        </w:tc>
      </w:tr>
    </w:tbl>
    <w:p w14:paraId="1445575E">
      <w:pPr>
        <w:pStyle w:val="21"/>
        <w:jc w:val="center"/>
        <w:outlineLvl w:val="0"/>
        <w:rPr>
          <w:rFonts w:ascii="黑体" w:hAnsi="黑体" w:eastAsia="黑体"/>
          <w:snapToGrid w:val="0"/>
          <w:color w:val="auto"/>
          <w:sz w:val="30"/>
          <w:szCs w:val="30"/>
        </w:rPr>
      </w:pPr>
      <w:r>
        <w:rPr>
          <w:snapToGrid w:val="0"/>
          <w:color w:val="0000FF"/>
        </w:rPr>
        <w:br w:type="page"/>
      </w:r>
      <w:r>
        <w:rPr>
          <w:rFonts w:hint="eastAsia" w:ascii="黑体" w:hAnsi="黑体" w:eastAsia="黑体"/>
          <w:snapToGrid w:val="0"/>
          <w:color w:val="auto"/>
          <w:sz w:val="30"/>
          <w:szCs w:val="30"/>
        </w:rPr>
        <w:t>六、结论</w:t>
      </w: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65"/>
      </w:tblGrid>
      <w:tr w14:paraId="054B9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3E32F57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ascii="宋体" w:cs="宋体"/>
                <w:color w:val="0000FF"/>
                <w:sz w:val="24"/>
                <w:szCs w:val="24"/>
              </w:rPr>
            </w:pPr>
            <w:r>
              <w:rPr>
                <w:rFonts w:hint="default" w:ascii="Times New Roman" w:hAnsi="Times New Roman" w:eastAsia="宋体" w:cs="Times New Roman"/>
                <w:color w:val="auto"/>
                <w:sz w:val="24"/>
                <w:highlight w:val="none"/>
              </w:rPr>
              <w:t>从</w:t>
            </w:r>
            <w:r>
              <w:rPr>
                <w:rFonts w:hint="default" w:ascii="Times New Roman" w:hAnsi="Times New Roman" w:eastAsia="宋体" w:cs="Times New Roman"/>
                <w:color w:val="auto"/>
                <w:sz w:val="24"/>
                <w:highlight w:val="none"/>
                <w:lang w:val="en-US" w:eastAsia="zh-CN"/>
              </w:rPr>
              <w:t>环境保护角度</w:t>
            </w: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环境影响可行</w:t>
            </w:r>
            <w:r>
              <w:rPr>
                <w:rFonts w:hint="default" w:ascii="Times New Roman" w:hAnsi="Times New Roman" w:eastAsia="宋体" w:cs="Times New Roman"/>
                <w:color w:val="auto"/>
                <w:sz w:val="24"/>
                <w:highlight w:val="none"/>
              </w:rPr>
              <w:t>。</w:t>
            </w:r>
          </w:p>
        </w:tc>
      </w:tr>
    </w:tbl>
    <w:p w14:paraId="58D681E1">
      <w:pPr>
        <w:ind w:firstLine="209"/>
        <w:rPr>
          <w:rFonts w:ascii="宋体"/>
          <w:color w:val="0000FF"/>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CEBA1FD">
      <w:pPr>
        <w:pStyle w:val="21"/>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14:paraId="74A6C0D1">
      <w:pPr>
        <w:pStyle w:val="21"/>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eastAsia"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5"/>
        <w:gridCol w:w="648"/>
        <w:gridCol w:w="1067"/>
        <w:gridCol w:w="1616"/>
        <w:gridCol w:w="1276"/>
        <w:gridCol w:w="1701"/>
        <w:gridCol w:w="1559"/>
        <w:gridCol w:w="1370"/>
        <w:gridCol w:w="1581"/>
        <w:gridCol w:w="1595"/>
      </w:tblGrid>
      <w:tr w14:paraId="25E15D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 w:hRule="atLeast"/>
          <w:jc w:val="center"/>
        </w:trPr>
        <w:tc>
          <w:tcPr>
            <w:tcW w:w="1375" w:type="dxa"/>
            <w:tcBorders>
              <w:tl2br w:val="single" w:color="auto" w:sz="4" w:space="0"/>
            </w:tcBorders>
            <w:noWrap w:val="0"/>
            <w:tcMar>
              <w:left w:w="28" w:type="dxa"/>
              <w:right w:w="28" w:type="dxa"/>
            </w:tcMar>
            <w:vAlign w:val="center"/>
          </w:tcPr>
          <w:p w14:paraId="69F4E941">
            <w:pPr>
              <w:pStyle w:val="41"/>
              <w:shd w:val="clear" w:color="auto" w:fill="auto"/>
              <w:spacing w:beforeLines="0" w:afterLines="0" w:line="240" w:lineRule="auto"/>
              <w:jc w:val="center"/>
              <w:rPr>
                <w:rFonts w:hint="eastAsia" w:ascii="Times New Roman" w:hAnsi="Times New Roman" w:eastAsia="黑体" w:cs="宋体"/>
                <w:snapToGrid w:val="0"/>
                <w:color w:val="auto"/>
                <w:spacing w:val="-6"/>
                <w:kern w:val="21"/>
                <w:szCs w:val="21"/>
                <w:highlight w:val="none"/>
              </w:rPr>
            </w:pPr>
            <w:r>
              <w:rPr>
                <w:rFonts w:hint="eastAsia" w:ascii="Times New Roman" w:hAnsi="Times New Roman" w:eastAsia="黑体" w:cs="宋体"/>
                <w:snapToGrid w:val="0"/>
                <w:color w:val="auto"/>
                <w:spacing w:val="-6"/>
                <w:kern w:val="21"/>
                <w:szCs w:val="21"/>
                <w:highlight w:val="none"/>
              </w:rPr>
              <w:t>项目</w:t>
            </w:r>
          </w:p>
          <w:p w14:paraId="6DE5F6DC">
            <w:pPr>
              <w:pStyle w:val="41"/>
              <w:shd w:val="clear" w:color="auto" w:fill="auto"/>
              <w:spacing w:beforeLines="0" w:afterLines="0" w:line="240" w:lineRule="auto"/>
              <w:jc w:val="center"/>
              <w:rPr>
                <w:rFonts w:hint="eastAsia" w:ascii="Times New Roman" w:hAnsi="Times New Roman" w:eastAsia="黑体" w:cs="宋体"/>
                <w:snapToGrid w:val="0"/>
                <w:color w:val="auto"/>
                <w:spacing w:val="-6"/>
                <w:kern w:val="21"/>
                <w:szCs w:val="21"/>
                <w:highlight w:val="none"/>
              </w:rPr>
            </w:pPr>
            <w:r>
              <w:rPr>
                <w:rFonts w:hint="eastAsia" w:ascii="Times New Roman" w:hAnsi="Times New Roman" w:eastAsia="黑体" w:cs="宋体"/>
                <w:snapToGrid w:val="0"/>
                <w:color w:val="auto"/>
                <w:spacing w:val="-6"/>
                <w:kern w:val="21"/>
                <w:szCs w:val="21"/>
                <w:highlight w:val="none"/>
              </w:rPr>
              <w:t>分类</w:t>
            </w:r>
          </w:p>
        </w:tc>
        <w:tc>
          <w:tcPr>
            <w:tcW w:w="1715" w:type="dxa"/>
            <w:gridSpan w:val="2"/>
            <w:noWrap w:val="0"/>
            <w:tcMar>
              <w:left w:w="28" w:type="dxa"/>
              <w:right w:w="28" w:type="dxa"/>
            </w:tcMar>
            <w:vAlign w:val="center"/>
          </w:tcPr>
          <w:p w14:paraId="36B13A80">
            <w:pPr>
              <w:pStyle w:val="41"/>
              <w:shd w:val="clear" w:color="auto" w:fill="auto"/>
              <w:spacing w:beforeLines="0" w:afterLines="0" w:line="240" w:lineRule="auto"/>
              <w:jc w:val="center"/>
              <w:rPr>
                <w:rFonts w:hint="eastAsia" w:ascii="Times New Roman" w:hAnsi="Times New Roman" w:eastAsia="黑体" w:cs="宋体"/>
                <w:snapToGrid w:val="0"/>
                <w:color w:val="auto"/>
                <w:spacing w:val="-6"/>
                <w:kern w:val="21"/>
                <w:szCs w:val="21"/>
                <w:highlight w:val="none"/>
              </w:rPr>
            </w:pPr>
            <w:r>
              <w:rPr>
                <w:rFonts w:hint="eastAsia" w:ascii="Times New Roman" w:hAnsi="Times New Roman" w:eastAsia="黑体" w:cs="宋体"/>
                <w:snapToGrid w:val="0"/>
                <w:color w:val="auto"/>
                <w:spacing w:val="-6"/>
                <w:kern w:val="21"/>
                <w:szCs w:val="21"/>
                <w:highlight w:val="none"/>
              </w:rPr>
              <w:t>污染物名称</w:t>
            </w:r>
          </w:p>
        </w:tc>
        <w:tc>
          <w:tcPr>
            <w:tcW w:w="1616" w:type="dxa"/>
            <w:noWrap w:val="0"/>
            <w:tcMar>
              <w:left w:w="28" w:type="dxa"/>
              <w:right w:w="28" w:type="dxa"/>
            </w:tcMar>
            <w:vAlign w:val="center"/>
          </w:tcPr>
          <w:p w14:paraId="67BECDD1">
            <w:pPr>
              <w:pStyle w:val="41"/>
              <w:shd w:val="clear" w:color="auto" w:fill="auto"/>
              <w:spacing w:beforeLines="0" w:afterLines="0" w:line="240" w:lineRule="auto"/>
              <w:jc w:val="center"/>
              <w:rPr>
                <w:rFonts w:hint="eastAsia"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现有工程</w:t>
            </w:r>
          </w:p>
          <w:p w14:paraId="402E4A39">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排放量（固</w:t>
            </w:r>
            <w:r>
              <w:rPr>
                <w:rFonts w:hint="eastAsia" w:ascii="Times New Roman" w:hAnsi="Times New Roman" w:eastAsia="黑体"/>
                <w:snapToGrid w:val="0"/>
                <w:color w:val="auto"/>
                <w:spacing w:val="-6"/>
                <w:kern w:val="21"/>
                <w:szCs w:val="21"/>
                <w:highlight w:val="none"/>
              </w:rPr>
              <w:t>体</w:t>
            </w:r>
            <w:r>
              <w:rPr>
                <w:rFonts w:ascii="Times New Roman" w:hAnsi="Times New Roman" w:eastAsia="黑体"/>
                <w:snapToGrid w:val="0"/>
                <w:color w:val="auto"/>
                <w:spacing w:val="-6"/>
                <w:kern w:val="21"/>
                <w:szCs w:val="21"/>
                <w:highlight w:val="none"/>
              </w:rPr>
              <w:t>废</w:t>
            </w:r>
            <w:r>
              <w:rPr>
                <w:rFonts w:hint="eastAsia" w:ascii="Times New Roman" w:hAnsi="Times New Roman" w:eastAsia="黑体"/>
                <w:snapToGrid w:val="0"/>
                <w:color w:val="auto"/>
                <w:spacing w:val="-6"/>
                <w:kern w:val="21"/>
                <w:szCs w:val="21"/>
                <w:highlight w:val="none"/>
              </w:rPr>
              <w:t>物</w:t>
            </w:r>
            <w:r>
              <w:rPr>
                <w:rFonts w:ascii="Times New Roman" w:hAnsi="Times New Roman" w:eastAsia="黑体"/>
                <w:snapToGrid w:val="0"/>
                <w:color w:val="auto"/>
                <w:spacing w:val="-6"/>
                <w:kern w:val="21"/>
                <w:szCs w:val="21"/>
                <w:highlight w:val="none"/>
              </w:rPr>
              <w:t>产生量）</w:t>
            </w: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1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①</w:t>
            </w:r>
            <w:r>
              <w:rPr>
                <w:rFonts w:ascii="Times New Roman" w:hAnsi="Times New Roman" w:eastAsia="黑体"/>
                <w:snapToGrid w:val="0"/>
                <w:color w:val="auto"/>
                <w:spacing w:val="-6"/>
                <w:kern w:val="21"/>
                <w:szCs w:val="21"/>
                <w:highlight w:val="none"/>
              </w:rPr>
              <w:fldChar w:fldCharType="end"/>
            </w:r>
          </w:p>
        </w:tc>
        <w:tc>
          <w:tcPr>
            <w:tcW w:w="1276" w:type="dxa"/>
            <w:noWrap w:val="0"/>
            <w:tcMar>
              <w:left w:w="28" w:type="dxa"/>
              <w:right w:w="28" w:type="dxa"/>
            </w:tcMar>
            <w:vAlign w:val="center"/>
          </w:tcPr>
          <w:p w14:paraId="10885CEA">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现有工程</w:t>
            </w:r>
          </w:p>
          <w:p w14:paraId="1A278D1C">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许可排放量</w:t>
            </w:r>
          </w:p>
          <w:p w14:paraId="3B65FDA3">
            <w:pPr>
              <w:pStyle w:val="41"/>
              <w:shd w:val="clear" w:color="auto" w:fill="auto"/>
              <w:spacing w:beforeLines="0" w:afterLines="0"/>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2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snapToGrid w:val="0"/>
                <w:color w:val="auto"/>
                <w:spacing w:val="-6"/>
                <w:kern w:val="21"/>
                <w:szCs w:val="21"/>
                <w:highlight w:val="none"/>
              </w:rPr>
              <w:t>②</w:t>
            </w:r>
            <w:r>
              <w:rPr>
                <w:rFonts w:ascii="Times New Roman" w:hAnsi="Times New Roman" w:eastAsia="黑体"/>
                <w:snapToGrid w:val="0"/>
                <w:color w:val="auto"/>
                <w:spacing w:val="-6"/>
                <w:kern w:val="21"/>
                <w:szCs w:val="21"/>
                <w:highlight w:val="none"/>
              </w:rPr>
              <w:fldChar w:fldCharType="end"/>
            </w:r>
          </w:p>
        </w:tc>
        <w:tc>
          <w:tcPr>
            <w:tcW w:w="1701" w:type="dxa"/>
            <w:noWrap w:val="0"/>
            <w:tcMar>
              <w:left w:w="28" w:type="dxa"/>
              <w:right w:w="28" w:type="dxa"/>
            </w:tcMar>
            <w:vAlign w:val="center"/>
          </w:tcPr>
          <w:p w14:paraId="7E226649">
            <w:pPr>
              <w:pStyle w:val="41"/>
              <w:shd w:val="clear" w:color="auto" w:fill="auto"/>
              <w:spacing w:beforeLines="0" w:afterLines="0" w:line="240" w:lineRule="auto"/>
              <w:jc w:val="center"/>
              <w:rPr>
                <w:rFonts w:hint="eastAsia"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在建工程</w:t>
            </w:r>
          </w:p>
          <w:p w14:paraId="6FD94CFE">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排放量（固</w:t>
            </w:r>
            <w:r>
              <w:rPr>
                <w:rFonts w:hint="eastAsia" w:ascii="Times New Roman" w:hAnsi="Times New Roman" w:eastAsia="黑体"/>
                <w:snapToGrid w:val="0"/>
                <w:color w:val="auto"/>
                <w:spacing w:val="-6"/>
                <w:kern w:val="21"/>
                <w:szCs w:val="21"/>
                <w:highlight w:val="none"/>
              </w:rPr>
              <w:t>体</w:t>
            </w:r>
            <w:r>
              <w:rPr>
                <w:rFonts w:ascii="Times New Roman" w:hAnsi="Times New Roman" w:eastAsia="黑体"/>
                <w:snapToGrid w:val="0"/>
                <w:color w:val="auto"/>
                <w:spacing w:val="-6"/>
                <w:kern w:val="21"/>
                <w:szCs w:val="21"/>
                <w:highlight w:val="none"/>
              </w:rPr>
              <w:t>废</w:t>
            </w:r>
            <w:r>
              <w:rPr>
                <w:rFonts w:hint="eastAsia" w:ascii="Times New Roman" w:hAnsi="Times New Roman" w:eastAsia="黑体"/>
                <w:snapToGrid w:val="0"/>
                <w:color w:val="auto"/>
                <w:spacing w:val="-6"/>
                <w:kern w:val="21"/>
                <w:szCs w:val="21"/>
                <w:highlight w:val="none"/>
              </w:rPr>
              <w:t>物</w:t>
            </w:r>
            <w:r>
              <w:rPr>
                <w:rFonts w:ascii="Times New Roman" w:hAnsi="Times New Roman" w:eastAsia="黑体"/>
                <w:snapToGrid w:val="0"/>
                <w:color w:val="auto"/>
                <w:spacing w:val="-6"/>
                <w:kern w:val="21"/>
                <w:szCs w:val="21"/>
                <w:highlight w:val="none"/>
              </w:rPr>
              <w:t>产生量）</w:t>
            </w: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3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③</w:t>
            </w:r>
            <w:r>
              <w:rPr>
                <w:rFonts w:ascii="Times New Roman" w:hAnsi="Times New Roman" w:eastAsia="黑体"/>
                <w:snapToGrid w:val="0"/>
                <w:color w:val="auto"/>
                <w:spacing w:val="-6"/>
                <w:kern w:val="21"/>
                <w:szCs w:val="21"/>
                <w:highlight w:val="none"/>
              </w:rPr>
              <w:fldChar w:fldCharType="end"/>
            </w:r>
          </w:p>
        </w:tc>
        <w:tc>
          <w:tcPr>
            <w:tcW w:w="1559" w:type="dxa"/>
            <w:noWrap w:val="0"/>
            <w:tcMar>
              <w:left w:w="28" w:type="dxa"/>
              <w:right w:w="28" w:type="dxa"/>
            </w:tcMar>
            <w:vAlign w:val="center"/>
          </w:tcPr>
          <w:p w14:paraId="04E3375D">
            <w:pPr>
              <w:pStyle w:val="41"/>
              <w:shd w:val="clear" w:color="auto" w:fill="auto"/>
              <w:spacing w:beforeLines="0" w:afterLines="0" w:line="240" w:lineRule="auto"/>
              <w:jc w:val="center"/>
              <w:rPr>
                <w:rFonts w:hint="eastAsia"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本项目</w:t>
            </w:r>
          </w:p>
          <w:p w14:paraId="4B860681">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排放量（固</w:t>
            </w:r>
            <w:r>
              <w:rPr>
                <w:rFonts w:hint="eastAsia" w:ascii="Times New Roman" w:hAnsi="Times New Roman" w:eastAsia="黑体"/>
                <w:snapToGrid w:val="0"/>
                <w:color w:val="auto"/>
                <w:spacing w:val="-6"/>
                <w:kern w:val="21"/>
                <w:szCs w:val="21"/>
                <w:highlight w:val="none"/>
              </w:rPr>
              <w:t>体</w:t>
            </w:r>
            <w:r>
              <w:rPr>
                <w:rFonts w:ascii="Times New Roman" w:hAnsi="Times New Roman" w:eastAsia="黑体"/>
                <w:snapToGrid w:val="0"/>
                <w:color w:val="auto"/>
                <w:spacing w:val="-6"/>
                <w:kern w:val="21"/>
                <w:szCs w:val="21"/>
                <w:highlight w:val="none"/>
              </w:rPr>
              <w:t>废</w:t>
            </w:r>
            <w:r>
              <w:rPr>
                <w:rFonts w:hint="eastAsia" w:ascii="Times New Roman" w:hAnsi="Times New Roman" w:eastAsia="黑体"/>
                <w:snapToGrid w:val="0"/>
                <w:color w:val="auto"/>
                <w:spacing w:val="-6"/>
                <w:kern w:val="21"/>
                <w:szCs w:val="21"/>
                <w:highlight w:val="none"/>
              </w:rPr>
              <w:t>物</w:t>
            </w:r>
            <w:r>
              <w:rPr>
                <w:rFonts w:ascii="Times New Roman" w:hAnsi="Times New Roman" w:eastAsia="黑体"/>
                <w:snapToGrid w:val="0"/>
                <w:color w:val="auto"/>
                <w:spacing w:val="-6"/>
                <w:kern w:val="21"/>
                <w:szCs w:val="21"/>
                <w:highlight w:val="none"/>
              </w:rPr>
              <w:t>产生量）</w:t>
            </w: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4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④</w:t>
            </w:r>
            <w:r>
              <w:rPr>
                <w:rFonts w:ascii="Times New Roman" w:hAnsi="Times New Roman" w:eastAsia="黑体"/>
                <w:snapToGrid w:val="0"/>
                <w:color w:val="auto"/>
                <w:spacing w:val="-6"/>
                <w:kern w:val="21"/>
                <w:szCs w:val="21"/>
                <w:highlight w:val="none"/>
              </w:rPr>
              <w:fldChar w:fldCharType="end"/>
            </w:r>
          </w:p>
        </w:tc>
        <w:tc>
          <w:tcPr>
            <w:tcW w:w="1370" w:type="dxa"/>
            <w:noWrap w:val="0"/>
            <w:tcMar>
              <w:left w:w="28" w:type="dxa"/>
              <w:right w:w="28" w:type="dxa"/>
            </w:tcMar>
            <w:vAlign w:val="center"/>
          </w:tcPr>
          <w:p w14:paraId="4630BB96">
            <w:pPr>
              <w:pStyle w:val="41"/>
              <w:shd w:val="clear" w:color="auto" w:fill="auto"/>
              <w:spacing w:beforeLines="0" w:afterLines="0" w:line="240" w:lineRule="auto"/>
              <w:jc w:val="center"/>
              <w:rPr>
                <w:rFonts w:hint="eastAsia" w:ascii="Times New Roman" w:hAnsi="Times New Roman" w:eastAsia="黑体"/>
                <w:snapToGrid w:val="0"/>
                <w:color w:val="auto"/>
                <w:spacing w:val="-16"/>
                <w:kern w:val="21"/>
                <w:szCs w:val="21"/>
                <w:highlight w:val="none"/>
              </w:rPr>
            </w:pPr>
            <w:r>
              <w:rPr>
                <w:rFonts w:ascii="Times New Roman" w:hAnsi="Times New Roman" w:eastAsia="黑体"/>
                <w:snapToGrid w:val="0"/>
                <w:color w:val="auto"/>
                <w:spacing w:val="-16"/>
                <w:kern w:val="21"/>
                <w:szCs w:val="21"/>
                <w:highlight w:val="none"/>
              </w:rPr>
              <w:t>以新带老削减量</w:t>
            </w:r>
          </w:p>
          <w:p w14:paraId="2DDC570E">
            <w:pPr>
              <w:pStyle w:val="41"/>
              <w:shd w:val="clear" w:color="auto" w:fill="auto"/>
              <w:spacing w:beforeLines="0" w:afterLines="0" w:line="240" w:lineRule="auto"/>
              <w:jc w:val="center"/>
              <w:rPr>
                <w:rFonts w:ascii="Times New Roman" w:hAnsi="Times New Roman" w:eastAsia="黑体"/>
                <w:snapToGrid w:val="0"/>
                <w:color w:val="auto"/>
                <w:spacing w:val="-16"/>
                <w:kern w:val="21"/>
                <w:szCs w:val="21"/>
                <w:highlight w:val="none"/>
              </w:rPr>
            </w:pPr>
            <w:r>
              <w:rPr>
                <w:rFonts w:ascii="Times New Roman" w:hAnsi="Times New Roman" w:eastAsia="黑体"/>
                <w:snapToGrid w:val="0"/>
                <w:color w:val="auto"/>
                <w:spacing w:val="-16"/>
                <w:kern w:val="21"/>
                <w:szCs w:val="21"/>
                <w:highlight w:val="none"/>
              </w:rPr>
              <w:t>（新建项目不填）</w:t>
            </w:r>
            <w:r>
              <w:rPr>
                <w:rFonts w:ascii="Times New Roman" w:hAnsi="Times New Roman" w:eastAsia="黑体"/>
                <w:snapToGrid w:val="0"/>
                <w:color w:val="auto"/>
                <w:spacing w:val="-16"/>
                <w:kern w:val="21"/>
                <w:szCs w:val="21"/>
                <w:highlight w:val="none"/>
              </w:rPr>
              <w:fldChar w:fldCharType="begin"/>
            </w:r>
            <w:r>
              <w:rPr>
                <w:rFonts w:ascii="Times New Roman" w:hAnsi="Times New Roman" w:eastAsia="黑体"/>
                <w:snapToGrid w:val="0"/>
                <w:color w:val="auto"/>
                <w:spacing w:val="-16"/>
                <w:kern w:val="21"/>
                <w:szCs w:val="21"/>
                <w:highlight w:val="none"/>
              </w:rPr>
              <w:instrText xml:space="preserve"> = 5 \* GB3 \* MERGEFORMAT </w:instrText>
            </w:r>
            <w:r>
              <w:rPr>
                <w:rFonts w:ascii="Times New Roman" w:hAnsi="Times New Roman" w:eastAsia="黑体"/>
                <w:snapToGrid w:val="0"/>
                <w:color w:val="auto"/>
                <w:spacing w:val="-16"/>
                <w:kern w:val="21"/>
                <w:szCs w:val="21"/>
                <w:highlight w:val="none"/>
              </w:rPr>
              <w:fldChar w:fldCharType="separate"/>
            </w:r>
            <w:r>
              <w:rPr>
                <w:rFonts w:hint="eastAsia" w:ascii="Times New Roman" w:hAnsi="Times New Roman" w:eastAsia="黑体" w:cs="宋体"/>
                <w:color w:val="auto"/>
                <w:kern w:val="2"/>
                <w:szCs w:val="21"/>
                <w:highlight w:val="none"/>
              </w:rPr>
              <w:t>⑤</w:t>
            </w:r>
            <w:r>
              <w:rPr>
                <w:rFonts w:ascii="Times New Roman" w:hAnsi="Times New Roman" w:eastAsia="黑体"/>
                <w:snapToGrid w:val="0"/>
                <w:color w:val="auto"/>
                <w:spacing w:val="-16"/>
                <w:kern w:val="21"/>
                <w:szCs w:val="21"/>
                <w:highlight w:val="none"/>
              </w:rPr>
              <w:fldChar w:fldCharType="end"/>
            </w:r>
          </w:p>
        </w:tc>
        <w:tc>
          <w:tcPr>
            <w:tcW w:w="1581" w:type="dxa"/>
            <w:noWrap w:val="0"/>
            <w:tcMar>
              <w:left w:w="28" w:type="dxa"/>
              <w:right w:w="28" w:type="dxa"/>
            </w:tcMar>
            <w:vAlign w:val="center"/>
          </w:tcPr>
          <w:p w14:paraId="10A2A83D">
            <w:pPr>
              <w:pStyle w:val="41"/>
              <w:shd w:val="clear" w:color="auto" w:fill="auto"/>
              <w:spacing w:beforeLines="0" w:afterLines="0" w:line="240" w:lineRule="auto"/>
              <w:jc w:val="center"/>
              <w:rPr>
                <w:rFonts w:hint="eastAsia" w:ascii="Times New Roman" w:hAnsi="Times New Roman" w:eastAsia="黑体"/>
                <w:snapToGrid w:val="0"/>
                <w:color w:val="auto"/>
                <w:spacing w:val="-16"/>
                <w:kern w:val="21"/>
                <w:szCs w:val="21"/>
                <w:highlight w:val="none"/>
              </w:rPr>
            </w:pPr>
            <w:r>
              <w:rPr>
                <w:rFonts w:ascii="Times New Roman" w:hAnsi="Times New Roman" w:eastAsia="黑体"/>
                <w:snapToGrid w:val="0"/>
                <w:color w:val="auto"/>
                <w:spacing w:val="-16"/>
                <w:kern w:val="21"/>
                <w:szCs w:val="21"/>
                <w:highlight w:val="none"/>
              </w:rPr>
              <w:t>本项目建成后</w:t>
            </w:r>
          </w:p>
          <w:p w14:paraId="32DE0F12">
            <w:pPr>
              <w:pStyle w:val="41"/>
              <w:shd w:val="clear" w:color="auto" w:fill="auto"/>
              <w:spacing w:beforeLines="0" w:afterLines="0" w:line="240" w:lineRule="auto"/>
              <w:jc w:val="center"/>
              <w:rPr>
                <w:rFonts w:ascii="Times New Roman" w:hAnsi="Times New Roman" w:eastAsia="黑体"/>
                <w:snapToGrid w:val="0"/>
                <w:color w:val="auto"/>
                <w:spacing w:val="-16"/>
                <w:kern w:val="21"/>
                <w:szCs w:val="21"/>
                <w:highlight w:val="none"/>
              </w:rPr>
            </w:pPr>
            <w:r>
              <w:rPr>
                <w:rFonts w:hint="eastAsia" w:ascii="Times New Roman" w:hAnsi="Times New Roman" w:eastAsia="黑体"/>
                <w:snapToGrid w:val="0"/>
                <w:color w:val="auto"/>
                <w:spacing w:val="-16"/>
                <w:kern w:val="21"/>
                <w:szCs w:val="21"/>
                <w:highlight w:val="none"/>
              </w:rPr>
              <w:t>全厂</w:t>
            </w:r>
            <w:r>
              <w:rPr>
                <w:rFonts w:ascii="Times New Roman" w:hAnsi="Times New Roman" w:eastAsia="黑体"/>
                <w:snapToGrid w:val="0"/>
                <w:color w:val="auto"/>
                <w:spacing w:val="-16"/>
                <w:kern w:val="21"/>
                <w:szCs w:val="21"/>
                <w:highlight w:val="none"/>
              </w:rPr>
              <w:t>排放量（固</w:t>
            </w:r>
            <w:r>
              <w:rPr>
                <w:rFonts w:hint="eastAsia" w:ascii="Times New Roman" w:hAnsi="Times New Roman" w:eastAsia="黑体"/>
                <w:snapToGrid w:val="0"/>
                <w:color w:val="auto"/>
                <w:spacing w:val="-16"/>
                <w:kern w:val="21"/>
                <w:szCs w:val="21"/>
                <w:highlight w:val="none"/>
              </w:rPr>
              <w:t>体</w:t>
            </w:r>
            <w:r>
              <w:rPr>
                <w:rFonts w:ascii="Times New Roman" w:hAnsi="Times New Roman" w:eastAsia="黑体"/>
                <w:snapToGrid w:val="0"/>
                <w:color w:val="auto"/>
                <w:spacing w:val="-16"/>
                <w:kern w:val="21"/>
                <w:szCs w:val="21"/>
                <w:highlight w:val="none"/>
              </w:rPr>
              <w:t>废</w:t>
            </w:r>
            <w:r>
              <w:rPr>
                <w:rFonts w:hint="eastAsia" w:ascii="Times New Roman" w:hAnsi="Times New Roman" w:eastAsia="黑体"/>
                <w:snapToGrid w:val="0"/>
                <w:color w:val="auto"/>
                <w:spacing w:val="-16"/>
                <w:kern w:val="21"/>
                <w:szCs w:val="21"/>
                <w:highlight w:val="none"/>
              </w:rPr>
              <w:t>物</w:t>
            </w:r>
            <w:r>
              <w:rPr>
                <w:rFonts w:ascii="Times New Roman" w:hAnsi="Times New Roman" w:eastAsia="黑体"/>
                <w:snapToGrid w:val="0"/>
                <w:color w:val="auto"/>
                <w:spacing w:val="-16"/>
                <w:kern w:val="21"/>
                <w:szCs w:val="21"/>
                <w:highlight w:val="none"/>
              </w:rPr>
              <w:t>产生量）</w:t>
            </w:r>
            <w:r>
              <w:rPr>
                <w:rFonts w:ascii="Times New Roman" w:hAnsi="Times New Roman" w:eastAsia="黑体"/>
                <w:snapToGrid w:val="0"/>
                <w:color w:val="auto"/>
                <w:spacing w:val="-16"/>
                <w:kern w:val="21"/>
                <w:szCs w:val="21"/>
                <w:highlight w:val="none"/>
              </w:rPr>
              <w:fldChar w:fldCharType="begin"/>
            </w:r>
            <w:r>
              <w:rPr>
                <w:rFonts w:ascii="Times New Roman" w:hAnsi="Times New Roman" w:eastAsia="黑体"/>
                <w:snapToGrid w:val="0"/>
                <w:color w:val="auto"/>
                <w:spacing w:val="-16"/>
                <w:kern w:val="21"/>
                <w:szCs w:val="21"/>
                <w:highlight w:val="none"/>
              </w:rPr>
              <w:instrText xml:space="preserve"> = 6 \* GB3 \* MERGEFORMAT </w:instrText>
            </w:r>
            <w:r>
              <w:rPr>
                <w:rFonts w:ascii="Times New Roman" w:hAnsi="Times New Roman" w:eastAsia="黑体"/>
                <w:snapToGrid w:val="0"/>
                <w:color w:val="auto"/>
                <w:spacing w:val="-16"/>
                <w:kern w:val="21"/>
                <w:szCs w:val="21"/>
                <w:highlight w:val="none"/>
              </w:rPr>
              <w:fldChar w:fldCharType="separate"/>
            </w:r>
            <w:r>
              <w:rPr>
                <w:rFonts w:hint="eastAsia" w:ascii="Times New Roman" w:hAnsi="Times New Roman" w:eastAsia="黑体" w:cs="宋体"/>
                <w:color w:val="auto"/>
                <w:kern w:val="2"/>
                <w:szCs w:val="21"/>
                <w:highlight w:val="none"/>
              </w:rPr>
              <w:t>⑥</w:t>
            </w:r>
            <w:r>
              <w:rPr>
                <w:rFonts w:ascii="Times New Roman" w:hAnsi="Times New Roman" w:eastAsia="黑体"/>
                <w:snapToGrid w:val="0"/>
                <w:color w:val="auto"/>
                <w:spacing w:val="-16"/>
                <w:kern w:val="21"/>
                <w:szCs w:val="21"/>
                <w:highlight w:val="none"/>
              </w:rPr>
              <w:fldChar w:fldCharType="end"/>
            </w:r>
          </w:p>
        </w:tc>
        <w:tc>
          <w:tcPr>
            <w:tcW w:w="1595" w:type="dxa"/>
            <w:noWrap w:val="0"/>
            <w:tcMar>
              <w:left w:w="28" w:type="dxa"/>
              <w:right w:w="28" w:type="dxa"/>
            </w:tcMar>
            <w:vAlign w:val="center"/>
          </w:tcPr>
          <w:p w14:paraId="4A3EFE0A">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变化量</w:t>
            </w:r>
          </w:p>
          <w:p w14:paraId="72921243">
            <w:pPr>
              <w:pStyle w:val="41"/>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7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⑦</w:t>
            </w:r>
            <w:r>
              <w:rPr>
                <w:rFonts w:ascii="Times New Roman" w:hAnsi="Times New Roman" w:eastAsia="黑体"/>
                <w:snapToGrid w:val="0"/>
                <w:color w:val="auto"/>
                <w:spacing w:val="-6"/>
                <w:kern w:val="21"/>
                <w:szCs w:val="21"/>
                <w:highlight w:val="none"/>
              </w:rPr>
              <w:fldChar w:fldCharType="end"/>
            </w:r>
          </w:p>
        </w:tc>
      </w:tr>
      <w:tr w14:paraId="5AC79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atLeast"/>
          <w:jc w:val="center"/>
        </w:trPr>
        <w:tc>
          <w:tcPr>
            <w:tcW w:w="1375" w:type="dxa"/>
            <w:noWrap w:val="0"/>
            <w:vAlign w:val="center"/>
          </w:tcPr>
          <w:p w14:paraId="1B7101C8">
            <w:pPr>
              <w:pStyle w:val="41"/>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废气</w:t>
            </w:r>
          </w:p>
        </w:tc>
        <w:tc>
          <w:tcPr>
            <w:tcW w:w="1715" w:type="dxa"/>
            <w:gridSpan w:val="2"/>
            <w:noWrap w:val="0"/>
            <w:vAlign w:val="center"/>
          </w:tcPr>
          <w:p w14:paraId="5E2FD7A2">
            <w:pPr>
              <w:pStyle w:val="41"/>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eastAsia="zh-CN"/>
              </w:rPr>
            </w:pPr>
            <w:r>
              <w:rPr>
                <w:rFonts w:hint="eastAsia" w:ascii="Times New Roman" w:hAnsi="Times New Roman" w:cs="宋体"/>
                <w:snapToGrid w:val="0"/>
                <w:color w:val="auto"/>
                <w:kern w:val="21"/>
                <w:szCs w:val="21"/>
                <w:highlight w:val="none"/>
                <w:lang w:eastAsia="zh-CN"/>
              </w:rPr>
              <w:t>非甲烷总烃</w:t>
            </w:r>
          </w:p>
        </w:tc>
        <w:tc>
          <w:tcPr>
            <w:tcW w:w="1616" w:type="dxa"/>
            <w:noWrap w:val="0"/>
            <w:vAlign w:val="center"/>
          </w:tcPr>
          <w:p w14:paraId="5F2B2C13">
            <w:pPr>
              <w:pStyle w:val="41"/>
              <w:shd w:val="clear" w:color="auto" w:fill="auto"/>
              <w:spacing w:beforeLines="0" w:afterLines="0" w:line="240" w:lineRule="auto"/>
              <w:ind w:left="420" w:leftChars="0" w:hanging="420" w:hangingChars="200"/>
              <w:jc w:val="center"/>
              <w:rPr>
                <w:rFonts w:hint="default"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snapToGrid w:val="0"/>
                <w:color w:val="auto"/>
                <w:kern w:val="21"/>
                <w:szCs w:val="21"/>
                <w:highlight w:val="none"/>
                <w:lang w:val="en-US" w:eastAsia="zh-CN"/>
              </w:rPr>
              <w:t>/</w:t>
            </w:r>
          </w:p>
        </w:tc>
        <w:tc>
          <w:tcPr>
            <w:tcW w:w="1276" w:type="dxa"/>
            <w:noWrap w:val="0"/>
            <w:vAlign w:val="center"/>
          </w:tcPr>
          <w:p w14:paraId="1F26F827">
            <w:pPr>
              <w:pStyle w:val="41"/>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74670AA0">
            <w:pPr>
              <w:pStyle w:val="41"/>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61A44E5B">
            <w:pPr>
              <w:pStyle w:val="41"/>
              <w:shd w:val="clear" w:color="auto" w:fill="auto"/>
              <w:spacing w:beforeLines="0" w:afterLines="0" w:line="240" w:lineRule="auto"/>
              <w:jc w:val="center"/>
              <w:rPr>
                <w:rFonts w:hint="default"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color w:val="auto"/>
                <w:sz w:val="21"/>
                <w:szCs w:val="21"/>
                <w:highlight w:val="none"/>
                <w:lang w:val="en-US" w:eastAsia="zh-CN"/>
              </w:rPr>
              <w:t>1.38t/a</w:t>
            </w:r>
          </w:p>
        </w:tc>
        <w:tc>
          <w:tcPr>
            <w:tcW w:w="1370" w:type="dxa"/>
            <w:noWrap w:val="0"/>
            <w:vAlign w:val="center"/>
          </w:tcPr>
          <w:p w14:paraId="0F814F9B">
            <w:pPr>
              <w:pStyle w:val="41"/>
              <w:shd w:val="clear" w:color="auto" w:fill="auto"/>
              <w:spacing w:beforeLines="0" w:afterLines="0" w:line="240" w:lineRule="auto"/>
              <w:ind w:left="420" w:leftChars="0" w:hanging="420" w:hangingChars="200"/>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7A9FAD3D">
            <w:pPr>
              <w:pStyle w:val="41"/>
              <w:shd w:val="clear" w:color="auto" w:fill="auto"/>
              <w:spacing w:beforeLines="0" w:afterLines="0" w:line="240" w:lineRule="auto"/>
              <w:ind w:left="420" w:leftChars="0" w:hanging="420" w:hangingChars="200"/>
              <w:jc w:val="center"/>
              <w:rPr>
                <w:rFonts w:hint="default" w:ascii="Times New Roman" w:hAnsi="Times New Roman" w:eastAsia="等线" w:cs="宋体"/>
                <w:snapToGrid w:val="0"/>
                <w:color w:val="auto"/>
                <w:kern w:val="21"/>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1.38t/a</w:t>
            </w:r>
          </w:p>
        </w:tc>
        <w:tc>
          <w:tcPr>
            <w:tcW w:w="1595" w:type="dxa"/>
            <w:noWrap w:val="0"/>
            <w:vAlign w:val="center"/>
          </w:tcPr>
          <w:p w14:paraId="347979D9">
            <w:pPr>
              <w:shd w:val="clear" w:color="auto" w:fill="auto"/>
              <w:spacing w:beforeLines="0" w:afterLines="0" w:line="240" w:lineRule="auto"/>
              <w:ind w:left="420" w:leftChars="0" w:hanging="420" w:hangingChars="200"/>
              <w:jc w:val="center"/>
              <w:rPr>
                <w:rFonts w:hint="eastAsia" w:ascii="Times New Roman" w:hAnsi="Times New Roman" w:eastAsia="宋体"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4A9E3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375" w:type="dxa"/>
            <w:vMerge w:val="restart"/>
            <w:noWrap w:val="0"/>
            <w:vAlign w:val="center"/>
          </w:tcPr>
          <w:p w14:paraId="33E3AA95">
            <w:pPr>
              <w:pStyle w:val="41"/>
              <w:shd w:val="clear" w:color="auto" w:fill="auto"/>
              <w:spacing w:beforeLines="0" w:afterLines="0" w:line="240" w:lineRule="auto"/>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废水</w:t>
            </w:r>
          </w:p>
        </w:tc>
        <w:tc>
          <w:tcPr>
            <w:tcW w:w="648" w:type="dxa"/>
            <w:vMerge w:val="restart"/>
            <w:noWrap w:val="0"/>
            <w:vAlign w:val="center"/>
          </w:tcPr>
          <w:p w14:paraId="0C0C102D">
            <w:pPr>
              <w:pStyle w:val="41"/>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生活污水</w:t>
            </w:r>
          </w:p>
        </w:tc>
        <w:tc>
          <w:tcPr>
            <w:tcW w:w="1067" w:type="dxa"/>
            <w:noWrap w:val="0"/>
            <w:vAlign w:val="center"/>
          </w:tcPr>
          <w:p w14:paraId="2E0B15FA">
            <w:pPr>
              <w:pStyle w:val="41"/>
              <w:keepNext w:val="0"/>
              <w:keepLines w:val="0"/>
              <w:suppressLineNumbers w:val="0"/>
              <w:spacing w:before="0" w:beforeLines="0" w:beforeAutospacing="0" w:after="0" w:afterLines="0" w:afterAutospacing="0" w:line="240" w:lineRule="auto"/>
              <w:ind w:left="420" w:leftChars="0" w:right="0" w:rightChars="0" w:hanging="420" w:hangingChars="200"/>
              <w:rPr>
                <w:rFonts w:hint="default" w:ascii="Times New Roman" w:cs="Times New Roman"/>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pH</w:t>
            </w:r>
            <w:r>
              <w:rPr>
                <w:rFonts w:hint="eastAsia" w:ascii="Times New Roman" w:hAnsi="Times New Roman" w:eastAsia="宋体" w:cs="Times New Roman"/>
                <w:color w:val="auto"/>
                <w:kern w:val="2"/>
                <w:sz w:val="21"/>
                <w:szCs w:val="21"/>
                <w:highlight w:val="none"/>
                <w:lang w:val="en-US" w:eastAsia="zh-CN" w:bidi="ar"/>
              </w:rPr>
              <w:t>（无量纲）</w:t>
            </w:r>
          </w:p>
        </w:tc>
        <w:tc>
          <w:tcPr>
            <w:tcW w:w="1616" w:type="dxa"/>
            <w:noWrap w:val="0"/>
            <w:vAlign w:val="center"/>
          </w:tcPr>
          <w:p w14:paraId="05C8EE3B">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eastAsia="宋体" w:cs="宋体"/>
                <w:snapToGrid w:val="0"/>
                <w:color w:val="auto"/>
                <w:kern w:val="21"/>
                <w:szCs w:val="21"/>
                <w:highlight w:val="none"/>
                <w:lang w:val="en-US" w:eastAsia="zh-CN"/>
              </w:rPr>
              <w:t>/</w:t>
            </w:r>
          </w:p>
        </w:tc>
        <w:tc>
          <w:tcPr>
            <w:tcW w:w="1276" w:type="dxa"/>
            <w:noWrap w:val="0"/>
            <w:vAlign w:val="center"/>
          </w:tcPr>
          <w:p w14:paraId="5192E364">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5894DF4D">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6A4C27B8">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w:t>
            </w:r>
          </w:p>
        </w:tc>
        <w:tc>
          <w:tcPr>
            <w:tcW w:w="1370" w:type="dxa"/>
            <w:noWrap w:val="0"/>
            <w:vAlign w:val="center"/>
          </w:tcPr>
          <w:p w14:paraId="1794C289">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773BFFC">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w:t>
            </w:r>
          </w:p>
        </w:tc>
        <w:tc>
          <w:tcPr>
            <w:tcW w:w="1595" w:type="dxa"/>
            <w:noWrap w:val="0"/>
            <w:vAlign w:val="center"/>
          </w:tcPr>
          <w:p w14:paraId="49889FF8">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79895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1375" w:type="dxa"/>
            <w:vMerge w:val="continue"/>
            <w:noWrap w:val="0"/>
            <w:vAlign w:val="center"/>
          </w:tcPr>
          <w:p w14:paraId="07880666">
            <w:pPr>
              <w:pStyle w:val="41"/>
              <w:shd w:val="clear" w:color="auto" w:fill="auto"/>
              <w:spacing w:beforeLines="0" w:afterLines="0" w:line="240" w:lineRule="auto"/>
              <w:jc w:val="center"/>
              <w:rPr>
                <w:rFonts w:hint="default"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37E24AD7">
            <w:pPr>
              <w:pStyle w:val="41"/>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宋体"/>
                <w:snapToGrid w:val="0"/>
                <w:color w:val="auto"/>
                <w:kern w:val="21"/>
                <w:szCs w:val="21"/>
                <w:highlight w:val="none"/>
                <w:lang w:val="en-US" w:eastAsia="zh-CN"/>
              </w:rPr>
            </w:pPr>
          </w:p>
        </w:tc>
        <w:tc>
          <w:tcPr>
            <w:tcW w:w="1067" w:type="dxa"/>
            <w:noWrap w:val="0"/>
            <w:vAlign w:val="center"/>
          </w:tcPr>
          <w:p w14:paraId="1A4F5323">
            <w:pPr>
              <w:pStyle w:val="41"/>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COD</w:t>
            </w:r>
          </w:p>
        </w:tc>
        <w:tc>
          <w:tcPr>
            <w:tcW w:w="1616" w:type="dxa"/>
            <w:noWrap w:val="0"/>
            <w:vAlign w:val="center"/>
          </w:tcPr>
          <w:p w14:paraId="3EB9E50C">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63AB0943">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5A74DF7F">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23B70C05">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5E02961C">
            <w:pPr>
              <w:shd w:val="clear" w:color="auto" w:fill="auto"/>
              <w:spacing w:beforeLines="0" w:afterLines="0" w:line="240" w:lineRule="auto"/>
              <w:ind w:left="420" w:leftChars="0" w:hanging="420" w:hangingChars="200"/>
              <w:jc w:val="center"/>
              <w:rPr>
                <w:rFonts w:hint="default"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snapToGrid w:val="0"/>
                <w:color w:val="auto"/>
                <w:kern w:val="21"/>
                <w:szCs w:val="21"/>
                <w:highlight w:val="none"/>
                <w:lang w:val="en-US" w:eastAsia="zh-CN"/>
              </w:rPr>
              <w:t>/</w:t>
            </w:r>
          </w:p>
        </w:tc>
        <w:tc>
          <w:tcPr>
            <w:tcW w:w="1581" w:type="dxa"/>
            <w:noWrap w:val="0"/>
            <w:vAlign w:val="center"/>
          </w:tcPr>
          <w:p w14:paraId="2E0D83F5">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4CE558F5">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54584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375" w:type="dxa"/>
            <w:vMerge w:val="continue"/>
            <w:noWrap w:val="0"/>
            <w:vAlign w:val="center"/>
          </w:tcPr>
          <w:p w14:paraId="4537D225">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26114874">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1067" w:type="dxa"/>
            <w:noWrap w:val="0"/>
            <w:vAlign w:val="center"/>
          </w:tcPr>
          <w:p w14:paraId="2957B44E">
            <w:pPr>
              <w:pStyle w:val="41"/>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BOD</w:t>
            </w:r>
            <w:r>
              <w:rPr>
                <w:rFonts w:hint="eastAsia" w:ascii="Times New Roman" w:cs="Times New Roman"/>
                <w:snapToGrid w:val="0"/>
                <w:color w:val="auto"/>
                <w:kern w:val="21"/>
                <w:szCs w:val="21"/>
                <w:highlight w:val="none"/>
                <w:vertAlign w:val="subscript"/>
                <w:lang w:val="en-US" w:eastAsia="zh-CN"/>
              </w:rPr>
              <w:t>5</w:t>
            </w:r>
          </w:p>
        </w:tc>
        <w:tc>
          <w:tcPr>
            <w:tcW w:w="1616" w:type="dxa"/>
            <w:noWrap w:val="0"/>
            <w:vAlign w:val="center"/>
          </w:tcPr>
          <w:p w14:paraId="321C150C">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BC49458">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60D6AB02">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A15992E">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0BCD1E7A">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3D7C7655">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43D4F772">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5E3FC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1375" w:type="dxa"/>
            <w:vMerge w:val="continue"/>
            <w:noWrap w:val="0"/>
            <w:vAlign w:val="center"/>
          </w:tcPr>
          <w:p w14:paraId="06E16F01">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736FF1D2">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1067" w:type="dxa"/>
            <w:noWrap w:val="0"/>
            <w:vAlign w:val="center"/>
          </w:tcPr>
          <w:p w14:paraId="53CAE5D4">
            <w:pPr>
              <w:pStyle w:val="41"/>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SS</w:t>
            </w:r>
          </w:p>
        </w:tc>
        <w:tc>
          <w:tcPr>
            <w:tcW w:w="1616" w:type="dxa"/>
            <w:noWrap w:val="0"/>
            <w:vAlign w:val="center"/>
          </w:tcPr>
          <w:p w14:paraId="5ECFAF0B">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2DA661A">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0B52A10A">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BB30904">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568A3CAB">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6ACB217C">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1EC72000">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6146E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1375" w:type="dxa"/>
            <w:vMerge w:val="continue"/>
            <w:noWrap w:val="0"/>
            <w:vAlign w:val="center"/>
          </w:tcPr>
          <w:p w14:paraId="2EC4D875">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401F3BAC">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1067" w:type="dxa"/>
            <w:noWrap w:val="0"/>
            <w:vAlign w:val="center"/>
          </w:tcPr>
          <w:p w14:paraId="57C56D24">
            <w:pPr>
              <w:pStyle w:val="41"/>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氨氮</w:t>
            </w:r>
          </w:p>
        </w:tc>
        <w:tc>
          <w:tcPr>
            <w:tcW w:w="1616" w:type="dxa"/>
            <w:noWrap w:val="0"/>
            <w:vAlign w:val="center"/>
          </w:tcPr>
          <w:p w14:paraId="2E2104B8">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5D18A1F">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68B233CE">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7472F80">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4D05DDA5">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0D8B9032">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1C18F25B">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25855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jc w:val="center"/>
        </w:trPr>
        <w:tc>
          <w:tcPr>
            <w:tcW w:w="1375" w:type="dxa"/>
            <w:vMerge w:val="restart"/>
            <w:noWrap w:val="0"/>
            <w:vAlign w:val="center"/>
          </w:tcPr>
          <w:p w14:paraId="2E3E5475">
            <w:pPr>
              <w:pStyle w:val="41"/>
              <w:shd w:val="clear" w:color="auto" w:fill="auto"/>
              <w:spacing w:beforeLines="0" w:afterLines="0" w:line="240" w:lineRule="auto"/>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rPr>
              <w:t>一般工业</w:t>
            </w:r>
          </w:p>
          <w:p w14:paraId="5F037260">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rPr>
              <w:t>固体废物</w:t>
            </w:r>
          </w:p>
        </w:tc>
        <w:tc>
          <w:tcPr>
            <w:tcW w:w="1715" w:type="dxa"/>
            <w:gridSpan w:val="2"/>
            <w:noWrap w:val="0"/>
            <w:vAlign w:val="center"/>
          </w:tcPr>
          <w:p w14:paraId="30078AB7">
            <w:pPr>
              <w:keepNext w:val="0"/>
              <w:keepLines w:val="0"/>
              <w:widowControl w:val="0"/>
              <w:suppressLineNumbers w:val="0"/>
              <w:shd w:val="clear" w:color="auto" w:fill="auto"/>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废包装材料</w:t>
            </w:r>
          </w:p>
        </w:tc>
        <w:tc>
          <w:tcPr>
            <w:tcW w:w="1616" w:type="dxa"/>
            <w:noWrap w:val="0"/>
            <w:vAlign w:val="center"/>
          </w:tcPr>
          <w:p w14:paraId="2C0F8432">
            <w:pPr>
              <w:pStyle w:val="41"/>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136F1B23">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25C311B1">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BE4C740">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0.5</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391A24F4">
            <w:pPr>
              <w:pStyle w:val="60"/>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6A829D0">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0.5</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738AB844">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58EF3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1375" w:type="dxa"/>
            <w:vMerge w:val="continue"/>
            <w:noWrap w:val="0"/>
            <w:vAlign w:val="center"/>
          </w:tcPr>
          <w:p w14:paraId="5BCF1B33">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p>
        </w:tc>
        <w:tc>
          <w:tcPr>
            <w:tcW w:w="1715" w:type="dxa"/>
            <w:gridSpan w:val="2"/>
            <w:noWrap w:val="0"/>
            <w:vAlign w:val="center"/>
          </w:tcPr>
          <w:p w14:paraId="7DA2CB2A">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边角料</w:t>
            </w:r>
            <w:r>
              <w:rPr>
                <w:rFonts w:hint="eastAsia" w:ascii="Times New Roman" w:hAnsi="Times New Roman" w:eastAsia="宋体" w:cs="Times New Roman"/>
                <w:color w:val="auto"/>
                <w:kern w:val="2"/>
                <w:sz w:val="21"/>
                <w:szCs w:val="21"/>
                <w:highlight w:val="none"/>
                <w:lang w:val="en-US" w:eastAsia="zh-CN"/>
              </w:rPr>
              <w:t>及不合格产品</w:t>
            </w:r>
          </w:p>
        </w:tc>
        <w:tc>
          <w:tcPr>
            <w:tcW w:w="1616" w:type="dxa"/>
            <w:noWrap w:val="0"/>
            <w:vAlign w:val="center"/>
          </w:tcPr>
          <w:p w14:paraId="462E0E6D">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24B7E57">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278E26E6">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5C800923">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r>
              <w:rPr>
                <w:rFonts w:hint="eastAsia" w:ascii="Times New Roman" w:hAnsi="Times New Roman" w:eastAsia="宋体" w:cs="Times New Roman"/>
                <w:color w:val="auto"/>
                <w:kern w:val="2"/>
                <w:sz w:val="21"/>
                <w:szCs w:val="21"/>
                <w:highlight w:val="none"/>
                <w:lang w:val="en-US" w:eastAsia="zh-CN" w:bidi="ar-SA"/>
              </w:rPr>
              <w:t>0.0</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21F01EC8">
            <w:pPr>
              <w:shd w:val="clear" w:color="auto" w:fill="auto"/>
              <w:spacing w:line="240" w:lineRule="auto"/>
              <w:ind w:firstLine="0" w:firstLineChars="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CDA10AB">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r>
              <w:rPr>
                <w:rFonts w:hint="eastAsia" w:ascii="Times New Roman" w:hAnsi="Times New Roman" w:eastAsia="宋体" w:cs="Times New Roman"/>
                <w:color w:val="auto"/>
                <w:kern w:val="2"/>
                <w:sz w:val="21"/>
                <w:szCs w:val="21"/>
                <w:highlight w:val="none"/>
                <w:lang w:val="en-US" w:eastAsia="zh-CN" w:bidi="ar-SA"/>
              </w:rPr>
              <w:t>0.0</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531649F7">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01668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jc w:val="center"/>
        </w:trPr>
        <w:tc>
          <w:tcPr>
            <w:tcW w:w="1375" w:type="dxa"/>
            <w:noWrap w:val="0"/>
            <w:vAlign w:val="center"/>
          </w:tcPr>
          <w:p w14:paraId="2118993C">
            <w:pPr>
              <w:pStyle w:val="41"/>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b w:val="0"/>
                <w:color w:val="auto"/>
                <w:kern w:val="2"/>
                <w:sz w:val="21"/>
                <w:szCs w:val="21"/>
                <w:highlight w:val="none"/>
                <w:lang w:val="en-US" w:eastAsia="zh-CN" w:bidi="ar-SA"/>
              </w:rPr>
              <w:t>生活垃圾</w:t>
            </w:r>
          </w:p>
        </w:tc>
        <w:tc>
          <w:tcPr>
            <w:tcW w:w="1715" w:type="dxa"/>
            <w:gridSpan w:val="2"/>
            <w:noWrap w:val="0"/>
            <w:vAlign w:val="center"/>
          </w:tcPr>
          <w:p w14:paraId="77CE5985">
            <w:pPr>
              <w:pStyle w:val="60"/>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生活垃圾</w:t>
            </w:r>
          </w:p>
        </w:tc>
        <w:tc>
          <w:tcPr>
            <w:tcW w:w="1616" w:type="dxa"/>
            <w:noWrap w:val="0"/>
            <w:vAlign w:val="center"/>
          </w:tcPr>
          <w:p w14:paraId="3456584C">
            <w:pPr>
              <w:pStyle w:val="60"/>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25FA409A">
            <w:pPr>
              <w:pStyle w:val="41"/>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1FCABDB1">
            <w:pPr>
              <w:pStyle w:val="41"/>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003725EE">
            <w:pPr>
              <w:pStyle w:val="60"/>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0.6t/a</w:t>
            </w:r>
          </w:p>
        </w:tc>
        <w:tc>
          <w:tcPr>
            <w:tcW w:w="1370" w:type="dxa"/>
            <w:noWrap w:val="0"/>
            <w:vAlign w:val="center"/>
          </w:tcPr>
          <w:p w14:paraId="53FAF12F">
            <w:pPr>
              <w:pStyle w:val="60"/>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B730EC2">
            <w:pPr>
              <w:pStyle w:val="60"/>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0.6t/a</w:t>
            </w:r>
          </w:p>
        </w:tc>
        <w:tc>
          <w:tcPr>
            <w:tcW w:w="1595" w:type="dxa"/>
            <w:noWrap w:val="0"/>
            <w:vAlign w:val="center"/>
          </w:tcPr>
          <w:p w14:paraId="4972E50A">
            <w:pPr>
              <w:pStyle w:val="41"/>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2E85C9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375" w:type="dxa"/>
            <w:vMerge w:val="restart"/>
            <w:noWrap w:val="0"/>
            <w:vAlign w:val="center"/>
          </w:tcPr>
          <w:p w14:paraId="7C081A3B">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rPr>
              <w:t>危险废物</w:t>
            </w:r>
          </w:p>
        </w:tc>
        <w:tc>
          <w:tcPr>
            <w:tcW w:w="1715" w:type="dxa"/>
            <w:gridSpan w:val="2"/>
            <w:noWrap w:val="0"/>
            <w:vAlign w:val="center"/>
          </w:tcPr>
          <w:p w14:paraId="738CA3DE">
            <w:pPr>
              <w:pStyle w:val="60"/>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废润滑油桶</w:t>
            </w:r>
          </w:p>
        </w:tc>
        <w:tc>
          <w:tcPr>
            <w:tcW w:w="1616" w:type="dxa"/>
            <w:noWrap w:val="0"/>
            <w:vAlign w:val="center"/>
          </w:tcPr>
          <w:p w14:paraId="7F1B35D5">
            <w:pPr>
              <w:pStyle w:val="60"/>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06916E68">
            <w:pPr>
              <w:pStyle w:val="41"/>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009DF1BD">
            <w:pPr>
              <w:pStyle w:val="41"/>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65C56AE2">
            <w:pPr>
              <w:pStyle w:val="60"/>
              <w:numPr>
                <w:ilvl w:val="0"/>
                <w:numId w:val="0"/>
              </w:numPr>
              <w:shd w:val="clear" w:color="auto" w:fill="auto"/>
              <w:spacing w:line="240" w:lineRule="auto"/>
              <w:jc w:val="center"/>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w:t>
            </w:r>
            <w:r>
              <w:rPr>
                <w:rFonts w:hint="eastAsia" w:cs="宋体"/>
                <w:color w:val="auto"/>
                <w:sz w:val="21"/>
                <w:szCs w:val="21"/>
                <w:highlight w:val="none"/>
                <w:lang w:val="en-US" w:eastAsia="zh-CN"/>
              </w:rPr>
              <w:t>2</w:t>
            </w:r>
            <w:r>
              <w:rPr>
                <w:rFonts w:hint="eastAsia" w:ascii="Times New Roman" w:hAnsi="Times New Roman" w:eastAsia="宋体" w:cs="宋体"/>
                <w:color w:val="auto"/>
                <w:sz w:val="21"/>
                <w:szCs w:val="21"/>
                <w:highlight w:val="none"/>
                <w:lang w:val="en-US" w:eastAsia="zh-CN"/>
              </w:rPr>
              <w:t>t/a</w:t>
            </w:r>
          </w:p>
        </w:tc>
        <w:tc>
          <w:tcPr>
            <w:tcW w:w="1370" w:type="dxa"/>
            <w:noWrap w:val="0"/>
            <w:vAlign w:val="center"/>
          </w:tcPr>
          <w:p w14:paraId="5803BD75">
            <w:pPr>
              <w:pStyle w:val="60"/>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0212B6B9">
            <w:pPr>
              <w:pStyle w:val="60"/>
              <w:numPr>
                <w:ilvl w:val="0"/>
                <w:numId w:val="0"/>
              </w:numPr>
              <w:shd w:val="clear" w:color="auto" w:fill="auto"/>
              <w:spacing w:line="240" w:lineRule="auto"/>
              <w:ind w:left="0" w:leftChars="0" w:firstLine="0" w:firstLineChars="0"/>
              <w:jc w:val="center"/>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w:t>
            </w:r>
            <w:r>
              <w:rPr>
                <w:rFonts w:hint="eastAsia" w:cs="宋体"/>
                <w:color w:val="auto"/>
                <w:sz w:val="21"/>
                <w:szCs w:val="21"/>
                <w:highlight w:val="none"/>
                <w:lang w:val="en-US" w:eastAsia="zh-CN"/>
              </w:rPr>
              <w:t>2</w:t>
            </w:r>
            <w:r>
              <w:rPr>
                <w:rFonts w:hint="eastAsia" w:ascii="Times New Roman" w:hAnsi="Times New Roman" w:eastAsia="宋体" w:cs="宋体"/>
                <w:color w:val="auto"/>
                <w:sz w:val="21"/>
                <w:szCs w:val="21"/>
                <w:highlight w:val="none"/>
                <w:lang w:val="en-US" w:eastAsia="zh-CN"/>
              </w:rPr>
              <w:t>t/a</w:t>
            </w:r>
          </w:p>
        </w:tc>
        <w:tc>
          <w:tcPr>
            <w:tcW w:w="1595" w:type="dxa"/>
            <w:noWrap w:val="0"/>
            <w:vAlign w:val="center"/>
          </w:tcPr>
          <w:p w14:paraId="208ED767">
            <w:pPr>
              <w:pStyle w:val="41"/>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03330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1375" w:type="dxa"/>
            <w:vMerge w:val="continue"/>
            <w:noWrap w:val="0"/>
            <w:vAlign w:val="center"/>
          </w:tcPr>
          <w:p w14:paraId="4BBEF198">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p>
        </w:tc>
        <w:tc>
          <w:tcPr>
            <w:tcW w:w="1715" w:type="dxa"/>
            <w:gridSpan w:val="2"/>
            <w:noWrap w:val="0"/>
            <w:vAlign w:val="center"/>
          </w:tcPr>
          <w:p w14:paraId="677CD885">
            <w:pPr>
              <w:pStyle w:val="60"/>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废油抹布及手套</w:t>
            </w:r>
          </w:p>
        </w:tc>
        <w:tc>
          <w:tcPr>
            <w:tcW w:w="1616" w:type="dxa"/>
            <w:noWrap w:val="0"/>
            <w:vAlign w:val="center"/>
          </w:tcPr>
          <w:p w14:paraId="2C4A3A15">
            <w:pPr>
              <w:shd w:val="clear" w:color="auto" w:fill="auto"/>
              <w:spacing w:line="240" w:lineRule="auto"/>
              <w:ind w:firstLine="0" w:firstLineChars="0"/>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13475CAA">
            <w:pPr>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7EFC463A">
            <w:pPr>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2B302EEE">
            <w:pPr>
              <w:pStyle w:val="60"/>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0.01</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572B173B">
            <w:pPr>
              <w:shd w:val="clear" w:color="auto" w:fill="auto"/>
              <w:spacing w:line="240" w:lineRule="auto"/>
              <w:ind w:firstLine="0" w:firstLine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2529B948">
            <w:pPr>
              <w:pStyle w:val="60"/>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0.01</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1526994E">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73771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1375" w:type="dxa"/>
            <w:vMerge w:val="continue"/>
            <w:noWrap w:val="0"/>
            <w:vAlign w:val="center"/>
          </w:tcPr>
          <w:p w14:paraId="66A2DFC2">
            <w:pPr>
              <w:pStyle w:val="41"/>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p>
        </w:tc>
        <w:tc>
          <w:tcPr>
            <w:tcW w:w="1715" w:type="dxa"/>
            <w:gridSpan w:val="2"/>
            <w:noWrap w:val="0"/>
            <w:vAlign w:val="center"/>
          </w:tcPr>
          <w:p w14:paraId="2C088330">
            <w:pPr>
              <w:pStyle w:val="60"/>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废活性炭</w:t>
            </w:r>
          </w:p>
        </w:tc>
        <w:tc>
          <w:tcPr>
            <w:tcW w:w="1616" w:type="dxa"/>
            <w:noWrap w:val="0"/>
            <w:vAlign w:val="center"/>
          </w:tcPr>
          <w:p w14:paraId="08B7394B">
            <w:pPr>
              <w:pStyle w:val="60"/>
              <w:shd w:val="clear" w:color="auto" w:fill="auto"/>
              <w:spacing w:line="240" w:lineRule="auto"/>
              <w:ind w:firstLine="0" w:firstLineChars="0"/>
              <w:rPr>
                <w:rFonts w:hint="eastAsia" w:ascii="Times New Roman" w:hAnsi="Times New Roman" w:eastAsia="宋体" w:cs="宋体"/>
                <w:b w:val="0"/>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6BB26B88">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765EE693">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5A0506FC">
            <w:pPr>
              <w:pStyle w:val="60"/>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1.25</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483CDF99">
            <w:pPr>
              <w:pStyle w:val="60"/>
              <w:shd w:val="clear" w:color="auto" w:fill="auto"/>
              <w:spacing w:line="240" w:lineRule="auto"/>
              <w:ind w:firstLine="0" w:firstLineChars="0"/>
              <w:rPr>
                <w:rFonts w:hint="eastAsia" w:ascii="Times New Roman" w:hAnsi="Times New Roman" w:cs="宋体"/>
                <w:b w:val="0"/>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269B4028">
            <w:pPr>
              <w:pStyle w:val="60"/>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1.25</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3D246BC4">
            <w:pPr>
              <w:pStyle w:val="41"/>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bl>
    <w:p w14:paraId="29AA0460">
      <w:pPr>
        <w:pStyle w:val="41"/>
        <w:spacing w:before="192" w:beforeLines="80" w:after="24"/>
        <w:ind w:left="0" w:leftChars="0" w:firstLine="0" w:firstLineChars="0"/>
        <w:jc w:val="left"/>
        <w:rPr>
          <w:rFonts w:ascii="宋体" w:hAnsi="宋体" w:eastAsia="黑体"/>
          <w:color w:val="0000FF"/>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p w14:paraId="2E2E69E9"/>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Gloucester MT Extra Condensed">
    <w:altName w:val="MT Extra"/>
    <w:panose1 w:val="02030808020601010101"/>
    <w:charset w:val="00"/>
    <w:family w:val="roman"/>
    <w:pitch w:val="default"/>
    <w:sig w:usb0="00000000" w:usb1="00000000" w:usb2="00000000" w:usb3="00000000" w:csb0="20000001" w:csb1="00000000"/>
  </w:font>
  <w:font w:name="MT Extra">
    <w:panose1 w:val="05050102010205020202"/>
    <w:charset w:val="00"/>
    <w:family w:val="auto"/>
    <w:pitch w:val="default"/>
    <w:sig w:usb0="8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Cambria Math">
    <w:panose1 w:val="02040503050406030204"/>
    <w:charset w:val="00"/>
    <w:family w:val="auto"/>
    <w:pitch w:val="default"/>
    <w:sig w:usb0="E00002FF" w:usb1="420024FF" w:usb2="00000000"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29C52">
    <w:pPr>
      <w:pStyle w:val="1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F358F">
    <w:pPr>
      <w:pStyle w:val="14"/>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5C216">
    <w:pPr>
      <w:pStyle w:val="14"/>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4830DA">
                          <w:pPr>
                            <w:pStyle w:val="14"/>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26</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684830DA">
                    <w:pPr>
                      <w:pStyle w:val="14"/>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26</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7BFFF">
    <w:pPr>
      <w:pStyle w:val="14"/>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2C04C1">
                          <w:pPr>
                            <w:pStyle w:val="14"/>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34</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52C04C1">
                    <w:pPr>
                      <w:pStyle w:val="14"/>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34</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E29B9B"/>
    <w:multiLevelType w:val="singleLevel"/>
    <w:tmpl w:val="A4E29B9B"/>
    <w:lvl w:ilvl="0" w:tentative="0">
      <w:start w:val="1"/>
      <w:numFmt w:val="decimal"/>
      <w:suff w:val="nothing"/>
      <w:lvlText w:val="（%1）"/>
      <w:lvlJc w:val="left"/>
    </w:lvl>
  </w:abstractNum>
  <w:abstractNum w:abstractNumId="1">
    <w:nsid w:val="B20015F1"/>
    <w:multiLevelType w:val="singleLevel"/>
    <w:tmpl w:val="B20015F1"/>
    <w:lvl w:ilvl="0" w:tentative="0">
      <w:start w:val="1"/>
      <w:numFmt w:val="decimal"/>
      <w:suff w:val="nothing"/>
      <w:lvlText w:val="（%1）"/>
      <w:lvlJc w:val="left"/>
    </w:lvl>
  </w:abstractNum>
  <w:abstractNum w:abstractNumId="2">
    <w:nsid w:val="B9E0AF81"/>
    <w:multiLevelType w:val="singleLevel"/>
    <w:tmpl w:val="B9E0AF81"/>
    <w:lvl w:ilvl="0" w:tentative="0">
      <w:start w:val="1"/>
      <w:numFmt w:val="chineseCounting"/>
      <w:suff w:val="nothing"/>
      <w:lvlText w:val="%1、"/>
      <w:lvlJc w:val="left"/>
      <w:rPr>
        <w:rFonts w:hint="eastAsia"/>
      </w:rPr>
    </w:lvl>
  </w:abstractNum>
  <w:abstractNum w:abstractNumId="3">
    <w:nsid w:val="E45E31DC"/>
    <w:multiLevelType w:val="singleLevel"/>
    <w:tmpl w:val="E45E31DC"/>
    <w:lvl w:ilvl="0" w:tentative="0">
      <w:start w:val="1"/>
      <w:numFmt w:val="chineseCounting"/>
      <w:suff w:val="nothing"/>
      <w:lvlText w:val="（%1）"/>
      <w:lvlJc w:val="left"/>
      <w:rPr>
        <w:rFonts w:hint="eastAsia"/>
      </w:rPr>
    </w:lvl>
  </w:abstractNum>
  <w:abstractNum w:abstractNumId="4">
    <w:nsid w:val="F4F65819"/>
    <w:multiLevelType w:val="singleLevel"/>
    <w:tmpl w:val="F4F65819"/>
    <w:lvl w:ilvl="0" w:tentative="0">
      <w:start w:val="5"/>
      <w:numFmt w:val="chineseCounting"/>
      <w:suff w:val="nothing"/>
      <w:lvlText w:val="%1、"/>
      <w:lvlJc w:val="left"/>
      <w:rPr>
        <w:rFonts w:hint="eastAsia"/>
      </w:rPr>
    </w:lvl>
  </w:abstractNum>
  <w:abstractNum w:abstractNumId="5">
    <w:nsid w:val="079C2FEF"/>
    <w:multiLevelType w:val="singleLevel"/>
    <w:tmpl w:val="079C2FEF"/>
    <w:lvl w:ilvl="0" w:tentative="0">
      <w:start w:val="1"/>
      <w:numFmt w:val="decimal"/>
      <w:suff w:val="nothing"/>
      <w:lvlText w:val="%1、"/>
      <w:lvlJc w:val="left"/>
      <w:rPr>
        <w:rFonts w:hint="default"/>
        <w:b/>
        <w:bCs/>
      </w:rPr>
    </w:lvl>
  </w:abstractNum>
  <w:abstractNum w:abstractNumId="6">
    <w:nsid w:val="23CEF501"/>
    <w:multiLevelType w:val="singleLevel"/>
    <w:tmpl w:val="23CEF501"/>
    <w:lvl w:ilvl="0" w:tentative="0">
      <w:start w:val="1"/>
      <w:numFmt w:val="decimal"/>
      <w:suff w:val="nothing"/>
      <w:lvlText w:val="%1、"/>
      <w:lvlJc w:val="left"/>
    </w:lvl>
  </w:abstractNum>
  <w:abstractNum w:abstractNumId="7">
    <w:nsid w:val="3A41C0C6"/>
    <w:multiLevelType w:val="singleLevel"/>
    <w:tmpl w:val="3A41C0C6"/>
    <w:lvl w:ilvl="0" w:tentative="0">
      <w:start w:val="3"/>
      <w:numFmt w:val="chineseCounting"/>
      <w:suff w:val="nothing"/>
      <w:lvlText w:val="%1、"/>
      <w:lvlJc w:val="left"/>
      <w:rPr>
        <w:rFonts w:hint="eastAsia"/>
      </w:rPr>
    </w:lvl>
  </w:abstractNum>
  <w:abstractNum w:abstractNumId="8">
    <w:nsid w:val="426F425D"/>
    <w:multiLevelType w:val="singleLevel"/>
    <w:tmpl w:val="426F425D"/>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9">
    <w:nsid w:val="56B66E83"/>
    <w:multiLevelType w:val="singleLevel"/>
    <w:tmpl w:val="56B66E83"/>
    <w:lvl w:ilvl="0" w:tentative="0">
      <w:start w:val="6"/>
      <w:numFmt w:val="chineseCounting"/>
      <w:suff w:val="nothing"/>
      <w:lvlText w:val="%1、"/>
      <w:lvlJc w:val="left"/>
      <w:rPr>
        <w:rFonts w:hint="eastAsia"/>
      </w:rPr>
    </w:lvl>
  </w:abstractNum>
  <w:abstractNum w:abstractNumId="10">
    <w:nsid w:val="75706017"/>
    <w:multiLevelType w:val="singleLevel"/>
    <w:tmpl w:val="75706017"/>
    <w:lvl w:ilvl="0" w:tentative="0">
      <w:start w:val="3"/>
      <w:numFmt w:val="decimal"/>
      <w:suff w:val="nothing"/>
      <w:lvlText w:val="（%1）"/>
      <w:lvlJc w:val="left"/>
    </w:lvl>
  </w:abstractNum>
  <w:num w:numId="1">
    <w:abstractNumId w:val="8"/>
  </w:num>
  <w:num w:numId="2">
    <w:abstractNumId w:val="6"/>
  </w:num>
  <w:num w:numId="3">
    <w:abstractNumId w:val="3"/>
  </w:num>
  <w:num w:numId="4">
    <w:abstractNumId w:val="4"/>
  </w:num>
  <w:num w:numId="5">
    <w:abstractNumId w:val="9"/>
  </w:num>
  <w:num w:numId="6">
    <w:abstractNumId w:val="0"/>
  </w:num>
  <w:num w:numId="7">
    <w:abstractNumId w:val="7"/>
  </w:num>
  <w:num w:numId="8">
    <w:abstractNumId w:val="2"/>
  </w:num>
  <w:num w:numId="9">
    <w:abstractNumId w:val="5"/>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70622"/>
    <w:rsid w:val="00AE6C41"/>
    <w:rsid w:val="024B2818"/>
    <w:rsid w:val="0271137E"/>
    <w:rsid w:val="034F0E57"/>
    <w:rsid w:val="04577FC5"/>
    <w:rsid w:val="04C96CE6"/>
    <w:rsid w:val="060A3A52"/>
    <w:rsid w:val="069E3769"/>
    <w:rsid w:val="08B802EB"/>
    <w:rsid w:val="08DD2784"/>
    <w:rsid w:val="0A8F5768"/>
    <w:rsid w:val="0B5B5938"/>
    <w:rsid w:val="0C0E5CE2"/>
    <w:rsid w:val="0CCB50D5"/>
    <w:rsid w:val="0D2E34C8"/>
    <w:rsid w:val="0D3A63F7"/>
    <w:rsid w:val="0E8873CF"/>
    <w:rsid w:val="10251AC8"/>
    <w:rsid w:val="10B353ED"/>
    <w:rsid w:val="10C66F7B"/>
    <w:rsid w:val="10D73A9C"/>
    <w:rsid w:val="12BF037E"/>
    <w:rsid w:val="13963C5C"/>
    <w:rsid w:val="13D4346D"/>
    <w:rsid w:val="15F72E61"/>
    <w:rsid w:val="15FA47E2"/>
    <w:rsid w:val="16937764"/>
    <w:rsid w:val="176B530C"/>
    <w:rsid w:val="178C6A30"/>
    <w:rsid w:val="17D01877"/>
    <w:rsid w:val="1AD37BF6"/>
    <w:rsid w:val="1AD51DB2"/>
    <w:rsid w:val="1CC93433"/>
    <w:rsid w:val="1FA94D17"/>
    <w:rsid w:val="1FD35646"/>
    <w:rsid w:val="207B64BA"/>
    <w:rsid w:val="215314C6"/>
    <w:rsid w:val="22D24D9C"/>
    <w:rsid w:val="23D20CE0"/>
    <w:rsid w:val="24FF28BB"/>
    <w:rsid w:val="252C32B6"/>
    <w:rsid w:val="254018ED"/>
    <w:rsid w:val="25E11CAE"/>
    <w:rsid w:val="26481EBC"/>
    <w:rsid w:val="26881B2A"/>
    <w:rsid w:val="27532138"/>
    <w:rsid w:val="276F7EC0"/>
    <w:rsid w:val="2874333E"/>
    <w:rsid w:val="2A4C2E6E"/>
    <w:rsid w:val="2B1D67DB"/>
    <w:rsid w:val="2B2A1401"/>
    <w:rsid w:val="2F31741F"/>
    <w:rsid w:val="2FCC0A00"/>
    <w:rsid w:val="302C73AD"/>
    <w:rsid w:val="31E90EF8"/>
    <w:rsid w:val="32005C69"/>
    <w:rsid w:val="35254998"/>
    <w:rsid w:val="370C7B1B"/>
    <w:rsid w:val="38623A31"/>
    <w:rsid w:val="39050DB8"/>
    <w:rsid w:val="39203DC4"/>
    <w:rsid w:val="39352F70"/>
    <w:rsid w:val="393D2C48"/>
    <w:rsid w:val="3C110D20"/>
    <w:rsid w:val="3C7A50CD"/>
    <w:rsid w:val="404F0827"/>
    <w:rsid w:val="423E7375"/>
    <w:rsid w:val="42A67B0A"/>
    <w:rsid w:val="45EF7078"/>
    <w:rsid w:val="4643602A"/>
    <w:rsid w:val="480916A9"/>
    <w:rsid w:val="4B436814"/>
    <w:rsid w:val="4C03470D"/>
    <w:rsid w:val="4C7E0947"/>
    <w:rsid w:val="4CC472C3"/>
    <w:rsid w:val="4F612870"/>
    <w:rsid w:val="4F61599F"/>
    <w:rsid w:val="50062DD9"/>
    <w:rsid w:val="523718E5"/>
    <w:rsid w:val="559A36FF"/>
    <w:rsid w:val="55C82F4A"/>
    <w:rsid w:val="565B5870"/>
    <w:rsid w:val="568D7E8C"/>
    <w:rsid w:val="58B77E24"/>
    <w:rsid w:val="5907315A"/>
    <w:rsid w:val="59FD5EB2"/>
    <w:rsid w:val="5B7A58B0"/>
    <w:rsid w:val="5CE609FA"/>
    <w:rsid w:val="5D0773AA"/>
    <w:rsid w:val="5E465C91"/>
    <w:rsid w:val="5F0773B5"/>
    <w:rsid w:val="5F4A29C5"/>
    <w:rsid w:val="5F830324"/>
    <w:rsid w:val="5FF64EAD"/>
    <w:rsid w:val="601E189B"/>
    <w:rsid w:val="61697765"/>
    <w:rsid w:val="616F46CF"/>
    <w:rsid w:val="61A00737"/>
    <w:rsid w:val="625C605A"/>
    <w:rsid w:val="630A0CF4"/>
    <w:rsid w:val="634A1561"/>
    <w:rsid w:val="661A022D"/>
    <w:rsid w:val="662E59FA"/>
    <w:rsid w:val="66770622"/>
    <w:rsid w:val="6779459B"/>
    <w:rsid w:val="6787315C"/>
    <w:rsid w:val="684C376D"/>
    <w:rsid w:val="6910780F"/>
    <w:rsid w:val="6A631C22"/>
    <w:rsid w:val="6A850A74"/>
    <w:rsid w:val="6B3629A6"/>
    <w:rsid w:val="6C307F64"/>
    <w:rsid w:val="6C9E75F9"/>
    <w:rsid w:val="6D050DAB"/>
    <w:rsid w:val="6D435965"/>
    <w:rsid w:val="6E11700F"/>
    <w:rsid w:val="6EA57BF2"/>
    <w:rsid w:val="6EAD2492"/>
    <w:rsid w:val="6F670F4C"/>
    <w:rsid w:val="6F7B3AFE"/>
    <w:rsid w:val="6F944745"/>
    <w:rsid w:val="6FD23FEB"/>
    <w:rsid w:val="70751A2F"/>
    <w:rsid w:val="711E0C09"/>
    <w:rsid w:val="72C651DC"/>
    <w:rsid w:val="7480313C"/>
    <w:rsid w:val="75596C40"/>
    <w:rsid w:val="759D1CBC"/>
    <w:rsid w:val="77055BF8"/>
    <w:rsid w:val="78AF5935"/>
    <w:rsid w:val="7C654E8A"/>
    <w:rsid w:val="7D18680D"/>
    <w:rsid w:val="7D2B7EDD"/>
    <w:rsid w:val="7D936BA1"/>
    <w:rsid w:val="7DFF3D0F"/>
    <w:rsid w:val="7F824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120" w:beforeLines="0" w:after="120" w:afterLines="0" w:line="360" w:lineRule="auto"/>
      <w:outlineLvl w:val="1"/>
    </w:pPr>
    <w:rPr>
      <w:rFonts w:ascii="Arial" w:hAnsi="Arial" w:eastAsia="黑体"/>
      <w:b/>
      <w:bCs/>
      <w:sz w:val="28"/>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4">
    <w:name w:val="Note Heading"/>
    <w:basedOn w:val="1"/>
    <w:next w:val="1"/>
    <w:qFormat/>
    <w:uiPriority w:val="0"/>
    <w:pPr>
      <w:spacing w:beforeLines="50" w:afterLines="50"/>
      <w:jc w:val="center"/>
    </w:pPr>
    <w:rPr>
      <w:rFonts w:eastAsia="黑体"/>
      <w:sz w:val="24"/>
    </w:rPr>
  </w:style>
  <w:style w:type="paragraph" w:styleId="5">
    <w:name w:val="Normal Indent"/>
    <w:basedOn w:val="1"/>
    <w:next w:val="1"/>
    <w:qFormat/>
    <w:uiPriority w:val="0"/>
    <w:pPr>
      <w:ind w:firstLine="420" w:firstLineChars="200"/>
    </w:pPr>
    <w:rPr>
      <w:szCs w:val="24"/>
    </w:rPr>
  </w:style>
  <w:style w:type="paragraph" w:styleId="6">
    <w:name w:val="annotation text"/>
    <w:basedOn w:val="1"/>
    <w:qFormat/>
    <w:uiPriority w:val="0"/>
    <w:pPr>
      <w:jc w:val="left"/>
    </w:pPr>
  </w:style>
  <w:style w:type="paragraph" w:styleId="7">
    <w:name w:val="Body Text"/>
    <w:basedOn w:val="1"/>
    <w:next w:val="1"/>
    <w:qFormat/>
    <w:uiPriority w:val="0"/>
    <w:pPr>
      <w:widowControl/>
      <w:snapToGrid w:val="0"/>
      <w:spacing w:before="60" w:after="160" w:line="259" w:lineRule="auto"/>
      <w:ind w:right="113"/>
    </w:pPr>
    <w:rPr>
      <w:kern w:val="0"/>
      <w:sz w:val="18"/>
      <w:szCs w:val="20"/>
    </w:rPr>
  </w:style>
  <w:style w:type="paragraph" w:styleId="8">
    <w:name w:val="Body Text Indent"/>
    <w:basedOn w:val="1"/>
    <w:next w:val="7"/>
    <w:qFormat/>
    <w:uiPriority w:val="0"/>
    <w:pPr>
      <w:spacing w:after="120"/>
      <w:ind w:left="420" w:leftChars="200"/>
    </w:pPr>
    <w:rPr>
      <w:kern w:val="0"/>
      <w:sz w:val="24"/>
      <w:szCs w:val="20"/>
    </w:rPr>
  </w:style>
  <w:style w:type="paragraph" w:styleId="9">
    <w:name w:val="Plain Text"/>
    <w:basedOn w:val="1"/>
    <w:qFormat/>
    <w:uiPriority w:val="0"/>
    <w:rPr>
      <w:rFonts w:hAnsi="Courier New" w:cs="Courier New"/>
    </w:rPr>
  </w:style>
  <w:style w:type="paragraph" w:styleId="10">
    <w:name w:val="List Bullet 5"/>
    <w:basedOn w:val="1"/>
    <w:qFormat/>
    <w:uiPriority w:val="0"/>
    <w:pPr>
      <w:numPr>
        <w:ilvl w:val="0"/>
        <w:numId w:val="1"/>
      </w:numPr>
    </w:pPr>
  </w:style>
  <w:style w:type="paragraph" w:styleId="11">
    <w:name w:val="toc 8"/>
    <w:basedOn w:val="1"/>
    <w:next w:val="1"/>
    <w:qFormat/>
    <w:uiPriority w:val="0"/>
    <w:pPr>
      <w:ind w:left="1470"/>
      <w:jc w:val="left"/>
    </w:pPr>
    <w:rPr>
      <w:sz w:val="18"/>
      <w:szCs w:val="18"/>
    </w:rPr>
  </w:style>
  <w:style w:type="paragraph" w:styleId="12">
    <w:name w:val="Body Text Indent 2"/>
    <w:basedOn w:val="1"/>
    <w:next w:val="13"/>
    <w:qFormat/>
    <w:uiPriority w:val="0"/>
    <w:pPr>
      <w:spacing w:after="120" w:line="480" w:lineRule="auto"/>
      <w:ind w:left="420" w:leftChars="200"/>
    </w:pPr>
  </w:style>
  <w:style w:type="paragraph" w:customStyle="1" w:styleId="13">
    <w:name w:val=" Char"/>
    <w:basedOn w:val="1"/>
    <w:qFormat/>
    <w:uiPriority w:val="0"/>
    <w:rPr>
      <w:rFonts w:ascii="Times New Roman" w:hAnsi="Times New Roman"/>
      <w:szCs w:val="24"/>
    </w:rPr>
  </w:style>
  <w:style w:type="paragraph" w:styleId="14">
    <w:name w:val="footer"/>
    <w:basedOn w:val="1"/>
    <w:qFormat/>
    <w:uiPriority w:val="99"/>
    <w:pPr>
      <w:tabs>
        <w:tab w:val="center" w:pos="4153"/>
        <w:tab w:val="right" w:pos="8306"/>
      </w:tabs>
      <w:snapToGrid w:val="0"/>
      <w:jc w:val="left"/>
    </w:pPr>
    <w:rPr>
      <w:kern w:val="0"/>
      <w:sz w:val="18"/>
      <w:szCs w:val="20"/>
    </w:rPr>
  </w:style>
  <w:style w:type="paragraph" w:styleId="15">
    <w:name w:val="header"/>
    <w:basedOn w:val="1"/>
    <w:next w:val="16"/>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6">
    <w:name w:val="样式5"/>
    <w:basedOn w:val="17"/>
    <w:qFormat/>
    <w:uiPriority w:val="0"/>
    <w:pPr>
      <w:tabs>
        <w:tab w:val="left" w:pos="2045"/>
      </w:tabs>
      <w:snapToGrid w:val="0"/>
      <w:spacing w:line="360" w:lineRule="auto"/>
      <w:ind w:firstLine="510"/>
    </w:pPr>
    <w:rPr>
      <w:rFonts w:ascii="Times New Roman" w:hAnsi="Times New Roman" w:eastAsia="宋体" w:cs="Cambria"/>
      <w:kern w:val="2"/>
      <w:sz w:val="24"/>
    </w:rPr>
  </w:style>
  <w:style w:type="paragraph" w:customStyle="1" w:styleId="17">
    <w:name w:val="正文1"/>
    <w:basedOn w:val="1"/>
    <w:next w:val="1"/>
    <w:qFormat/>
    <w:uiPriority w:val="0"/>
    <w:pPr>
      <w:keepNext w:val="0"/>
      <w:keepLines w:val="0"/>
      <w:widowControl w:val="0"/>
      <w:suppressLineNumbers w:val="0"/>
      <w:adjustRightInd w:val="0"/>
      <w:spacing w:before="0" w:beforeAutospacing="0" w:after="0" w:afterAutospacing="0" w:line="315" w:lineRule="atLeast"/>
      <w:ind w:left="0" w:right="0"/>
      <w:jc w:val="both"/>
    </w:pPr>
    <w:rPr>
      <w:rFonts w:hint="eastAsia" w:ascii="宋体" w:hAnsi="Times New Roman" w:eastAsia="宋体" w:cs="Times New Roman"/>
      <w:kern w:val="0"/>
      <w:sz w:val="24"/>
      <w:szCs w:val="22"/>
      <w:lang w:val="en-US" w:eastAsia="zh-CN" w:bidi="ar"/>
    </w:rPr>
  </w:style>
  <w:style w:type="paragraph" w:styleId="18">
    <w:name w:val="List"/>
    <w:basedOn w:val="1"/>
    <w:qFormat/>
    <w:uiPriority w:val="0"/>
    <w:pPr>
      <w:ind w:left="200" w:hanging="200" w:hangingChars="200"/>
    </w:pPr>
  </w:style>
  <w:style w:type="paragraph" w:styleId="19">
    <w:name w:val="table of figures"/>
    <w:basedOn w:val="1"/>
    <w:next w:val="1"/>
    <w:qFormat/>
    <w:uiPriority w:val="0"/>
    <w:pPr>
      <w:ind w:leftChars="200" w:hanging="200" w:hangingChars="200"/>
    </w:pPr>
    <w:rPr>
      <w:rFonts w:ascii="Calibri" w:hAnsi="Calibri"/>
    </w:rPr>
  </w:style>
  <w:style w:type="paragraph" w:styleId="20">
    <w:name w:val="Body Text 2"/>
    <w:basedOn w:val="1"/>
    <w:qFormat/>
    <w:uiPriority w:val="0"/>
    <w:pPr>
      <w:spacing w:after="120" w:line="480" w:lineRule="auto"/>
    </w:pPr>
  </w:style>
  <w:style w:type="paragraph" w:styleId="21">
    <w:name w:val="Normal (Web)"/>
    <w:basedOn w:val="1"/>
    <w:next w:val="11"/>
    <w:qFormat/>
    <w:uiPriority w:val="0"/>
    <w:pPr>
      <w:widowControl/>
      <w:spacing w:before="100" w:beforeAutospacing="1" w:after="100" w:afterAutospacing="1"/>
      <w:jc w:val="left"/>
    </w:pPr>
    <w:rPr>
      <w:rFonts w:ascii="宋体" w:hAnsi="宋体"/>
      <w:kern w:val="0"/>
      <w:sz w:val="24"/>
      <w:szCs w:val="20"/>
    </w:rPr>
  </w:style>
  <w:style w:type="paragraph" w:styleId="22">
    <w:name w:val="Body Text First Indent"/>
    <w:basedOn w:val="7"/>
    <w:next w:val="19"/>
    <w:qFormat/>
    <w:uiPriority w:val="0"/>
    <w:pPr>
      <w:widowControl w:val="0"/>
      <w:spacing w:after="120" w:line="240" w:lineRule="auto"/>
      <w:ind w:firstLine="420" w:firstLineChars="100"/>
      <w:jc w:val="both"/>
    </w:pPr>
    <w:rPr>
      <w:rFonts w:ascii="Calibri" w:hAnsi="Calibri" w:eastAsia="宋体" w:cs="Times New Roman"/>
      <w:spacing w:val="0"/>
      <w:kern w:val="2"/>
      <w:sz w:val="21"/>
      <w:szCs w:val="24"/>
      <w:lang w:val="en-US" w:eastAsia="zh-CN" w:bidi="ar-SA"/>
    </w:rPr>
  </w:style>
  <w:style w:type="paragraph" w:styleId="23">
    <w:name w:val="Body Text First Indent 2"/>
    <w:basedOn w:val="8"/>
    <w:next w:val="22"/>
    <w:qFormat/>
    <w:uiPriority w:val="0"/>
    <w:pPr>
      <w:keepNext w:val="0"/>
      <w:keepLines w:val="0"/>
      <w:widowControl w:val="0"/>
      <w:suppressLineNumbers w:val="0"/>
      <w:spacing w:before="0" w:beforeAutospacing="0" w:after="120" w:afterAutospacing="0"/>
      <w:ind w:left="420" w:leftChars="200" w:right="0" w:firstLine="420" w:firstLineChars="200"/>
      <w:jc w:val="both"/>
    </w:pPr>
    <w:rPr>
      <w:kern w:val="2"/>
      <w:sz w:val="21"/>
    </w:rPr>
  </w:style>
  <w:style w:type="table" w:styleId="25">
    <w:name w:val="Table Grid"/>
    <w:basedOn w:val="24"/>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qFormat/>
    <w:uiPriority w:val="0"/>
  </w:style>
  <w:style w:type="paragraph" w:customStyle="1" w:styleId="28">
    <w:name w:val="正文-ls"/>
    <w:basedOn w:val="1"/>
    <w:qFormat/>
    <w:uiPriority w:val="0"/>
    <w:rPr>
      <w:rFonts w:hAnsi="宋体"/>
    </w:rPr>
  </w:style>
  <w:style w:type="paragraph" w:customStyle="1" w:styleId="29">
    <w:name w:val="Default"/>
    <w:basedOn w:val="30"/>
    <w:qFormat/>
    <w:uiPriority w:val="0"/>
    <w:pPr>
      <w:widowControl w:val="0"/>
      <w:autoSpaceDE w:val="0"/>
      <w:autoSpaceDN w:val="0"/>
      <w:adjustRightInd w:val="0"/>
    </w:pPr>
    <w:rPr>
      <w:color w:val="000000"/>
      <w:sz w:val="24"/>
      <w:szCs w:val="24"/>
      <w:lang w:val="en-US" w:eastAsia="zh-CN" w:bidi="ar-SA"/>
    </w:rPr>
  </w:style>
  <w:style w:type="paragraph" w:customStyle="1" w:styleId="30">
    <w:name w:val="文本"/>
    <w:basedOn w:val="1"/>
    <w:next w:val="1"/>
    <w:qFormat/>
    <w:uiPriority w:val="0"/>
    <w:pPr>
      <w:spacing w:line="360" w:lineRule="auto"/>
      <w:ind w:firstLine="200" w:firstLineChars="200"/>
    </w:pPr>
    <w:rPr>
      <w:rFonts w:ascii="宋体" w:hAnsi="宋体"/>
      <w:sz w:val="28"/>
      <w:szCs w:val="28"/>
    </w:rPr>
  </w:style>
  <w:style w:type="paragraph" w:customStyle="1" w:styleId="31">
    <w:name w:val="纯文本1"/>
    <w:basedOn w:val="1"/>
    <w:qFormat/>
    <w:uiPriority w:val="99"/>
    <w:pPr>
      <w:autoSpaceDE w:val="0"/>
      <w:autoSpaceDN w:val="0"/>
      <w:adjustRightInd w:val="0"/>
      <w:textAlignment w:val="baseline"/>
    </w:pPr>
    <w:rPr>
      <w:rFonts w:ascii="宋体"/>
      <w:szCs w:val="20"/>
    </w:rPr>
  </w:style>
  <w:style w:type="paragraph" w:customStyle="1" w:styleId="32">
    <w:name w:val="表标题"/>
    <w:basedOn w:val="1"/>
    <w:qFormat/>
    <w:uiPriority w:val="0"/>
    <w:pPr>
      <w:widowControl/>
      <w:snapToGrid w:val="0"/>
      <w:spacing w:before="120" w:afterLines="50" w:line="240" w:lineRule="auto"/>
      <w:ind w:firstLine="482" w:firstLineChars="0"/>
      <w:jc w:val="center"/>
    </w:pPr>
    <w:rPr>
      <w:rFonts w:ascii="黑体" w:hAnsi="Gloucester MT Extra Condensed" w:eastAsia="黑体"/>
      <w:bCs/>
      <w:szCs w:val="21"/>
    </w:rPr>
  </w:style>
  <w:style w:type="paragraph" w:customStyle="1" w:styleId="33">
    <w:name w:val="图表标题"/>
    <w:basedOn w:val="12"/>
    <w:qFormat/>
    <w:uiPriority w:val="0"/>
    <w:pPr>
      <w:spacing w:beforeLines="50" w:after="0" w:line="240" w:lineRule="auto"/>
      <w:ind w:left="0" w:leftChars="0" w:firstLine="200" w:firstLineChars="200"/>
      <w:jc w:val="center"/>
    </w:pPr>
    <w:rPr>
      <w:rFonts w:ascii="宋体" w:hAnsi="宋体" w:eastAsia="黑体"/>
      <w:kern w:val="0"/>
      <w:sz w:val="24"/>
      <w:szCs w:val="22"/>
    </w:rPr>
  </w:style>
  <w:style w:type="paragraph" w:customStyle="1" w:styleId="34">
    <w:name w:val="Table Paragraph"/>
    <w:basedOn w:val="1"/>
    <w:semiHidden/>
    <w:qFormat/>
    <w:uiPriority w:val="99"/>
    <w:pPr>
      <w:widowControl/>
      <w:jc w:val="left"/>
    </w:pPr>
    <w:rPr>
      <w:rFonts w:ascii="Calibri" w:hAnsi="Calibri" w:cs="宋体"/>
      <w:kern w:val="0"/>
      <w:sz w:val="22"/>
      <w:szCs w:val="22"/>
    </w:rPr>
  </w:style>
  <w:style w:type="paragraph" w:customStyle="1" w:styleId="35">
    <w:name w:val="表内字"/>
    <w:qFormat/>
    <w:uiPriority w:val="0"/>
    <w:pPr>
      <w:widowControl w:val="0"/>
      <w:snapToGrid w:val="0"/>
      <w:jc w:val="center"/>
    </w:pPr>
    <w:rPr>
      <w:rFonts w:ascii="Calibri" w:hAnsi="Calibri" w:eastAsia="Calibri" w:cs="Times New Roman"/>
      <w:color w:val="000000"/>
      <w:kern w:val="2"/>
      <w:sz w:val="21"/>
      <w:szCs w:val="28"/>
      <w:lang w:val="en-US" w:eastAsia="zh-CN" w:bidi="ar-SA"/>
    </w:rPr>
  </w:style>
  <w:style w:type="paragraph" w:customStyle="1" w:styleId="36">
    <w:name w:val="*正文"/>
    <w:basedOn w:val="1"/>
    <w:qFormat/>
    <w:uiPriority w:val="0"/>
    <w:pPr>
      <w:adjustRightInd w:val="0"/>
      <w:spacing w:line="360" w:lineRule="auto"/>
      <w:ind w:firstLine="200" w:firstLineChars="200"/>
    </w:pPr>
    <w:rPr>
      <w:kern w:val="0"/>
      <w:sz w:val="24"/>
      <w:szCs w:val="20"/>
    </w:rPr>
  </w:style>
  <w:style w:type="paragraph" w:customStyle="1" w:styleId="37">
    <w:name w:val="4正文"/>
    <w:basedOn w:val="1"/>
    <w:qFormat/>
    <w:uiPriority w:val="0"/>
    <w:pPr>
      <w:keepNext w:val="0"/>
      <w:keepLines w:val="0"/>
      <w:widowControl w:val="0"/>
      <w:suppressLineNumbers w:val="0"/>
      <w:spacing w:before="0" w:beforeAutospacing="0" w:after="0" w:afterAutospacing="0" w:line="360" w:lineRule="auto"/>
      <w:ind w:left="0" w:right="0" w:firstLine="200" w:firstLineChars="200"/>
      <w:jc w:val="left"/>
    </w:pPr>
    <w:rPr>
      <w:rFonts w:hint="default" w:ascii="Times New Roman" w:hAnsi="Times New Roman" w:cs="Times New Roman"/>
      <w:kern w:val="0"/>
      <w:sz w:val="24"/>
      <w:szCs w:val="24"/>
      <w:lang w:val="en-US" w:eastAsia="zh-CN" w:bidi="ar"/>
    </w:rPr>
  </w:style>
  <w:style w:type="paragraph" w:customStyle="1" w:styleId="38">
    <w:name w:val="样式 样式 样式 小四 左 首行缩进:  2 字符 + 首行缩进:  2 字符 Char + 右  0 字符1"/>
    <w:basedOn w:val="1"/>
    <w:qFormat/>
    <w:uiPriority w:val="0"/>
    <w:pPr>
      <w:keepNext w:val="0"/>
      <w:keepLines w:val="0"/>
      <w:widowControl w:val="0"/>
      <w:suppressLineNumbers w:val="0"/>
      <w:adjustRightInd w:val="0"/>
      <w:spacing w:before="0" w:beforeAutospacing="0" w:after="0" w:afterAutospacing="0" w:line="360" w:lineRule="auto"/>
      <w:ind w:left="0" w:right="0" w:firstLine="200" w:firstLineChars="200"/>
      <w:jc w:val="left"/>
    </w:pPr>
    <w:rPr>
      <w:rFonts w:hint="default" w:ascii="Times New Roman" w:hAnsi="Times New Roman" w:eastAsia="宋体" w:cs="宋体"/>
      <w:kern w:val="2"/>
      <w:sz w:val="24"/>
      <w:szCs w:val="20"/>
      <w:lang w:val="en-US" w:eastAsia="zh-CN" w:bidi="ar"/>
    </w:rPr>
  </w:style>
  <w:style w:type="paragraph" w:customStyle="1" w:styleId="39">
    <w:name w:val="【正文】"/>
    <w:basedOn w:val="1"/>
    <w:qFormat/>
    <w:uiPriority w:val="0"/>
    <w:pPr>
      <w:adjustRightInd w:val="0"/>
      <w:snapToGrid w:val="0"/>
    </w:pPr>
  </w:style>
  <w:style w:type="paragraph" w:customStyle="1" w:styleId="40">
    <w:name w:val="表格内容"/>
    <w:qFormat/>
    <w:uiPriority w:val="0"/>
    <w:pPr>
      <w:adjustRightInd w:val="0"/>
      <w:snapToGrid w:val="0"/>
      <w:spacing w:line="240" w:lineRule="atLeast"/>
      <w:jc w:val="center"/>
    </w:pPr>
    <w:rPr>
      <w:rFonts w:ascii="Times New Roman" w:hAnsi="Times New Roman" w:eastAsia="宋体" w:cs="宋体"/>
      <w:bCs/>
      <w:sz w:val="21"/>
      <w:szCs w:val="21"/>
      <w:lang w:val="en-US" w:eastAsia="zh-CN" w:bidi="ar-SA"/>
    </w:rPr>
  </w:style>
  <w:style w:type="paragraph" w:customStyle="1" w:styleId="41">
    <w:name w:val="表格"/>
    <w:basedOn w:val="18"/>
    <w:next w:val="1"/>
    <w:qFormat/>
    <w:uiPriority w:val="0"/>
    <w:pPr>
      <w:adjustRightInd w:val="0"/>
      <w:snapToGrid w:val="0"/>
      <w:spacing w:beforeLines="10" w:afterLines="10" w:line="259" w:lineRule="auto"/>
      <w:jc w:val="center"/>
    </w:pPr>
    <w:rPr>
      <w:rFonts w:ascii="宋体"/>
      <w:kern w:val="0"/>
      <w:szCs w:val="20"/>
    </w:rPr>
  </w:style>
  <w:style w:type="paragraph" w:customStyle="1" w:styleId="42">
    <w:name w:val="表格正文"/>
    <w:basedOn w:val="1"/>
    <w:next w:val="1"/>
    <w:qFormat/>
    <w:uiPriority w:val="0"/>
    <w:rPr>
      <w:sz w:val="21"/>
    </w:rPr>
  </w:style>
  <w:style w:type="paragraph" w:customStyle="1" w:styleId="43">
    <w:name w:val="表"/>
    <w:basedOn w:val="1"/>
    <w:qFormat/>
    <w:uiPriority w:val="0"/>
    <w:pPr>
      <w:jc w:val="center"/>
    </w:pPr>
    <w:rPr>
      <w:spacing w:val="2"/>
    </w:rPr>
  </w:style>
  <w:style w:type="paragraph" w:customStyle="1" w:styleId="44">
    <w:name w:val="表格内容自定"/>
    <w:basedOn w:val="1"/>
    <w:qFormat/>
    <w:uiPriority w:val="0"/>
    <w:pPr>
      <w:spacing w:line="280" w:lineRule="exact"/>
      <w:jc w:val="center"/>
    </w:pPr>
    <w:rPr>
      <w:kern w:val="0"/>
      <w:sz w:val="18"/>
      <w:szCs w:val="20"/>
    </w:rPr>
  </w:style>
  <w:style w:type="paragraph" w:customStyle="1" w:styleId="45">
    <w:name w:val="表格内文字格式"/>
    <w:basedOn w:val="1"/>
    <w:next w:val="1"/>
    <w:qFormat/>
    <w:uiPriority w:val="0"/>
    <w:pPr>
      <w:adjustRightInd w:val="0"/>
      <w:snapToGrid w:val="0"/>
      <w:jc w:val="left"/>
    </w:pPr>
    <w:rPr>
      <w:szCs w:val="21"/>
    </w:rPr>
  </w:style>
  <w:style w:type="paragraph" w:customStyle="1" w:styleId="46">
    <w:name w:val="表头样式"/>
    <w:basedOn w:val="1"/>
    <w:next w:val="1"/>
    <w:qFormat/>
    <w:uiPriority w:val="0"/>
    <w:pPr>
      <w:autoSpaceDE w:val="0"/>
      <w:autoSpaceDN w:val="0"/>
      <w:jc w:val="left"/>
    </w:pPr>
    <w:rPr>
      <w:rFonts w:cs="宋体"/>
      <w:b/>
      <w:bCs/>
      <w:kern w:val="0"/>
      <w:szCs w:val="21"/>
      <w:lang w:val="zh-CN" w:bidi="zh-CN"/>
    </w:rPr>
  </w:style>
  <w:style w:type="paragraph" w:customStyle="1" w:styleId="47">
    <w:name w:val="表格内容-Jin"/>
    <w:basedOn w:val="1"/>
    <w:qFormat/>
    <w:uiPriority w:val="0"/>
    <w:pPr>
      <w:jc w:val="center"/>
    </w:pPr>
    <w:rPr>
      <w:rFonts w:ascii="Times New Roman" w:hAnsi="Times New Roman" w:eastAsia="宋体" w:cs="Times New Roman"/>
      <w:color w:val="auto"/>
    </w:rPr>
  </w:style>
  <w:style w:type="paragraph" w:customStyle="1" w:styleId="48">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49">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0">
    <w:name w:val="内标题（2）"/>
    <w:basedOn w:val="1"/>
    <w:qFormat/>
    <w:uiPriority w:val="0"/>
    <w:pPr>
      <w:spacing w:line="360" w:lineRule="auto"/>
      <w:ind w:firstLine="480" w:firstLineChars="200"/>
      <w:jc w:val="left"/>
    </w:pPr>
    <w:rPr>
      <w:rFonts w:hint="eastAsia" w:ascii="Times New Roman" w:hAnsi="Times New Roman" w:eastAsia="宋体" w:cs="Times New Roman"/>
      <w:b/>
      <w:bCs/>
      <w:color w:val="auto"/>
      <w:sz w:val="24"/>
    </w:rPr>
  </w:style>
  <w:style w:type="paragraph" w:customStyle="1" w:styleId="51">
    <w:name w:val="0正文表内"/>
    <w:basedOn w:val="1"/>
    <w:next w:val="1"/>
    <w:qFormat/>
    <w:uiPriority w:val="0"/>
    <w:pPr>
      <w:spacing w:line="360" w:lineRule="exact"/>
      <w:jc w:val="left"/>
    </w:pPr>
    <w:rPr>
      <w:szCs w:val="22"/>
    </w:rPr>
  </w:style>
  <w:style w:type="paragraph" w:customStyle="1" w:styleId="52">
    <w:name w:val="正文-Jin"/>
    <w:basedOn w:val="1"/>
    <w:qFormat/>
    <w:uiPriority w:val="0"/>
    <w:pPr>
      <w:spacing w:line="360" w:lineRule="auto"/>
      <w:ind w:firstLine="480" w:firstLineChars="200"/>
      <w:jc w:val="left"/>
    </w:pPr>
    <w:rPr>
      <w:kern w:val="0"/>
      <w:sz w:val="24"/>
      <w:szCs w:val="20"/>
    </w:rPr>
  </w:style>
  <w:style w:type="paragraph" w:customStyle="1" w:styleId="53">
    <w:name w:val="表标题-Jin"/>
    <w:basedOn w:val="1"/>
    <w:qFormat/>
    <w:uiPriority w:val="0"/>
    <w:pPr>
      <w:adjustRightInd w:val="0"/>
      <w:snapToGrid w:val="0"/>
      <w:spacing w:before="50" w:beforeLines="50"/>
      <w:jc w:val="center"/>
    </w:pPr>
    <w:rPr>
      <w:rFonts w:ascii="Times New Roman" w:hAnsi="Times New Roman" w:eastAsia="宋体" w:cs="Times New Roman"/>
      <w:b/>
      <w:bCs/>
      <w:color w:val="auto"/>
      <w:kern w:val="0"/>
      <w:szCs w:val="21"/>
      <w:lang w:eastAsia="zh-TW"/>
    </w:rPr>
  </w:style>
  <w:style w:type="paragraph" w:customStyle="1" w:styleId="54">
    <w:name w:val="图-Jin"/>
    <w:basedOn w:val="1"/>
    <w:qFormat/>
    <w:uiPriority w:val="0"/>
    <w:pPr>
      <w:jc w:val="center"/>
    </w:pPr>
    <w:rPr>
      <w:rFonts w:ascii="Times New Roman" w:hAnsi="Times New Roman" w:eastAsia="宋体" w:cs="Times New Roman"/>
      <w:color w:val="auto"/>
      <w:sz w:val="24"/>
    </w:rPr>
  </w:style>
  <w:style w:type="paragraph" w:customStyle="1" w:styleId="55">
    <w:name w:val="图标题-Jin"/>
    <w:basedOn w:val="1"/>
    <w:qFormat/>
    <w:uiPriority w:val="0"/>
    <w:pPr>
      <w:spacing w:after="50" w:afterLines="50"/>
      <w:jc w:val="center"/>
    </w:pPr>
    <w:rPr>
      <w:rFonts w:ascii="Times New Roman" w:hAnsi="Times New Roman" w:eastAsia="宋体" w:cs="Times New Roman"/>
      <w:b/>
      <w:bCs/>
      <w:color w:val="auto"/>
      <w:szCs w:val="21"/>
    </w:rPr>
  </w:style>
  <w:style w:type="paragraph" w:customStyle="1" w:styleId="56">
    <w:name w:val="表格文字"/>
    <w:basedOn w:val="9"/>
    <w:qFormat/>
    <w:uiPriority w:val="0"/>
    <w:pPr>
      <w:spacing w:line="560" w:lineRule="exact"/>
      <w:jc w:val="center"/>
    </w:pPr>
  </w:style>
  <w:style w:type="paragraph" w:styleId="57">
    <w:name w:val="List Paragraph"/>
    <w:basedOn w:val="1"/>
    <w:qFormat/>
    <w:uiPriority w:val="1"/>
    <w:pPr>
      <w:ind w:left="1321" w:hanging="602"/>
    </w:pPr>
    <w:rPr>
      <w:rFonts w:ascii="宋体" w:hAnsi="宋体" w:eastAsia="宋体" w:cs="宋体"/>
      <w:lang w:val="zh-CN" w:eastAsia="zh-CN" w:bidi="zh-CN"/>
    </w:rPr>
  </w:style>
  <w:style w:type="paragraph" w:customStyle="1" w:styleId="58">
    <w:name w:val="1_正文"/>
    <w:basedOn w:val="1"/>
    <w:qFormat/>
    <w:uiPriority w:val="0"/>
    <w:pPr>
      <w:adjustRightInd w:val="0"/>
      <w:snapToGrid w:val="0"/>
      <w:spacing w:line="360" w:lineRule="auto"/>
      <w:ind w:firstLine="480" w:firstLineChars="200"/>
    </w:pPr>
    <w:rPr>
      <w:color w:val="000000"/>
      <w:sz w:val="24"/>
    </w:rPr>
  </w:style>
  <w:style w:type="paragraph" w:customStyle="1" w:styleId="59">
    <w:name w:val="正本文字0705"/>
    <w:basedOn w:val="1"/>
    <w:qFormat/>
    <w:uiPriority w:val="0"/>
    <w:pPr>
      <w:adjustRightInd w:val="0"/>
      <w:snapToGrid w:val="0"/>
      <w:spacing w:line="360" w:lineRule="auto"/>
      <w:ind w:firstLine="200" w:firstLineChars="200"/>
    </w:pPr>
    <w:rPr>
      <w:rFonts w:cs="宋体"/>
      <w:color w:val="000000"/>
      <w:kern w:val="18"/>
      <w:sz w:val="24"/>
    </w:rPr>
  </w:style>
  <w:style w:type="paragraph" w:customStyle="1" w:styleId="60">
    <w:name w:val="无间隔表格内"/>
    <w:basedOn w:val="61"/>
    <w:qFormat/>
    <w:uiPriority w:val="0"/>
    <w:rPr>
      <w:b w:val="0"/>
      <w:sz w:val="21"/>
    </w:rPr>
  </w:style>
  <w:style w:type="paragraph" w:customStyle="1" w:styleId="61">
    <w:name w:val="表   头"/>
    <w:basedOn w:val="1"/>
    <w:qFormat/>
    <w:uiPriority w:val="0"/>
    <w:pPr>
      <w:snapToGrid w:val="0"/>
      <w:spacing w:line="240" w:lineRule="auto"/>
      <w:ind w:firstLine="0" w:firstLineChars="0"/>
      <w:jc w:val="center"/>
    </w:pPr>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wmf"/><Relationship Id="rId14" Type="http://schemas.openxmlformats.org/officeDocument/2006/relationships/image" Target="media/image7.wmf"/><Relationship Id="rId13" Type="http://schemas.openxmlformats.org/officeDocument/2006/relationships/image" Target="media/image6.wmf"/><Relationship Id="rId12" Type="http://schemas.openxmlformats.org/officeDocument/2006/relationships/image" Target="media/image5.wmf"/><Relationship Id="rId11" Type="http://schemas.openxmlformats.org/officeDocument/2006/relationships/image" Target="media/image4.wmf"/><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27915</Words>
  <Characters>30832</Characters>
  <Lines>0</Lines>
  <Paragraphs>0</Paragraphs>
  <TotalTime>214</TotalTime>
  <ScaleCrop>false</ScaleCrop>
  <LinksUpToDate>false</LinksUpToDate>
  <CharactersWithSpaces>31035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2025-06-10T02:06:00Z</dcterms:created>
  <dc:creator>J.</dc:creator>
  <cp:lastModifiedBy>J.</cp:lastModifiedBy>
  <cp:lastPrinted>2025-06-26T07:49:00Z</cp:lastPrinted>
  <dcterms:modified xsi:type="dcterms:W3CDTF">2025-07-01T07:56:35Z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230832109AEA488E8B767E8FB9A801E1_13</vt:lpwstr>
  </property>
  <property fmtid="{D5CDD505-2E9C-101B-9397-08002B2CF9AE}" pid="4" name="KSOTemplateDocerSaveRecord">
    <vt:lpwstr>eyJoZGlkIjoiZWU0MmI5NjI3YTY1NmI2ZjU3ZTM2YWM3YmMwODE1YjQiLCJ1c2VySWQiOiIxNjE2NjM0NTI1In0=</vt:lpwstr>
  </property>
</Properties>
</file>